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1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1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Nabiey Romin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GOODRX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2701 OLYMPIC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GoodRx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12,662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12,662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113,965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as to 6.25% of the underlying shares on August 8, 2023 and the remaining 93.75% of the underlying shares vest in approximately equal quarterly installments thereafter for 15 quarters.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Gracye Cheng,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Romin Nabiey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985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892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2025-02-11T17:00:28Z</dcterms:created>
  <dcterms:modified xsi:type="dcterms:W3CDTF">2025-02-11T17:00:28Z</dcterms:modified>
</cp:coreProperties>
</file>