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6"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5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04" w:lineRule="exact"/>
        <w:rPr>
          <w:sz w:val="24"/>
          <w:szCs w:val="24"/>
          <w:color w:val="auto"/>
        </w:rPr>
      </w:pPr>
    </w:p>
    <w:p>
      <w:pPr>
        <w:ind w:left="3740"/>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ind w:left="3060"/>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October 27, 2026</w:t>
      </w:r>
    </w:p>
    <w:p>
      <w:pPr>
        <w:spacing w:after="0" w:line="99"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GoodRx Holdings, Inc.</w:t>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203" w:lineRule="exact"/>
        <w:rPr>
          <w:sz w:val="24"/>
          <w:szCs w:val="24"/>
          <w:color w:val="auto"/>
        </w:rPr>
      </w:pPr>
    </w:p>
    <w:tbl>
      <w:tblPr>
        <w:tblLayout w:type="fixed"/>
        <w:tblInd w:w="340" w:type="dxa"/>
        <w:tblCellMar>
          <w:top w:w="0" w:type="dxa"/>
          <w:left w:w="0" w:type="dxa"/>
          <w:bottom w:w="0" w:type="dxa"/>
          <w:right w:w="0" w:type="dxa"/>
        </w:tblCellMar>
      </w:tblPr>
      <w:tr>
        <w:trPr>
          <w:trHeight w:val="223"/>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w w:val="99"/>
              </w:rPr>
              <w:t>Delaware</w:t>
            </w:r>
          </w:p>
        </w:tc>
        <w:tc>
          <w:tcPr>
            <w:tcW w:w="3040" w:type="dxa"/>
            <w:vAlign w:val="bottom"/>
          </w:tcPr>
          <w:p>
            <w:pPr>
              <w:jc w:val="right"/>
              <w:ind w:right="1179"/>
              <w:spacing w:after="0"/>
              <w:rPr>
                <w:sz w:val="20"/>
                <w:szCs w:val="20"/>
                <w:color w:val="auto"/>
              </w:rPr>
            </w:pPr>
            <w:r>
              <w:rPr>
                <w:rFonts w:ascii="Arial" w:cs="Arial" w:eastAsia="Arial" w:hAnsi="Arial"/>
                <w:sz w:val="16"/>
                <w:szCs w:val="16"/>
                <w:b w:val="1"/>
                <w:bCs w:val="1"/>
                <w:color w:val="auto"/>
              </w:rPr>
              <w:t>001-39549</w:t>
            </w:r>
          </w:p>
        </w:tc>
        <w:tc>
          <w:tcPr>
            <w:tcW w:w="2000" w:type="dxa"/>
            <w:vAlign w:val="bottom"/>
          </w:tcPr>
          <w:p>
            <w:pPr>
              <w:jc w:val="right"/>
              <w:ind w:right="179"/>
              <w:spacing w:after="0"/>
              <w:rPr>
                <w:sz w:val="20"/>
                <w:szCs w:val="20"/>
                <w:color w:val="auto"/>
              </w:rPr>
            </w:pPr>
            <w:r>
              <w:rPr>
                <w:rFonts w:ascii="Arial" w:cs="Arial" w:eastAsia="Arial" w:hAnsi="Arial"/>
                <w:sz w:val="16"/>
                <w:szCs w:val="16"/>
                <w:b w:val="1"/>
                <w:bCs w:val="1"/>
                <w:color w:val="auto"/>
              </w:rPr>
              <w:t>47-5104396</w:t>
            </w:r>
          </w:p>
        </w:tc>
      </w:tr>
      <w:tr>
        <w:trPr>
          <w:trHeight w:val="209"/>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(State or Other Jurisdiction</w:t>
            </w:r>
          </w:p>
        </w:tc>
        <w:tc>
          <w:tcPr>
            <w:tcW w:w="3040" w:type="dxa"/>
            <w:vAlign w:val="bottom"/>
          </w:tcPr>
          <w:p>
            <w:pPr>
              <w:jc w:val="center"/>
              <w:ind w:right="179"/>
              <w:spacing w:after="0"/>
              <w:rPr>
                <w:sz w:val="20"/>
                <w:szCs w:val="20"/>
                <w:color w:val="auto"/>
              </w:rPr>
            </w:pPr>
            <w:r>
              <w:rPr>
                <w:rFonts w:ascii="Arial" w:cs="Arial" w:eastAsia="Arial" w:hAnsi="Arial"/>
                <w:sz w:val="16"/>
                <w:szCs w:val="16"/>
                <w:b w:val="1"/>
                <w:bCs w:val="1"/>
                <w:color w:val="auto"/>
              </w:rPr>
              <w:t>(Commission File Number)</w:t>
            </w:r>
          </w:p>
        </w:tc>
        <w:tc>
          <w:tcPr>
            <w:tcW w:w="2000" w:type="dxa"/>
            <w:vAlign w:val="bottom"/>
          </w:tcPr>
          <w:p>
            <w:pPr>
              <w:jc w:val="center"/>
              <w:ind w:left="539"/>
              <w:spacing w:after="0"/>
              <w:rPr>
                <w:sz w:val="20"/>
                <w:szCs w:val="20"/>
                <w:color w:val="auto"/>
              </w:rPr>
            </w:pPr>
            <w:r>
              <w:rPr>
                <w:rFonts w:ascii="Arial" w:cs="Arial" w:eastAsia="Arial" w:hAnsi="Arial"/>
                <w:sz w:val="16"/>
                <w:szCs w:val="16"/>
                <w:b w:val="1"/>
                <w:bCs w:val="1"/>
                <w:color w:val="auto"/>
              </w:rPr>
              <w:t>(IRS Employer</w:t>
            </w:r>
          </w:p>
        </w:tc>
      </w:tr>
      <w:tr>
        <w:trPr>
          <w:trHeight w:val="223"/>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of Incorporation)</w:t>
            </w:r>
          </w:p>
        </w:tc>
        <w:tc>
          <w:tcPr>
            <w:tcW w:w="3040" w:type="dxa"/>
            <w:vAlign w:val="bottom"/>
          </w:tcPr>
          <w:p>
            <w:pPr>
              <w:spacing w:after="0"/>
              <w:rPr>
                <w:sz w:val="19"/>
                <w:szCs w:val="19"/>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Identification No.)</w:t>
            </w:r>
          </w:p>
        </w:tc>
      </w:tr>
      <w:tr>
        <w:trPr>
          <w:trHeight w:val="432"/>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2701 Olympic Boulevard</w:t>
            </w:r>
          </w:p>
        </w:tc>
        <w:tc>
          <w:tcPr>
            <w:tcW w:w="3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70"/>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Santa Monica, California</w:t>
            </w:r>
          </w:p>
        </w:tc>
        <w:tc>
          <w:tcPr>
            <w:tcW w:w="3040" w:type="dxa"/>
            <w:vAlign w:val="bottom"/>
          </w:tcPr>
          <w:p>
            <w:pPr>
              <w:spacing w:after="0"/>
              <w:rPr>
                <w:sz w:val="23"/>
                <w:szCs w:val="23"/>
                <w:color w:val="auto"/>
              </w:rPr>
            </w:pPr>
          </w:p>
        </w:tc>
        <w:tc>
          <w:tcPr>
            <w:tcW w:w="2000" w:type="dxa"/>
            <w:vAlign w:val="bottom"/>
          </w:tcPr>
          <w:p>
            <w:pPr>
              <w:jc w:val="right"/>
              <w:ind w:right="379"/>
              <w:spacing w:after="0"/>
              <w:rPr>
                <w:sz w:val="20"/>
                <w:szCs w:val="20"/>
                <w:color w:val="auto"/>
              </w:rPr>
            </w:pPr>
            <w:r>
              <w:rPr>
                <w:rFonts w:ascii="Arial" w:cs="Arial" w:eastAsia="Arial" w:hAnsi="Arial"/>
                <w:sz w:val="16"/>
                <w:szCs w:val="16"/>
                <w:b w:val="1"/>
                <w:bCs w:val="1"/>
                <w:color w:val="auto"/>
              </w:rPr>
              <w:t>90404</w:t>
            </w:r>
          </w:p>
        </w:tc>
      </w:tr>
      <w:tr>
        <w:trPr>
          <w:trHeight w:val="209"/>
        </w:trPr>
        <w:tc>
          <w:tcPr>
            <w:tcW w:w="2780" w:type="dxa"/>
            <w:vAlign w:val="bottom"/>
          </w:tcPr>
          <w:p>
            <w:pPr>
              <w:jc w:val="center"/>
              <w:ind w:right="279"/>
              <w:spacing w:after="0"/>
              <w:rPr>
                <w:sz w:val="20"/>
                <w:szCs w:val="20"/>
                <w:color w:val="auto"/>
              </w:rPr>
            </w:pPr>
            <w:r>
              <w:rPr>
                <w:rFonts w:ascii="Arial" w:cs="Arial" w:eastAsia="Arial" w:hAnsi="Arial"/>
                <w:sz w:val="16"/>
                <w:szCs w:val="16"/>
                <w:b w:val="1"/>
                <w:bCs w:val="1"/>
                <w:color w:val="auto"/>
              </w:rPr>
              <w:t>(Address of Principal Executive</w:t>
            </w:r>
          </w:p>
        </w:tc>
        <w:tc>
          <w:tcPr>
            <w:tcW w:w="3040" w:type="dxa"/>
            <w:vAlign w:val="bottom"/>
          </w:tcPr>
          <w:p>
            <w:pPr>
              <w:spacing w:after="0"/>
              <w:rPr>
                <w:sz w:val="18"/>
                <w:szCs w:val="18"/>
                <w:color w:val="auto"/>
              </w:rPr>
            </w:pPr>
          </w:p>
        </w:tc>
        <w:tc>
          <w:tcPr>
            <w:tcW w:w="2000" w:type="dxa"/>
            <w:vAlign w:val="bottom"/>
          </w:tcPr>
          <w:p>
            <w:pPr>
              <w:jc w:val="center"/>
              <w:ind w:left="559"/>
              <w:spacing w:after="0"/>
              <w:rPr>
                <w:sz w:val="20"/>
                <w:szCs w:val="20"/>
                <w:color w:val="auto"/>
              </w:rPr>
            </w:pPr>
            <w:r>
              <w:rPr>
                <w:rFonts w:ascii="Arial" w:cs="Arial" w:eastAsia="Arial" w:hAnsi="Arial"/>
                <w:sz w:val="16"/>
                <w:szCs w:val="16"/>
                <w:b w:val="1"/>
                <w:bCs w:val="1"/>
                <w:color w:val="auto"/>
              </w:rPr>
              <w:t>(Zip Code)</w:t>
            </w:r>
          </w:p>
        </w:tc>
      </w:tr>
      <w:tr>
        <w:trPr>
          <w:trHeight w:val="223"/>
        </w:trPr>
        <w:tc>
          <w:tcPr>
            <w:tcW w:w="2780" w:type="dxa"/>
            <w:vAlign w:val="bottom"/>
          </w:tcPr>
          <w:p>
            <w:pPr>
              <w:jc w:val="center"/>
              <w:ind w:right="299"/>
              <w:spacing w:after="0"/>
              <w:rPr>
                <w:sz w:val="20"/>
                <w:szCs w:val="20"/>
                <w:color w:val="auto"/>
              </w:rPr>
            </w:pPr>
            <w:r>
              <w:rPr>
                <w:rFonts w:ascii="Arial" w:cs="Arial" w:eastAsia="Arial" w:hAnsi="Arial"/>
                <w:sz w:val="16"/>
                <w:szCs w:val="16"/>
                <w:b w:val="1"/>
                <w:bCs w:val="1"/>
                <w:color w:val="auto"/>
              </w:rPr>
              <w:t>Offices)</w:t>
            </w:r>
          </w:p>
        </w:tc>
        <w:tc>
          <w:tcPr>
            <w:tcW w:w="304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(855) 268-2822</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48"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________________________________________</w:t>
      </w:r>
    </w:p>
    <w:p>
      <w:pPr>
        <w:spacing w:after="0" w:line="122" w:lineRule="exact"/>
        <w:rPr>
          <w:sz w:val="24"/>
          <w:szCs w:val="24"/>
          <w:color w:val="auto"/>
        </w:rPr>
      </w:pPr>
    </w:p>
    <w:p>
      <w:pPr>
        <w:ind w:left="40" w:right="639"/>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142" w:lineRule="exact"/>
        <w:rPr>
          <w:sz w:val="24"/>
          <w:szCs w:val="24"/>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26"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360" w:hanging="250"/>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5"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8"/>
              </w:rPr>
              <w:t>Trading</w:t>
            </w:r>
          </w:p>
        </w:tc>
        <w:tc>
          <w:tcPr>
            <w:tcW w:w="3640" w:type="dxa"/>
            <w:vAlign w:val="bottom"/>
          </w:tcPr>
          <w:p>
            <w:pPr>
              <w:spacing w:after="0"/>
              <w:rPr>
                <w:sz w:val="16"/>
                <w:szCs w:val="16"/>
                <w:color w:val="auto"/>
              </w:rPr>
            </w:pPr>
          </w:p>
        </w:tc>
      </w:tr>
      <w:tr>
        <w:trPr>
          <w:trHeight w:val="20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40" w:type="dxa"/>
            <w:vAlign w:val="bottom"/>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40" w:type="dxa"/>
            <w:vAlign w:val="bottom"/>
          </w:tcPr>
          <w:p>
            <w:pPr>
              <w:spacing w:after="0"/>
              <w:rPr>
                <w:sz w:val="17"/>
                <w:szCs w:val="17"/>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95"/>
        </w:trPr>
        <w:tc>
          <w:tcPr>
            <w:tcW w:w="3700" w:type="dxa"/>
            <w:vAlign w:val="bottom"/>
            <w:gridSpan w:val="2"/>
          </w:tcPr>
          <w:p>
            <w:pPr>
              <w:jc w:val="center"/>
              <w:spacing w:after="0"/>
              <w:rPr>
                <w:sz w:val="20"/>
                <w:szCs w:val="20"/>
                <w:color w:val="auto"/>
              </w:rPr>
            </w:pPr>
            <w:r>
              <w:rPr>
                <w:rFonts w:ascii="Arial" w:cs="Arial" w:eastAsia="Arial" w:hAnsi="Arial"/>
                <w:sz w:val="16"/>
                <w:szCs w:val="16"/>
                <w:color w:val="auto"/>
              </w:rPr>
              <w:t>Class A Common Stock, $0.0001 par value per</w:t>
            </w:r>
          </w:p>
        </w:tc>
        <w:tc>
          <w:tcPr>
            <w:tcW w:w="1580" w:type="dxa"/>
            <w:vAlign w:val="bottom"/>
            <w:gridSpan w:val="2"/>
          </w:tcPr>
          <w:p>
            <w:pPr>
              <w:jc w:val="center"/>
              <w:ind w:right="40"/>
              <w:spacing w:after="0"/>
              <w:rPr>
                <w:sz w:val="20"/>
                <w:szCs w:val="20"/>
                <w:color w:val="auto"/>
              </w:rPr>
            </w:pPr>
            <w:r>
              <w:rPr>
                <w:rFonts w:ascii="Arial" w:cs="Arial" w:eastAsia="Arial" w:hAnsi="Arial"/>
                <w:sz w:val="16"/>
                <w:szCs w:val="16"/>
                <w:color w:val="auto"/>
                <w:w w:val="99"/>
              </w:rPr>
              <w:t>GDRX</w:t>
            </w:r>
          </w:p>
        </w:tc>
        <w:tc>
          <w:tcPr>
            <w:tcW w:w="364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r>
      <w:tr>
        <w:trPr>
          <w:trHeight w:val="215"/>
        </w:trPr>
        <w:tc>
          <w:tcPr>
            <w:tcW w:w="3700" w:type="dxa"/>
            <w:vAlign w:val="bottom"/>
            <w:gridSpan w:val="2"/>
          </w:tcPr>
          <w:p>
            <w:pPr>
              <w:jc w:val="center"/>
              <w:ind w:right="20"/>
              <w:spacing w:after="0"/>
              <w:rPr>
                <w:sz w:val="20"/>
                <w:szCs w:val="20"/>
                <w:color w:val="auto"/>
              </w:rPr>
            </w:pPr>
            <w:r>
              <w:rPr>
                <w:rFonts w:ascii="Arial" w:cs="Arial" w:eastAsia="Arial" w:hAnsi="Arial"/>
                <w:sz w:val="16"/>
                <w:szCs w:val="16"/>
                <w:color w:val="auto"/>
                <w:w w:val="99"/>
              </w:rPr>
              <w:t>share</w:t>
            </w: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pacing w:after="0" w:line="163" w:lineRule="exact"/>
        <w:rPr>
          <w:sz w:val="24"/>
          <w:szCs w:val="24"/>
          <w:color w:val="auto"/>
        </w:rPr>
      </w:pPr>
    </w:p>
    <w:p>
      <w:pPr>
        <w:ind w:left="40" w:right="219"/>
        <w:spacing w:after="0" w:line="30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jc w:val="both"/>
        <w:ind w:left="40" w:right="539"/>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9019"/>
          </w:cols>
          <w:pgMar w:left="1440" w:top="1297" w:right="1440" w:bottom="1440" w:gutter="0" w:footer="0" w:header="0"/>
        </w:sectPr>
      </w:pPr>
    </w:p>
    <w:bookmarkStart w:id="1" w:name="page2"/>
    <w:bookmarkEnd w:id="1"/>
    <w:p>
      <w:pPr>
        <w:ind w:left="40" w:right="139"/>
        <w:spacing w:after="0" w:line="27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Item 4.02. Non-Reliance on Previously Issued Financial Statements or a Related Audit Report or Completed Interim Review</w:t>
      </w:r>
    </w:p>
    <w:p>
      <w:pPr>
        <w:spacing w:after="0" w:line="153" w:lineRule="exact"/>
        <w:rPr>
          <w:sz w:val="20"/>
          <w:szCs w:val="20"/>
          <w:color w:val="auto"/>
        </w:rPr>
      </w:pPr>
    </w:p>
    <w:p>
      <w:pPr>
        <w:ind w:left="40" w:right="79"/>
        <w:spacing w:after="0" w:line="259" w:lineRule="auto"/>
        <w:rPr>
          <w:sz w:val="20"/>
          <w:szCs w:val="20"/>
          <w:color w:val="auto"/>
        </w:rPr>
      </w:pPr>
      <w:r>
        <w:rPr>
          <w:rFonts w:ascii="Arial" w:cs="Arial" w:eastAsia="Arial" w:hAnsi="Arial"/>
          <w:sz w:val="16"/>
          <w:szCs w:val="16"/>
          <w:color w:val="auto"/>
        </w:rPr>
        <w:t>On October 27, 2026, the Audit and Risk Committee of the Board of Directors (the “Board”) of GoodRx Holdings, Inc. (the “Company”), after discussion with management of the Company and the Company’s independent registered public accounting firm, KPMG LLP (“KPMG”), concluded that the Company’s condensed consolidated financial statements for the fiscal quarter and year-to-date periods ended March 31, 2026 and June 30, 2026 (collectively, the “Affected Periods”) should no longer be relied upon due to the understatement of Pharma Direct revenue. Similarly, any previously issued or filed reports, press releases, earnings releases, and investor presentations or other communications describing the Company’s condensed consolidated financial statements and other related financial information for the Affected Periods should no longer be relied upon.</w:t>
      </w:r>
    </w:p>
    <w:p>
      <w:pPr>
        <w:spacing w:after="0" w:line="72" w:lineRule="exact"/>
        <w:rPr>
          <w:sz w:val="20"/>
          <w:szCs w:val="20"/>
          <w:color w:val="auto"/>
        </w:rPr>
      </w:pPr>
    </w:p>
    <w:p>
      <w:pPr>
        <w:ind w:left="40" w:right="299"/>
        <w:spacing w:after="0" w:line="261" w:lineRule="auto"/>
        <w:rPr>
          <w:sz w:val="20"/>
          <w:szCs w:val="20"/>
          <w:color w:val="auto"/>
        </w:rPr>
      </w:pPr>
      <w:r>
        <w:rPr>
          <w:rFonts w:ascii="Arial" w:cs="Arial" w:eastAsia="Arial" w:hAnsi="Arial"/>
          <w:sz w:val="16"/>
          <w:szCs w:val="16"/>
          <w:color w:val="auto"/>
        </w:rPr>
        <w:t>In connection with an ongoing Audit and Risk Committee review of the Company’s revenue recognition for certain transactions related to Pharma Direct revenue, the Company determined that a portion of revenue was not recognized during each Affected Period that should have been recognized in each such period in accordance with Accounting Standards Codification 606. This error resulted in an understatement of Pharma Direct revenue and total revenue in each Affected Period. The Company has not identified any impact to previously issued financial statements for periods prior to fiscal year 2026.</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Company expects the principal effects on its previously reported results for the Affected Periods to be as follows: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gridSpan w:val="8"/>
          </w:tcPr>
          <w:p>
            <w:pPr>
              <w:jc w:val="center"/>
              <w:ind w:right="260"/>
              <w:spacing w:after="0"/>
              <w:rPr>
                <w:sz w:val="20"/>
                <w:szCs w:val="20"/>
                <w:color w:val="auto"/>
              </w:rPr>
            </w:pPr>
            <w:r>
              <w:rPr>
                <w:rFonts w:ascii="Arial" w:cs="Arial" w:eastAsia="Arial" w:hAnsi="Arial"/>
                <w:sz w:val="11"/>
                <w:szCs w:val="11"/>
                <w:b w:val="1"/>
                <w:bCs w:val="1"/>
                <w:color w:val="auto"/>
                <w:w w:val="98"/>
              </w:rPr>
              <w:t>Three months ended March 31, 2026</w:t>
            </w:r>
          </w:p>
        </w:tc>
        <w:tc>
          <w:tcPr>
            <w:tcW w:w="220" w:type="dxa"/>
            <w:vAlign w:val="bottom"/>
          </w:tcPr>
          <w:p>
            <w:pPr>
              <w:spacing w:after="0"/>
              <w:rPr>
                <w:sz w:val="12"/>
                <w:szCs w:val="12"/>
                <w:color w:val="auto"/>
              </w:rPr>
            </w:pPr>
          </w:p>
        </w:tc>
        <w:tc>
          <w:tcPr>
            <w:tcW w:w="2280" w:type="dxa"/>
            <w:vAlign w:val="bottom"/>
            <w:gridSpan w:val="8"/>
          </w:tcPr>
          <w:p>
            <w:pPr>
              <w:jc w:val="center"/>
              <w:ind w:right="280"/>
              <w:spacing w:after="0"/>
              <w:rPr>
                <w:sz w:val="20"/>
                <w:szCs w:val="20"/>
                <w:color w:val="auto"/>
              </w:rPr>
            </w:pPr>
            <w:r>
              <w:rPr>
                <w:rFonts w:ascii="Arial" w:cs="Arial" w:eastAsia="Arial" w:hAnsi="Arial"/>
                <w:sz w:val="11"/>
                <w:szCs w:val="11"/>
                <w:b w:val="1"/>
                <w:bCs w:val="1"/>
                <w:color w:val="auto"/>
                <w:w w:val="98"/>
              </w:rPr>
              <w:t>Three months ended June 30, 2026</w:t>
            </w:r>
          </w:p>
        </w:tc>
        <w:tc>
          <w:tcPr>
            <w:tcW w:w="220" w:type="dxa"/>
            <w:vAlign w:val="bottom"/>
          </w:tcPr>
          <w:p>
            <w:pPr>
              <w:spacing w:after="0"/>
              <w:rPr>
                <w:sz w:val="12"/>
                <w:szCs w:val="12"/>
                <w:color w:val="auto"/>
              </w:rPr>
            </w:pPr>
          </w:p>
        </w:tc>
        <w:tc>
          <w:tcPr>
            <w:tcW w:w="2240" w:type="dxa"/>
            <w:vAlign w:val="bottom"/>
            <w:gridSpan w:val="7"/>
          </w:tcPr>
          <w:p>
            <w:pPr>
              <w:jc w:val="center"/>
              <w:ind w:right="166"/>
              <w:spacing w:after="0"/>
              <w:rPr>
                <w:sz w:val="20"/>
                <w:szCs w:val="20"/>
                <w:color w:val="auto"/>
              </w:rPr>
            </w:pPr>
            <w:r>
              <w:rPr>
                <w:rFonts w:ascii="Arial" w:cs="Arial" w:eastAsia="Arial" w:hAnsi="Arial"/>
                <w:sz w:val="11"/>
                <w:szCs w:val="11"/>
                <w:b w:val="1"/>
                <w:bCs w:val="1"/>
                <w:color w:val="auto"/>
                <w:w w:val="97"/>
              </w:rPr>
              <w:t>Six months ended June 30, 2026</w:t>
            </w:r>
          </w:p>
        </w:tc>
      </w:tr>
      <w:tr>
        <w:trPr>
          <w:trHeight w:val="156"/>
        </w:trPr>
        <w:tc>
          <w:tcPr>
            <w:tcW w:w="1440" w:type="dxa"/>
            <w:vAlign w:val="bottom"/>
          </w:tcPr>
          <w:p>
            <w:pPr>
              <w:ind w:left="60"/>
              <w:spacing w:after="0"/>
              <w:rPr>
                <w:sz w:val="20"/>
                <w:szCs w:val="20"/>
                <w:color w:val="auto"/>
              </w:rPr>
            </w:pPr>
            <w:r>
              <w:rPr>
                <w:rFonts w:ascii="Arial" w:cs="Arial" w:eastAsia="Arial" w:hAnsi="Arial"/>
                <w:sz w:val="11"/>
                <w:szCs w:val="11"/>
                <w:i w:val="1"/>
                <w:iCs w:val="1"/>
                <w:color w:val="auto"/>
              </w:rPr>
              <w:t>(in thousands, except for</w:t>
            </w:r>
          </w:p>
        </w:tc>
        <w:tc>
          <w:tcPr>
            <w:tcW w:w="2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9"/>
              </w:rPr>
              <w:t>Restatement</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96"/>
              </w:rPr>
              <w:t>Restatement</w:t>
            </w:r>
          </w:p>
        </w:tc>
        <w:tc>
          <w:tcPr>
            <w:tcW w:w="2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99"/>
              </w:rPr>
              <w:t>Restatement</w:t>
            </w: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r>
      <w:tr>
        <w:trPr>
          <w:trHeight w:val="158"/>
        </w:trPr>
        <w:tc>
          <w:tcPr>
            <w:tcW w:w="1440" w:type="dxa"/>
            <w:vAlign w:val="bottom"/>
          </w:tcPr>
          <w:p>
            <w:pPr>
              <w:ind w:left="60"/>
              <w:spacing w:after="0"/>
              <w:rPr>
                <w:sz w:val="20"/>
                <w:szCs w:val="20"/>
                <w:color w:val="auto"/>
              </w:rPr>
            </w:pPr>
            <w:r>
              <w:rPr>
                <w:rFonts w:ascii="Arial" w:cs="Arial" w:eastAsia="Arial" w:hAnsi="Arial"/>
                <w:sz w:val="11"/>
                <w:szCs w:val="11"/>
                <w:i w:val="1"/>
                <w:iCs w:val="1"/>
                <w:color w:val="auto"/>
              </w:rPr>
              <w:t>per share amounts)</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As Reported</w:t>
            </w:r>
          </w:p>
        </w:tc>
        <w:tc>
          <w:tcPr>
            <w:tcW w:w="8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8"/>
              </w:rPr>
              <w:t>Adjustments</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As Restated</w:t>
            </w:r>
          </w:p>
        </w:tc>
        <w:tc>
          <w:tcPr>
            <w:tcW w:w="820" w:type="dxa"/>
            <w:vAlign w:val="bottom"/>
            <w:gridSpan w:val="3"/>
          </w:tcPr>
          <w:p>
            <w:pPr>
              <w:ind w:left="60"/>
              <w:spacing w:after="0"/>
              <w:rPr>
                <w:sz w:val="20"/>
                <w:szCs w:val="20"/>
                <w:color w:val="auto"/>
              </w:rPr>
            </w:pPr>
            <w:r>
              <w:rPr>
                <w:rFonts w:ascii="Arial" w:cs="Arial" w:eastAsia="Arial" w:hAnsi="Arial"/>
                <w:sz w:val="11"/>
                <w:szCs w:val="11"/>
                <w:b w:val="1"/>
                <w:bCs w:val="1"/>
                <w:color w:val="auto"/>
              </w:rPr>
              <w:t>As Reported</w:t>
            </w:r>
          </w:p>
        </w:tc>
        <w:tc>
          <w:tcPr>
            <w:tcW w:w="840" w:type="dxa"/>
            <w:vAlign w:val="bottom"/>
            <w:gridSpan w:val="3"/>
          </w:tcPr>
          <w:p>
            <w:pPr>
              <w:jc w:val="center"/>
              <w:ind w:right="40"/>
              <w:spacing w:after="0"/>
              <w:rPr>
                <w:sz w:val="20"/>
                <w:szCs w:val="20"/>
                <w:color w:val="auto"/>
              </w:rPr>
            </w:pPr>
            <w:r>
              <w:rPr>
                <w:rFonts w:ascii="Arial" w:cs="Arial" w:eastAsia="Arial" w:hAnsi="Arial"/>
                <w:sz w:val="11"/>
                <w:szCs w:val="11"/>
                <w:b w:val="1"/>
                <w:bCs w:val="1"/>
                <w:color w:val="auto"/>
                <w:w w:val="95"/>
              </w:rPr>
              <w:t>Adjustments</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As Restated</w:t>
            </w:r>
          </w:p>
        </w:tc>
        <w:tc>
          <w:tcPr>
            <w:tcW w:w="840" w:type="dxa"/>
            <w:vAlign w:val="bottom"/>
            <w:gridSpan w:val="3"/>
          </w:tcPr>
          <w:p>
            <w:pPr>
              <w:ind w:left="80"/>
              <w:spacing w:after="0"/>
              <w:rPr>
                <w:sz w:val="20"/>
                <w:szCs w:val="20"/>
                <w:color w:val="auto"/>
              </w:rPr>
            </w:pPr>
            <w:r>
              <w:rPr>
                <w:rFonts w:ascii="Arial" w:cs="Arial" w:eastAsia="Arial" w:hAnsi="Arial"/>
                <w:sz w:val="11"/>
                <w:szCs w:val="11"/>
                <w:b w:val="1"/>
                <w:bCs w:val="1"/>
                <w:color w:val="auto"/>
              </w:rPr>
              <w:t>As Reported</w:t>
            </w:r>
          </w:p>
        </w:tc>
        <w:tc>
          <w:tcPr>
            <w:tcW w:w="8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98"/>
              </w:rPr>
              <w:t>Adjustments</w:t>
            </w:r>
          </w:p>
        </w:tc>
        <w:tc>
          <w:tcPr>
            <w:tcW w:w="780" w:type="dxa"/>
            <w:vAlign w:val="bottom"/>
            <w:gridSpan w:val="2"/>
          </w:tcPr>
          <w:p>
            <w:pPr>
              <w:jc w:val="right"/>
              <w:ind w:right="26"/>
              <w:spacing w:after="0"/>
              <w:rPr>
                <w:sz w:val="20"/>
                <w:szCs w:val="20"/>
                <w:color w:val="auto"/>
              </w:rPr>
            </w:pPr>
            <w:r>
              <w:rPr>
                <w:rFonts w:ascii="Arial" w:cs="Arial" w:eastAsia="Arial" w:hAnsi="Arial"/>
                <w:sz w:val="11"/>
                <w:szCs w:val="11"/>
                <w:b w:val="1"/>
                <w:bCs w:val="1"/>
                <w:color w:val="auto"/>
              </w:rPr>
              <w:t>As Restated</w:t>
            </w:r>
          </w:p>
        </w:tc>
      </w:tr>
      <w:tr>
        <w:trPr>
          <w:trHeight w:val="166"/>
        </w:trPr>
        <w:tc>
          <w:tcPr>
            <w:tcW w:w="144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Pharma Direct revenue</w:t>
            </w:r>
          </w:p>
        </w:tc>
        <w:tc>
          <w:tcPr>
            <w:tcW w:w="20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52,230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7,500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59,730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61,628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22,273</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83,901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113,858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29,773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143,631</w:t>
            </w:r>
          </w:p>
        </w:tc>
      </w:tr>
      <w:tr>
        <w:trPr>
          <w:trHeight w:val="183"/>
        </w:trPr>
        <w:tc>
          <w:tcPr>
            <w:tcW w:w="1440" w:type="dxa"/>
            <w:vAlign w:val="bottom"/>
          </w:tcPr>
          <w:p>
            <w:pPr>
              <w:ind w:left="60"/>
              <w:spacing w:after="0"/>
              <w:rPr>
                <w:sz w:val="20"/>
                <w:szCs w:val="20"/>
                <w:color w:val="auto"/>
              </w:rPr>
            </w:pPr>
            <w:r>
              <w:rPr>
                <w:rFonts w:ascii="Arial" w:cs="Arial" w:eastAsia="Arial" w:hAnsi="Arial"/>
                <w:sz w:val="11"/>
                <w:szCs w:val="11"/>
                <w:color w:val="auto"/>
              </w:rPr>
              <w:t>Total revenue</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194,006</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7,500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201,506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200,411</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22,273</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222,684</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394,417</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29,773</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424,190</w:t>
            </w:r>
          </w:p>
        </w:tc>
      </w:tr>
      <w:tr>
        <w:trPr>
          <w:trHeight w:val="20"/>
        </w:trPr>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Operating income</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14,009</w:t>
            </w: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5,310</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19,319</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23,632</w:t>
            </w: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14,877</w:t>
            </w: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38,509</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37,641</w:t>
            </w: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20,187</w:t>
            </w: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57,828</w:t>
            </w:r>
          </w:p>
        </w:tc>
      </w:tr>
      <w:tr>
        <w:trPr>
          <w:trHeight w:val="183"/>
        </w:trPr>
        <w:tc>
          <w:tcPr>
            <w:tcW w:w="1440" w:type="dxa"/>
            <w:vAlign w:val="bottom"/>
          </w:tcPr>
          <w:p>
            <w:pPr>
              <w:ind w:left="60"/>
              <w:spacing w:after="0"/>
              <w:rPr>
                <w:sz w:val="20"/>
                <w:szCs w:val="20"/>
                <w:color w:val="auto"/>
              </w:rPr>
            </w:pPr>
            <w:r>
              <w:rPr>
                <w:rFonts w:ascii="Arial" w:cs="Arial" w:eastAsia="Arial" w:hAnsi="Arial"/>
                <w:sz w:val="11"/>
                <w:szCs w:val="11"/>
                <w:color w:val="auto"/>
              </w:rPr>
              <w:t>Net income</w:t>
            </w: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1,169</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3,791</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4,960</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8,536</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11,056</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19,592</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9,705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14,847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24,552</w:t>
            </w:r>
          </w:p>
        </w:tc>
      </w:tr>
      <w:tr>
        <w:trPr>
          <w:trHeight w:val="20"/>
        </w:trPr>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3"/>
        </w:trPr>
        <w:tc>
          <w:tcPr>
            <w:tcW w:w="1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Earnings per share:</w:t>
            </w:r>
          </w:p>
        </w:tc>
        <w:tc>
          <w:tcPr>
            <w:tcW w:w="2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193"/>
        </w:trPr>
        <w:tc>
          <w:tcPr>
            <w:tcW w:w="1440" w:type="dxa"/>
            <w:vAlign w:val="bottom"/>
          </w:tcPr>
          <w:p>
            <w:pPr>
              <w:ind w:left="320"/>
              <w:spacing w:after="0"/>
              <w:rPr>
                <w:sz w:val="20"/>
                <w:szCs w:val="20"/>
                <w:color w:val="auto"/>
              </w:rPr>
            </w:pPr>
            <w:r>
              <w:rPr>
                <w:rFonts w:ascii="Arial" w:cs="Arial" w:eastAsia="Arial" w:hAnsi="Arial"/>
                <w:sz w:val="11"/>
                <w:szCs w:val="11"/>
                <w:color w:val="auto"/>
              </w:rPr>
              <w:t>Basic</w:t>
            </w:r>
          </w:p>
        </w:tc>
        <w:tc>
          <w:tcPr>
            <w:tcW w:w="2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0.00</w:t>
            </w:r>
          </w:p>
        </w:tc>
        <w:tc>
          <w:tcPr>
            <w:tcW w:w="60" w:type="dxa"/>
            <w:vAlign w:val="bottom"/>
          </w:tcPr>
          <w:p>
            <w:pPr>
              <w:spacing w:after="0"/>
              <w:rPr>
                <w:sz w:val="16"/>
                <w:szCs w:val="16"/>
                <w:color w:val="auto"/>
              </w:rPr>
            </w:pPr>
          </w:p>
        </w:tc>
        <w:tc>
          <w:tcPr>
            <w:tcW w:w="28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tcPr>
          <w:p>
            <w:pPr>
              <w:jc w:val="right"/>
              <w:spacing w:after="0"/>
              <w:rPr>
                <w:sz w:val="20"/>
                <w:szCs w:val="20"/>
                <w:color w:val="auto"/>
              </w:rPr>
            </w:pPr>
            <w:r>
              <w:rPr>
                <w:rFonts w:ascii="Arial" w:cs="Arial" w:eastAsia="Arial" w:hAnsi="Arial"/>
                <w:sz w:val="11"/>
                <w:szCs w:val="11"/>
                <w:color w:val="auto"/>
              </w:rPr>
              <w:t>0.01</w:t>
            </w:r>
          </w:p>
        </w:tc>
        <w:tc>
          <w:tcPr>
            <w:tcW w:w="6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0.01</w:t>
            </w:r>
          </w:p>
        </w:tc>
        <w:tc>
          <w:tcPr>
            <w:tcW w:w="6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40" w:type="dxa"/>
            <w:vAlign w:val="bottom"/>
          </w:tcPr>
          <w:p>
            <w:pPr>
              <w:spacing w:after="0"/>
              <w:rPr>
                <w:sz w:val="16"/>
                <w:szCs w:val="16"/>
                <w:color w:val="auto"/>
              </w:rPr>
            </w:pPr>
          </w:p>
        </w:tc>
        <w:tc>
          <w:tcPr>
            <w:tcW w:w="2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0.03</w:t>
            </w:r>
          </w:p>
        </w:tc>
        <w:tc>
          <w:tcPr>
            <w:tcW w:w="40" w:type="dxa"/>
            <w:vAlign w:val="bottom"/>
          </w:tcPr>
          <w:p>
            <w:pPr>
              <w:spacing w:after="0"/>
              <w:rPr>
                <w:sz w:val="16"/>
                <w:szCs w:val="16"/>
                <w:color w:val="auto"/>
              </w:rPr>
            </w:pPr>
          </w:p>
        </w:tc>
        <w:tc>
          <w:tcPr>
            <w:tcW w:w="24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0.06</w:t>
            </w:r>
          </w:p>
        </w:tc>
        <w:tc>
          <w:tcPr>
            <w:tcW w:w="6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0.03</w:t>
            </w:r>
          </w:p>
        </w:tc>
        <w:tc>
          <w:tcPr>
            <w:tcW w:w="60" w:type="dxa"/>
            <w:vAlign w:val="bottom"/>
          </w:tcPr>
          <w:p>
            <w:pPr>
              <w:spacing w:after="0"/>
              <w:rPr>
                <w:sz w:val="16"/>
                <w:szCs w:val="16"/>
                <w:color w:val="auto"/>
              </w:rPr>
            </w:pPr>
          </w:p>
        </w:tc>
        <w:tc>
          <w:tcPr>
            <w:tcW w:w="2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0.04</w:t>
            </w:r>
          </w:p>
        </w:tc>
        <w:tc>
          <w:tcPr>
            <w:tcW w:w="60" w:type="dxa"/>
            <w:vAlign w:val="bottom"/>
          </w:tcPr>
          <w:p>
            <w:pPr>
              <w:spacing w:after="0"/>
              <w:rPr>
                <w:sz w:val="16"/>
                <w:szCs w:val="16"/>
                <w:color w:val="auto"/>
              </w:rPr>
            </w:pPr>
          </w:p>
        </w:tc>
        <w:tc>
          <w:tcPr>
            <w:tcW w:w="22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0.07</w:t>
            </w:r>
          </w:p>
        </w:tc>
      </w:tr>
      <w:tr>
        <w:trPr>
          <w:trHeight w:val="212"/>
        </w:trPr>
        <w:tc>
          <w:tcPr>
            <w:tcW w:w="1440" w:type="dxa"/>
            <w:vAlign w:val="bottom"/>
            <w:shd w:val="clear" w:color="auto" w:fill="CCEEFF"/>
          </w:tcPr>
          <w:p>
            <w:pPr>
              <w:ind w:left="320"/>
              <w:spacing w:after="0"/>
              <w:rPr>
                <w:sz w:val="20"/>
                <w:szCs w:val="20"/>
                <w:color w:val="auto"/>
              </w:rPr>
            </w:pPr>
            <w:r>
              <w:rPr>
                <w:rFonts w:ascii="Arial" w:cs="Arial" w:eastAsia="Arial" w:hAnsi="Arial"/>
                <w:sz w:val="11"/>
                <w:szCs w:val="11"/>
                <w:color w:val="auto"/>
              </w:rPr>
              <w:t>Diluted</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0.02</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0.03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0.07</w:t>
            </w:r>
          </w:p>
        </w:tc>
      </w:tr>
    </w:tbl>
    <w:p>
      <w:pPr>
        <w:spacing w:after="0" w:line="175" w:lineRule="exact"/>
        <w:rPr>
          <w:sz w:val="20"/>
          <w:szCs w:val="20"/>
          <w:color w:val="auto"/>
        </w:rPr>
      </w:pPr>
    </w:p>
    <w:p>
      <w:pPr>
        <w:jc w:val="both"/>
        <w:ind w:left="40" w:right="319"/>
        <w:spacing w:after="0" w:line="266" w:lineRule="auto"/>
        <w:rPr>
          <w:sz w:val="20"/>
          <w:szCs w:val="20"/>
          <w:color w:val="auto"/>
        </w:rPr>
      </w:pPr>
      <w:r>
        <w:rPr>
          <w:rFonts w:ascii="Arial" w:cs="Arial" w:eastAsia="Arial" w:hAnsi="Arial"/>
          <w:sz w:val="16"/>
          <w:szCs w:val="16"/>
          <w:color w:val="auto"/>
        </w:rPr>
        <w:t>These amounts are preliminary and remain subject to change as the Company completes its review and the restatement process. The Company is working to complete the restatement of its condensed consolidated financial statements for the Affected Periods by filing amended Forms 10-Q for such periods as soon as practicable.</w:t>
      </w:r>
    </w:p>
    <w:p>
      <w:pPr>
        <w:spacing w:after="0" w:line="77" w:lineRule="exact"/>
        <w:rPr>
          <w:sz w:val="20"/>
          <w:szCs w:val="20"/>
          <w:color w:val="auto"/>
        </w:rPr>
      </w:pPr>
    </w:p>
    <w:p>
      <w:pPr>
        <w:ind w:left="40" w:right="119"/>
        <w:spacing w:after="0" w:line="265" w:lineRule="auto"/>
        <w:rPr>
          <w:sz w:val="20"/>
          <w:szCs w:val="20"/>
          <w:color w:val="auto"/>
        </w:rPr>
      </w:pPr>
      <w:r>
        <w:rPr>
          <w:rFonts w:ascii="Arial" w:cs="Arial" w:eastAsia="Arial" w:hAnsi="Arial"/>
          <w:sz w:val="16"/>
          <w:szCs w:val="16"/>
          <w:color w:val="auto"/>
        </w:rPr>
        <w:t>The Company is also assessing the impact of these restatements on its internal control over financial reporting and conclusions with respect to the effectiveness of disclosure controls and procedures for the prior periods. The Company currently expects to report that one or more material weaknesses in internal control over financial reporting existed as of the end of each Affected Period.</w:t>
      </w:r>
    </w:p>
    <w:p>
      <w:pPr>
        <w:spacing w:after="0" w:line="65" w:lineRule="exact"/>
        <w:rPr>
          <w:sz w:val="20"/>
          <w:szCs w:val="20"/>
          <w:color w:val="auto"/>
        </w:rPr>
      </w:pPr>
    </w:p>
    <w:p>
      <w:pPr>
        <w:ind w:left="40" w:right="99"/>
        <w:spacing w:after="0" w:line="304" w:lineRule="auto"/>
        <w:rPr>
          <w:sz w:val="20"/>
          <w:szCs w:val="20"/>
          <w:color w:val="auto"/>
        </w:rPr>
      </w:pPr>
      <w:r>
        <w:rPr>
          <w:rFonts w:ascii="Arial" w:cs="Arial" w:eastAsia="Arial" w:hAnsi="Arial"/>
          <w:sz w:val="16"/>
          <w:szCs w:val="16"/>
          <w:color w:val="auto"/>
        </w:rPr>
        <w:t>The Audit and Risk Committee and the Company’s management have discussed the matters disclosed pursuant to this Item 4.02 with KPMG.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125" w:lineRule="exact"/>
        <w:rPr>
          <w:sz w:val="20"/>
          <w:szCs w:val="20"/>
          <w:color w:val="auto"/>
        </w:rPr>
      </w:pPr>
    </w:p>
    <w:p>
      <w:pPr>
        <w:ind w:left="40" w:right="59"/>
        <w:spacing w:after="0" w:line="255" w:lineRule="auto"/>
        <w:rPr>
          <w:sz w:val="20"/>
          <w:szCs w:val="20"/>
          <w:color w:val="auto"/>
        </w:rPr>
      </w:pPr>
      <w:r>
        <w:rPr>
          <w:rFonts w:ascii="Arial" w:cs="Arial" w:eastAsia="Arial" w:hAnsi="Arial"/>
          <w:sz w:val="16"/>
          <w:szCs w:val="16"/>
          <w:color w:val="auto"/>
        </w:rPr>
        <w:t>This Form 8-K contains forward-looking statements within the meaning of the Private Securities Litigation Reform Act of 1995. All statements contained in this Form 8-K that do not relate to matters of historical fact should be considered forward-looking statements, including without limitation statements regarding the anticipated impact of the above errors on the previously reported results for the Affected Periods, the anticipated restatement of the Company’s condensed consolidated financial statements for the Affected Periods, and potential material weaknesses in internal control over financial reporting. Such statements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including, but not limited to, risks related to the completion of the Audit and Risk Committee’s review of the Company’s revenue recognition for certain transactions related to Pharma Direct revenue, the restatement of the Company’s financial statements and the sufficiency of the Company’s internal control over financial reporting; as well as the other important factors discussed in the section entitled “Risk Factors” of the Company’s Annual Report on Form 10-K for the fiscal year ended December 31, 2025 and in its other filings with the Securities and Exchange Commission. The forward-looking statements in this Form 8-K are based upon information available to the Company as of the date of this Form 8-K, and while the Company believes such information forms a reasonable basis for such statements, such information may be limited or incomplete, and these statements should not be read to indicate that the Company has conducted an exhaustive inquiry into, or review of, all potentially available relevant information. These statements are inherently uncertain and investors are cautioned not to unduly rely upon these statements. While the Company may elect to update such forward-looking statements at some point in the future, it disclaims any obligation to do so, even if subsequent events cause its views to change.</w:t>
      </w:r>
    </w:p>
    <w:p>
      <w:pPr>
        <w:sectPr>
          <w:pgSz w:w="11900" w:h="16838" w:orient="portrait"/>
          <w:cols w:equalWidth="0" w:num="1">
            <w:col w:w="9019"/>
          </w:cols>
          <w:pgMar w:left="1440" w:top="1070"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266065</wp:posOffset>
            </wp:positionH>
            <wp:positionV relativeFrom="page">
              <wp:posOffset>172720</wp:posOffset>
            </wp:positionV>
            <wp:extent cx="7016115" cy="9073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6115" cy="9073515"/>
                    </a:xfrm>
                    <a:prstGeom prst="rect">
                      <a:avLst/>
                    </a:prstGeom>
                    <a:noFill/>
                  </pic:spPr>
                </pic:pic>
              </a:graphicData>
            </a:graphic>
          </wp:anchor>
        </w:drawing>
        <w:t>SIGNATURE</w:t>
      </w:r>
    </w:p>
    <w:p>
      <w:pPr>
        <w:spacing w:after="0" w:line="221" w:lineRule="exact"/>
        <w:rPr>
          <w:sz w:val="20"/>
          <w:szCs w:val="20"/>
          <w:color w:val="auto"/>
        </w:rPr>
      </w:pPr>
    </w:p>
    <w:p>
      <w:pPr>
        <w:ind w:left="40" w:right="39"/>
        <w:spacing w:after="0" w:line="304"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hereunto duly authorized.</w:t>
      </w:r>
    </w:p>
    <w:p>
      <w:pPr>
        <w:spacing w:after="0" w:line="236"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GOODRX HOLDINGS, INC.</w:t>
      </w:r>
    </w:p>
    <w:p>
      <w:pPr>
        <w:spacing w:after="0" w:line="200" w:lineRule="exact"/>
        <w:rPr>
          <w:sz w:val="20"/>
          <w:szCs w:val="20"/>
          <w:color w:val="auto"/>
        </w:rPr>
      </w:pPr>
    </w:p>
    <w:p>
      <w:pPr>
        <w:spacing w:after="0" w:line="224" w:lineRule="exact"/>
        <w:rPr>
          <w:sz w:val="20"/>
          <w:szCs w:val="20"/>
          <w:color w:val="auto"/>
        </w:rPr>
      </w:pPr>
    </w:p>
    <w:p>
      <w:pPr>
        <w:ind w:left="100"/>
        <w:spacing w:after="0"/>
        <w:tabs>
          <w:tab w:leader="none" w:pos="800" w:val="left"/>
          <w:tab w:leader="none" w:pos="4040" w:val="left"/>
          <w:tab w:leader="none" w:pos="44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November 2, 2026</w:t>
      </w:r>
      <w:r>
        <w:rPr>
          <w:sz w:val="20"/>
          <w:szCs w:val="20"/>
          <w:color w:val="auto"/>
        </w:rPr>
        <w:tab/>
      </w:r>
      <w:r>
        <w:rPr>
          <w:rFonts w:ascii="Arial" w:cs="Arial" w:eastAsia="Arial" w:hAnsi="Arial"/>
          <w:sz w:val="16"/>
          <w:szCs w:val="16"/>
          <w:color w:val="auto"/>
        </w:rPr>
        <w:t>By:</w:t>
        <w:tab/>
        <w:t>/s/ Wendy Barnes</w:t>
      </w:r>
    </w:p>
    <w:p>
      <w:pPr>
        <w:spacing w:after="0" w:line="7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Name: Wendy Barnes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Title: Chief Executive Officer &amp; President</w:t>
      </w:r>
    </w:p>
    <w:p>
      <w:pPr>
        <w:sectPr>
          <w:pgSz w:w="11900" w:h="16838" w:orient="portrait"/>
          <w:cols w:equalWidth="0" w:num="1">
            <w:col w:w="9019"/>
          </w:cols>
          <w:pgMar w:left="1440" w:top="1070"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2026-11-02T15:28:16Z</dcterms:created>
  <dcterms:modified xsi:type="dcterms:W3CDTF">2026-11-02T15:28:16Z</dcterms:modified>
</cp:coreProperties>
</file>