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GoodRx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38246G108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Carolina A. Picazo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Spectrum Equity, 140 New Montgomery St., 20th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464-4600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Spectrum Equity VII,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18,854,669.00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18,854,669.00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18,854,669.00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13. Calculated assuming 119,205,298 shares of Class A Common Stock ("Class A Shares") outstanding, based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upon 100,300,165 Class A Shares outstanding as of April 29, 2025 as reported on the Issuer's Quarterly Report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Form 10-Q filed on May 7, 2025 (the "10-Q"), as increased by 18,905,133 shares of Class B Common Stock, which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are convertible into Class A Shares on a one-to-one basis ("Class B Shares"), held by the Reporting Persons following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the June 2025 Distribution, as defined below.</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Spectrum Equity Associates VII,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18,854,669.00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18,854,669.00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18,854,669.00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Row 13. Calculated assuming 119,205,298 Class A Shares outstanding, based upon 100,300,165 Class A Shares outstanding as of April 29, 2025 as reported on the 10-Q, as increased by 18,905,133 Class B Shares held by the Reporting Persons following the June 2025 Distribution, as defined below.</w:t>
      </w:r>
    </w:p>
    <w:p>
      <w:pPr>
        <w:spacing w:after="0" w:line="400" w:lineRule="exact"/>
        <w:rPr>
          <w:sz w:val="20"/>
          <w:szCs w:val="20"/>
          <w:color w:val="auto"/>
        </w:rPr>
      </w:pPr>
    </w:p>
    <w:p>
      <w:pPr>
        <w:sectPr>
          <w:pgSz w:w="11900" w:h="16884" w:orient="portrait"/>
          <w:cols w:equalWidth="0" w:num="2">
            <w:col w:w="1120" w:space="40"/>
            <w:col w:w="10080"/>
          </w:cols>
          <w:pgMar w:left="320" w:top="369"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Spectrum VII Investment Managers'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Reporting</w:t>
      </w:r>
    </w:p>
    <w:p>
      <w:pPr>
        <w:sectPr>
          <w:pgSz w:w="11900" w:h="16884" w:orient="portrait"/>
          <w:cols w:equalWidth="0" w:num="1">
            <w:col w:w="11240"/>
          </w:cols>
          <w:pgMar w:left="320" w:top="369"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32,273.00</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32,273.00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32,273.00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0.03 %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Row 13. Calculated assuming 119,205,298 Class A Shares outstanding, based upon 100,300,165 Class A Shares</w:t>
      </w:r>
    </w:p>
    <w:tbl>
      <w:tblPr>
        <w:tblLayout w:type="fixed"/>
        <w:tblInd w:w="0" w:type="dxa"/>
        <w:tblCellMar>
          <w:top w:w="0" w:type="dxa"/>
          <w:left w:w="0" w:type="dxa"/>
          <w:bottom w:w="0" w:type="dxa"/>
          <w:right w:w="0" w:type="dxa"/>
        </w:tblCellMar>
      </w:tblPr>
      <w:tr>
        <w:trPr>
          <w:trHeight w:val="221"/>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40" w:type="dxa"/>
            <w:vAlign w:val="bottom"/>
          </w:tcPr>
          <w:p>
            <w:pPr>
              <w:ind w:left="260"/>
              <w:spacing w:after="0" w:line="221" w:lineRule="exact"/>
              <w:rPr>
                <w:sz w:val="20"/>
                <w:szCs w:val="20"/>
                <w:color w:val="auto"/>
              </w:rPr>
            </w:pPr>
            <w:r>
              <w:rPr>
                <w:rFonts w:ascii="Times New Roman" w:cs="Times New Roman" w:eastAsia="Times New Roman" w:hAnsi="Times New Roman"/>
                <w:sz w:val="22"/>
                <w:szCs w:val="22"/>
                <w:color w:val="auto"/>
                <w:w w:val="99"/>
              </w:rPr>
              <w:t>outstanding as of April 29, 2025 as reported on the 10-Q, as increased by 18,905,133 Class B Shares held by the</w:t>
            </w: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Reporting Persons following the June 2025 Distribution, as defined below.</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Spectrum VII Co-Investment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18,191.00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18,191.00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18,191.00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Row 13. Calculated assuming 119,205,298 Class A Shares outstanding, based upon 100,300,165 Class A Shares outstanding as of April 29, 2025 as reported on the 10-Q, as increased by 18,905,133 Class B Shares held by the Reporting Persons following the June 2025 Distribution, as defined below.</w:t>
      </w:r>
    </w:p>
    <w:p>
      <w:pPr>
        <w:spacing w:after="0" w:line="400" w:lineRule="exact"/>
        <w:rPr>
          <w:sz w:val="20"/>
          <w:szCs w:val="20"/>
          <w:color w:val="auto"/>
        </w:rPr>
      </w:pPr>
    </w:p>
    <w:p>
      <w:pPr>
        <w:sectPr>
          <w:pgSz w:w="11900" w:h="16838" w:orient="portrait"/>
          <w:cols w:equalWidth="0" w:num="2">
            <w:col w:w="1120" w:space="40"/>
            <w:col w:w="10080"/>
          </w:cols>
          <w:pgMar w:left="320" w:top="112" w:right="339" w:bottom="57"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SEA VII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57"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18,905,133.00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18,905,133.00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18,905,133.00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15.9 %</w:t>
      </w:r>
    </w:p>
    <w:p>
      <w:pPr>
        <w:spacing w:after="0" w:line="44" w:lineRule="exact"/>
        <w:rPr>
          <w:sz w:val="20"/>
          <w:szCs w:val="20"/>
          <w:color w:val="auto"/>
        </w:rPr>
      </w:pPr>
    </w:p>
    <w:p>
      <w:pPr>
        <w:sectPr>
          <w:pgSz w:w="11900" w:h="16838" w:orient="portrait"/>
          <w:cols w:equalWidth="0" w:num="2">
            <w:col w:w="1100" w:space="60"/>
            <w:col w:w="10080"/>
          </w:cols>
          <w:pgMar w:left="320" w:top="112" w:right="339" w:bottom="57"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2" w:right="339" w:bottom="57"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Row 13. Calculated assuming 119,205,298 Class A Shares outstanding, based upon 100,300,165 Class A Shares outstanding as of April 29, 2025 as reported on the 10-Q, as increased by 18,905,133 Class B Shares held by the Reporting Persons following the June 2025 Distribution, as defined below.</w:t>
      </w:r>
    </w:p>
    <w:p>
      <w:pPr>
        <w:spacing w:after="0" w:line="400" w:lineRule="exact"/>
        <w:rPr>
          <w:sz w:val="20"/>
          <w:szCs w:val="20"/>
          <w:color w:val="auto"/>
        </w:rPr>
      </w:pPr>
    </w:p>
    <w:p>
      <w:pPr>
        <w:sectPr>
          <w:pgSz w:w="11900" w:h="16945"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GoodRx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2701 Olympic Boulevard, Santa Monica, CALIFORNIA , 90404.</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is being filed by the undersigned to amend the Schedule 13D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the SEC on June 1, 2021, as amended by Amendment No. 1, filed with the SEC on November 21, 2023,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with the SEC on March 8, 2024, Amendment No. 3, filed with the SEC on September 3, 2024 and Amendment No. 4, filed with the SEC on March 18, 2025 (the "Original 13D" and, as amended by Amendment No. 5, the "Schedule 13D") relating to shares of common stock (the "Common Stock"), of GoodRx Holdings, Inc., a Delaware corporation (the "Issuer"), whose principal executive office is located at 2701 Olympic Boulevard, Santa Monica, California 90404. Except as set forth herein, the Original 13D is unmodified and remains in full force and effect. Capitalized terms used herein and not otherwise defined in this Amendment No. 5 have the</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meanings set forth in the Original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20"/>
        <w:spacing w:after="0" w:line="253" w:lineRule="auto"/>
        <w:rPr>
          <w:sz w:val="20"/>
          <w:szCs w:val="20"/>
          <w:color w:val="auto"/>
        </w:rPr>
      </w:pPr>
      <w:r>
        <w:rPr>
          <w:rFonts w:ascii="Times New Roman" w:cs="Times New Roman" w:eastAsia="Times New Roman" w:hAnsi="Times New Roman"/>
          <w:sz w:val="21"/>
          <w:szCs w:val="21"/>
          <w:color w:val="auto"/>
        </w:rPr>
        <w:t>The Schedule 13D is being filed by the following entities (each a "Reporting Person" and collectively, the "Reporting Persons"): 1. Spectrum Equity VII, L.P. ("SE VII") 2. Spectrum Equity Associates VII, L.P. ("Spectrum Equity</w:t>
      </w:r>
    </w:p>
    <w:p>
      <w:pPr>
        <w:spacing w:after="0" w:line="1" w:lineRule="exact"/>
        <w:rPr>
          <w:sz w:val="20"/>
          <w:szCs w:val="20"/>
          <w:color w:val="auto"/>
        </w:rPr>
      </w:pPr>
    </w:p>
    <w:p>
      <w:pPr>
        <w:ind w:left="960" w:right="600" w:hanging="912"/>
        <w:spacing w:after="0" w:line="235"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Associates") 3. Spectrum VII Investment Managers' Fund, L.P. ("Spectrum VII Investment Managers' Fund") 4. Spectrum VII Co-Investment Fund, L.P. ("Spectrum VII Co-Investment Fund") 5. SEA VII Management, LLC ("Management LLC")</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with respect to the members and executive officers of Management LLC (collectively, the "Related</w:t>
      </w:r>
    </w:p>
    <w:p>
      <w:pPr>
        <w:spacing w:after="0" w:line="14" w:lineRule="exact"/>
        <w:rPr>
          <w:rFonts w:ascii="Times New Roman" w:cs="Times New Roman" w:eastAsia="Times New Roman" w:hAnsi="Times New Roman"/>
          <w:sz w:val="22"/>
          <w:szCs w:val="22"/>
          <w:color w:val="auto"/>
        </w:rPr>
      </w:pPr>
    </w:p>
    <w:p>
      <w:pPr>
        <w:ind w:left="960" w:right="180" w:hanging="912"/>
        <w:spacing w:after="0"/>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Persons"), including the name, business address, present principal occupation or employment and citizenship of each of the Related Persons is listed on Schedule A attached to the Original 13D, which is incorporated herein by reference.</w:t>
      </w:r>
    </w:p>
    <w:p>
      <w:pPr>
        <w:spacing w:after="0" w:line="34" w:lineRule="exact"/>
        <w:rPr>
          <w:rFonts w:ascii="Times New Roman" w:cs="Times New Roman" w:eastAsia="Times New Roman" w:hAnsi="Times New Roman"/>
          <w:sz w:val="42"/>
          <w:szCs w:val="42"/>
          <w:color w:val="auto"/>
          <w:vertAlign w:val="subscript"/>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this Amendment No. 5 is incorporated herein by reference.</w:t>
      </w:r>
    </w:p>
    <w:p>
      <w:pPr>
        <w:spacing w:after="0" w:line="44" w:lineRule="exact"/>
        <w:rPr>
          <w:rFonts w:ascii="Times New Roman" w:cs="Times New Roman" w:eastAsia="Times New Roman" w:hAnsi="Times New Roman"/>
          <w:sz w:val="22"/>
          <w:szCs w:val="22"/>
          <w:color w:val="auto"/>
        </w:rPr>
      </w:pPr>
    </w:p>
    <w:p>
      <w:pPr>
        <w:ind w:left="960" w:right="1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neither the Reporting Persons nor any Related Persons (i) has been convicted in any criminal proceeding (excluding traffic violations or similar misdemeanors) or (ii) was a party to a civil proceeding of</w:t>
      </w:r>
    </w:p>
    <w:p>
      <w:pPr>
        <w:ind w:left="960" w:right="80" w:hanging="912"/>
        <w:spacing w:after="0" w:line="235"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this Amendment No. 5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this Amendment No. 5 is incorporated herein by reference.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300"/>
        <w:spacing w:after="0" w:line="238" w:lineRule="auto"/>
        <w:rPr>
          <w:sz w:val="20"/>
          <w:szCs w:val="20"/>
          <w:color w:val="auto"/>
        </w:rPr>
      </w:pPr>
      <w:r>
        <w:rPr>
          <w:rFonts w:ascii="Times New Roman" w:cs="Times New Roman" w:eastAsia="Times New Roman" w:hAnsi="Times New Roman"/>
          <w:sz w:val="22"/>
          <w:szCs w:val="22"/>
          <w:color w:val="auto"/>
        </w:rPr>
        <w:t>Item 4 of the Schedule 13D is hereby amended to include the following at the end thereof: On June 5, 2025, SE VII distributed 3,989,323 shares of the Issuer's Class A Common Stock pro rata to its limited partners for no consideration (the "June 2025 Distribution"). Following the June 2025 Distribution, Spectrum VII Co-Investment Fund, L.P. and Spectrum VII Investment Managers' Fund, L.P. made open market sales of an aggregate of 10,677 shares of the Issuer's Class A Common Stock for net proceeds of $43,706.24.</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20"/>
        <w:spacing w:after="0" w:line="249" w:lineRule="auto"/>
        <w:rPr>
          <w:sz w:val="20"/>
          <w:szCs w:val="20"/>
          <w:color w:val="auto"/>
        </w:rPr>
      </w:pPr>
      <w:r>
        <w:rPr>
          <w:rFonts w:ascii="Times New Roman" w:cs="Times New Roman" w:eastAsia="Times New Roman" w:hAnsi="Times New Roman"/>
          <w:sz w:val="21"/>
          <w:szCs w:val="21"/>
          <w:color w:val="auto"/>
        </w:rPr>
        <w:t>All such ownership percentages of the securities reported in this Schedule 13D were calculated assuming 119,205,298 Class A Shares outstanding, based upon 100,300,165 Class A Shares outstanding as of April 29, 2025 as reported on the 10-Q, as increased by 18,905,133 Class B Shares held by the Reporting Persons following the June</w:t>
      </w:r>
    </w:p>
    <w:p>
      <w:pPr>
        <w:spacing w:after="0" w:line="1" w:lineRule="exact"/>
        <w:rPr>
          <w:sz w:val="20"/>
          <w:szCs w:val="20"/>
          <w:color w:val="auto"/>
        </w:rPr>
      </w:pPr>
    </w:p>
    <w:p>
      <w:pPr>
        <w:ind w:left="960" w:right="320" w:hanging="912"/>
        <w:spacing w:after="0" w:line="247"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2025 Distribution. The aggregate 18,905,133 securities reported in this statement, which constitute 15.9% of the outstanding Class A Shares, are held by the Reporting Persons on an as-converted basis as follows: SE VII is the holder of record of 18,854,669 Class A Shares, Spectrum VII Investment Managers' Fund is the holder of record of 32,273 Class A Shares, and Spectrum VII Co-Investment Fund is the holder of record of 18,191 Class A Shares.</w:t>
      </w:r>
    </w:p>
    <w:p>
      <w:pPr>
        <w:spacing w:after="0" w:line="7" w:lineRule="exact"/>
        <w:rPr>
          <w:rFonts w:ascii="Times New Roman" w:cs="Times New Roman" w:eastAsia="Times New Roman" w:hAnsi="Times New Roman"/>
          <w:sz w:val="21"/>
          <w:szCs w:val="21"/>
          <w:color w:val="auto"/>
        </w:rPr>
      </w:pPr>
    </w:p>
    <w:p>
      <w:pPr>
        <w:ind w:left="960" w:right="500" w:hanging="912"/>
        <w:spacing w:after="0" w:line="282"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of SE VII is Spectrum Equity Associates. The general partner of each of Spectrum VII Investment Managers' Fund, Spectrum VII Co-Investment Fund and Spectrum Equity Associates is Management</w:t>
      </w:r>
    </w:p>
    <w:p>
      <w:pPr>
        <w:sectPr>
          <w:pgSz w:w="11900" w:h="16945" w:orient="portrait"/>
          <w:cols w:equalWidth="0" w:num="1">
            <w:col w:w="11240"/>
          </w:cols>
          <w:pgMar w:left="320" w:top="111" w:right="339" w:bottom="0" w:gutter="0" w:footer="0" w:header="0"/>
          <w:type w:val="continuous"/>
        </w:sectPr>
      </w:pPr>
    </w:p>
    <w:bookmarkStart w:id="6" w:name="page7"/>
    <w:bookmarkEnd w:id="6"/>
    <w:p>
      <w:pPr>
        <w:ind w:left="920" w:right="120"/>
        <w:spacing w:after="0"/>
        <w:rPr>
          <w:sz w:val="20"/>
          <w:szCs w:val="20"/>
          <w:color w:val="auto"/>
        </w:rPr>
      </w:pPr>
      <w:r>
        <w:rPr>
          <w:rFonts w:ascii="Times New Roman" w:cs="Times New Roman" w:eastAsia="Times New Roman" w:hAnsi="Times New Roman"/>
          <w:sz w:val="22"/>
          <w:szCs w:val="22"/>
          <w:color w:val="auto"/>
        </w:rPr>
        <w:t>LLC. Brion B. Applegate, Christopher T. Mitchell, Victor E. Parker, Jr., Benjamin C. Spero, Ronan Cunningham, Stephen M. LeSieur, Brian Regan and Michael W. Farrell may be deemed to share voting and dispositive power over the securities held by SE VII, Spectrum VII Investment Managers' Fund and Spectrum VII Co-Investment Fund. Each of these individuals disclaims beneficial ownership of such securities.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Joint Filing Agreement, filed with the SEC as Exhibit 1 to the Original 13D on May 19, 2021.</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Spectrum Equity VII,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Carolina A. Picazo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Carolina A. Picazo, CAO &amp; CCO of SEA VII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the general partner of</w:t>
      </w:r>
    </w:p>
    <w:p>
      <w:pPr>
        <w:ind w:left="6740"/>
        <w:spacing w:after="0"/>
        <w:rPr>
          <w:sz w:val="20"/>
          <w:szCs w:val="20"/>
          <w:color w:val="auto"/>
        </w:rPr>
      </w:pPr>
      <w:r>
        <w:rPr>
          <w:rFonts w:ascii="Times New Roman" w:cs="Times New Roman" w:eastAsia="Times New Roman" w:hAnsi="Times New Roman"/>
          <w:sz w:val="22"/>
          <w:szCs w:val="22"/>
          <w:color w:val="auto"/>
        </w:rPr>
        <w:t>Spectrum Equity Associates VII,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Spectrum Equity Associates VII,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Carolina A. Picazo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Carolina A. Picazo, CAO &amp; CCO of SEA VII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as general partner of</w:t>
      </w:r>
    </w:p>
    <w:p>
      <w:pPr>
        <w:ind w:left="6740"/>
        <w:spacing w:after="0"/>
        <w:rPr>
          <w:sz w:val="20"/>
          <w:szCs w:val="20"/>
          <w:color w:val="auto"/>
        </w:rPr>
      </w:pPr>
      <w:r>
        <w:rPr>
          <w:rFonts w:ascii="Times New Roman" w:cs="Times New Roman" w:eastAsia="Times New Roman" w:hAnsi="Times New Roman"/>
          <w:sz w:val="22"/>
          <w:szCs w:val="22"/>
          <w:color w:val="auto"/>
        </w:rPr>
        <w:t>Spectrum Equity Associates VII,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Spectrum VII Investment Managers'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Carolina A. Picazo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Carolina A. Picazo, CAO &amp; CCO of SEA VII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as general partner of</w:t>
      </w:r>
    </w:p>
    <w:p>
      <w:pPr>
        <w:ind w:left="6740"/>
        <w:spacing w:after="0"/>
        <w:rPr>
          <w:sz w:val="20"/>
          <w:szCs w:val="20"/>
          <w:color w:val="auto"/>
        </w:rPr>
      </w:pPr>
      <w:r>
        <w:rPr>
          <w:rFonts w:ascii="Times New Roman" w:cs="Times New Roman" w:eastAsia="Times New Roman" w:hAnsi="Times New Roman"/>
          <w:sz w:val="22"/>
          <w:szCs w:val="22"/>
          <w:color w:val="auto"/>
        </w:rPr>
        <w:t>Spectrum VII Investment Managers'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Spectrum VII Co-Investment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Carolina A. Picazo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Carolina A. Picazo, CAO &amp; CCO of SEA VII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Management, LLC, as general partner of</w:t>
      </w:r>
    </w:p>
    <w:p>
      <w:pPr>
        <w:ind w:left="6740"/>
        <w:spacing w:after="0"/>
        <w:rPr>
          <w:sz w:val="20"/>
          <w:szCs w:val="20"/>
          <w:color w:val="auto"/>
        </w:rPr>
      </w:pPr>
      <w:r>
        <w:rPr>
          <w:rFonts w:ascii="Times New Roman" w:cs="Times New Roman" w:eastAsia="Times New Roman" w:hAnsi="Times New Roman"/>
          <w:sz w:val="22"/>
          <w:szCs w:val="22"/>
          <w:color w:val="auto"/>
        </w:rPr>
        <w:t>Spectrum VII Co-Investment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SEA VII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Carolina A. Picazo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Carolina A. Picazo, Chief Administrative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&amp; Chief 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2025-06-09T16:15:58Z</dcterms:created>
  <dcterms:modified xsi:type="dcterms:W3CDTF">2025-06-09T16:15:58Z</dcterms:modified>
</cp:coreProperties>
</file>