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142875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163830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44" w:lineRule="exact"/>
        <w:rPr>
          <w:sz w:val="24"/>
          <w:szCs w:val="24"/>
          <w:color w:val="auto"/>
        </w:rPr>
      </w:pPr>
    </w:p>
    <w:p>
      <w:pPr>
        <w:ind w:left="3900" w:right="3320" w:hanging="3879"/>
        <w:spacing w:after="0" w:line="301" w:lineRule="auto"/>
        <w:tabs>
          <w:tab w:leader="none" w:pos="57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0" w:lineRule="exact"/>
        <w:rPr>
          <w:sz w:val="24"/>
          <w:szCs w:val="24"/>
          <w:color w:val="auto"/>
        </w:rPr>
      </w:pPr>
    </w:p>
    <w:p>
      <w:pPr>
        <w:ind w:left="560" w:hanging="539"/>
        <w:spacing w:after="0"/>
        <w:tabs>
          <w:tab w:leader="none" w:pos="56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w:t>
      </w:r>
    </w:p>
    <w:p>
      <w:pPr>
        <w:spacing w:after="0" w:line="115" w:lineRule="exact"/>
        <w:rPr>
          <w:sz w:val="24"/>
          <w:szCs w:val="24"/>
          <w:color w:val="auto"/>
        </w:rPr>
      </w:pPr>
    </w:p>
    <w:p>
      <w:pPr>
        <w:ind w:left="34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151765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47"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142875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16"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83" w:lineRule="exact"/>
        <w:rPr>
          <w:sz w:val="24"/>
          <w:szCs w:val="24"/>
          <w:color w:val="auto"/>
        </w:rPr>
      </w:pPr>
    </w:p>
    <w:p>
      <w:pPr>
        <w:sectPr>
          <w:pgSz w:w="11900" w:h="16838" w:orient="portrait"/>
          <w:cols w:equalWidth="0" w:num="2">
            <w:col w:w="7560" w:space="340"/>
            <w:col w:w="3340"/>
          </w:cols>
          <w:pgMar w:left="320" w:top="690" w:right="339" w:bottom="1440" w:gutter="0" w:footer="0" w:header="0"/>
          <w:type w:val="continuous"/>
        </w:sectPr>
      </w:pPr>
    </w:p>
    <w:tbl>
      <w:tblPr>
        <w:tblLayout w:type="fixed"/>
        <w:tblInd w:w="1640" w:type="dxa"/>
        <w:tblCellMar>
          <w:top w:w="0" w:type="dxa"/>
          <w:left w:w="0" w:type="dxa"/>
          <w:bottom w:w="0" w:type="dxa"/>
          <w:right w:w="0" w:type="dxa"/>
        </w:tblCellMar>
      </w:tblPr>
      <w:tr>
        <w:trPr>
          <w:trHeight w:val="161"/>
        </w:trPr>
        <w:tc>
          <w:tcPr>
            <w:tcW w:w="6140" w:type="dxa"/>
            <w:vAlign w:val="bottom"/>
          </w:tcPr>
          <w:p>
            <w:pPr>
              <w:jc w:val="center"/>
              <w:ind w:right="3710"/>
              <w:spacing w:after="0"/>
              <w:rPr>
                <w:sz w:val="20"/>
                <w:szCs w:val="20"/>
                <w:color w:val="auto"/>
              </w:rPr>
            </w:pPr>
            <w:r>
              <w:rPr>
                <w:rFonts w:ascii="Arial" w:cs="Arial" w:eastAsia="Arial" w:hAnsi="Arial"/>
                <w:sz w:val="14"/>
                <w:szCs w:val="14"/>
                <w:b w:val="1"/>
                <w:bCs w:val="1"/>
                <w:color w:val="auto"/>
              </w:rPr>
              <w:t>2701 Olympic Boulevard</w:t>
            </w:r>
          </w:p>
        </w:tc>
        <w:tc>
          <w:tcPr>
            <w:tcW w:w="9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90404</w:t>
            </w:r>
          </w:p>
        </w:tc>
        <w:tc>
          <w:tcPr>
            <w:tcW w:w="0" w:type="dxa"/>
            <w:vAlign w:val="bottom"/>
          </w:tcPr>
          <w:p>
            <w:pPr>
              <w:spacing w:after="0"/>
              <w:rPr>
                <w:sz w:val="1"/>
                <w:szCs w:val="1"/>
                <w:color w:val="auto"/>
              </w:rPr>
            </w:pPr>
          </w:p>
        </w:tc>
      </w:tr>
      <w:tr>
        <w:trPr>
          <w:trHeight w:val="167"/>
        </w:trPr>
        <w:tc>
          <w:tcPr>
            <w:tcW w:w="6140" w:type="dxa"/>
            <w:vAlign w:val="bottom"/>
          </w:tcPr>
          <w:p>
            <w:pPr>
              <w:jc w:val="center"/>
              <w:ind w:right="3710"/>
              <w:spacing w:after="0"/>
              <w:rPr>
                <w:sz w:val="20"/>
                <w:szCs w:val="20"/>
                <w:color w:val="auto"/>
              </w:rPr>
            </w:pPr>
            <w:r>
              <w:rPr>
                <w:rFonts w:ascii="Arial" w:cs="Arial" w:eastAsia="Arial" w:hAnsi="Arial"/>
                <w:sz w:val="14"/>
                <w:szCs w:val="14"/>
                <w:b w:val="1"/>
                <w:bCs w:val="1"/>
                <w:color w:val="auto"/>
              </w:rPr>
              <w:t>Santa Monica, CA</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jc w:val="center"/>
              <w:ind w:right="371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960" w:type="dxa"/>
            <w:vAlign w:val="bottom"/>
          </w:tcPr>
          <w:p>
            <w:pPr>
              <w:jc w:val="center"/>
              <w:ind w:left="273"/>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162"/>
        </w:trPr>
        <w:tc>
          <w:tcPr>
            <w:tcW w:w="6140" w:type="dxa"/>
            <w:vAlign w:val="bottom"/>
          </w:tcPr>
          <w:p>
            <w:pPr>
              <w:jc w:val="right"/>
              <w:ind w:right="1610"/>
              <w:spacing w:after="0"/>
              <w:rPr>
                <w:sz w:val="20"/>
                <w:szCs w:val="20"/>
                <w:color w:val="auto"/>
              </w:rPr>
            </w:pPr>
            <w:r>
              <w:rPr>
                <w:rFonts w:ascii="Arial" w:cs="Arial" w:eastAsia="Arial" w:hAnsi="Arial"/>
                <w:sz w:val="14"/>
                <w:szCs w:val="14"/>
                <w:b w:val="1"/>
                <w:bCs w:val="1"/>
                <w:color w:val="auto"/>
              </w:rPr>
              <w:t>(855) 268-2822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tcPr>
          <w:p>
            <w:pPr>
              <w:jc w:val="center"/>
              <w:ind w:left="17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134620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4"/>
                <w:szCs w:val="2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4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600" w:type="dxa"/>
            <w:vAlign w:val="bottom"/>
          </w:tcPr>
          <w:p>
            <w:pPr>
              <w:jc w:val="center"/>
              <w:spacing w:after="0"/>
              <w:rPr>
                <w:sz w:val="20"/>
                <w:szCs w:val="20"/>
                <w:color w:val="auto"/>
              </w:rPr>
            </w:pPr>
            <w:r>
              <w:rPr>
                <w:rFonts w:ascii="Arial" w:cs="Arial" w:eastAsia="Arial" w:hAnsi="Arial"/>
                <w:sz w:val="14"/>
                <w:szCs w:val="14"/>
                <w:color w:val="auto"/>
              </w:rPr>
              <w:t>Class A common stock, $0.0001 par value per share</w:t>
            </w: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8"/>
              </w:rPr>
              <w:t>GDRX</w:t>
            </w:r>
          </w:p>
        </w:tc>
        <w:tc>
          <w:tcPr>
            <w:tcW w:w="12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ind w:firstLine="599"/>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4" w:lineRule="exact"/>
        <w:rPr>
          <w:sz w:val="24"/>
          <w:szCs w:val="24"/>
          <w:color w:val="auto"/>
        </w:rPr>
      </w:pPr>
    </w:p>
    <w:p>
      <w:pPr>
        <w:jc w:val="both"/>
        <w:ind w:firstLine="59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ind w:firstLine="599"/>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8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89" w:lineRule="exact"/>
        <w:rPr>
          <w:sz w:val="24"/>
          <w:szCs w:val="24"/>
          <w:color w:val="auto"/>
        </w:rPr>
      </w:pPr>
    </w:p>
    <w:p>
      <w:pPr>
        <w:ind w:firstLine="59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0"/>
        <w:spacing w:after="0" w:line="161" w:lineRule="exact"/>
        <w:tabs>
          <w:tab w:leader="none" w:pos="792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5" w:lineRule="exact"/>
        <w:rPr>
          <w:sz w:val="24"/>
          <w:szCs w:val="24"/>
          <w:color w:val="auto"/>
        </w:rPr>
      </w:pPr>
    </w:p>
    <w:p>
      <w:pPr>
        <w:ind w:firstLine="599"/>
        <w:spacing w:after="0" w:line="304" w:lineRule="auto"/>
        <w:rPr>
          <w:sz w:val="20"/>
          <w:szCs w:val="20"/>
          <w:color w:val="auto"/>
        </w:rPr>
      </w:pPr>
      <w:r>
        <w:rPr>
          <w:rFonts w:ascii="Arial" w:cs="Arial" w:eastAsia="Arial" w:hAnsi="Arial"/>
          <w:sz w:val="14"/>
          <w:szCs w:val="14"/>
          <w:color w:val="auto"/>
        </w:rPr>
        <w:t>As of November 1, 2022, the registrant had 82,458,058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5"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impact of a grocery chain not accepting PBM pricing on our future results of operations, stock compensation, our stock repurchase program, impacts of our cost savings initiatives, business strategy, plans, market growth and our objectives for future operations.</w:t>
      </w:r>
    </w:p>
    <w:p>
      <w:pPr>
        <w:spacing w:after="0" w:line="8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ability to continue to attract, acquire and retain consumers in a cost-effective manner; our reliance on our prescription transactions offering and ability to expand our offerings; changes in medication pricing and pricing structures; our inability to control the categories and types of prescriptions for which we can offer savings or discounted prices; our reliance on a limited number of industry participants; the competitive nature of industry; risks related to pandemics, epidemics or outbreak of infection disease, including the COVID-19 pandemic; the accuracy of our estimate of our total addressable market and other operational metrics; the development of the telehealth market; our ability to maintain and expand a network of skilled telehealth providers;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financial reporting; risks related to use of social media, emails, text messages and other messaging channels as part of our marketing strategy; our ability to accurately forecast revenue and appropriately plan our expenses in the future; risks related to information technology and cyber-security; compliance with government regulation of the internet, e-commerce and data and other regulations; our ability to utilize our net operating loss carryforwards and certain other tax attributes; our ability to attract, develop, motivate and retain well-qualified employees;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our reliance on software as-a-service technologies from third parties; systems failures or other disruptions in the operations of these parties on which we depend; changes in consumer sentiment or laws, rules or regulations regarding tracking technologies and other privacy matters; the increasing focus on environmental sustainability and social initiatives; risks related to our intellectual property; risks related to operating in the healthcare industry; risks related to our organizational structure; risks related to fluctuations in our tax obligations and effective income tax rate which could materially and adversely affect our results of operations; risks related to the recent healthcare reform legislation and other changes in the healthcare industry and in healthcare spending which may adversely affect our business, financial condition and results of operations; the risk that we may not achieve the intended outcomes of our recent reduction in force; as well as the other important factors discussed in the sections entitled “Risk Factors” of our Annual Report on Form 10-K for the fiscal year ended December 31, 2021 (“2021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2"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66"/>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line="195" w:lineRule="exact"/>
              <w:rPr>
                <w:sz w:val="20"/>
                <w:szCs w:val="20"/>
                <w:color w:val="auto"/>
              </w:rPr>
            </w:pPr>
            <w:r>
              <w:rPr>
                <w:rFonts w:ascii="Arial" w:cs="Arial" w:eastAsia="Arial" w:hAnsi="Arial"/>
                <w:sz w:val="18"/>
                <w:szCs w:val="18"/>
                <w:color w:val="0000FF"/>
              </w:rPr>
              <w:t>Condensed Consolidated Financial Statements (Unaudited)</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4720" w:type="dxa"/>
            <w:vAlign w:val="bottom"/>
            <w:gridSpan w:val="13"/>
          </w:tcPr>
          <w:p>
            <w:pPr>
              <w:spacing w:after="0" w:line="182" w:lineRule="exact"/>
              <w:rPr>
                <w:sz w:val="20"/>
                <w:szCs w:val="20"/>
                <w:color w:val="auto"/>
              </w:rPr>
            </w:pPr>
            <w:r>
              <w:rPr>
                <w:rFonts w:ascii="Arial" w:cs="Arial" w:eastAsia="Arial" w:hAnsi="Arial"/>
                <w:sz w:val="18"/>
                <w:szCs w:val="18"/>
                <w:color w:val="0000FF"/>
              </w:rPr>
              <w:t>Condensed Consolidated Balance Sheets</w:t>
            </w: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586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rPr>
              <w:t>Operations</w:t>
            </w: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3340" w:type="dxa"/>
            <w:vAlign w:val="bottom"/>
            <w:gridSpan w:val="8"/>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860" w:type="dxa"/>
            <w:vAlign w:val="bottom"/>
            <w:gridSpan w:val="9"/>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40" w:type="dxa"/>
            <w:vAlign w:val="bottom"/>
            <w:gridSpan w:val="7"/>
            <w:vMerge w:val="restart"/>
          </w:tcPr>
          <w:p>
            <w:pPr>
              <w:ind w:left="180"/>
              <w:spacing w:after="0" w:line="202" w:lineRule="exact"/>
              <w:rPr>
                <w:sz w:val="20"/>
                <w:szCs w:val="20"/>
                <w:color w:val="auto"/>
              </w:rPr>
            </w:pPr>
            <w:r>
              <w:rPr>
                <w:rFonts w:ascii="Arial" w:cs="Arial" w:eastAsia="Arial" w:hAnsi="Arial"/>
                <w:sz w:val="18"/>
                <w:szCs w:val="18"/>
                <w:color w:val="0000FF"/>
              </w:rPr>
              <w:t>Equity</w:t>
            </w: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4100" w:type="dxa"/>
            <w:vAlign w:val="bottom"/>
            <w:gridSpan w:val="9"/>
          </w:tcPr>
          <w:p>
            <w:pPr>
              <w:spacing w:after="0" w:line="182" w:lineRule="exact"/>
              <w:rPr>
                <w:sz w:val="20"/>
                <w:szCs w:val="20"/>
                <w:color w:val="auto"/>
              </w:rPr>
            </w:pPr>
            <w:r>
              <w:rPr>
                <w:rFonts w:ascii="Arial" w:cs="Arial" w:eastAsia="Arial" w:hAnsi="Arial"/>
                <w:sz w:val="18"/>
                <w:szCs w:val="18"/>
                <w:color w:val="0000FF"/>
                <w:w w:val="94"/>
              </w:rPr>
              <w:t>Condensed Consolidated Statements of Stockholders’</w:t>
            </w:r>
          </w:p>
        </w:tc>
        <w:tc>
          <w:tcPr>
            <w:tcW w:w="60" w:type="dxa"/>
            <w:vAlign w:val="bottom"/>
            <w:vMerge w:val="continue"/>
          </w:tcPr>
          <w:p>
            <w:pPr>
              <w:spacing w:after="0"/>
              <w:rPr>
                <w:sz w:val="15"/>
                <w:szCs w:val="15"/>
                <w:color w:val="auto"/>
              </w:rPr>
            </w:pPr>
          </w:p>
        </w:tc>
        <w:tc>
          <w:tcPr>
            <w:tcW w:w="5040" w:type="dxa"/>
            <w:vAlign w:val="bottom"/>
            <w:gridSpan w:val="7"/>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0" w:type="dxa"/>
            <w:vAlign w:val="bottom"/>
            <w:vMerge w:val="restart"/>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4860" w:type="dxa"/>
            <w:vAlign w:val="bottom"/>
            <w:gridSpan w:val="15"/>
          </w:tcPr>
          <w:p>
            <w:pPr>
              <w:spacing w:after="0" w:line="182" w:lineRule="exact"/>
              <w:rPr>
                <w:sz w:val="20"/>
                <w:szCs w:val="20"/>
                <w:color w:val="auto"/>
              </w:rPr>
            </w:pPr>
            <w:r>
              <w:rPr>
                <w:rFonts w:ascii="Arial" w:cs="Arial" w:eastAsia="Arial" w:hAnsi="Arial"/>
                <w:sz w:val="18"/>
                <w:szCs w:val="18"/>
                <w:color w:val="0000FF"/>
              </w:rPr>
              <w:t>Condensed Consolidated Statements of Cash Flows</w:t>
            </w:r>
          </w:p>
        </w:tc>
        <w:tc>
          <w:tcPr>
            <w:tcW w:w="220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9200" w:type="dxa"/>
            <w:vAlign w:val="bottom"/>
            <w:gridSpan w:val="17"/>
          </w:tcPr>
          <w:p>
            <w:pPr>
              <w:spacing w:after="0" w:line="182" w:lineRule="exact"/>
              <w:rPr>
                <w:sz w:val="20"/>
                <w:szCs w:val="20"/>
                <w:color w:val="auto"/>
              </w:rPr>
            </w:pPr>
            <w:r>
              <w:rPr>
                <w:rFonts w:ascii="Arial" w:cs="Arial" w:eastAsia="Arial" w:hAnsi="Arial"/>
                <w:sz w:val="18"/>
                <w:szCs w:val="18"/>
                <w:color w:val="0000FF"/>
              </w:rPr>
              <w:t>Notes to Condensed Consolidated Financial Statements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17</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9200" w:type="dxa"/>
            <w:vAlign w:val="bottom"/>
            <w:gridSpan w:val="1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140" w:type="dxa"/>
            <w:vAlign w:val="bottom"/>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7060" w:type="dxa"/>
            <w:vAlign w:val="bottom"/>
            <w:gridSpan w:val="16"/>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700" w:type="dxa"/>
            <w:vAlign w:val="bottom"/>
            <w:gridSpan w:val="12"/>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gridSpan w:val="2"/>
            <w:vMerge w:val="continue"/>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17"/>
          </w:tcPr>
          <w:p>
            <w:pPr>
              <w:spacing w:after="0" w:line="195" w:lineRule="exact"/>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1A.</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300" w:type="dxa"/>
            <w:vAlign w:val="bottom"/>
            <w:gridSpan w:val="7"/>
            <w:vMerge w:val="restart"/>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31</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300" w:type="dxa"/>
            <w:vAlign w:val="bottom"/>
            <w:gridSpan w:val="7"/>
            <w:vMerge w:val="continue"/>
          </w:tcPr>
          <w:p>
            <w:pPr>
              <w:spacing w:after="0"/>
              <w:rPr>
                <w:sz w:val="15"/>
                <w:szCs w:val="15"/>
                <w:color w:val="auto"/>
              </w:rPr>
            </w:pPr>
          </w:p>
        </w:tc>
        <w:tc>
          <w:tcPr>
            <w:tcW w:w="436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2.</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180" w:type="dxa"/>
            <w:vAlign w:val="bottom"/>
            <w:gridSpan w:val="14"/>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and Use of Proceeds</w:t>
            </w: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32</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180" w:type="dxa"/>
            <w:vAlign w:val="bottom"/>
            <w:gridSpan w:val="14"/>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4360" w:type="dxa"/>
            <w:vAlign w:val="bottom"/>
            <w:gridSpan w:val="3"/>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840" w:type="dxa"/>
            <w:vAlign w:val="bottom"/>
            <w:gridSpan w:val="1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360" w:type="dxa"/>
            <w:vAlign w:val="bottom"/>
            <w:gridSpan w:val="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660" w:type="dxa"/>
            <w:vAlign w:val="bottom"/>
            <w:gridSpan w:val="10"/>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2540" w:type="dxa"/>
            <w:vAlign w:val="bottom"/>
            <w:gridSpan w:val="7"/>
          </w:tcPr>
          <w:p>
            <w:pPr>
              <w:spacing w:after="0" w:line="182" w:lineRule="exact"/>
              <w:rPr>
                <w:sz w:val="20"/>
                <w:szCs w:val="20"/>
                <w:color w:val="auto"/>
              </w:rPr>
            </w:pPr>
            <w:r>
              <w:rPr>
                <w:rFonts w:ascii="Arial" w:cs="Arial" w:eastAsia="Arial" w:hAnsi="Arial"/>
                <w:sz w:val="18"/>
                <w:szCs w:val="18"/>
                <w:color w:val="0000FF"/>
              </w:rPr>
              <w:t>Mine Safety Disclosures</w:t>
            </w:r>
          </w:p>
        </w:tc>
        <w:tc>
          <w:tcPr>
            <w:tcW w:w="6660" w:type="dxa"/>
            <w:vAlign w:val="bottom"/>
            <w:gridSpan w:val="10"/>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5.</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80" w:type="dxa"/>
            <w:vAlign w:val="bottom"/>
            <w:gridSpan w:val="11"/>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33</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280" w:type="dxa"/>
            <w:vAlign w:val="bottom"/>
            <w:gridSpan w:val="11"/>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Item 6.</w:t>
            </w:r>
          </w:p>
        </w:tc>
        <w:tc>
          <w:tcPr>
            <w:tcW w:w="6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800" w:type="dxa"/>
            <w:vAlign w:val="bottom"/>
            <w:gridSpan w:val="13"/>
            <w:vMerge w:val="restart"/>
          </w:tcPr>
          <w:p>
            <w:pPr>
              <w:spacing w:after="0" w:line="20" w:lineRule="exact"/>
              <w:rPr>
                <w:sz w:val="1"/>
                <w:szCs w:val="1"/>
                <w:color w:val="auto"/>
              </w:rPr>
            </w:pPr>
          </w:p>
        </w:tc>
        <w:tc>
          <w:tcPr>
            <w:tcW w:w="10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34</w:t>
            </w:r>
          </w:p>
        </w:tc>
        <w:tc>
          <w:tcPr>
            <w:tcW w:w="0" w:type="dxa"/>
            <w:vAlign w:val="bottom"/>
          </w:tcPr>
          <w:p>
            <w:pPr>
              <w:spacing w:after="0" w:line="20" w:lineRule="exact"/>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800" w:type="dxa"/>
            <w:vAlign w:val="bottom"/>
            <w:gridSpan w:val="13"/>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40" w:type="dxa"/>
            <w:vAlign w:val="bottom"/>
            <w:gridSpan w:val="15"/>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17"/>
          </w:tcPr>
          <w:p>
            <w:pPr>
              <w:spacing w:after="0" w:line="195" w:lineRule="exact"/>
              <w:rPr>
                <w:sz w:val="20"/>
                <w:szCs w:val="20"/>
                <w:color w:val="auto"/>
              </w:rPr>
            </w:pPr>
            <w:r>
              <w:rPr>
                <w:rFonts w:ascii="Arial" w:cs="Arial" w:eastAsia="Arial" w:hAnsi="Arial"/>
                <w:sz w:val="18"/>
                <w:szCs w:val="18"/>
                <w:color w:val="0000FF"/>
              </w:rPr>
              <w:t>Signatures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10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728,786</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941,109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120,886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118,080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28,716</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29,638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878,388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1,088,827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22,287</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415,256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329,696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125,900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88,791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Capitalized software, net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71,299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44,987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right-of-use assets</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27,971</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25,958</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1,567,059</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1,607,625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10,855</w:t>
            </w:r>
          </w:p>
        </w:tc>
        <w:tc>
          <w:tcPr>
            <w:tcW w:w="26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17,501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61,025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50,732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7,029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7,029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6,057</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5,851</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84,966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81,113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652,814</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655,858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32,551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33,592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Deferred tax liabilities, net</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7,675</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778,656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775,945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Commitments and contingencies (Note 8)</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Stockholders' equity</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740" w:type="dxa"/>
            <w:vAlign w:val="bottom"/>
          </w:tcPr>
          <w:p>
            <w:pPr>
              <w:ind w:left="200"/>
              <w:spacing w:after="0" w:line="144" w:lineRule="exact"/>
              <w:rPr>
                <w:sz w:val="20"/>
                <w:szCs w:val="20"/>
                <w:color w:val="auto"/>
              </w:rPr>
            </w:pPr>
            <w:r>
              <w:rPr>
                <w:rFonts w:ascii="Arial" w:cs="Arial" w:eastAsia="Arial" w:hAnsi="Arial"/>
                <w:sz w:val="15"/>
                <w:szCs w:val="15"/>
                <w:color w:val="auto"/>
              </w:rPr>
              <w:t>Preferred stock, $0.0001 par value; 50,000 shares authorized and</w:t>
            </w: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40" w:type="dxa"/>
            <w:vAlign w:val="bottom"/>
          </w:tcPr>
          <w:p>
            <w:pPr>
              <w:ind w:left="380"/>
              <w:spacing w:after="0" w:line="162" w:lineRule="exact"/>
              <w:rPr>
                <w:sz w:val="20"/>
                <w:szCs w:val="20"/>
                <w:color w:val="auto"/>
              </w:rPr>
            </w:pPr>
            <w:r>
              <w:rPr>
                <w:rFonts w:ascii="Arial" w:cs="Arial" w:eastAsia="Arial" w:hAnsi="Arial"/>
                <w:sz w:val="15"/>
                <w:szCs w:val="15"/>
                <w:color w:val="auto"/>
              </w:rPr>
              <w:t>zero shares issued and outstanding at September 30, 2022 and</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380"/>
              <w:spacing w:after="0"/>
              <w:rPr>
                <w:sz w:val="20"/>
                <w:szCs w:val="20"/>
                <w:color w:val="auto"/>
              </w:rPr>
            </w:pPr>
            <w:r>
              <w:rPr>
                <w:rFonts w:ascii="Arial" w:cs="Arial" w:eastAsia="Arial" w:hAnsi="Arial"/>
                <w:sz w:val="15"/>
                <w:szCs w:val="15"/>
                <w:color w:val="auto"/>
              </w:rPr>
              <w:t>December 31, 2021</w:t>
            </w:r>
          </w:p>
        </w:tc>
        <w:tc>
          <w:tcPr>
            <w:tcW w:w="2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7"/>
        </w:trPr>
        <w:tc>
          <w:tcPr>
            <w:tcW w:w="7740" w:type="dxa"/>
            <w:vAlign w:val="bottom"/>
            <w:shd w:val="clear" w:color="auto" w:fill="CFF0FC"/>
          </w:tcPr>
          <w:p>
            <w:pPr>
              <w:ind w:left="200"/>
              <w:spacing w:after="0" w:line="148" w:lineRule="exact"/>
              <w:rPr>
                <w:sz w:val="20"/>
                <w:szCs w:val="20"/>
                <w:color w:val="auto"/>
              </w:rPr>
            </w:pPr>
            <w:r>
              <w:rPr>
                <w:rFonts w:ascii="Arial" w:cs="Arial" w:eastAsia="Arial" w:hAnsi="Arial"/>
                <w:sz w:val="15"/>
                <w:szCs w:val="15"/>
                <w:color w:val="auto"/>
              </w:rPr>
              <w:t>Common stock, $0.0001 par value; Class A: 2,000,000 shares</w:t>
            </w: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authorized, 82,333 and 85,028 shares issued and outstanding at</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September 30, 2022 and December 31, 2021, respectively; and</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Class B: 1,000,000 shares authorized, 313,732 and 315,534</w:t>
            </w: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40" w:type="dxa"/>
            <w:vAlign w:val="bottom"/>
            <w:shd w:val="clear" w:color="auto" w:fill="CFF0FC"/>
          </w:tcPr>
          <w:p>
            <w:pPr>
              <w:ind w:left="320"/>
              <w:spacing w:after="0" w:line="162" w:lineRule="exact"/>
              <w:rPr>
                <w:sz w:val="20"/>
                <w:szCs w:val="20"/>
                <w:color w:val="auto"/>
              </w:rPr>
            </w:pPr>
            <w:r>
              <w:rPr>
                <w:rFonts w:ascii="Arial" w:cs="Arial" w:eastAsia="Arial" w:hAnsi="Arial"/>
                <w:sz w:val="15"/>
                <w:szCs w:val="15"/>
                <w:color w:val="auto"/>
              </w:rPr>
              <w:t>shares issued and outstanding at September 30, 2022 and</w:t>
            </w:r>
          </w:p>
        </w:tc>
        <w:tc>
          <w:tcPr>
            <w:tcW w:w="20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December 31, 2021, respectively</w:t>
            </w:r>
          </w:p>
        </w:tc>
        <w:tc>
          <w:tcPr>
            <w:tcW w:w="20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2,234,926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2,247,347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Accumulated deficit</w:t>
            </w:r>
          </w:p>
        </w:tc>
        <w:tc>
          <w:tcPr>
            <w:tcW w:w="200" w:type="dxa"/>
            <w:vAlign w:val="bottom"/>
            <w:shd w:val="clear" w:color="auto" w:fill="CFF0FC"/>
          </w:tcPr>
          <w:p>
            <w:pPr>
              <w:spacing w:after="0"/>
              <w:rPr>
                <w:sz w:val="16"/>
                <w:szCs w:val="16"/>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(1,446,563 )</w:t>
            </w:r>
          </w:p>
        </w:tc>
        <w:tc>
          <w:tcPr>
            <w:tcW w:w="2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(1,415,707 )</w:t>
            </w:r>
          </w:p>
        </w:tc>
        <w:tc>
          <w:tcPr>
            <w:tcW w:w="0" w:type="dxa"/>
            <w:vAlign w:val="bottom"/>
          </w:tcPr>
          <w:p>
            <w:pPr>
              <w:spacing w:after="0"/>
              <w:rPr>
                <w:sz w:val="1"/>
                <w:szCs w:val="1"/>
                <w:color w:val="auto"/>
              </w:rPr>
            </w:pPr>
          </w:p>
        </w:tc>
      </w:tr>
      <w:tr>
        <w:trPr>
          <w:trHeight w:val="182"/>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5"/>
                <w:szCs w:val="15"/>
                <w:color w:val="auto"/>
              </w:rPr>
              <w:t>Total stockholders' equity</w:t>
            </w:r>
          </w:p>
        </w:tc>
        <w:tc>
          <w:tcPr>
            <w:tcW w:w="2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788,403</w:t>
            </w: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831,680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Total liabilities and stockholders' equity</w:t>
            </w: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1,567,059</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1,607,625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-4169410</wp:posOffset>
            </wp:positionV>
            <wp:extent cx="6858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-4169410</wp:posOffset>
            </wp:positionV>
            <wp:extent cx="68580"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-3193415</wp:posOffset>
            </wp:positionV>
            <wp:extent cx="12242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42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-2447925</wp:posOffset>
            </wp:positionV>
            <wp:extent cx="68580"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-281940</wp:posOffset>
            </wp:positionV>
            <wp:extent cx="68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187,318</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195,102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582,445</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FF0FC"/>
          </w:tcPr>
          <w:p>
            <w:pPr>
              <w:ind w:left="280"/>
              <w:spacing w:after="0" w:line="162" w:lineRule="exact"/>
              <w:rPr>
                <w:sz w:val="20"/>
                <w:szCs w:val="20"/>
                <w:color w:val="auto"/>
              </w:rPr>
            </w:pPr>
            <w:r>
              <w:rPr>
                <w:rFonts w:ascii="Arial" w:cs="Arial" w:eastAsia="Arial" w:hAnsi="Arial"/>
                <w:sz w:val="18"/>
                <w:szCs w:val="18"/>
                <w:color w:val="auto"/>
              </w:rPr>
              <w:t>Cost of revenue, exclusive of depreciation and</w:t>
            </w:r>
          </w:p>
        </w:tc>
        <w:tc>
          <w:tcPr>
            <w:tcW w:w="2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17,395</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11,271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47,719</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32,789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260" w:type="dxa"/>
            <w:vAlign w:val="bottom"/>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4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35,921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106,367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86,215</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273,503</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49,548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116,211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13,952</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38,644</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Total costs and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203,031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188,103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582,444</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(2,920 )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(3,829 )</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6,558</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18,487</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(22,271 )</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(18,486 )</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(16,047 )</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(19,463 )</w:t>
            </w:r>
          </w:p>
        </w:tc>
        <w:tc>
          <w:tcPr>
            <w:tcW w:w="4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(19,153 )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(12,370 )</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(41,734 )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(18,069 )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(30,856 )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earnings per share:</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(0.10 )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(0.07 )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(0.10 )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(0.07 )</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Weighted average shares used in computing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(loss) 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412,956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413,254</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412,956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411,223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413,254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Stock-based compensation included in costs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16,107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23,771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49,304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-3207385</wp:posOffset>
            </wp:positionV>
            <wp:extent cx="7683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-3207385</wp:posOffset>
            </wp:positionV>
            <wp:extent cx="768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-3207385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-3207385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-2916555</wp:posOffset>
            </wp:positionV>
            <wp:extent cx="7683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-2916555</wp:posOffset>
            </wp:positionV>
            <wp:extent cx="7683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-2916555</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-2916555</wp:posOffset>
            </wp:positionV>
            <wp:extent cx="6858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-2351405</wp:posOffset>
            </wp:positionV>
            <wp:extent cx="768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-2351405</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-2351405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-2351405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-2068830</wp:posOffset>
            </wp:positionV>
            <wp:extent cx="768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-2068830</wp:posOffset>
            </wp:positionV>
            <wp:extent cx="7683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-2068830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-2068830</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236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40" w:type="dxa"/>
            <w:vAlign w:val="bottom"/>
            <w:gridSpan w:val="2"/>
            <w:vMerge w:val="restart"/>
          </w:tcPr>
          <w:p>
            <w:pPr>
              <w:jc w:val="right"/>
              <w:ind w:right="337"/>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5"/>
        </w:trPr>
        <w:tc>
          <w:tcPr>
            <w:tcW w:w="42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240" w:type="dxa"/>
            <w:vAlign w:val="bottom"/>
            <w:gridSpan w:val="2"/>
          </w:tcPr>
          <w:p>
            <w:pPr>
              <w:jc w:val="right"/>
              <w:ind w:right="5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4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400,562</w:t>
            </w:r>
          </w:p>
        </w:tc>
        <w:tc>
          <w:tcPr>
            <w:tcW w:w="240" w:type="dxa"/>
            <w:vAlign w:val="bottom"/>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2,247,347</w:t>
            </w:r>
          </w:p>
        </w:tc>
        <w:tc>
          <w:tcPr>
            <w:tcW w:w="2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(1,415,707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831,680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120" w:type="dxa"/>
            <w:vAlign w:val="bottom"/>
          </w:tcPr>
          <w:p>
            <w:pPr>
              <w:jc w:val="right"/>
              <w:spacing w:after="0"/>
              <w:rPr>
                <w:sz w:val="20"/>
                <w:szCs w:val="20"/>
                <w:color w:val="auto"/>
              </w:rPr>
            </w:pPr>
            <w:r>
              <w:rPr>
                <w:rFonts w:ascii="Arial" w:cs="Arial" w:eastAsia="Arial" w:hAnsi="Arial"/>
                <w:sz w:val="13"/>
                <w:szCs w:val="13"/>
                <w:color w:val="auto"/>
              </w:rPr>
              <w:t>749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3,699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32,161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120" w:type="dxa"/>
            <w:vAlign w:val="bottom"/>
          </w:tcPr>
          <w:p>
            <w:pPr>
              <w:jc w:val="right"/>
              <w:spacing w:after="0"/>
              <w:rPr>
                <w:sz w:val="20"/>
                <w:szCs w:val="20"/>
                <w:color w:val="auto"/>
              </w:rPr>
            </w:pPr>
            <w:r>
              <w:rPr>
                <w:rFonts w:ascii="Arial" w:cs="Arial" w:eastAsia="Arial" w:hAnsi="Arial"/>
                <w:sz w:val="13"/>
                <w:szCs w:val="13"/>
                <w:color w:val="auto"/>
              </w:rPr>
              <w:t>822</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28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Common stock withheld related to</w:t>
            </w: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(364 )</w:t>
            </w: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(9,561 )</w:t>
            </w: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(9,561 )</w:t>
            </w: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Repurchases of Class A common stock</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(5,637 )</w:t>
            </w: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(83,765 )</w:t>
            </w:r>
          </w:p>
        </w:tc>
        <w:tc>
          <w:tcPr>
            <w:tcW w:w="14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(83,765 )</w:t>
            </w:r>
          </w:p>
        </w:tc>
        <w:tc>
          <w:tcPr>
            <w:tcW w:w="0" w:type="dxa"/>
            <w:vAlign w:val="bottom"/>
          </w:tcPr>
          <w:p>
            <w:pPr>
              <w:spacing w:after="0"/>
              <w:rPr>
                <w:sz w:val="1"/>
                <w:szCs w:val="1"/>
                <w:color w:val="auto"/>
              </w:rPr>
            </w:pPr>
          </w:p>
        </w:tc>
      </w:tr>
      <w:tr>
        <w:trPr>
          <w:trHeight w:val="162"/>
        </w:trPr>
        <w:tc>
          <w:tcPr>
            <w:tcW w:w="4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12,293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12,293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80" w:type="dxa"/>
            <w:vAlign w:val="bottom"/>
          </w:tcPr>
          <w:p>
            <w:pPr>
              <w:ind w:left="20"/>
              <w:spacing w:after="0"/>
              <w:rPr>
                <w:sz w:val="20"/>
                <w:szCs w:val="20"/>
                <w:color w:val="auto"/>
              </w:rPr>
            </w:pPr>
            <w:r>
              <w:rPr>
                <w:rFonts w:ascii="Arial" w:cs="Arial" w:eastAsia="Arial" w:hAnsi="Arial"/>
                <w:sz w:val="13"/>
                <w:szCs w:val="13"/>
                <w:color w:val="auto"/>
              </w:rPr>
              <w:t>Balance at March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396,132</w:t>
            </w:r>
          </w:p>
        </w:tc>
        <w:tc>
          <w:tcPr>
            <w:tcW w:w="240" w:type="dxa"/>
            <w:vAlign w:val="bottom"/>
          </w:tcPr>
          <w:p>
            <w:pPr>
              <w:spacing w:after="0"/>
              <w:rPr>
                <w:sz w:val="17"/>
                <w:szCs w:val="17"/>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40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2,189,881</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(1,403,414 )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786,507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4,109</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33,466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33,466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1,059</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280" w:type="dxa"/>
            <w:vAlign w:val="bottom"/>
          </w:tcPr>
          <w:p>
            <w:pPr>
              <w:ind w:left="200"/>
              <w:spacing w:after="0" w:line="108" w:lineRule="exact"/>
              <w:rPr>
                <w:sz w:val="20"/>
                <w:szCs w:val="20"/>
                <w:color w:val="auto"/>
              </w:rPr>
            </w:pPr>
            <w:r>
              <w:rPr>
                <w:rFonts w:ascii="Arial" w:cs="Arial" w:eastAsia="Arial" w:hAnsi="Arial"/>
                <w:sz w:val="12"/>
                <w:szCs w:val="12"/>
                <w:color w:val="auto"/>
              </w:rPr>
              <w:t>Common stock withheld related to</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(459 )</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(4,727 )</w:t>
            </w:r>
          </w:p>
        </w:tc>
        <w:tc>
          <w:tcPr>
            <w:tcW w:w="140" w:type="dxa"/>
            <w:vAlign w:val="bottom"/>
          </w:tcPr>
          <w:p>
            <w:pPr>
              <w:spacing w:after="0"/>
              <w:rPr>
                <w:sz w:val="15"/>
                <w:szCs w:val="15"/>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(4,727 )</w:t>
            </w: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(1,415 )</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(1,415 )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80" w:type="dxa"/>
            <w:vAlign w:val="bottom"/>
          </w:tcPr>
          <w:p>
            <w:pPr>
              <w:ind w:left="20"/>
              <w:spacing w:after="0"/>
              <w:rPr>
                <w:sz w:val="20"/>
                <w:szCs w:val="20"/>
                <w:color w:val="auto"/>
              </w:rPr>
            </w:pPr>
            <w:r>
              <w:rPr>
                <w:rFonts w:ascii="Arial" w:cs="Arial" w:eastAsia="Arial" w:hAnsi="Arial"/>
                <w:sz w:val="13"/>
                <w:szCs w:val="13"/>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3"/>
                <w:szCs w:val="13"/>
                <w:color w:val="auto"/>
              </w:rPr>
              <w:t>397,908</w:t>
            </w:r>
          </w:p>
        </w:tc>
        <w:tc>
          <w:tcPr>
            <w:tcW w:w="240" w:type="dxa"/>
            <w:vAlign w:val="bottom"/>
          </w:tcPr>
          <w:p>
            <w:pPr>
              <w:spacing w:after="0"/>
              <w:rPr>
                <w:sz w:val="17"/>
                <w:szCs w:val="17"/>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7"/>
                <w:szCs w:val="17"/>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2,222,729</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(1,404,829 )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817,940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options 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32,151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32,151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280" w:type="dxa"/>
            <w:vAlign w:val="bottom"/>
          </w:tcPr>
          <w:p>
            <w:pPr>
              <w:ind w:left="200"/>
              <w:spacing w:after="0" w:line="108" w:lineRule="exact"/>
              <w:rPr>
                <w:sz w:val="20"/>
                <w:szCs w:val="20"/>
                <w:color w:val="auto"/>
              </w:rPr>
            </w:pPr>
            <w:r>
              <w:rPr>
                <w:rFonts w:ascii="Arial" w:cs="Arial" w:eastAsia="Arial" w:hAnsi="Arial"/>
                <w:sz w:val="12"/>
                <w:szCs w:val="12"/>
                <w:color w:val="auto"/>
              </w:rPr>
              <w:t>Common stock withheld related to</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280" w:type="dxa"/>
            <w:vAlign w:val="bottom"/>
          </w:tcPr>
          <w:p>
            <w:pPr>
              <w:ind w:left="300"/>
              <w:spacing w:after="0"/>
              <w:rPr>
                <w:sz w:val="20"/>
                <w:szCs w:val="20"/>
                <w:color w:val="auto"/>
              </w:rPr>
            </w:pPr>
            <w:r>
              <w:rPr>
                <w:rFonts w:ascii="Arial" w:cs="Arial" w:eastAsia="Arial" w:hAnsi="Arial"/>
                <w:sz w:val="13"/>
                <w:szCs w:val="13"/>
                <w:color w:val="auto"/>
              </w:rPr>
              <w:t>net share settlement</w:t>
            </w: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(525 )</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(3,269 )</w:t>
            </w:r>
          </w:p>
        </w:tc>
        <w:tc>
          <w:tcPr>
            <w:tcW w:w="140" w:type="dxa"/>
            <w:vAlign w:val="bottom"/>
          </w:tcPr>
          <w:p>
            <w:pPr>
              <w:spacing w:after="0"/>
              <w:rPr>
                <w:sz w:val="15"/>
                <w:szCs w:val="15"/>
                <w:color w:val="auto"/>
              </w:rPr>
            </w:pPr>
          </w:p>
        </w:tc>
        <w:tc>
          <w:tcPr>
            <w:tcW w:w="12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(3,269 )</w:t>
            </w: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 of Class A common stock</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(2,819 )</w:t>
            </w: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(17,956 )</w:t>
            </w:r>
          </w:p>
        </w:tc>
        <w:tc>
          <w:tcPr>
            <w:tcW w:w="1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(17,956 )</w:t>
            </w:r>
          </w:p>
        </w:tc>
        <w:tc>
          <w:tcPr>
            <w:tcW w:w="0" w:type="dxa"/>
            <w:vAlign w:val="bottom"/>
          </w:tcPr>
          <w:p>
            <w:pPr>
              <w:spacing w:after="0"/>
              <w:rPr>
                <w:sz w:val="1"/>
                <w:szCs w:val="1"/>
                <w:color w:val="auto"/>
              </w:rPr>
            </w:pPr>
          </w:p>
        </w:tc>
      </w:tr>
      <w:tr>
        <w:trPr>
          <w:trHeight w:val="162"/>
        </w:trPr>
        <w:tc>
          <w:tcPr>
            <w:tcW w:w="428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(41,734 )</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(41,734 )</w:t>
            </w:r>
          </w:p>
        </w:tc>
        <w:tc>
          <w:tcPr>
            <w:tcW w:w="0" w:type="dxa"/>
            <w:vAlign w:val="bottom"/>
          </w:tcPr>
          <w:p>
            <w:pPr>
              <w:spacing w:after="0"/>
              <w:rPr>
                <w:sz w:val="1"/>
                <w:szCs w:val="1"/>
                <w:color w:val="auto"/>
              </w:rPr>
            </w:pPr>
          </w:p>
        </w:tc>
      </w:tr>
      <w:tr>
        <w:trPr>
          <w:trHeight w:val="195"/>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396,065</w:t>
            </w:r>
          </w:p>
        </w:tc>
        <w:tc>
          <w:tcPr>
            <w:tcW w:w="2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ind w:right="857"/>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2,234,926</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(1,446,563</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788,403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-1729105</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-1729105</wp:posOffset>
            </wp:positionV>
            <wp:extent cx="7683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-1729105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-1729105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-984250</wp:posOffset>
            </wp:positionV>
            <wp:extent cx="76835"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-984250</wp:posOffset>
            </wp:positionV>
            <wp:extent cx="768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-984250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-984250</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232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Class A and Class B</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337"/>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55"/>
        </w:trPr>
        <w:tc>
          <w:tcPr>
            <w:tcW w:w="43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3"/>
                <w:szCs w:val="13"/>
                <w:color w:val="auto"/>
              </w:rPr>
            </w:pPr>
          </w:p>
        </w:tc>
        <w:tc>
          <w:tcPr>
            <w:tcW w:w="1240" w:type="dxa"/>
            <w:vAlign w:val="bottom"/>
            <w:gridSpan w:val="2"/>
          </w:tcPr>
          <w:p>
            <w:pPr>
              <w:jc w:val="right"/>
              <w:ind w:right="537"/>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4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391,660</w:t>
            </w:r>
          </w:p>
        </w:tc>
        <w:tc>
          <w:tcPr>
            <w:tcW w:w="26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2,101,773</w:t>
            </w: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(1,390,453</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711,359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513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2,680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608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4340" w:type="dxa"/>
            <w:vAlign w:val="bottom"/>
            <w:shd w:val="clear" w:color="auto" w:fill="CFF0FC"/>
          </w:tcPr>
          <w:p>
            <w:pPr>
              <w:ind w:left="200"/>
              <w:spacing w:after="0" w:line="117" w:lineRule="exact"/>
              <w:rPr>
                <w:sz w:val="20"/>
                <w:szCs w:val="20"/>
                <w:color w:val="auto"/>
              </w:rPr>
            </w:pPr>
            <w:r>
              <w:rPr>
                <w:rFonts w:ascii="Arial" w:cs="Arial" w:eastAsia="Arial" w:hAnsi="Arial"/>
                <w:sz w:val="13"/>
                <w:szCs w:val="13"/>
                <w:color w:val="auto"/>
              </w:rPr>
              <w:t>Common stock withheld related to</w:t>
            </w:r>
          </w:p>
        </w:tc>
        <w:tc>
          <w:tcPr>
            <w:tcW w:w="10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(324 )</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(14,902 )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(14,902 )</w:t>
            </w: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392,457</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42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2,137,805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(1,388,785 )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2,609</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13,291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13,291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42,366</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631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7"/>
        </w:trPr>
        <w:tc>
          <w:tcPr>
            <w:tcW w:w="4340" w:type="dxa"/>
            <w:vAlign w:val="bottom"/>
            <w:shd w:val="clear" w:color="auto" w:fill="CFF0FC"/>
          </w:tcPr>
          <w:p>
            <w:pPr>
              <w:ind w:left="200"/>
              <w:spacing w:after="0" w:line="117" w:lineRule="exact"/>
              <w:rPr>
                <w:sz w:val="20"/>
                <w:szCs w:val="20"/>
                <w:color w:val="auto"/>
              </w:rPr>
            </w:pPr>
            <w:r>
              <w:rPr>
                <w:rFonts w:ascii="Arial" w:cs="Arial" w:eastAsia="Arial" w:hAnsi="Arial"/>
                <w:sz w:val="13"/>
                <w:szCs w:val="13"/>
                <w:color w:val="auto"/>
              </w:rPr>
              <w:t>Common stock withheld related to</w:t>
            </w:r>
          </w:p>
        </w:tc>
        <w:tc>
          <w:tcPr>
            <w:tcW w:w="10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(304 )</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(11,383 )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(11,383 )</w:t>
            </w: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2021</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395,393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42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2,182,079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(1,357,724 )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080" w:type="dxa"/>
            <w:vAlign w:val="bottom"/>
          </w:tcPr>
          <w:p>
            <w:pPr>
              <w:jc w:val="right"/>
              <w:spacing w:after="0"/>
              <w:rPr>
                <w:sz w:val="20"/>
                <w:szCs w:val="20"/>
                <w:color w:val="auto"/>
              </w:rPr>
            </w:pPr>
            <w:r>
              <w:rPr>
                <w:rFonts w:ascii="Arial" w:cs="Arial" w:eastAsia="Arial" w:hAnsi="Arial"/>
                <w:sz w:val="13"/>
                <w:szCs w:val="13"/>
                <w:color w:val="auto"/>
              </w:rPr>
              <w:t>2,733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14,135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14,135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42,593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40" w:type="dxa"/>
            <w:vAlign w:val="bottom"/>
          </w:tcPr>
          <w:p>
            <w:pPr>
              <w:ind w:left="20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985</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434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Common stock withheld related to</w:t>
            </w:r>
          </w:p>
        </w:tc>
        <w:tc>
          <w:tcPr>
            <w:tcW w:w="10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net share settlement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(430 )</w:t>
            </w: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(16,657 )</w:t>
            </w:r>
          </w:p>
        </w:tc>
        <w:tc>
          <w:tcPr>
            <w:tcW w:w="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(16,657 )</w:t>
            </w:r>
          </w:p>
        </w:tc>
        <w:tc>
          <w:tcPr>
            <w:tcW w:w="0" w:type="dxa"/>
            <w:vAlign w:val="bottom"/>
          </w:tcPr>
          <w:p>
            <w:pPr>
              <w:spacing w:after="0"/>
              <w:rPr>
                <w:sz w:val="1"/>
                <w:szCs w:val="1"/>
                <w:color w:val="auto"/>
              </w:rPr>
            </w:pPr>
          </w:p>
        </w:tc>
      </w:tr>
      <w:tr>
        <w:trPr>
          <w:trHeight w:val="162"/>
        </w:trPr>
        <w:tc>
          <w:tcPr>
            <w:tcW w:w="434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3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97"/>
              <w:spacing w:after="0"/>
              <w:rPr>
                <w:sz w:val="20"/>
                <w:szCs w:val="20"/>
                <w:color w:val="auto"/>
              </w:rPr>
            </w:pPr>
            <w:r>
              <w:rPr>
                <w:rFonts w:ascii="Arial" w:cs="Arial" w:eastAsia="Arial" w:hAnsi="Arial"/>
                <w:sz w:val="13"/>
                <w:szCs w:val="13"/>
                <w:color w:val="auto"/>
              </w:rPr>
              <w:t>(18,069 )</w:t>
            </w: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(18,069 )</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398,681</w:t>
            </w:r>
          </w:p>
        </w:tc>
        <w:tc>
          <w:tcPr>
            <w:tcW w:w="26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ind w:right="83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2,222,150</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(1,375,793</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846,396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-24765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-7620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0" w:type="dxa"/>
            <w:vAlign w:val="bottom"/>
            <w:gridSpan w:val="3"/>
          </w:tcPr>
          <w:p>
            <w:pPr>
              <w:jc w:val="right"/>
              <w:ind w:right="13"/>
              <w:spacing w:after="0"/>
              <w:rPr>
                <w:sz w:val="20"/>
                <w:szCs w:val="20"/>
                <w:color w:val="auto"/>
              </w:rPr>
            </w:pPr>
            <w:r>
              <w:rPr>
                <w:rFonts w:ascii="Arial" w:cs="Arial" w:eastAsia="Arial" w:hAnsi="Arial"/>
                <w:sz w:val="13"/>
                <w:szCs w:val="13"/>
                <w:b w:val="1"/>
                <w:bCs w:val="1"/>
                <w:color w:val="auto"/>
              </w:rPr>
              <w:t>Nine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3"/>
                <w:szCs w:val="13"/>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(30,856 )</w:t>
            </w:r>
          </w:p>
        </w:tc>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14,660</w:t>
            </w:r>
          </w:p>
        </w:tc>
        <w:tc>
          <w:tcPr>
            <w:tcW w:w="100" w:type="dxa"/>
            <w:vAlign w:val="bottom"/>
          </w:tcPr>
          <w:p>
            <w:pPr>
              <w:spacing w:after="0"/>
              <w:rPr>
                <w:sz w:val="15"/>
                <w:szCs w:val="15"/>
                <w:color w:val="auto"/>
              </w:rPr>
            </w:pPr>
          </w:p>
        </w:tc>
      </w:tr>
      <w:tr>
        <w:trPr>
          <w:trHeight w:val="122"/>
        </w:trPr>
        <w:tc>
          <w:tcPr>
            <w:tcW w:w="776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Adjustments to reconcile net (loss) income to net cash provided by</w:t>
            </w:r>
          </w:p>
        </w:tc>
        <w:tc>
          <w:tcPr>
            <w:tcW w:w="36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88"/>
        </w:trPr>
        <w:tc>
          <w:tcPr>
            <w:tcW w:w="77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operating activities:</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38,644</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23,891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2,562</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2,586</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2,314</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2,451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90,820</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127,182</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16,857</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(141 )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(33,217 )</w:t>
            </w:r>
          </w:p>
        </w:tc>
      </w:tr>
      <w:tr>
        <w:trPr>
          <w:trHeight w:val="175"/>
        </w:trPr>
        <w:tc>
          <w:tcPr>
            <w:tcW w:w="7760" w:type="dxa"/>
            <w:vAlign w:val="bottom"/>
          </w:tcPr>
          <w:p>
            <w:pPr>
              <w:ind w:left="200"/>
              <w:spacing w:after="0"/>
              <w:rPr>
                <w:sz w:val="20"/>
                <w:szCs w:val="20"/>
                <w:color w:val="auto"/>
              </w:rPr>
            </w:pPr>
            <w:r>
              <w:rPr>
                <w:rFonts w:ascii="Arial" w:cs="Arial" w:eastAsia="Arial" w:hAnsi="Arial"/>
                <w:sz w:val="13"/>
                <w:szCs w:val="13"/>
                <w:color w:val="auto"/>
              </w:rPr>
              <w:t>Loss on abandonment of operating lease assets</w:t>
            </w:r>
          </w:p>
        </w:tc>
        <w:tc>
          <w:tcPr>
            <w:tcW w:w="360" w:type="dxa"/>
            <w:vAlign w:val="bottom"/>
          </w:tcPr>
          <w:p>
            <w:pPr>
              <w:spacing w:after="0"/>
              <w:rPr>
                <w:sz w:val="15"/>
                <w:szCs w:val="15"/>
                <w:color w:val="auto"/>
              </w:rPr>
            </w:pPr>
          </w:p>
        </w:tc>
        <w:tc>
          <w:tcPr>
            <w:tcW w:w="14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(2,370 )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(24,380 )</w:t>
            </w:r>
          </w:p>
        </w:tc>
      </w:tr>
      <w:tr>
        <w:trPr>
          <w:trHeight w:val="175"/>
        </w:trPr>
        <w:tc>
          <w:tcPr>
            <w:tcW w:w="77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Prepaid expenses and other assets</w:t>
            </w: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(3,137 )</w:t>
            </w: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5,696</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(8,011 )</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4,322</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9,097</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5,311</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Arial" w:cs="Arial" w:eastAsia="Arial" w:hAnsi="Arial"/>
                <w:sz w:val="13"/>
                <w:szCs w:val="13"/>
                <w:color w:val="auto"/>
              </w:rPr>
              <w:t>Operating lease liabilities</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(3,415 )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(1,501 )</w:t>
            </w:r>
          </w:p>
        </w:tc>
      </w:tr>
      <w:tr>
        <w:trPr>
          <w:trHeight w:val="175"/>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Other liabilities</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2,537</w:t>
            </w:r>
          </w:p>
        </w:tc>
        <w:tc>
          <w:tcPr>
            <w:tcW w:w="26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60" w:type="dxa"/>
            <w:vAlign w:val="bottom"/>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114,901</w:t>
            </w: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128,969</w:t>
            </w:r>
          </w:p>
        </w:tc>
        <w:tc>
          <w:tcPr>
            <w:tcW w:w="10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(3,817 )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(3,764 )</w:t>
            </w: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Acquisitions, net of cash acquired</w:t>
            </w: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(156,853 )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(140,268 )</w:t>
            </w: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Capitalized software</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(36,107 )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(21,434 )</w:t>
            </w: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 in minority equity interest</w:t>
            </w: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(15,007 )</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(4,008 )</w:t>
            </w:r>
          </w:p>
        </w:tc>
      </w:tr>
      <w:tr>
        <w:trPr>
          <w:trHeight w:val="20"/>
        </w:trPr>
        <w:tc>
          <w:tcPr>
            <w:tcW w:w="77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6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tcPr>
          <w:p>
            <w:pPr>
              <w:spacing w:after="0"/>
              <w:rPr>
                <w:sz w:val="14"/>
                <w:szCs w:val="14"/>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(211,784 )</w:t>
            </w:r>
          </w:p>
        </w:tc>
        <w:tc>
          <w:tcPr>
            <w:tcW w:w="5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(169,474 )</w:t>
            </w:r>
          </w:p>
        </w:tc>
      </w:tr>
      <w:tr>
        <w:trPr>
          <w:trHeight w:val="169"/>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Payments on long-term debt</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(5,272 )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(5,272 )</w:t>
            </w: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for contingent consideration</w:t>
            </w:r>
          </w:p>
        </w:tc>
        <w:tc>
          <w:tcPr>
            <w:tcW w:w="36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(832 )</w:t>
            </w: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Repurchases of Class A common stock</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(101,721 )</w:t>
            </w:r>
          </w:p>
        </w:tc>
        <w:tc>
          <w:tcPr>
            <w:tcW w:w="560" w:type="dxa"/>
            <w:vAlign w:val="bottom"/>
          </w:tcPr>
          <w:p>
            <w:pPr>
              <w:spacing w:after="0"/>
              <w:rPr>
                <w:sz w:val="15"/>
                <w:szCs w:val="15"/>
                <w:color w:val="auto"/>
              </w:rPr>
            </w:pPr>
          </w:p>
        </w:tc>
        <w:tc>
          <w:tcPr>
            <w:tcW w:w="112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9,110</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29,715</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360" w:type="dxa"/>
            <w:vAlign w:val="bottom"/>
          </w:tcPr>
          <w:p>
            <w:pPr>
              <w:spacing w:after="0"/>
              <w:rPr>
                <w:sz w:val="15"/>
                <w:szCs w:val="15"/>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(17,557 )</w:t>
            </w:r>
          </w:p>
        </w:tc>
        <w:tc>
          <w:tcPr>
            <w:tcW w:w="5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(42,674 )</w:t>
            </w:r>
          </w:p>
        </w:tc>
      </w:tr>
      <w:tr>
        <w:trPr>
          <w:trHeight w:val="169"/>
        </w:trPr>
        <w:tc>
          <w:tcPr>
            <w:tcW w:w="77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(115,440</w:t>
            </w:r>
          </w:p>
        </w:tc>
        <w:tc>
          <w:tcPr>
            <w:tcW w:w="260" w:type="dxa"/>
            <w:vAlign w:val="bottom"/>
            <w:tcBorders>
              <w:bottom w:val="single" w:sz="8" w:color="CFF0FC"/>
            </w:tcBorders>
            <w:shd w:val="clear" w:color="auto" w:fill="CFF0FC"/>
          </w:tcPr>
          <w:p>
            <w:pPr>
              <w:jc w:val="right"/>
              <w:ind w:right="133"/>
              <w:spacing w:after="0"/>
              <w:rPr>
                <w:sz w:val="20"/>
                <w:szCs w:val="20"/>
                <w:color w:val="auto"/>
              </w:rPr>
            </w:pPr>
            <w:r>
              <w:rPr>
                <w:rFonts w:ascii="Arial" w:cs="Arial" w:eastAsia="Arial" w:hAnsi="Arial"/>
                <w:sz w:val="13"/>
                <w:szCs w:val="13"/>
                <w:color w:val="auto"/>
                <w:w w:val="91"/>
              </w:rPr>
              <w:t>)</w:t>
            </w: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(19,063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r>
      <w:tr>
        <w:trPr>
          <w:trHeight w:val="169"/>
        </w:trPr>
        <w:tc>
          <w:tcPr>
            <w:tcW w:w="7760" w:type="dxa"/>
            <w:vAlign w:val="bottom"/>
          </w:tcPr>
          <w:p>
            <w:pPr>
              <w:ind w:left="560"/>
              <w:spacing w:after="0"/>
              <w:rPr>
                <w:sz w:val="20"/>
                <w:szCs w:val="20"/>
                <w:color w:val="auto"/>
              </w:rPr>
            </w:pPr>
            <w:r>
              <w:rPr>
                <w:rFonts w:ascii="Arial" w:cs="Arial" w:eastAsia="Arial" w:hAnsi="Arial"/>
                <w:sz w:val="13"/>
                <w:szCs w:val="13"/>
                <w:color w:val="auto"/>
              </w:rPr>
              <w:t>Net change in cash, cash equivalents and restricted cash</w:t>
            </w:r>
          </w:p>
        </w:tc>
        <w:tc>
          <w:tcPr>
            <w:tcW w:w="360" w:type="dxa"/>
            <w:vAlign w:val="bottom"/>
          </w:tcPr>
          <w:p>
            <w:pPr>
              <w:spacing w:after="0"/>
              <w:rPr>
                <w:sz w:val="14"/>
                <w:szCs w:val="14"/>
                <w:color w:val="auto"/>
              </w:rPr>
            </w:pPr>
          </w:p>
        </w:tc>
        <w:tc>
          <w:tcPr>
            <w:tcW w:w="1440" w:type="dxa"/>
            <w:vAlign w:val="bottom"/>
            <w:gridSpan w:val="2"/>
          </w:tcPr>
          <w:p>
            <w:pPr>
              <w:jc w:val="right"/>
              <w:ind w:right="133"/>
              <w:spacing w:after="0"/>
              <w:rPr>
                <w:sz w:val="20"/>
                <w:szCs w:val="20"/>
                <w:color w:val="auto"/>
              </w:rPr>
            </w:pPr>
            <w:r>
              <w:rPr>
                <w:rFonts w:ascii="Arial" w:cs="Arial" w:eastAsia="Arial" w:hAnsi="Arial"/>
                <w:sz w:val="13"/>
                <w:szCs w:val="13"/>
                <w:color w:val="auto"/>
              </w:rPr>
              <w:t>(212,323 )</w:t>
            </w:r>
          </w:p>
        </w:tc>
        <w:tc>
          <w:tcPr>
            <w:tcW w:w="5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(59,568 )</w:t>
            </w: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941,109</w:t>
            </w: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971,591</w:t>
            </w:r>
          </w:p>
        </w:tc>
        <w:tc>
          <w:tcPr>
            <w:tcW w:w="100" w:type="dxa"/>
            <w:vAlign w:val="bottom"/>
          </w:tcPr>
          <w:p>
            <w:pPr>
              <w:spacing w:after="0"/>
              <w:rPr>
                <w:sz w:val="15"/>
                <w:szCs w:val="15"/>
                <w:color w:val="auto"/>
              </w:rPr>
            </w:pP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End of period</w:t>
            </w:r>
          </w:p>
        </w:tc>
        <w:tc>
          <w:tcPr>
            <w:tcW w:w="360" w:type="dxa"/>
            <w:vAlign w:val="bottom"/>
            <w:tcBorders>
              <w:bottom w:val="single" w:sz="8" w:color="auto"/>
            </w:tcBorders>
            <w:shd w:val="clear" w:color="auto" w:fill="CFF0FC"/>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728,786</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9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912,023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6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2,311</w:t>
            </w:r>
          </w:p>
        </w:tc>
        <w:tc>
          <w:tcPr>
            <w:tcW w:w="260" w:type="dxa"/>
            <w:vAlign w:val="bottom"/>
          </w:tcPr>
          <w:p>
            <w:pPr>
              <w:spacing w:after="0"/>
              <w:rPr>
                <w:sz w:val="15"/>
                <w:szCs w:val="15"/>
                <w:color w:val="auto"/>
              </w:rPr>
            </w:pPr>
          </w:p>
        </w:tc>
        <w:tc>
          <w:tcPr>
            <w:tcW w:w="56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6,958</w:t>
            </w: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-2533650</wp:posOffset>
            </wp:positionV>
            <wp:extent cx="6858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1282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-1849120</wp:posOffset>
            </wp:positionV>
            <wp:extent cx="6858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128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-470535</wp:posOffset>
            </wp:positionV>
            <wp:extent cx="123317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33170" cy="13716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17"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63"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subscriptions, pharma manufacturer solutions and telehealth services.</w:t>
      </w:r>
    </w:p>
    <w:p>
      <w:pPr>
        <w:spacing w:after="0" w:line="301" w:lineRule="exact"/>
        <w:rPr>
          <w:sz w:val="20"/>
          <w:szCs w:val="20"/>
          <w:color w:val="auto"/>
        </w:rPr>
      </w:pPr>
    </w:p>
    <w:p>
      <w:pPr>
        <w:ind w:right="7260" w:firstLine="8"/>
        <w:spacing w:after="0" w:line="359"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2021 and the related notes, which are included in our Annual Report on Form 10-K filed with the SEC on March 1, 2022 ("2021 10-K"). The December 31, 2021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and nine months ended September 30, 2022 are not necessarily indicative of the results expected for the full year ending December 31, 2022.</w:t>
      </w:r>
    </w:p>
    <w:p>
      <w:pPr>
        <w:spacing w:after="0" w:line="75"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8"/>
          <w:szCs w:val="18"/>
          <w:color w:val="auto"/>
        </w:rPr>
        <w:t>Our significant accounting policies are discussed in “Note 2. Summary of Significant Accounting Policies” in the notes to our consolidated financial statements included in our 2021 10-K. There have been no material changes in accounting policies during the nine months ended September 30, 2022 from those disclosed in the notes to our consolidated financial statements included in our 2021 10-K.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17"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3"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including the impact of a grocery chain that previously did not accept discounted pricing for a subset of drugs from our PBMs starting late in the first quarter of 2022 ("grocer issue");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was addressed in August 2022 and our discounted pricing is currently consistently welcomed at the point of sale by the grocery chain, the sustained effects of the grocer issue on our business, future results of operations and financial condition continue to be difficult to estimate because there are several variables that are highly uncertain including, among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others, consumer response to updated consumer pricing and timing and extent of returning user levels that have yet to be determined.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accounts receivable.</w:t>
      </w:r>
    </w:p>
    <w:p>
      <w:pPr>
        <w:spacing w:after="0" w:line="58"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We have not experienced any losses in such accounts. We consider all short-term, highly liquid investments purchased with an original maturity of three months or less at the date of purchase to be cash equivalents. Cash equivalents, consisting of money market funds, of $642.5 million and $852.5 million at September 30, 2022 and December 31, 2021, respectively, are classified as Level 1 of the fair value hierarchy and valued using quoted market prices in active markets.</w:t>
      </w:r>
    </w:p>
    <w:p>
      <w:pPr>
        <w:spacing w:after="0" w:line="72"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We extend credit to our customers based on an evaluation of their ability to pay amounts due under contractual arrangements and generally do not obtain or require collateral. For the three months ended September 30, 2022, one customer accounted for approximately 13% of our revenue. For the three months ended September 30, 2021, two customers accounted for approximately 14% and 10% of our revenue. For the nine months ended September 30, 2022, one customer accounted for approximately 13% of our revenue. For the nine months ended September 30, 2021, three customers accounted for approximately 13%, 12% and 10% of our revenue. At September 30, 2022 and December 31, 2021, no customer accounted for more than 10% of our accounts receivable balance.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17"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Accounting Standards Codification ("ASC") Topic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 Equity investments included in other assets on our accompanying condensed consolidated balance sheets as of September 30, 2022 and December 31, 2021 are $19.0 million and $4.0 million, respectively. We did not recognize any changes resulting from observable price changes or impairment loss during the three and nine months ended September 30, 2022.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01"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which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and contract liabilities acquired in a business combination to be recognized and measured by the acquirer on the acquisition date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current GAAP, an acquirer generally recognizes assets acquired and liabilities assumed in a business combination, including contract assets and contract liabilities arising from revenue contracts with customers, at fair value on the acquisition date. This ASU results in the acquirer recording acquired contract assets and liabilities on the same basis that would have been recorded by the acquiree before the acquisition under ASC 606. The amendments in this ASU do not affect the accounting for other assets or liabilities that may arise from revenue contracts with customers in accordance with ASC 606, such as refund liabilities, or in a business combination, such as customer-related intangible assets and contract-based intangible assets. The new guidance is effective for us for annual and interim periods beginning after December 15, 2022. Early adoption of this ASU is permitted, including adoption in an interim period. This update should be applied prospectively to business combinations occurring on or after the effective date of the amendments. We early adopted this guidance on January 1, 2022, and the adoption did not have a material impact to our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on Financial Reporting</w:t>
      </w:r>
      <w:r>
        <w:rPr>
          <w:rFonts w:ascii="Arial" w:cs="Arial" w:eastAsia="Arial" w:hAnsi="Arial"/>
          <w:sz w:val="18"/>
          <w:szCs w:val="18"/>
          <w:color w:val="auto"/>
        </w:rPr>
        <w:t>. The ASU provides optional guidance for a limited period of time to ease the potential burden in accounting for or</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recognizing the effects of reference rate reform on financial reporting. The ASU applies only to contracts, hedging relationships and other transactions that reference LIBO Screen Rate or another reference rate expected to be discontinued because of the reference rate reform. The amendments in this ASU were effective upon issuance and may be applied through December 31, 2022. We adopted this guidance on January 1, 2022, and the adoption did not have a material impact to our consolidated financial statements. We intend to apply this guidance for contract modifications related to the reference rate reform as they occur through December 31,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(Topic 820): Fair Value Measurement of Equity Securities Subject</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to Contractual Sale Restrictions </w:t>
      </w:r>
      <w:r>
        <w:rPr>
          <w:rFonts w:ascii="Arial" w:cs="Arial" w:eastAsia="Arial" w:hAnsi="Arial"/>
          <w:sz w:val="18"/>
          <w:szCs w:val="18"/>
          <w:color w:val="auto"/>
        </w:rPr>
        <w:t>("Topic 820")</w:t>
      </w:r>
      <w:r>
        <w:rPr>
          <w:rFonts w:ascii="Arial" w:cs="Arial" w:eastAsia="Arial" w:hAnsi="Arial"/>
          <w:sz w:val="18"/>
          <w:szCs w:val="18"/>
          <w:i w:val="1"/>
          <w:iCs w:val="1"/>
          <w:color w:val="auto"/>
        </w:rPr>
        <w:t xml:space="preserve">, </w:t>
      </w:r>
      <w:r>
        <w:rPr>
          <w:rFonts w:ascii="Arial" w:cs="Arial" w:eastAsia="Arial" w:hAnsi="Arial"/>
          <w:sz w:val="18"/>
          <w:szCs w:val="18"/>
          <w:color w:val="auto"/>
        </w:rPr>
        <w:t>which clarifies the guidance when measuring the fair value of an equity security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restrictions that prohibit the sale of an equity security and introduces new disclosure requirements for equity securities subject to contractual sale restrictions that are measured at fair value in accordance with Topic 820. The guidance is effective for annual periods beginning after December 15, 2023, including interim periods within those fiscal years. Early adoption is permitted. We are currently evaluating the impact of the new guidance to our consolidated financial statements.</w:t>
      </w:r>
    </w:p>
    <w:p>
      <w:pPr>
        <w:spacing w:after="0" w:line="287" w:lineRule="exact"/>
        <w:rPr>
          <w:sz w:val="20"/>
          <w:szCs w:val="20"/>
          <w:color w:val="auto"/>
        </w:rPr>
      </w:pPr>
    </w:p>
    <w:p>
      <w:pPr>
        <w:ind w:right="8220" w:firstLine="8"/>
        <w:spacing w:after="0" w:line="367"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vitaCare Prescription Services, Inc.</w:t>
      </w:r>
    </w:p>
    <w:p>
      <w:pPr>
        <w:spacing w:after="0" w:line="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On April 14, 2022, we acquired all of the equity interests of vitaCare Prescription Services, Inc. (“vitaCare”) from TherapeuticsMD, Inc. (the "Seller"), the sole stockholder of vitaCare for an initial cash payment of approximately $150.0 million, subject to customary adjustments, and additional payment or adjustment for contingent consideration payable of up to $7.0 million in cash and contingent consideration receivable based upon vitaCare's achievement of certain specified revenue described further below. We incurred a total of $1.6 million of transaction costs associated with this acquisition during 2022 consisting primarily of professional fees which were expensed as incurred and included within general and administrative expenses of our condensed consolidated statement of operations. vitaCare is a prescription technology and service platform that simplifies the prescription fulfillment process for consumers taking brand medications by helping them gain access to therapies and stay on those therapies for as long as medically appropriate. The purpose of the acquisition was to strengthen and expand the services currently available under our existing pharma manufacturer solutions platform.</w:t>
      </w:r>
    </w:p>
    <w:p>
      <w:pPr>
        <w:spacing w:after="0" w:line="83"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 xml:space="preserve">We accounted for the vitaCare acquisition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recorded tangible and intangible assets acquired and liabilities assumed at their estimated fair values as of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 estimated fair values of the acquired intangible assets are determined primarily by using a discounted cash flow method which is a non-recurring fair value measurement based on Level 3 inputs. Goodwill is measured as the excess of purchase consideration over the estimated fair value of tangible and intangible assets acquired and liabilities assumed. The goodwill recorded in connection with this acquisition primarily relates to the expected long-term synergies and other benefits from the acquisition, including the acquired assembled workforce, and is expected to be tax deductible. The acquisition date estimated fair values of the contingent consideration payable and receivable associated with the business combination are based on the amounts of the consideration expected to be transferred or received using significant inputs that are not observable in the market (Level 3 inputs). The contingent consideration payable and receivable are remeasured to their estimated fair values on a recurring basis. Changes in the estimated fair values of the contingent consideration payable and receivable, if any, are recorded within general and administrative expenses in our condensed consolidated statements of operations.</w:t>
      </w:r>
    </w:p>
    <w:p>
      <w:pPr>
        <w:spacing w:after="0" w:line="77"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The acquisition method of accounting for vitaCare remains incomplete with respect to the acquired intangible assets, contingent consideration receivable and payable, as we continue to gather and evaluate information about circumstances that existed as of the acquisition date. The activities we are currently undertaking, include, but are not limited to, the following: review and evaluation of third-party valuations that assist us in determining the estimated fair values of the acquired intangible assets, contingent consideration receivable and payable, which have been measured based on preliminary estimates using assumptions that we believe are reasonable, utilizing information that is currently available. Measurement period adjustments, if any, will be recognized in the reporting period in which the adjustment amounts are determined within twelve months from the acquisition date.</w:t>
      </w:r>
    </w:p>
    <w:p>
      <w:pPr>
        <w:spacing w:after="0" w:line="72"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We also established a management incentive plan under which certain continuing vitaCare employees are eligible to receive up to $10.0 million of additional cash compensation upon achievement of certain performance milestones through 2023. This management incentive plan has been accounted for separately from the business combination, excluded from the estimated purchase consideration, and is recognized as post-combination expense over the performance period to the extent the specified performance milestones are probable of being met.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color w:val="auto"/>
        </w:rPr>
        <w:t>The components of the estimated purchase consideration for vitaCare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Arial" w:cs="Arial" w:eastAsia="Arial" w:hAnsi="Arial"/>
                <w:sz w:val="18"/>
                <w:szCs w:val="18"/>
                <w:color w:val="auto"/>
              </w:rPr>
              <w:t>Fair value of contingent consideration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contingent consideration receivable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(19,741 )</w:t>
            </w:r>
          </w:p>
        </w:tc>
        <w:tc>
          <w:tcPr>
            <w:tcW w:w="0" w:type="dxa"/>
            <w:vAlign w:val="bottom"/>
          </w:tcPr>
          <w:p>
            <w:pPr>
              <w:spacing w:after="0"/>
              <w:rPr>
                <w:sz w:val="1"/>
                <w:szCs w:val="1"/>
                <w:color w:val="auto"/>
              </w:rPr>
            </w:pPr>
          </w:p>
        </w:tc>
      </w:tr>
      <w:tr>
        <w:trPr>
          <w:trHeight w:val="209"/>
        </w:trPr>
        <w:tc>
          <w:tcPr>
            <w:tcW w:w="834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Total estimated purchase consideration</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220"/>
              <w:spacing w:after="0"/>
              <w:rPr>
                <w:sz w:val="20"/>
                <w:szCs w:val="20"/>
                <w:color w:val="auto"/>
              </w:rPr>
            </w:pPr>
            <w:r>
              <w:rPr>
                <w:rFonts w:ascii="Arial" w:cs="Arial" w:eastAsia="Arial" w:hAnsi="Arial"/>
                <w:sz w:val="18"/>
                <w:szCs w:val="18"/>
                <w:color w:val="auto"/>
              </w:rPr>
              <w:t>The preliminary allocation of the estimated purchase consideration for vitaCare is as follows: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(780 )</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140"/>
              <w:spacing w:after="0"/>
              <w:rPr>
                <w:sz w:val="20"/>
                <w:szCs w:val="20"/>
                <w:color w:val="auto"/>
              </w:rPr>
            </w:pPr>
            <w:r>
              <w:rPr>
                <w:rFonts w:ascii="Arial" w:cs="Arial" w:eastAsia="Arial" w:hAnsi="Arial"/>
                <w:sz w:val="18"/>
                <w:szCs w:val="18"/>
                <w:color w:val="auto"/>
              </w:rPr>
              <w:t>Total estimated purchase consideration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940" w:type="dxa"/>
            <w:vAlign w:val="bottom"/>
            <w:gridSpan w:val="6"/>
          </w:tcPr>
          <w:p>
            <w:pPr>
              <w:ind w:left="220"/>
              <w:spacing w:after="0"/>
              <w:rPr>
                <w:sz w:val="20"/>
                <w:szCs w:val="20"/>
                <w:color w:val="auto"/>
              </w:rPr>
            </w:pPr>
            <w:r>
              <w:rPr>
                <w:rFonts w:ascii="Arial" w:cs="Arial" w:eastAsia="Arial" w:hAnsi="Arial"/>
                <w:sz w:val="18"/>
                <w:szCs w:val="18"/>
                <w:color w:val="auto"/>
              </w:rPr>
              <w:t>The preliminary amounts assigned to the acquired intangible assets and their estimated useful lives are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 Useful</w:t>
            </w:r>
          </w:p>
        </w:tc>
        <w:tc>
          <w:tcPr>
            <w:tcW w:w="0" w:type="dxa"/>
            <w:vAlign w:val="bottom"/>
          </w:tcPr>
          <w:p>
            <w:pPr>
              <w:spacing w:after="0"/>
              <w:rPr>
                <w:sz w:val="1"/>
                <w:szCs w:val="1"/>
                <w:color w:val="auto"/>
              </w:rPr>
            </w:pPr>
          </w:p>
        </w:tc>
      </w:tr>
      <w:tr>
        <w:trPr>
          <w:trHeight w:val="148"/>
        </w:trPr>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right"/>
              <w:ind w:right="630"/>
              <w:spacing w:after="0" w:line="14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85"/>
        </w:trPr>
        <w:tc>
          <w:tcPr>
            <w:tcW w:w="83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8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340" w:type="dxa"/>
            <w:vAlign w:val="bottom"/>
          </w:tcPr>
          <w:p>
            <w:pPr>
              <w:ind w:left="220"/>
              <w:spacing w:after="0"/>
              <w:rPr>
                <w:sz w:val="20"/>
                <w:szCs w:val="20"/>
                <w:color w:val="auto"/>
              </w:rPr>
            </w:pPr>
            <w:r>
              <w:rPr>
                <w:rFonts w:ascii="Arial" w:cs="Arial" w:eastAsia="Arial" w:hAnsi="Arial"/>
                <w:sz w:val="18"/>
                <w:szCs w:val="18"/>
                <w:i w:val="1"/>
                <w:iCs w:val="1"/>
                <w:color w:val="auto"/>
              </w:rPr>
              <w:t xml:space="preserve">Contingent Consideration Payable </w:t>
            </w:r>
            <w:r>
              <w:rPr>
                <w:rFonts w:ascii="Arial" w:cs="Arial" w:eastAsia="Arial" w:hAnsi="Arial"/>
                <w:sz w:val="18"/>
                <w:szCs w:val="18"/>
                <w:color w:val="auto"/>
              </w:rPr>
              <w:t>- The contingent consideration payable of up to $7.0 million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cash is based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upon vitaCare's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-3269615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-1694180</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-375285</wp:posOffset>
            </wp:positionV>
            <wp:extent cx="7683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-375285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jc w:val="both"/>
        <w:spacing w:after="0"/>
        <w:rPr>
          <w:sz w:val="20"/>
          <w:szCs w:val="20"/>
          <w:color w:val="auto"/>
        </w:rPr>
      </w:pPr>
      <w:r>
        <w:rPr>
          <w:rFonts w:ascii="Arial" w:cs="Arial" w:eastAsia="Arial" w:hAnsi="Arial"/>
          <w:sz w:val="18"/>
          <w:szCs w:val="18"/>
          <w:color w:val="auto"/>
        </w:rPr>
        <w:t>achievement of certain specified revenue results through 2023 as stipulated by the purchase agreement. The estimated fair value of the contingent consideration payable is based on the present value of the expected future payments to be made to the Seller using an option pricing model. As of September 30, 2022, no future contingent payments are expected to be made to the Seller as vitaCare's achievement of the specified revenue results through 2023 are no longer probable of being met. The change in the fair value of the contingent consideration payable of approximately $1.8 million and $1.7 million for the three and nine months ended September 30, 2022, respectively, were recorded within general and administrative expenses in our accompanying condensed consolidated statements of operations.</w:t>
      </w:r>
    </w:p>
    <w:p>
      <w:pPr>
        <w:spacing w:after="0" w:line="75"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i w:val="1"/>
          <w:iCs w:val="1"/>
          <w:color w:val="auto"/>
        </w:rPr>
        <w:t xml:space="preserve">Contingent Consideration Receivable </w:t>
      </w:r>
      <w:r>
        <w:rPr>
          <w:rFonts w:ascii="Arial" w:cs="Arial" w:eastAsia="Arial" w:hAnsi="Arial"/>
          <w:sz w:val="18"/>
          <w:szCs w:val="18"/>
          <w:color w:val="auto"/>
        </w:rPr>
        <w:t>- vitaCare entered into a commercial agreement with the Seller in connection with the acquisition.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and conditions of the commercial agreement, the Seller is required to compensate vitaCare for certain pharmacy services over an initial 5-year term following the acquisition, with annual minimum guaranteed payments over the 5-year term totaling $66.3 million. The estimated fair value of the contingent consideration receivable at the acquisition date and as of June 30, 2022 were based on the present value of the expected future annual minimum guaranteed payments in excess of the estimated fair value of pharmacy services expected to be provided to the Seller for each respective year over the initial 5-year term and contains significant unobservable inputs (Level 3 inputs). Key inputs used in this estimate include projected revenue and a discount rate which incorporate the risk of achievement associated with the forecasts and the credit risk of the Seller. Significant changes in the projected revenue or discount rate would result in a significantly higher or lower fair value measurement. As of September 30, 2022, the fair value of the contingent consideration receivable was remeasured based on a probability weighting certain scenarios which incorporates the increased risk of collectability of the contingent consideration principally due to certain events that occurred during the three months ended September 30, 2022 with respect to the Seller's financing activities that we believe cast substantial doubt on the Seller's ability to pay. Scenarios in the fair value remeasurement include (i) the Seller is no longer able to pay the contingent consideration, and (ii) the Seller obtains sufficient funding to pay the obligations and achieves the projected revenue over the 5-year term. The key inputs used in this estimate are the probabilities applied to the above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two assumed scenarios. A significant change in the probability weighting would result in a significantly higher fair value measurement.</w:t>
      </w:r>
    </w:p>
    <w:p>
      <w:pPr>
        <w:spacing w:after="0" w:line="117" w:lineRule="exact"/>
        <w:rPr>
          <w:sz w:val="20"/>
          <w:szCs w:val="20"/>
          <w:color w:val="auto"/>
        </w:rPr>
      </w:pPr>
    </w:p>
    <w:p>
      <w:pPr>
        <w:jc w:val="both"/>
        <w:ind w:right="20" w:firstLine="273"/>
        <w:spacing w:after="0" w:line="271" w:lineRule="auto"/>
        <w:rPr>
          <w:sz w:val="20"/>
          <w:szCs w:val="20"/>
          <w:color w:val="auto"/>
        </w:rPr>
      </w:pPr>
      <w:r>
        <w:rPr>
          <w:rFonts w:ascii="Arial" w:cs="Arial" w:eastAsia="Arial" w:hAnsi="Arial"/>
          <w:sz w:val="18"/>
          <w:szCs w:val="18"/>
          <w:color w:val="auto"/>
        </w:rPr>
        <w:t>The following table shows a reconciliation of the beginning and ending fair value of the contingent consideration receivable during the three and nine months ended September 30,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48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30, 2022</w:t>
            </w:r>
          </w:p>
        </w:tc>
      </w:tr>
      <w:tr>
        <w:trPr>
          <w:trHeight w:val="20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19,632</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Arial" w:cs="Arial" w:eastAsia="Arial" w:hAnsi="Arial"/>
                <w:sz w:val="18"/>
                <w:szCs w:val="18"/>
                <w:color w:val="auto"/>
              </w:rPr>
              <w:t>vitaCare acquisition</w:t>
            </w:r>
          </w:p>
        </w:tc>
        <w:tc>
          <w:tcPr>
            <w:tcW w:w="12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19,741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fair value</w:t>
            </w:r>
          </w:p>
        </w:tc>
        <w:tc>
          <w:tcPr>
            <w:tcW w:w="1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(18,432 )</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(18,541 )</w:t>
            </w:r>
          </w:p>
        </w:tc>
      </w:tr>
      <w:tr>
        <w:trPr>
          <w:trHeight w:val="209"/>
        </w:trPr>
        <w:tc>
          <w:tcPr>
            <w:tcW w:w="74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FF0FC"/>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-170815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The following table reflects the pro forma unaudited consolidated results of operations for the periods presented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from as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3"/>
          </w:tcPr>
          <w:p>
            <w:pPr>
              <w:jc w:val="center"/>
              <w:ind w:left="601"/>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3"/>
          </w:tcPr>
          <w:p>
            <w:pPr>
              <w:jc w:val="center"/>
              <w:ind w:left="601"/>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3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601"/>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187,318</w:t>
            </w: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195,299</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583,016</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532,784</w:t>
            </w:r>
          </w:p>
        </w:tc>
        <w:tc>
          <w:tcPr>
            <w:tcW w:w="100" w:type="dxa"/>
            <w:vAlign w:val="bottom"/>
            <w:shd w:val="clear" w:color="auto" w:fill="CFF0FC"/>
          </w:tcPr>
          <w:p>
            <w:pPr>
              <w:spacing w:after="0"/>
              <w:rPr>
                <w:sz w:val="18"/>
                <w:szCs w:val="18"/>
                <w:color w:val="auto"/>
              </w:rPr>
            </w:pPr>
          </w:p>
        </w:tc>
      </w:tr>
      <w:tr>
        <w:trPr>
          <w:trHeight w:val="239"/>
        </w:trPr>
        <w:tc>
          <w:tcPr>
            <w:tcW w:w="352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(41,734 )</w:t>
            </w:r>
          </w:p>
        </w:tc>
        <w:tc>
          <w:tcPr>
            <w:tcW w:w="5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(26,719 )</w:t>
            </w:r>
          </w:p>
        </w:tc>
        <w:tc>
          <w:tcPr>
            <w:tcW w:w="3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(38,929 )</w:t>
            </w:r>
          </w:p>
        </w:tc>
        <w:tc>
          <w:tcPr>
            <w:tcW w:w="5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(11,544 )</w:t>
            </w:r>
          </w:p>
        </w:tc>
      </w:tr>
    </w:tbl>
    <w:p>
      <w:pPr>
        <w:spacing w:after="0" w:line="66"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vitaCare's revenue for the three and nine months ended September 30, 2022 of $2.0 million and $3.4 million, respectively, is included in our accompanying condensed consolidated statements of operations. Disclosure of the standalone earnings or loss of vitaCare is not practicable as expenses associated with significant back-office, product development and technology and go-to-market processes of the vitaCare business have been substantially integrated into our consolidated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flipMD, Inc.</w:t>
      </w:r>
    </w:p>
    <w:p>
      <w:pPr>
        <w:spacing w:after="0" w:line="117"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On February 18, 2022, we acquired all of the equity interests of flipMD, Inc. ("flipMD") for $7.0 million in cash, subject to customary closing adjustments. flipMD is a marketplace connecting practicing physicians with organizations seeking on-demand medical expertise and expands both our engagement with healthcare providers and services currently available under our existing pharma manufacturer solutions platform. Unaudited supplemental pro forma financial information and the revenue and earnings from the acquisition date through September 30, 2022 for the flipMD acquisition has not been presented because the effects are not material to our condensed consolidated financial statements.</w:t>
      </w:r>
    </w:p>
    <w:p>
      <w:pPr>
        <w:spacing w:after="0" w:line="68" w:lineRule="exact"/>
        <w:rPr>
          <w:sz w:val="20"/>
          <w:szCs w:val="20"/>
          <w:color w:val="auto"/>
        </w:rPr>
      </w:pPr>
    </w:p>
    <w:p>
      <w:pPr>
        <w:jc w:val="both"/>
        <w:ind w:right="20" w:firstLine="210"/>
        <w:spacing w:after="0" w:line="286" w:lineRule="auto"/>
        <w:rPr>
          <w:sz w:val="20"/>
          <w:szCs w:val="20"/>
          <w:color w:val="auto"/>
        </w:rPr>
      </w:pPr>
      <w:r>
        <w:rPr>
          <w:rFonts w:ascii="Arial" w:cs="Arial" w:eastAsia="Arial" w:hAnsi="Arial"/>
          <w:sz w:val="18"/>
          <w:szCs w:val="18"/>
          <w:color w:val="auto"/>
        </w:rPr>
        <w:t>The acquisition method of accounting for the flipMD acquisition remains incomplete. Measurement period adjustments, if any, will be recognized in the reporting period in which the adjustment amounts are determined within twelve months from the acquisition date.</w:t>
      </w:r>
    </w:p>
    <w:p>
      <w:pPr>
        <w:spacing w:after="0" w:line="24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receivable</w:t>
            </w:r>
          </w:p>
        </w:tc>
        <w:tc>
          <w:tcPr>
            <w:tcW w:w="29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Contingent consideration receivable</w:t>
            </w:r>
          </w:p>
        </w:tc>
        <w:tc>
          <w:tcPr>
            <w:tcW w:w="2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3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28,716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4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7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-650240</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3" w:name="page14"/>
    <w:bookmarkEnd w:id="13"/>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16"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Accrued expenses and other current liabilities consist of the following:</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bonus and other payroll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Accrued marketing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00" w:type="dxa"/>
            <w:vAlign w:val="bottom"/>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r>
      <w:tr>
        <w:trPr>
          <w:trHeight w:val="190"/>
        </w:trPr>
        <w:tc>
          <w:tcPr>
            <w:tcW w:w="200" w:type="dxa"/>
            <w:vAlign w:val="bottom"/>
          </w:tcPr>
          <w:p>
            <w:pPr>
              <w:jc w:val="right"/>
              <w:ind w:right="10"/>
              <w:spacing w:after="0" w:line="190"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0" w:lineRule="exact"/>
              <w:rPr>
                <w:sz w:val="20"/>
                <w:szCs w:val="20"/>
                <w:color w:val="auto"/>
              </w:rPr>
            </w:pPr>
            <w:r>
              <w:rPr>
                <w:rFonts w:ascii="Arial" w:cs="Arial" w:eastAsia="Arial" w:hAnsi="Arial"/>
                <w:sz w:val="18"/>
                <w:szCs w:val="18"/>
                <w:color w:val="auto"/>
              </w:rPr>
              <w:t>21,900</w:t>
            </w:r>
          </w:p>
        </w:tc>
        <w:tc>
          <w:tcPr>
            <w:tcW w:w="260" w:type="dxa"/>
            <w:vAlign w:val="bottom"/>
          </w:tcPr>
          <w:p>
            <w:pPr>
              <w:spacing w:after="0"/>
              <w:rPr>
                <w:sz w:val="16"/>
                <w:szCs w:val="16"/>
                <w:color w:val="auto"/>
              </w:rPr>
            </w:pPr>
          </w:p>
        </w:tc>
        <w:tc>
          <w:tcPr>
            <w:tcW w:w="22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24,031</w:t>
            </w:r>
          </w:p>
        </w:tc>
      </w:tr>
      <w:tr>
        <w:trPr>
          <w:trHeight w:val="216"/>
        </w:trPr>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15,493</w:t>
            </w:r>
          </w:p>
        </w:tc>
      </w:tr>
      <w:tr>
        <w:trPr>
          <w:trHeight w:val="216"/>
        </w:trPr>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6,869</w:t>
            </w:r>
          </w:p>
        </w:tc>
      </w:tr>
      <w:tr>
        <w:trPr>
          <w:trHeight w:val="235"/>
        </w:trPr>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11,444</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4,339</w:t>
            </w:r>
          </w:p>
        </w:tc>
      </w:tr>
      <w:tr>
        <w:trPr>
          <w:trHeight w:val="209"/>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61,025</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980" w:space="720"/>
            <w:col w:w="3540"/>
          </w:cols>
          <w:pgMar w:left="320" w:top="647" w:right="339" w:bottom="1440" w:gutter="0" w:footer="0" w:header="0"/>
        </w:sectPr>
      </w:pPr>
    </w:p>
    <w:p>
      <w:pPr>
        <w:jc w:val="both"/>
        <w:ind w:firstLine="210"/>
        <w:spacing w:after="0" w:line="251" w:lineRule="auto"/>
        <w:rPr>
          <w:sz w:val="20"/>
          <w:szCs w:val="20"/>
          <w:color w:val="auto"/>
        </w:rPr>
      </w:pPr>
      <w:r>
        <w:rPr>
          <w:rFonts w:ascii="Arial" w:cs="Arial" w:eastAsia="Arial" w:hAnsi="Arial"/>
          <w:sz w:val="18"/>
          <w:szCs w:val="18"/>
          <w:color w:val="auto"/>
        </w:rPr>
        <w:t>Deferred revenue represents payments received in advance of providing services for subscriptions and certain advertising contracts with customers. We expect substantially all of the deferred revenue at September 30, 2022 will be recognized as revenue within the subsequent twelve months. Of the $6.9 million of deferred revenue at December 31, 2021, $0.7 million and $6.5 million were recognized as revenue during the three and nine months ended September 30, 2022, respectively. Revenue recognized during the three and nine months ended September 30, 2021 of $0.8 million and $6.5 million, respectively, was included as deferred revenue at December 31,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03"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 In interim periods when a reliable estimate of the annual effective tax rate cannot be made, we calculate income taxes by applying the discrete effective tax rate method which treats the year-to-date period as if it were the annual period and determine the interim income taxes on that basis.</w:t>
      </w:r>
    </w:p>
    <w:p>
      <w:pPr>
        <w:spacing w:after="0" w:line="65"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For the three and nine months ended September 30, 2022, we calculated interim income taxes by applying an estimated annual effective income tax rate to year-to-date income or loss before income taxes and by calculating the tax effect of discrete items recognized during such periods. For the three and nine months ended September 30, 2021, we calculated interim income taxes by applying the discrete effective tax rate method because a reliable estimate of the annual effective tax rate could not be made due to forecasted level of profitability for the year and significant permanent differences that could result in wide variability in income tax expense or benefit and, hence, the estimated annual effective tax rate.</w:t>
      </w:r>
    </w:p>
    <w:p>
      <w:pPr>
        <w:spacing w:after="0" w:line="65"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The effective income tax rate was (87.4%) and 1,766.9% for the three months ended September 30, 2022 and 2021, respectively. The effective income tax rate was (66.9%) and 191.4% for the nine months ended September 30, 2022 and 2021, respectively. The primary differences between our effective income tax rates and the federal statutory tax rate for the three and nine months ended September 30, 2022 and 2021 are due to the effects of non-deductible officers’ stock-based compensation expense, state income taxes, benefits from research and development tax credits and excess tax benefits from our equity awards. The effective income tax rate for the three and nine months ended September 30, 2022 was further impacted by the valuation allowance on our net deferred tax assets.</w:t>
      </w:r>
    </w:p>
    <w:p>
      <w:pPr>
        <w:spacing w:after="0" w:line="86"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We consider all available evidence, both positive and negative in assessing the extent to which a valuation allowance should be applied against our net deferred tax assets. Due to cumulative three-year pre-tax losses adjusted for permanent adjustments, primarily from substantial excess tax benefits realized mainly in 2021 from the exercise of stock options granted prior to our initial public offering ("IPO"), we maintain a full valuation allowance against our net deferred tax assets in excess of tax amortizable goodwill as of September 30, 2022.</w:t>
      </w:r>
    </w:p>
    <w:p>
      <w:pPr>
        <w:spacing w:after="0" w:line="65"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Our judgment regarding the need of a valuation allowance may reasonably change in the next twelve months. The exact timing and amount of any release of the valuation allowance is subject to change depending on the level of tax profitability that we achieve, changes in tax laws or regulations, and price fluctuations of our Class A common stock and its related effects on future excess tax benefits from outstanding stock options.</w:t>
      </w:r>
    </w:p>
    <w:p>
      <w:pPr>
        <w:spacing w:after="0" w:line="65"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As of December 31, 2021, we had unrecognized tax benefits of $14.8 million, of which approximately $5.1 million of unrecognized tax benefits, if recognized, would impact the effective income tax rate. The remaining $9.7 million of unrecognized tax benefits would not impact the effective income tax rate to the extent that we continue to maintain a full valuation allowance against our net deferred tax assets. There were no significant changes to our unrecognized tax benefits during the three and nine months ended September 30, 2022, and we do not expect to have any significant changes to unrecognized tax benefits through the end of 2022.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type w:val="continuous"/>
        </w:sectPr>
      </w:pPr>
    </w:p>
    <w:bookmarkStart w:id="14" w:name="page15"/>
    <w:bookmarkEnd w:id="14"/>
    <w:p>
      <w:pPr>
        <w:jc w:val="both"/>
        <w:ind w:firstLine="210"/>
        <w:spacing w:after="0" w:line="251" w:lineRule="auto"/>
        <w:rPr>
          <w:sz w:val="20"/>
          <w:szCs w:val="20"/>
          <w:color w:val="auto"/>
        </w:rPr>
      </w:pPr>
      <w:r>
        <w:rPr>
          <w:rFonts w:ascii="Arial" w:cs="Arial" w:eastAsia="Arial" w:hAnsi="Arial"/>
          <w:sz w:val="18"/>
          <w:szCs w:val="18"/>
          <w:color w:val="auto"/>
        </w:rPr>
        <w:t>On August 16, 2022, the Inflation Reduction Act of 2022 (“IRA”) was signed into law. The IRA contains a number of revisions to the Internal Revenue Code, including a 15% corporate minimum income tax and a 1% excise tax on corporate stock repurchases in tax years beginning after December 31, 2022. We are in the process of evaluating the provisions of the IRA, but we do not currently believe the IRA will have a material impact on our financial results.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03"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We have a term loan with an original principal amount of $700.0 million (the “First Lien Term Loan Facility”) under our first lien credit agreement (the “First Lien Credit Agreement”) obtained through our wholly owned subsidiary, GoodRx, as borrower and collateralized by substantially all of our assets and 100% of the equity of GoodRx. The First Lien Term Loan Facility requires quarterly payments through September 2025, with any unpaid principal and interest due upon maturity in October 2025, and bears interest at a rate per annum equal to the LIBO Screen Rate plus a variable margin ranging from 2.75% to 3.00%. The effective interest rate on the First Lien Term Loan Facility for the three months ended September 30, 2022 and 2021 was 5.50% and 3.41%, respectively. The effective interest rate on the First Lien Term Loan Facility for the nine months ended September 30, 2022 and 2021 was 4.31% and 3.40%, respectively.</w:t>
      </w:r>
    </w:p>
    <w:p>
      <w:pPr>
        <w:spacing w:after="0" w:line="72"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We also have a line of credit with a maximum principal amount of $100.0 million (the “Revolving Credit Facility”) which matures in October 2024 and bears interest at LIBO Screen Rate plus rates ranging from 2.50% to 3.00% on used amounts and 0.25% to 0.50% on unused amounts. There are no borrowings outstanding as of September 30, 2022. The outstanding letters of credit issued total $9.2 million as of September 30, 2022, which reduce our available borrowings under the Revolving Credit Facility.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debt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balance under First Lien Term Loan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668,825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Less: Unamortized debt issuance costs and discounts</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(8,982 )</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(11,210 )</w:t>
            </w:r>
          </w:p>
        </w:tc>
      </w:tr>
      <w:tr>
        <w:trPr>
          <w:trHeight w:val="249"/>
        </w:trPr>
        <w:tc>
          <w:tcPr>
            <w:tcW w:w="77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659,843</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662,887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estimated fair value of our debt approximated its carrying value as of December 31, 2021, and is approximately $633.7 million as of September 30, 2022. The estimated fair value is based on inputs categorized as Level 2 in the fair value hierarchy.</w:t>
      </w:r>
    </w:p>
    <w:p>
      <w:pPr>
        <w:spacing w:after="0" w:line="4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As of September 30, 2022, we are subject to a financial covenant requiring maintenance of a Net Leverage Ratio not to exceed 8.2 to 1.0 and other nonfinancial covenants under the First Lien Credit Agreement. Additionally, GoodRx is restricted from making dividend payments, loans or advances to us. At September 30, 2022, we are in compliance with our covenants.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Aside from the below, as of September 30, 2022, there are no material changes to our commitments and contingencies as disclosed in the notes to our consolidated financial statements included in our 2021 10-K.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03"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us and certain of our executive officers in the United States District Court for the Central District of California (Case No. 2:20-cv-11444). On January 8, 2021, Bryan Kearney, individually and on behalf of all others similarly situated, also filed a class action lawsuit against us and certain of our executive officers in the United States District Court for the Central District of California (Case No. 2:21-cv-00175). The plaintiffs seek compensatory damages as well as interest, fees and costs. The complaints allege violations of Section 10(b) of the Securities Exchange Act of 1934, as amended (the “Exchange Act”), and assert that we failed to disclose to investors that Amazon.com, Inc. was developing its own mobile and online prescription medication ordering and fulfillment service that would compete directly with us. According to the complaints, when Amazon announced its competitor service, our stock price fell, causing investor losses. Lead plaintiff applications were submitted February 16, 2021, and on April 8, 2021, the court consolidated the two lawsuits under the caption In re GoodRx Holdings, Inc. (Case No. 2:20-cv-11444) and appointed Betty Kalmanson, Lawrence Kalmanson, Shawn Kalmanson, and Janice Kasbaum as Lead Plaintiffs. On June 7, 2021, Lead Plaintiffs filed a consolidated complaint containing substantially similar factual allegations as the prior complaints, but adding claims under Section 11 of the Securities Act of 1933. We filed a motion to dismiss the consolidated case on August 6, 2021, and Lead Plaintiffs subsequently filed an omnibus opposition to our motion to dismiss on October 5, 2021. We subsequently filed a reply in support of notice of motion and motion to dismiss. The court granted our motion to dismiss on January 2, 2022. The Lead Plaintiffs filed an amended complaint on February 7, 2022, and we filed a motion to dismiss the amended complaint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18"/>
          <w:szCs w:val="18"/>
          <w:color w:val="auto"/>
        </w:rPr>
        <w:t>March 10, 2022. The Lead Plaintiffs filed a response to file an opposition to our motion to dismiss the amended complaint on April 14, 2022 and we filed a response on May 4, 2022. On June 9, 2022, the court granted our motion; the complaint was dismissed with prejudice and the case was subsequently closed during the three months ended September 30, 2022.</w:t>
      </w:r>
    </w:p>
    <w:p>
      <w:pPr>
        <w:spacing w:after="0" w:line="63"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On April 29, 2021, May 5, 2021 and September 15, 2021, Neesha Patel, Wayne Geist and Alan Pinyavat, respectively, each filed a derivative lawsuit purportedly on behalf of us against certain of our officers and directors in the United States District Court for the Central District of California (Case No. 2:21-cv-03671, Case No. 2:21-cv-03829 and Case No. 1:21-cv-01309, respectively). The plaintiffs assert claims for breach of fiduciary duty and contribution under the Exchange Act. Neesha Patel asserts additional claims for unjust enrichment and corporate waste and Alan Pinyavat asserts additional claims for unjust enrichment, abuse of control and gross mismanagement. These claims are based on allegations substantially similar to those in the class action lawsuit described above. On August 12, 2022, Alan Pinyavat filed a notice of voluntary dismissal and the case was subsequently closed during the three months ended September 30, 2022. On August 24, 2022, the parties for the consolidated Patel and Geist case filed a joint stipulation to dismiss the consolidated case and the case was subsequently closed during the three months ended September 30, 2022.</w:t>
      </w:r>
    </w:p>
    <w:p>
      <w:pPr>
        <w:spacing w:after="0" w:line="7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Based upon information presently known to our management, we have not accrued a loss for the class action and derivative lawsuits described above as the possibility of loss is remote.</w:t>
      </w:r>
    </w:p>
    <w:p>
      <w:pPr>
        <w:spacing w:after="0" w:line="45"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Since April 2020, we have timely responded to the FTC’s information requests and follow-up questions. On October 14, 2021, staff at the FTC notified us that they intended to recommend that the agency pursue an enforcement action against us and certain of our officers and employees. On January 12, 2022, staff at the FTC sent us an initial draft complaint and consent order. Notwithstanding our belief that we have complied with applicable regulations and have meritorious defenses to any claims or assertions to the contrary, we are negotiating a settlement with the FTC in an effort to resolve all claims and allegations arising out of or relating to the FTC investigation. Settlement with the FTC, and/or related litigation with other parties, could include monetary costs and/or compliance requirements that impose costs to us. These costs may be material both individually and in the aggregate. Based on ongoing discussions with the FTC and ongoing settlement proposals, we have determined that a loss is probable and have accrued a reasonable estimate of the loss of $2.8 million during the second quarter of 2022, which is included as a component of accrued expenses and other current liabilities on the accompanying condensed consolidated balance sheet as of September 30, 2022. While this amount represents our best judgment of the probable loss based on the information currently available to us, it is subject to significant judgments and estimates and numerous factors beyond our control, including without limitation the FTC’s position with respect to the ongoing settlement negotiations. No assurance can be given regarding the ultimate outcome of this matter. Actual loss can be significantly greater or less than our estimated accrual. In the event that the FTC investigation results in a settlement payment by us, or a judgment against us, in an amount significantly in excess of our accrual, the resulting liability could have a material adverse effect upon our financial condition, results of operations and liquidity.</w:t>
      </w:r>
    </w:p>
    <w:p>
      <w:pPr>
        <w:spacing w:after="0" w:line="8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In addition, during the normal course of business, we may become subject to, and are presently involved in, legal proceedings, claims and litigation. Such matters are subject to many uncertainties and outcomes are not predictable with assurance. Accruals for loss contingencies are recorded when a loss is probable, and the amount of such loss can be reasonably estimated.</w:t>
      </w:r>
    </w:p>
    <w:p>
      <w:pPr>
        <w:sectPr>
          <w:pgSz w:w="11900" w:h="16838" w:orient="portrait"/>
          <w:cols w:equalWidth="0" w:num="1">
            <w:col w:w="11240"/>
          </w:cols>
          <w:pgMar w:left="320" w:top="431" w:right="339" w:bottom="1440" w:gutter="0" w:footer="0" w:header="0"/>
        </w:sectPr>
      </w:pPr>
    </w:p>
    <w:p>
      <w:pPr>
        <w:spacing w:after="0" w:line="278"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6"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Revenue consist of the following: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Prescription transactions revenue</w:t>
      </w:r>
    </w:p>
    <w:p>
      <w:pPr>
        <w:ind w:left="20"/>
        <w:spacing w:after="0" w:line="213" w:lineRule="auto"/>
        <w:rPr>
          <w:sz w:val="20"/>
          <w:szCs w:val="20"/>
          <w:color w:val="auto"/>
        </w:rPr>
      </w:pPr>
      <w:r>
        <w:rPr>
          <w:rFonts w:ascii="Arial" w:cs="Arial" w:eastAsia="Arial" w:hAnsi="Arial"/>
          <w:sz w:val="18"/>
          <w:szCs w:val="18"/>
          <w:color w:val="auto"/>
        </w:rPr>
        <w:t>Subscription revenue</w:t>
      </w:r>
    </w:p>
    <w:p>
      <w:pPr>
        <w:ind w:left="20"/>
        <w:spacing w:after="0"/>
        <w:rPr>
          <w:sz w:val="20"/>
          <w:szCs w:val="20"/>
          <w:color w:val="auto"/>
        </w:rPr>
      </w:pPr>
      <w:r>
        <w:rPr>
          <w:rFonts w:ascii="Arial" w:cs="Arial" w:eastAsia="Arial" w:hAnsi="Arial"/>
          <w:sz w:val="17"/>
          <w:szCs w:val="17"/>
          <w:color w:val="auto"/>
        </w:rPr>
        <w:t xml:space="preserve">Pharma manufacturer solutions revenue </w:t>
      </w:r>
      <w:r>
        <w:rPr>
          <w:rFonts w:ascii="Arial" w:cs="Arial" w:eastAsia="Arial" w:hAnsi="Arial"/>
          <w:sz w:val="23"/>
          <w:szCs w:val="23"/>
          <w:color w:val="auto"/>
          <w:vertAlign w:val="superscript"/>
        </w:rPr>
        <w:t>(1)</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revenue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3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r>
      <w:tr>
        <w:trPr>
          <w:trHeight w:val="190"/>
        </w:trPr>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131,216</w:t>
            </w:r>
          </w:p>
        </w:tc>
        <w:tc>
          <w:tcPr>
            <w:tcW w:w="240" w:type="dxa"/>
            <w:vAlign w:val="bottom"/>
          </w:tcPr>
          <w:p>
            <w:pPr>
              <w:spacing w:after="0"/>
              <w:rPr>
                <w:sz w:val="16"/>
                <w:szCs w:val="16"/>
                <w:color w:val="auto"/>
              </w:rPr>
            </w:pPr>
          </w:p>
        </w:tc>
        <w:tc>
          <w:tcPr>
            <w:tcW w:w="420" w:type="dxa"/>
            <w:vAlign w:val="bottom"/>
          </w:tcPr>
          <w:p>
            <w:pPr>
              <w:jc w:val="right"/>
              <w:ind w:right="21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155,652</w:t>
            </w:r>
          </w:p>
        </w:tc>
        <w:tc>
          <w:tcPr>
            <w:tcW w:w="220" w:type="dxa"/>
            <w:vAlign w:val="bottom"/>
          </w:tcPr>
          <w:p>
            <w:pPr>
              <w:spacing w:after="0"/>
              <w:rPr>
                <w:sz w:val="16"/>
                <w:szCs w:val="16"/>
                <w:color w:val="auto"/>
              </w:rPr>
            </w:pP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421,126</w:t>
            </w:r>
          </w:p>
        </w:tc>
        <w:tc>
          <w:tcPr>
            <w:tcW w:w="240" w:type="dxa"/>
            <w:vAlign w:val="bottom"/>
          </w:tcPr>
          <w:p>
            <w:pPr>
              <w:spacing w:after="0"/>
              <w:rPr>
                <w:sz w:val="16"/>
                <w:szCs w:val="16"/>
                <w:color w:val="auto"/>
              </w:rPr>
            </w:pPr>
          </w:p>
        </w:tc>
        <w:tc>
          <w:tcPr>
            <w:tcW w:w="400" w:type="dxa"/>
            <w:vAlign w:val="bottom"/>
          </w:tcPr>
          <w:p>
            <w:pPr>
              <w:jc w:val="right"/>
              <w:ind w:right="210"/>
              <w:spacing w:after="0" w:line="190"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434,570</w:t>
            </w:r>
          </w:p>
        </w:tc>
      </w:tr>
      <w:tr>
        <w:trPr>
          <w:trHeight w:val="216"/>
        </w:trPr>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26,450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71,545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42,549</w:t>
            </w:r>
          </w:p>
        </w:tc>
      </w:tr>
      <w:tr>
        <w:trPr>
          <w:trHeight w:val="216"/>
        </w:trPr>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24,499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74,519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41,060</w:t>
            </w:r>
          </w:p>
        </w:tc>
      </w:tr>
      <w:tr>
        <w:trPr>
          <w:trHeight w:val="235"/>
        </w:trPr>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w:t>
            </w:r>
          </w:p>
        </w:tc>
      </w:tr>
      <w:tr>
        <w:trPr>
          <w:trHeight w:val="209"/>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187,318</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195,102</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582,445</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532,168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-718820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-444500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-161925</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440"/>
          </w:cols>
          <w:pgMar w:left="320" w:top="431" w:right="339" w:bottom="1440" w:gutter="0" w:footer="0" w:header="0"/>
          <w:type w:val="continuous"/>
        </w:sectPr>
      </w:pPr>
    </w:p>
    <w:p>
      <w:pPr>
        <w:spacing w:after="0" w:line="10" w:lineRule="exact"/>
        <w:rPr>
          <w:sz w:val="20"/>
          <w:szCs w:val="20"/>
          <w:color w:val="auto"/>
        </w:rPr>
      </w:pPr>
    </w:p>
    <w:p>
      <w:pPr>
        <w:jc w:val="both"/>
        <w:ind w:left="520" w:hanging="512"/>
        <w:spacing w:after="0" w:line="26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revenue from pharma manufacturers and other customers primarily for advertising, including integrating onto our platform their affordability solutions to our consumers. Pharma manufacturer solutions revenue is disclosed separately from other revenue beginning in the first quarter of 2022. Prior period amounts have been recast to conform with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11899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Stockholders' Equity</w:t>
      </w:r>
    </w:p>
    <w:p>
      <w:pPr>
        <w:spacing w:after="0" w:line="117"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This repurchase program does not obligate us to acquire any particular amount of Class A common stock and may be modified, suspended or terminated at any time at the discretion of our board of directors.</w:t>
      </w:r>
    </w:p>
    <w:p>
      <w:pPr>
        <w:spacing w:after="0" w:line="69"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During the three months ended September 30, 2022, we repurchased and retired 2.8 million shares of our Class A common stock for an aggregate purchase price of $18.0 million under the repurchase program. During the nine months ended September 30, 2022, we repurchased and retired 8.5 million shares of our Class A common stock for an aggregate purchase price of $101.7 million under the repurchase program. We have $148.3 million available for future repurchases of our Class A common stock under the repurchase program as of September 30, 2022.</w:t>
      </w:r>
    </w:p>
    <w:p>
      <w:pPr>
        <w:spacing w:after="0" w:line="297" w:lineRule="exact"/>
        <w:rPr>
          <w:sz w:val="20"/>
          <w:szCs w:val="20"/>
          <w:color w:val="auto"/>
        </w:rPr>
      </w:pPr>
    </w:p>
    <w:p>
      <w:pPr>
        <w:ind w:right="8560" w:firstLine="8"/>
        <w:spacing w:after="0" w:line="359" w:lineRule="auto"/>
        <w:tabs>
          <w:tab w:leader="none" w:pos="29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spacing w:after="0" w:line="1"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A summary of the stock option activity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02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980" w:type="dxa"/>
            <w:vAlign w:val="bottom"/>
          </w:tcPr>
          <w:p>
            <w:pPr>
              <w:jc w:val="center"/>
              <w:ind w:right="94"/>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97"/>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0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13,568</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7.3 years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2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(749 )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Expired / Cancelled / Forfeited</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(281 )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March 31, 2022</w:t>
            </w:r>
          </w:p>
        </w:tc>
        <w:tc>
          <w:tcPr>
            <w:tcW w:w="10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7.0 years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2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(1,176 )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Expired / Cancelled / Forfeited</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(386 )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0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7.9 years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2,635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24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(245 )</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Expired / Cancelled / Forfeited</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(607 )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2022</w:t>
            </w:r>
          </w:p>
        </w:tc>
        <w:tc>
          <w:tcPr>
            <w:tcW w:w="10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7.9 years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color w:val="auto"/>
              </w:rPr>
              <w:t>Exercisable at September 30, 2022</w:t>
            </w:r>
          </w:p>
        </w:tc>
        <w:tc>
          <w:tcPr>
            <w:tcW w:w="2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7,492</w:t>
            </w:r>
          </w:p>
        </w:tc>
        <w:tc>
          <w:tcPr>
            <w:tcW w:w="26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6.65</w:t>
            </w:r>
          </w:p>
        </w:tc>
        <w:tc>
          <w:tcPr>
            <w:tcW w:w="240" w:type="dxa"/>
            <w:vAlign w:val="bottom"/>
          </w:tcPr>
          <w:p>
            <w:pPr>
              <w:spacing w:after="0"/>
              <w:rPr>
                <w:sz w:val="17"/>
                <w:szCs w:val="17"/>
                <w:color w:val="auto"/>
              </w:rPr>
            </w:pPr>
          </w:p>
        </w:tc>
        <w:tc>
          <w:tcPr>
            <w:tcW w:w="1260" w:type="dxa"/>
            <w:vAlign w:val="bottom"/>
          </w:tcPr>
          <w:p>
            <w:pPr>
              <w:ind w:left="500"/>
              <w:spacing w:after="0" w:line="196" w:lineRule="exact"/>
              <w:rPr>
                <w:sz w:val="20"/>
                <w:szCs w:val="20"/>
                <w:color w:val="auto"/>
              </w:rPr>
            </w:pPr>
            <w:r>
              <w:rPr>
                <w:rFonts w:ascii="Arial" w:cs="Arial" w:eastAsia="Arial" w:hAnsi="Arial"/>
                <w:sz w:val="18"/>
                <w:szCs w:val="18"/>
                <w:color w:val="auto"/>
                <w:w w:val="99"/>
              </w:rPr>
              <w:t>6.3 years</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478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7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-667385</wp:posOffset>
            </wp:positionV>
            <wp:extent cx="271399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139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7" w:name="page18"/>
    <w:bookmarkEnd w:id="17"/>
    <w:p>
      <w:pPr>
        <w:jc w:val="both"/>
        <w:ind w:right="20" w:firstLine="210"/>
        <w:spacing w:after="0" w:line="286" w:lineRule="auto"/>
        <w:rPr>
          <w:sz w:val="20"/>
          <w:szCs w:val="20"/>
          <w:color w:val="auto"/>
        </w:rPr>
      </w:pPr>
      <w:r>
        <w:rPr>
          <w:rFonts w:ascii="Arial" w:cs="Arial" w:eastAsia="Arial" w:hAnsi="Arial"/>
          <w:sz w:val="18"/>
          <w:szCs w:val="18"/>
          <w:color w:val="auto"/>
        </w:rPr>
        <w:t>The weighted average grant date fair value per share of stock options granted for the three and nine months ended September 30, 2022 was $4.24 and $5.41, respectively.</w:t>
      </w:r>
    </w:p>
    <w:p>
      <w:pPr>
        <w:spacing w:after="0" w:line="33"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For the three months ended September 30, 2022 and 2021, the stock-based compensation expense related to stock options was $3.2 million and $3.0 million, respectively. For the nine months ended September 30, 2022 and 2021, the stock-based compensation expense related to stock options was $8.8 million and $11.1 million, respectively. At September 30, 2022, there is $48.3 million of total unrecognized stock-based compensation cost related to stock options, which is expected to be recognized over a weighted average remaining service period of 3.0 years.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and Restricted Stock Units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Restricted Stock Awards and Restricted Stock Units (“RSUs”) activity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Stock Units</w:t>
            </w: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Stock Units</w:t>
            </w:r>
          </w:p>
        </w:tc>
        <w:tc>
          <w:tcPr>
            <w:tcW w:w="160" w:type="dxa"/>
            <w:vAlign w:val="bottom"/>
          </w:tcPr>
          <w:p>
            <w:pPr>
              <w:spacing w:after="0"/>
              <w:rPr>
                <w:sz w:val="12"/>
                <w:szCs w:val="12"/>
                <w:color w:val="auto"/>
              </w:rPr>
            </w:pPr>
          </w:p>
        </w:tc>
        <w:tc>
          <w:tcPr>
            <w:tcW w:w="10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Restricted</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Class A</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Class B</w:t>
            </w:r>
          </w:p>
        </w:tc>
        <w:tc>
          <w:tcPr>
            <w:tcW w:w="160" w:type="dxa"/>
            <w:vAlign w:val="bottom"/>
          </w:tcPr>
          <w:p>
            <w:pPr>
              <w:spacing w:after="0"/>
              <w:rPr>
                <w:sz w:val="15"/>
                <w:szCs w:val="15"/>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5"/>
                <w:szCs w:val="15"/>
                <w:color w:val="auto"/>
              </w:rPr>
            </w:pPr>
          </w:p>
        </w:tc>
        <w:tc>
          <w:tcPr>
            <w:tcW w:w="1020" w:type="dxa"/>
            <w:vAlign w:val="bottom"/>
          </w:tcPr>
          <w:p>
            <w:pPr>
              <w:jc w:val="center"/>
              <w:ind w:right="7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76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Nonvested restricted stock awards or restricted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4,431</w:t>
            </w: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5,645</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units at December 31, 2021</w:t>
            </w:r>
          </w:p>
        </w:tc>
        <w:tc>
          <w:tcPr>
            <w:tcW w:w="12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(309 )</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(201 )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76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Nonvested restricted stock awards or restricted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6,204</w:t>
            </w: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units at March 31, 2022</w:t>
            </w:r>
          </w:p>
        </w:tc>
        <w:tc>
          <w:tcPr>
            <w:tcW w:w="12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8,256</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(470 )</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(546 )</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(472 )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76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Nonvested restricted stock awards or restricted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4,619</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 units at June 30, 2022</w:t>
            </w:r>
          </w:p>
        </w:tc>
        <w:tc>
          <w:tcPr>
            <w:tcW w:w="12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vMerge w:val="continue"/>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8,080</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(743 )</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(513 )</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(1,280 )</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760" w:type="dxa"/>
            <w:vAlign w:val="bottom"/>
            <w:shd w:val="clear" w:color="auto" w:fill="CFF0FC"/>
          </w:tcPr>
          <w:p>
            <w:pPr>
              <w:ind w:left="20"/>
              <w:spacing w:after="0" w:line="163" w:lineRule="exact"/>
              <w:rPr>
                <w:sz w:val="20"/>
                <w:szCs w:val="20"/>
                <w:color w:val="auto"/>
              </w:rPr>
            </w:pPr>
            <w:r>
              <w:rPr>
                <w:rFonts w:ascii="Arial" w:cs="Arial" w:eastAsia="Arial" w:hAnsi="Arial"/>
                <w:sz w:val="18"/>
                <w:szCs w:val="18"/>
                <w:color w:val="auto"/>
              </w:rPr>
              <w:t>Nonvested restricted stock awards or restricted</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19,499</w:t>
            </w: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4,106</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6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stock units at September 30, 2022</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15"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For the three months ended September 30, 2022 and 2021, the stock-based compensation expense related to RSUs for Class A common stock was $15.1 million and $16.5 million, respectively. For the nine months ended September 30, 2022 and 2021, the stock-based compensation expense related to RSUs for Class A common stock was $44.6 million and $40.6 million, respectively. At September 30, 2022, there is $204.6 million of total unrecognized stock-based compensation cost related to these RSUs, which is expected to be recognized over a weighted average remaining service period of 3.5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15"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In September 2020, our board of directors granted RSUs covering an aggregate of 24.6 million shares of Class B common stock to our Co-Chief Executive Officers (the “Founders Awards”), subject to the completion of our IPO and continued employment through the applicable vesting dates. Each of our Co-Chief Executive Officers received (i) 8.2 million RSUs that vest based on the achievement of certain stock price goals (the “Performance-Vesting Founders Awards”) and (ii) 4.1 million RSUs that vest and settle in equal quarterly installments over four years, subject to certain vesting acceleration terms (the “Time-Vesting Founders Awards”). The grant date fair value of these awards was $533.3 million. All of the Performance-Vesting Founders Awards vested in 2020 and we settled 0.7 million RSUs at that time sufficient to satisfy certain tax withholding obligations due in the year of vesting. The remaining 15.7 million Performance-Vesting Founders Awards shares will not be settled until October 2023 or, if earlier, upon a change in control event, as defined in the RSU agreements governing the Founders Awards.</w:t>
      </w:r>
    </w:p>
    <w:p>
      <w:pPr>
        <w:spacing w:after="0" w:line="69"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For the three months ended September 30, 2022 and 2021, the stock-based compensation expense related to the Time-Vesting Founders Awards was $10.2 million and $20.1 million, respectively. For the nine months ended September 30, 2022 and 2021, the stock-based compensation expense related to the Time-Vesting Founders Awards was $36.0 million and $74.1 million, respectively. At September 30, 2022, there is $33.4 million of total unrecognized stock-based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8"/>
          <w:szCs w:val="18"/>
          <w:color w:val="auto"/>
        </w:rPr>
        <w:t>compensation cost related to the Time-Vesting Founders Awards, which is expected to be recognized over a weighted average remaining service period of 1.1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Basic and Diluted (Loss) Earnings Per Share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 of (loss) earnings per share for the three and nine months ended September 30, 2022 and 2021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(41,734 )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(18,069 )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(30,856 )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412,956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411,223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413,254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Dilutive impact of stock options, restricted stock</w:t>
            </w:r>
          </w:p>
        </w:tc>
        <w:tc>
          <w:tcPr>
            <w:tcW w:w="26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 and restricted stock units</w:t>
            </w:r>
          </w:p>
        </w:tc>
        <w:tc>
          <w:tcPr>
            <w:tcW w:w="26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412,956</w:t>
            </w:r>
          </w:p>
        </w:tc>
        <w:tc>
          <w:tcPr>
            <w:tcW w:w="26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411,223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413,254</w:t>
            </w: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429,695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earnings per share:</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(0.07 )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(0.10 )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(0.04 )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(0.07 )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-581660</wp:posOffset>
            </wp:positionV>
            <wp:extent cx="768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-581660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-581660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following weighted average potentially dilutive shares are excluded from the computation of diluted (loss) earnings per share for the periods presented because including them would have been antidilutive: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9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Borders>
              <w:bottom w:val="single" w:sz="8" w:color="auto"/>
            </w:tcBorders>
            <w:gridSpan w:val="3"/>
          </w:tcPr>
          <w:p>
            <w:pPr>
              <w:jc w:val="center"/>
              <w:ind w:left="664"/>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20" w:type="dxa"/>
            <w:vAlign w:val="bottom"/>
            <w:vMerge w:val="continue"/>
          </w:tcPr>
          <w:p>
            <w:pPr>
              <w:spacing w:after="0"/>
              <w:rPr>
                <w:sz w:val="14"/>
                <w:szCs w:val="14"/>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92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Stock options, restricted stock awards and</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34,755</w:t>
            </w: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28,540</w:t>
            </w: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restricted stock units</w:t>
            </w:r>
          </w:p>
        </w:tc>
        <w:tc>
          <w:tcPr>
            <w:tcW w:w="11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03"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In May 2021, we entered into a noncancelable lease agreement with a third-party to lease additional office space that is adjacent to and expands our existing corporate headquarters in Santa Monica, California. The lease commenced on October 1, 2022, upon our access to the leased premises, and we expect to recognize an operating lease right-of-use asset and lease liability of approximately $20.0 million to $30.0 million as of that date. Given changes in our property needs since the date we executed this lease, we no longer plan to occupy this premise and are seeking to sublease the property. We expect to record an impairment charge during the fourth quarter of 2022 as rental rates have declined since the date the lease was executed. We are in the process of determining the amounts of the right-of-use asset and lease liability and impairment charge, if any, as it depends on our completion of a valuation, including our assessment of comparable lease rates.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w:t>
      </w:r>
    </w:p>
    <w:p>
      <w:pPr>
        <w:jc w:val="both"/>
        <w:spacing w:after="0" w:line="211" w:lineRule="auto"/>
        <w:rPr>
          <w:sz w:val="20"/>
          <w:szCs w:val="20"/>
          <w:color w:val="auto"/>
        </w:rPr>
      </w:pPr>
      <w:r>
        <w:rPr>
          <w:rFonts w:ascii="Arial" w:cs="Arial" w:eastAsia="Arial" w:hAnsi="Arial"/>
          <w:sz w:val="18"/>
          <w:szCs w:val="18"/>
          <w:i w:val="1"/>
          <w:iCs w:val="1"/>
          <w:color w:val="auto"/>
        </w:rPr>
        <w:t>consolidated financial statements and related notes included elsewhere in this Quarterly Report on Form 10-Q, as well as Part II, Item 7, “Management’s Discussion and Analysis of Financial Condition and Results of Operation” and Part II, Item 8, “Financial Statements and</w:t>
      </w:r>
    </w:p>
    <w:p>
      <w:pPr>
        <w:jc w:val="both"/>
        <w:spacing w:after="0" w:line="218" w:lineRule="auto"/>
        <w:rPr>
          <w:sz w:val="20"/>
          <w:szCs w:val="20"/>
          <w:color w:val="auto"/>
        </w:rPr>
      </w:pPr>
      <w:r>
        <w:rPr>
          <w:rFonts w:ascii="Arial" w:cs="Arial" w:eastAsia="Arial" w:hAnsi="Arial"/>
          <w:sz w:val="18"/>
          <w:szCs w:val="18"/>
          <w:i w:val="1"/>
          <w:iCs w:val="1"/>
          <w:color w:val="auto"/>
        </w:rPr>
        <w:t>Supplementary Data” included in our Annual Report on Form 10-K for the year ended December 31, 2021 (“2021 10-K”) filed with the SEC on March 1, 2022. This discussion contains forward-looking statements based upon current plans, expectations and beliefs involving risks and uncertainties. Our actual results may differ materially from those anticipated in these forward-looking statements as a result of various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i w:val="1"/>
          <w:iCs w:val="1"/>
          <w:color w:val="auto"/>
        </w:rPr>
        <w:t>factors, including those set forth in the "Risk Factors" sections of our 2021 10-K and this Quarterly Report on Form 10-Q and other factors set forth in other parts of this Quarterly Report on Form 10-Q and our filings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90" w:lineRule="exact"/>
        <w:rPr>
          <w:sz w:val="20"/>
          <w:szCs w:val="20"/>
          <w:color w:val="auto"/>
        </w:rPr>
      </w:pPr>
    </w:p>
    <w:p>
      <w:pPr>
        <w:ind w:left="600" w:hanging="382"/>
        <w:spacing w:after="0"/>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75" w:lineRule="exact"/>
        <w:rPr>
          <w:rFonts w:ascii="Times New Roman" w:cs="Times New Roman" w:eastAsia="Times New Roman" w:hAnsi="Times New Roman"/>
          <w:sz w:val="18"/>
          <w:szCs w:val="18"/>
          <w:color w:val="auto"/>
        </w:rPr>
      </w:pPr>
    </w:p>
    <w:p>
      <w:pPr>
        <w:ind w:left="600" w:right="20" w:hanging="382"/>
        <w:spacing w:after="0" w:line="263" w:lineRule="auto"/>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30" w:lineRule="exact"/>
        <w:rPr>
          <w:rFonts w:ascii="Times New Roman" w:cs="Times New Roman" w:eastAsia="Times New Roman" w:hAnsi="Times New Roman"/>
          <w:sz w:val="18"/>
          <w:szCs w:val="18"/>
          <w:color w:val="auto"/>
        </w:rPr>
      </w:pPr>
    </w:p>
    <w:p>
      <w:pPr>
        <w:jc w:val="both"/>
        <w:ind w:left="600" w:hanging="382"/>
        <w:spacing w:after="0" w:line="227" w:lineRule="auto"/>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51" w:lineRule="exact"/>
        <w:rPr>
          <w:rFonts w:ascii="Times New Roman" w:cs="Times New Roman" w:eastAsia="Times New Roman" w:hAnsi="Times New Roman"/>
          <w:sz w:val="18"/>
          <w:szCs w:val="18"/>
          <w:color w:val="auto"/>
        </w:rPr>
      </w:pPr>
    </w:p>
    <w:p>
      <w:pPr>
        <w:jc w:val="both"/>
        <w:ind w:left="600" w:hanging="382"/>
        <w:spacing w:after="0" w:line="232" w:lineRule="auto"/>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9" w:lineRule="exact"/>
        <w:rPr>
          <w:rFonts w:ascii="Times New Roman" w:cs="Times New Roman" w:eastAsia="Times New Roman" w:hAnsi="Times New Roman"/>
          <w:sz w:val="18"/>
          <w:szCs w:val="18"/>
          <w:color w:val="auto"/>
        </w:rPr>
      </w:pPr>
    </w:p>
    <w:p>
      <w:pPr>
        <w:jc w:val="both"/>
        <w:ind w:left="600" w:hanging="382"/>
        <w:spacing w:after="0" w:line="219" w:lineRule="auto"/>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65" w:lineRule="exact"/>
        <w:rPr>
          <w:rFonts w:ascii="Times New Roman" w:cs="Times New Roman" w:eastAsia="Times New Roman" w:hAnsi="Times New Roman"/>
          <w:sz w:val="18"/>
          <w:szCs w:val="18"/>
          <w:color w:val="auto"/>
        </w:rPr>
      </w:pPr>
    </w:p>
    <w:p>
      <w:pPr>
        <w:jc w:val="both"/>
        <w:ind w:left="600" w:hanging="382"/>
        <w:spacing w:after="0" w:line="233" w:lineRule="auto"/>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44"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20" w:name="page21"/>
    <w:bookmarkEnd w:id="20"/>
    <w:p>
      <w:pPr>
        <w:jc w:val="both"/>
        <w:ind w:left="600" w:hanging="382"/>
        <w:spacing w:after="0" w:line="221"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60" w:lineRule="exact"/>
        <w:rPr>
          <w:rFonts w:ascii="Times New Roman" w:cs="Times New Roman" w:eastAsia="Times New Roman" w:hAnsi="Times New Roman"/>
          <w:sz w:val="18"/>
          <w:szCs w:val="18"/>
          <w:color w:val="auto"/>
        </w:rPr>
      </w:pPr>
    </w:p>
    <w:p>
      <w:pPr>
        <w:jc w:val="both"/>
        <w:ind w:left="600" w:right="20" w:hanging="382"/>
        <w:spacing w:after="0" w:line="229"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72"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3"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 Our financial results for the three and nine months ended September 30, 2022 have been impacted by actions taken by a grocery chain described below.</w:t>
      </w:r>
    </w:p>
    <w:p>
      <w:pPr>
        <w:spacing w:after="0" w:line="65"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Late in the first quarter of 2022, a grocery chain had taken actions that impacted acceptance of discounted pricing for a subset of drugs from PBMs, who are our customers, and whose pricing we promote on our platform ("grocer issue"). This had an immaterial adverse impact on our prescription transactions revenue and Monthly Active Consumers in the first quarter of 2022, but had a material adverse impact on our prescription transactions revenue and Monthly Active Consumers in the second and third quarters of 2022, which was partially offset by our ability to shift certain prescription transactions to other retailers. Although the grocer issue was addressed in August 2022 and our discounted pricing is currently consistently welcomed at the point of sale by the grocery chain, it has and is expected to continue to have a sustained adverse impact on our prescription transactions revenue and Monthly Active Consumers in the future that may continue to be material due to uncertainty around consumer response to updated consumer pricing and timing and the extent of returning user levels. The estimated impact of the grocer issue on our prescription transactions revenue in the second and third quarters of 2022 was approximately $30.0 million and $40.0 million, respectively. We are not aware of similar PBM-pharmacy issues at any other large volume pharmacies, with the exception of the grocery chain in question, and we believe our pharmacy and PBM relationships remain strong. For additional information, please see Part I, Item 1A, “Risk Factors – We rely on a limited number of industry participants.” in our 2021 10-K. In addition to the above, but to a lesser extent, the acquisition of vitaCare Prescription Services, Inc. ("vitaCare") in April 2022 also had a negative impact on our net loss, net loss margin, Adjusted EBITDA and Adjusted EBITDA Margin for the three and nine months ended September 30, 2022. vitaCare has a higher cost of revenue due to the operational nature of the business and has historically generated net losses and negative Adjusted EBITDA, which we expect will continue in the near to medium term.</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three months ended September 30, 2022 as compared to the same period of 2021:</w:t>
      </w:r>
    </w:p>
    <w:p>
      <w:pPr>
        <w:spacing w:after="0" w:line="117" w:lineRule="exact"/>
        <w:rPr>
          <w:sz w:val="20"/>
          <w:szCs w:val="20"/>
          <w:color w:val="auto"/>
        </w:rPr>
      </w:pPr>
    </w:p>
    <w:p>
      <w:pPr>
        <w:ind w:left="600" w:hanging="382"/>
        <w:spacing w:after="0"/>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Revenue decreased 4% to $187.3 million from $195.1 million.</w:t>
      </w:r>
    </w:p>
    <w:p>
      <w:pPr>
        <w:spacing w:after="0" w:line="102" w:lineRule="exact"/>
        <w:rPr>
          <w:rFonts w:ascii="Times New Roman" w:cs="Times New Roman" w:eastAsia="Times New Roman" w:hAnsi="Times New Roman"/>
          <w:sz w:val="18"/>
          <w:szCs w:val="18"/>
          <w:color w:val="auto"/>
        </w:rPr>
      </w:pPr>
    </w:p>
    <w:p>
      <w:pPr>
        <w:jc w:val="both"/>
        <w:ind w:left="600" w:hanging="382"/>
        <w:spacing w:after="0" w:line="251" w:lineRule="auto"/>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Net loss and net loss margin were $41.7 million and 22.3%, respectively, compared to $18.1 million and 9.3%, respectively. Net loss and net loss margin for the three months ended September 30, 2022 were further impacted by a $16.6 million loss from a change in fair value of contingent consideration related to the vitaCare acquisition in April 2022, partially offset by a $10.9 million decrease in stock-based compensation expense primarily related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21" w:name="page22"/>
    <w:bookmarkEnd w:id="21"/>
    <w:p>
      <w:pPr>
        <w:ind w:left="600"/>
        <w:spacing w:after="0" w:line="286" w:lineRule="auto"/>
        <w:rPr>
          <w:sz w:val="20"/>
          <w:szCs w:val="20"/>
          <w:color w:val="auto"/>
        </w:rPr>
      </w:pPr>
      <w:r>
        <w:rPr>
          <w:rFonts w:ascii="Arial" w:cs="Arial" w:eastAsia="Arial" w:hAnsi="Arial"/>
          <w:sz w:val="18"/>
          <w:szCs w:val="18"/>
          <w:color w:val="auto"/>
        </w:rPr>
        <w:t>Founders Awards (as defined and described in Note 11 to our condensed consolidated financial statements) made in connection with our initial public offering ("IPO") and a decrease in sales and marketing expense.</w:t>
      </w:r>
    </w:p>
    <w:p>
      <w:pPr>
        <w:spacing w:after="0" w:line="33" w:lineRule="exact"/>
        <w:rPr>
          <w:sz w:val="20"/>
          <w:szCs w:val="20"/>
          <w:color w:val="auto"/>
        </w:rPr>
      </w:pPr>
    </w:p>
    <w:p>
      <w:pPr>
        <w:ind w:left="600" w:hanging="382"/>
        <w:spacing w:after="0" w:line="270" w:lineRule="auto"/>
        <w:tabs>
          <w:tab w:leader="none" w:pos="6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and Adjusted EBITDA Margin were $52.0 million and 27.8%, respectively, down from $61.8 million and 31.7%, respectively.</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nine months ended September 30, 2022 as compared to the same period of 2021:</w:t>
      </w:r>
    </w:p>
    <w:p>
      <w:pPr>
        <w:spacing w:after="0" w:line="103" w:lineRule="exact"/>
        <w:rPr>
          <w:sz w:val="20"/>
          <w:szCs w:val="20"/>
          <w:color w:val="auto"/>
        </w:rPr>
      </w:pPr>
    </w:p>
    <w:p>
      <w:pPr>
        <w:ind w:left="600" w:hanging="382"/>
        <w:spacing w:after="0"/>
        <w:tabs>
          <w:tab w:leader="none" w:pos="6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Revenue grew 9% to $582.4 million from $532.2 million.</w:t>
      </w:r>
    </w:p>
    <w:p>
      <w:pPr>
        <w:spacing w:after="0" w:line="102" w:lineRule="exact"/>
        <w:rPr>
          <w:rFonts w:ascii="Times New Roman" w:cs="Times New Roman" w:eastAsia="Times New Roman" w:hAnsi="Times New Roman"/>
          <w:sz w:val="18"/>
          <w:szCs w:val="18"/>
          <w:color w:val="auto"/>
        </w:rPr>
      </w:pPr>
    </w:p>
    <w:p>
      <w:pPr>
        <w:jc w:val="both"/>
        <w:ind w:left="600" w:hanging="382"/>
        <w:spacing w:after="0" w:line="247" w:lineRule="auto"/>
        <w:tabs>
          <w:tab w:leader="none" w:pos="6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Net loss and net loss margin were $30.9 million and 5.3%, respectively, compared to net income and net income margin of $14.7 million and 2.8%, respectively. Net loss and net loss margin for the nine months ended September 30, 2022 were further impacted by $12.4 million of income tax expense, compared to a $30.7 million of income tax benefit for the same period of 2021, and a $16.9 million loss from a change in fair value of contingent consideration related to the vitaCare acquisition in April 2022, partially offset by a $36.4 million decrease in stock-based compensation expense primarily related to the Founders Awards made in connection with our IPO.</w:t>
      </w:r>
    </w:p>
    <w:p>
      <w:pPr>
        <w:spacing w:after="0" w:line="69"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and Adjusted EBITDA Margin were $163.9 million and 28.1%, respectively, down from $167.4 million and 31.5%, respectively.</w:t>
      </w:r>
    </w:p>
    <w:p>
      <w:pPr>
        <w:spacing w:after="0" w:line="59"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Adjusted EBITDA and Adjusted EBITDA Margin are non-GAAP financial measures. For a reconciliation and presentation of Adjusted EBITDA and Adjusted EBITDA Margin to their most directly comparable GAAP financial measures, information about why we consider Adjusted EBITDA and Adjusted EBITDA Margin useful to investors and a discussion of the material risks and limitations of these measures, please see “Key Financial and Operating Metrics—Non-GAAP Financial Measures"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03"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We believe COVID-19 continues to have an adverse impact on our prescription transactions offering due to the cumulative impact of lower healthcare utilization for more than two years since the pandemic began, and continued improvement in future periods remains uncertain. Any decrease in the number of consumers seeking to fill prescriptions could negatively impact demand for and use of certain of our offerings, particularly our prescription transactions and subscription offerings, which would have an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3"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expenses. The rapid growth of our business through the first quarter of 2020 may have masked the extent of these trends. Since the second quarter of 2020, we saw the ongoing impact of COVID-19 pandemic further disrupt these trends, which may continue in future periods. Finally, the grocer issue may also impact sequential and year-over-year growth trends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Note 13 to our condensed consolidated financial statements included elsewhere in this Quarterly Report on Form 10-Q.</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03"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15"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Our Monthly Active Consumers include consumers we acquired through the acquisition of RxSaver, Inc. (acquired in April 2021) beginning in the third quarter of 2021. RxSaver, Inc. Monthly Active Consumers are estimated due to incomplete consumer information. Monthly Active Consumers beginning with the second quarter of 2022 were impacted by the grocer issue.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14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60" w:type="dxa"/>
            <w:vAlign w:val="bottom"/>
          </w:tcPr>
          <w:p>
            <w:pPr>
              <w:jc w:val="right"/>
              <w:ind w:right="48"/>
              <w:spacing w:after="0" w:line="15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r>
      <w:tr>
        <w:trPr>
          <w:trHeight w:val="185"/>
        </w:trPr>
        <w:tc>
          <w:tcPr>
            <w:tcW w:w="21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2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Monthly Active Consumers</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6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Plans</w:t>
      </w:r>
    </w:p>
    <w:p>
      <w:pPr>
        <w:spacing w:after="0" w:line="101" w:lineRule="exact"/>
        <w:rPr>
          <w:sz w:val="20"/>
          <w:szCs w:val="20"/>
          <w:color w:val="auto"/>
        </w:rPr>
      </w:pPr>
    </w:p>
    <w:p>
      <w:pPr>
        <w:jc w:val="both"/>
        <w:ind w:right="20" w:firstLine="210"/>
        <w:spacing w:after="0" w:line="286" w:lineRule="auto"/>
        <w:rPr>
          <w:sz w:val="20"/>
          <w:szCs w:val="20"/>
          <w:color w:val="auto"/>
        </w:rPr>
      </w:pPr>
      <w:r>
        <w:rPr>
          <w:rFonts w:ascii="Arial" w:cs="Arial" w:eastAsia="Arial" w:hAnsi="Arial"/>
          <w:sz w:val="18"/>
          <w:szCs w:val="18"/>
          <w:color w:val="auto"/>
        </w:rPr>
        <w:t>Subscription plans in 2022 were impacted by a pricing increase for Gold subscribers that went into effect in the first half of 2022 and a sequential decline in our subscription plans for Kroger Savings as a result of reduced marketing spend in relation to the offering.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20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June 30,</w:t>
            </w:r>
          </w:p>
        </w:tc>
        <w:tc>
          <w:tcPr>
            <w:tcW w:w="260" w:type="dxa"/>
            <w:vAlign w:val="bottom"/>
          </w:tcPr>
          <w:p>
            <w:pPr>
              <w:spacing w:after="0"/>
              <w:rPr>
                <w:sz w:val="13"/>
                <w:szCs w:val="13"/>
                <w:color w:val="auto"/>
              </w:rPr>
            </w:pPr>
          </w:p>
        </w:tc>
        <w:tc>
          <w:tcPr>
            <w:tcW w:w="11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r>
      <w:tr>
        <w:trPr>
          <w:trHeight w:val="185"/>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3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10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2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Subscription plans</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1,060</w:t>
            </w:r>
          </w:p>
        </w:tc>
        <w:tc>
          <w:tcPr>
            <w:tcW w:w="26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26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240" w:type="dxa"/>
            <w:vAlign w:val="bottom"/>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1,210</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1,129</w:t>
            </w:r>
          </w:p>
        </w:tc>
        <w:tc>
          <w:tcPr>
            <w:tcW w:w="2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1,051</w:t>
            </w:r>
          </w:p>
        </w:tc>
        <w:tc>
          <w:tcPr>
            <w:tcW w:w="22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FF0FC"/>
          </w:tcPr>
          <w:p>
            <w:pPr>
              <w:spacing w:after="0"/>
              <w:rPr>
                <w:sz w:val="14"/>
                <w:szCs w:val="14"/>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1"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Adjusted EBITDA and Adjusted EBITDA Margin are key measures we use to assess our financial performance and are also used for internal planning and forecasting purposes. We believe Adjusted EBITDA is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78"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the periods presented, for acquisition related expenses, cash bonuses to vested option holders, stock-based compensation expense, payroll tax expense related to stock-based compensation, loss on extinguishment of debt, financing related expenses, loss on abandonment and impairment of operating lease assets, restructuring related expenses, legal settlement expenses, charitable stock donation, and other income or expense, net. Adjusted EBITDA Margin represents Adjusted EBITDA as a percentage of revenue.</w:t>
      </w:r>
    </w:p>
    <w:p>
      <w:pPr>
        <w:spacing w:after="0" w:line="86"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72"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8"/>
          <w:szCs w:val="18"/>
          <w:color w:val="auto"/>
        </w:rPr>
        <w:t>The following table presents a reconciliation of net (loss) income, the most directly comparable financial measure calculated in accordance with GAAP, to Adjusted EBITDA, and presents net (loss) income margin, the most directly comparable financial measure calculated in accordance with GAAP, with Adjusted EBITDA Margin: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(41,734</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(2,920 )</w:t>
            </w: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(3,829 )</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22,316</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(30,707 )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38,644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line="216" w:lineRule="exact"/>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line="216"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23,630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line="216" w:lineRule="exact"/>
              <w:rPr>
                <w:sz w:val="20"/>
                <w:szCs w:val="20"/>
                <w:color w:val="auto"/>
              </w:rPr>
            </w:pPr>
            <w:r>
              <w:rPr>
                <w:rFonts w:ascii="Arial" w:cs="Arial" w:eastAsia="Arial" w:hAnsi="Arial"/>
                <w:sz w:val="18"/>
                <w:szCs w:val="18"/>
                <w:color w:val="auto"/>
              </w:rPr>
              <w:t xml:space="preserve">Restructuring related expenses </w:t>
            </w:r>
            <w:r>
              <w:rPr>
                <w:rFonts w:ascii="Arial" w:cs="Arial" w:eastAsia="Arial" w:hAnsi="Arial"/>
                <w:sz w:val="24"/>
                <w:szCs w:val="24"/>
                <w:color w:val="auto"/>
                <w:vertAlign w:val="superscript"/>
              </w:rPr>
              <w:t>(3)</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line="216" w:lineRule="exact"/>
              <w:rPr>
                <w:sz w:val="20"/>
                <w:szCs w:val="20"/>
                <w:color w:val="auto"/>
              </w:rPr>
            </w:pPr>
            <w:r>
              <w:rPr>
                <w:rFonts w:ascii="Arial" w:cs="Arial" w:eastAsia="Arial" w:hAnsi="Arial"/>
                <w:sz w:val="18"/>
                <w:szCs w:val="18"/>
                <w:color w:val="auto"/>
              </w:rPr>
              <w:t xml:space="preserve">Legal settlement expenses </w:t>
            </w:r>
            <w:r>
              <w:rPr>
                <w:rFonts w:ascii="Arial" w:cs="Arial" w:eastAsia="Arial" w:hAnsi="Arial"/>
                <w:sz w:val="24"/>
                <w:szCs w:val="24"/>
                <w:color w:val="auto"/>
                <w:vertAlign w:val="superscript"/>
              </w:rPr>
              <w:t>(4)</w:t>
            </w:r>
          </w:p>
        </w:tc>
        <w:tc>
          <w:tcPr>
            <w:tcW w:w="280" w:type="dxa"/>
            <w:vAlign w:val="bottom"/>
          </w:tcPr>
          <w:p>
            <w:pPr>
              <w:spacing w:after="0"/>
              <w:rPr>
                <w:sz w:val="18"/>
                <w:szCs w:val="18"/>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90,820</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127,182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Payroll tax expense related to stock-based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line="216" w:lineRule="exact"/>
              <w:rPr>
                <w:sz w:val="20"/>
                <w:szCs w:val="20"/>
                <w:color w:val="auto"/>
              </w:rPr>
            </w:pPr>
            <w:r>
              <w:rPr>
                <w:rFonts w:ascii="Arial" w:cs="Arial" w:eastAsia="Arial" w:hAnsi="Arial"/>
                <w:sz w:val="18"/>
                <w:szCs w:val="18"/>
                <w:color w:val="auto"/>
              </w:rPr>
              <w:t xml:space="preserve">Loss on abandonment of operating lease assets </w:t>
            </w:r>
            <w:r>
              <w:rPr>
                <w:rFonts w:ascii="Arial" w:cs="Arial" w:eastAsia="Arial" w:hAnsi="Arial"/>
                <w:sz w:val="24"/>
                <w:szCs w:val="24"/>
                <w:color w:val="auto"/>
                <w:vertAlign w:val="superscript"/>
              </w:rPr>
              <w:t>(5)</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52,002</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61,788</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163,884</w:t>
            </w:r>
          </w:p>
        </w:tc>
        <w:tc>
          <w:tcPr>
            <w:tcW w:w="2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167,380</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187,318</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195,102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582,445</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532,168</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800" w:type="dxa"/>
            <w:vAlign w:val="bottom"/>
          </w:tcPr>
          <w:p>
            <w:pPr>
              <w:ind w:left="20"/>
              <w:spacing w:after="0" w:line="197" w:lineRule="exact"/>
              <w:rPr>
                <w:sz w:val="20"/>
                <w:szCs w:val="20"/>
                <w:color w:val="auto"/>
              </w:rPr>
            </w:pPr>
            <w:r>
              <w:rPr>
                <w:rFonts w:ascii="Arial" w:cs="Arial" w:eastAsia="Arial" w:hAnsi="Arial"/>
                <w:sz w:val="17"/>
                <w:szCs w:val="17"/>
                <w:color w:val="auto"/>
              </w:rPr>
              <w:t xml:space="preserve">Net (loss) income margin </w:t>
            </w:r>
            <w:r>
              <w:rPr>
                <w:rFonts w:ascii="Arial" w:cs="Arial" w:eastAsia="Arial" w:hAnsi="Arial"/>
                <w:sz w:val="22"/>
                <w:szCs w:val="22"/>
                <w:color w:val="auto"/>
                <w:vertAlign w:val="superscript"/>
              </w:rPr>
              <w:t>(6)</w:t>
            </w:r>
          </w:p>
        </w:tc>
        <w:tc>
          <w:tcPr>
            <w:tcW w:w="280" w:type="dxa"/>
            <w:vAlign w:val="bottom"/>
          </w:tcPr>
          <w:p>
            <w:pPr>
              <w:spacing w:after="0"/>
              <w:rPr>
                <w:sz w:val="17"/>
                <w:szCs w:val="17"/>
                <w:color w:val="auto"/>
              </w:rPr>
            </w:pPr>
          </w:p>
        </w:tc>
        <w:tc>
          <w:tcPr>
            <w:tcW w:w="12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(22.3 %)</w:t>
            </w:r>
          </w:p>
        </w:tc>
        <w:tc>
          <w:tcPr>
            <w:tcW w:w="360" w:type="dxa"/>
            <w:vAlign w:val="bottom"/>
          </w:tcPr>
          <w:p>
            <w:pPr>
              <w:spacing w:after="0"/>
              <w:rPr>
                <w:sz w:val="17"/>
                <w:szCs w:val="17"/>
                <w:color w:val="auto"/>
              </w:rPr>
            </w:pPr>
          </w:p>
        </w:tc>
        <w:tc>
          <w:tcPr>
            <w:tcW w:w="102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(9.3 %)</w:t>
            </w:r>
          </w:p>
        </w:tc>
        <w:tc>
          <w:tcPr>
            <w:tcW w:w="240" w:type="dxa"/>
            <w:vAlign w:val="bottom"/>
          </w:tcPr>
          <w:p>
            <w:pPr>
              <w:spacing w:after="0"/>
              <w:rPr>
                <w:sz w:val="17"/>
                <w:szCs w:val="17"/>
                <w:color w:val="auto"/>
              </w:rPr>
            </w:pPr>
          </w:p>
        </w:tc>
        <w:tc>
          <w:tcPr>
            <w:tcW w:w="10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(5.3 %)</w:t>
            </w:r>
          </w:p>
        </w:tc>
        <w:tc>
          <w:tcPr>
            <w:tcW w:w="420" w:type="dxa"/>
            <w:vAlign w:val="bottom"/>
          </w:tcPr>
          <w:p>
            <w:pPr>
              <w:spacing w:after="0"/>
              <w:rPr>
                <w:sz w:val="17"/>
                <w:szCs w:val="17"/>
                <w:color w:val="auto"/>
              </w:rPr>
            </w:pPr>
          </w:p>
        </w:tc>
        <w:tc>
          <w:tcPr>
            <w:tcW w:w="900" w:type="dxa"/>
            <w:vAlign w:val="bottom"/>
            <w:gridSpan w:val="3"/>
          </w:tcPr>
          <w:p>
            <w:pPr>
              <w:jc w:val="right"/>
              <w:spacing w:after="0" w:line="197"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5"/>
        </w:trPr>
        <w:tc>
          <w:tcPr>
            <w:tcW w:w="58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80" w:type="dxa"/>
            <w:vAlign w:val="bottom"/>
          </w:tcPr>
          <w:p>
            <w:pPr>
              <w:spacing w:after="0"/>
              <w:rPr>
                <w:sz w:val="20"/>
                <w:szCs w:val="20"/>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27.8 %</w:t>
            </w: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31.7 %</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4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-581660</wp:posOffset>
            </wp:positionV>
            <wp:extent cx="768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-581660</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-581660</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-581660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Financing related expenses include third party fees related to proposed financings.</w:t>
      </w:r>
    </w:p>
    <w:p>
      <w:pPr>
        <w:spacing w:after="0" w:line="13" w:lineRule="exact"/>
        <w:rPr>
          <w:rFonts w:ascii="Arial" w:cs="Arial" w:eastAsia="Arial" w:hAnsi="Arial"/>
          <w:sz w:val="18"/>
          <w:szCs w:val="18"/>
          <w:color w:val="auto"/>
        </w:rPr>
      </w:pPr>
    </w:p>
    <w:p>
      <w:pPr>
        <w:jc w:val="both"/>
        <w:ind w:left="520" w:right="60" w:hanging="512"/>
        <w:spacing w:after="0" w:line="239"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related expenses include third party fees for actual or planned acquisitions, including related legal, consulting and other expenditures, and as applicable, severance costs and retention bonuses to employees related to acquisitions and change in fair value of contingent consideration.</w:t>
      </w:r>
    </w:p>
    <w:p>
      <w:pPr>
        <w:spacing w:after="0" w:line="1" w:lineRule="exact"/>
        <w:rPr>
          <w:rFonts w:ascii="Arial" w:cs="Arial" w:eastAsia="Arial" w:hAnsi="Arial"/>
          <w:sz w:val="18"/>
          <w:szCs w:val="18"/>
          <w:color w:val="auto"/>
        </w:rPr>
      </w:pPr>
    </w:p>
    <w:p>
      <w:pPr>
        <w:jc w:val="both"/>
        <w:ind w:left="520" w:right="60" w:hanging="512"/>
        <w:spacing w:after="0" w:line="238"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related expenses include employee severance and other personnel related costs in connection with workforce optimization and organizational changes to better align with our strategic goals and future scale, including a reduction in force approved by our board of directors in August 2022 involving approximately 140 employees of our indirect wholly owned subsidiary GoodRx, Inc., representing approximately 16% of its workforce primarily in its technology-focused and marketing groups.</w:t>
      </w:r>
    </w:p>
    <w:p>
      <w:pPr>
        <w:spacing w:after="0" w:line="1" w:lineRule="exact"/>
        <w:rPr>
          <w:rFonts w:ascii="Arial" w:cs="Arial" w:eastAsia="Arial" w:hAnsi="Arial"/>
          <w:sz w:val="18"/>
          <w:szCs w:val="18"/>
          <w:color w:val="auto"/>
        </w:rPr>
      </w:pPr>
    </w:p>
    <w:p>
      <w:pPr>
        <w:ind w:left="520" w:right="60" w:hanging="512"/>
        <w:spacing w:after="0" w:line="242"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settlement expenses represent the estimated accrual of the probable loss with respect to the ongoing Federal Trade Commission ("FTC") investigation. See Note 8 to our condensed consolidated financial statements for additional information.</w:t>
      </w:r>
    </w:p>
    <w:p>
      <w:pPr>
        <w:ind w:left="520" w:hanging="512"/>
        <w:spacing w:after="0" w:line="23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Non-cash loss with respect to certain leased office space that was abandoned.</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(loss) income margin represents net loss or net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-1577340</wp:posOffset>
            </wp:positionV>
            <wp:extent cx="11899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1" w:lineRule="exact"/>
        <w:rPr>
          <w:sz w:val="20"/>
          <w:szCs w:val="20"/>
          <w:color w:val="auto"/>
        </w:rPr>
      </w:pPr>
    </w:p>
    <w:p>
      <w:pPr>
        <w:jc w:val="both"/>
        <w:ind w:right="60" w:firstLine="210"/>
        <w:spacing w:after="0" w:line="251"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pharma manufacturer solutions offering, and our telehealth offerings. We expect subscription and pharma manufacturer solutions revenue to continue to grow as a percentage of total revenue in the near to medium term as we continue to scale the capabilities and platforms of our subscription and pharma manufacturer solutions offerings. All of our revenue has been generated in the United States.</w:t>
      </w:r>
    </w:p>
    <w:p>
      <w:pPr>
        <w:spacing w:after="0" w:line="64" w:lineRule="exact"/>
        <w:rPr>
          <w:sz w:val="20"/>
          <w:szCs w:val="20"/>
          <w:color w:val="auto"/>
        </w:rPr>
      </w:pPr>
    </w:p>
    <w:p>
      <w:pPr>
        <w:jc w:val="both"/>
        <w:ind w:left="600" w:right="60" w:hanging="382"/>
        <w:spacing w:after="0" w:line="245"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or customers, when a prescription is filled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GoodRx 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0"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w:t>
      </w:r>
    </w:p>
    <w:p>
      <w:pPr>
        <w:spacing w:after="0" w:line="102" w:lineRule="exact"/>
        <w:rPr>
          <w:rFonts w:ascii="Times New Roman" w:cs="Times New Roman" w:eastAsia="Times New Roman" w:hAnsi="Times New Roman"/>
          <w:sz w:val="18"/>
          <w:szCs w:val="18"/>
          <w:color w:val="auto"/>
        </w:rPr>
      </w:pPr>
    </w:p>
    <w:p>
      <w:pPr>
        <w:ind w:left="600" w:right="60" w:hanging="382"/>
        <w:spacing w:after="0" w:line="285" w:lineRule="auto"/>
        <w:tabs>
          <w:tab w:leader="none" w:pos="6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Pharma manufacturer solutions revenue: </w:t>
      </w:r>
      <w:r>
        <w:rPr>
          <w:rFonts w:ascii="Arial" w:cs="Arial" w:eastAsia="Arial" w:hAnsi="Arial"/>
          <w:sz w:val="18"/>
          <w:szCs w:val="18"/>
          <w:color w:val="auto"/>
        </w:rPr>
        <w:t>Consists primarily of revenue generated from pharma manufacturers and other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advertising, including integrating onto our platform their affordability solutions to our consumers.</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24" w:name="page25"/>
    <w:bookmarkEnd w:id="24"/>
    <w:p>
      <w:pPr>
        <w:ind w:left="600" w:right="20" w:hanging="382"/>
        <w:spacing w:after="0" w:line="285" w:lineRule="auto"/>
        <w:tabs>
          <w:tab w:leader="none" w:pos="6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revenue generated by our telehealth offerings that allow consumers to access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online.</w:t>
      </w:r>
    </w:p>
    <w:p>
      <w:pPr>
        <w:spacing w:after="0" w:line="33"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Beginning in the first quarter of 2022, pharma manufacturer solutions revenue is disclosed separately from other revenue. Prior period amounts have been recast to conform with the current period presentation.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103" w:lineRule="exact"/>
        <w:rPr>
          <w:sz w:val="20"/>
          <w:szCs w:val="20"/>
          <w:color w:val="auto"/>
        </w:rPr>
      </w:pPr>
    </w:p>
    <w:p>
      <w:pPr>
        <w:jc w:val="both"/>
        <w:ind w:left="600" w:hanging="382"/>
        <w:spacing w:after="0" w:line="247"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 Care,</w:t>
      </w:r>
      <w:r>
        <w:rPr>
          <w:rFonts w:ascii="Arial" w:cs="Arial" w:eastAsia="Arial" w:hAnsi="Arial"/>
          <w:sz w:val="18"/>
          <w:szCs w:val="18"/>
          <w:i w:val="1"/>
          <w:iCs w:val="1"/>
          <w:color w:val="auto"/>
        </w:rPr>
        <w:t xml:space="preserve"> </w:t>
      </w:r>
      <w:r>
        <w:rPr>
          <w:rFonts w:ascii="Arial" w:cs="Arial" w:eastAsia="Arial" w:hAnsi="Arial"/>
          <w:sz w:val="18"/>
          <w:szCs w:val="18"/>
          <w:color w:val="auto"/>
        </w:rPr>
        <w:t>fulfilment costs for certain solutions provided to customers under our pharma manufacturer solutions offering, personnel costs including salaries, benefits, bonuses and stock-based compensation expense, for our consumer support employees, hosting and cloud costs, merchant account fees, processing fees and allocated overhead. Cost of revenue is largely driven by changes in our visitor, subscriber and active consumer base, as well as our offering mix. Our cost of revenue as a percentage of revenue may vary based on the changes in mix of our various offerings.</w:t>
      </w:r>
    </w:p>
    <w:p>
      <w:pPr>
        <w:spacing w:after="0" w:line="69" w:lineRule="exact"/>
        <w:rPr>
          <w:rFonts w:ascii="Times New Roman" w:cs="Times New Roman" w:eastAsia="Times New Roman" w:hAnsi="Times New Roman"/>
          <w:sz w:val="18"/>
          <w:szCs w:val="18"/>
          <w:color w:val="auto"/>
        </w:rPr>
      </w:pPr>
    </w:p>
    <w:p>
      <w:pPr>
        <w:jc w:val="both"/>
        <w:ind w:left="600" w:hanging="382"/>
        <w:spacing w:after="0" w:line="247"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w:t>
      </w:r>
    </w:p>
    <w:p>
      <w:pPr>
        <w:spacing w:after="0" w:line="69" w:lineRule="exact"/>
        <w:rPr>
          <w:rFonts w:ascii="Times New Roman" w:cs="Times New Roman" w:eastAsia="Times New Roman" w:hAnsi="Times New Roman"/>
          <w:sz w:val="18"/>
          <w:szCs w:val="18"/>
          <w:color w:val="auto"/>
        </w:rPr>
      </w:pPr>
    </w:p>
    <w:p>
      <w:pPr>
        <w:jc w:val="both"/>
        <w:ind w:left="600" w:hanging="382"/>
        <w:spacing w:after="0" w:line="245"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or level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70" w:lineRule="exact"/>
        <w:rPr>
          <w:rFonts w:ascii="Times New Roman" w:cs="Times New Roman" w:eastAsia="Times New Roman" w:hAnsi="Times New Roman"/>
          <w:sz w:val="18"/>
          <w:szCs w:val="18"/>
          <w:color w:val="auto"/>
        </w:rPr>
      </w:pPr>
    </w:p>
    <w:p>
      <w:pPr>
        <w:jc w:val="both"/>
        <w:ind w:left="600" w:hanging="382"/>
        <w:spacing w:after="0" w:line="251"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and charitable donations.</w:t>
      </w:r>
    </w:p>
    <w:p>
      <w:pPr>
        <w:spacing w:after="0" w:line="63" w:lineRule="exact"/>
        <w:rPr>
          <w:rFonts w:ascii="Times New Roman" w:cs="Times New Roman" w:eastAsia="Times New Roman" w:hAnsi="Times New Roman"/>
          <w:sz w:val="18"/>
          <w:szCs w:val="18"/>
          <w:color w:val="auto"/>
        </w:rPr>
      </w:pPr>
    </w:p>
    <w:p>
      <w:pPr>
        <w:jc w:val="both"/>
        <w:ind w:left="600" w:hanging="382"/>
        <w:spacing w:after="0" w:line="260" w:lineRule="auto"/>
        <w:tabs>
          <w:tab w:leader="none" w:pos="6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other expense, net consists of the following:</w:t>
      </w:r>
    </w:p>
    <w:p>
      <w:pPr>
        <w:spacing w:after="0" w:line="103" w:lineRule="exact"/>
        <w:rPr>
          <w:sz w:val="20"/>
          <w:szCs w:val="20"/>
          <w:color w:val="auto"/>
        </w:rPr>
      </w:pPr>
    </w:p>
    <w:p>
      <w:pPr>
        <w:ind w:left="600" w:hanging="382"/>
        <w:spacing w:after="0"/>
        <w:tabs>
          <w:tab w:leader="none" w:pos="6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02" w:lineRule="exact"/>
        <w:rPr>
          <w:rFonts w:ascii="Times New Roman" w:cs="Times New Roman" w:eastAsia="Times New Roman" w:hAnsi="Times New Roman"/>
          <w:sz w:val="18"/>
          <w:szCs w:val="18"/>
          <w:color w:val="auto"/>
        </w:rPr>
      </w:pPr>
    </w:p>
    <w:p>
      <w:pPr>
        <w:ind w:left="600" w:hanging="382"/>
        <w:spacing w:after="0" w:line="285" w:lineRule="auto"/>
        <w:tabs>
          <w:tab w:leader="none" w:pos="6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income taxes consists of federal and state income taxes. Our effective income tax rate differs from the U.S. federal statutory rate of</w:t>
      </w:r>
    </w:p>
    <w:p>
      <w:pPr>
        <w:spacing w:after="0" w:line="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21.0% primarily due to effects of non-deductible officers’ stock-based compensation expense, state income taxes, research and development tax credits, excess tax benefits from our equity awards and changes in the valuation allowance against our net deferred tax assets. For information regarding our calculation of income taxes in interim periods, see Note 6 to our condensed consolidated financial statements appearing elsewhere in this Quarterly Report on Form 10-Q.</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comparing the components of our results of operations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60" w:type="dxa"/>
            <w:vAlign w:val="bottom"/>
            <w:gridSpan w:val="9"/>
          </w:tcPr>
          <w:p>
            <w:pPr>
              <w:jc w:val="center"/>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Prescription transactions revenue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131,216</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155,652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421,126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Subscription revenue</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71,545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42,549</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Pharma manufacturer solutions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revenue</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4,676</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15,255</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187,318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195,102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582,445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532,168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operating expenses: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800" w:type="dxa"/>
            <w:vAlign w:val="bottom"/>
          </w:tcPr>
          <w:p>
            <w:pPr>
              <w:ind w:left="280"/>
              <w:spacing w:after="0" w:line="170" w:lineRule="exact"/>
              <w:rPr>
                <w:sz w:val="20"/>
                <w:szCs w:val="20"/>
                <w:color w:val="auto"/>
              </w:rPr>
            </w:pPr>
            <w:r>
              <w:rPr>
                <w:rFonts w:ascii="Arial" w:cs="Arial" w:eastAsia="Arial" w:hAnsi="Arial"/>
                <w:sz w:val="18"/>
                <w:szCs w:val="18"/>
                <w:color w:val="auto"/>
              </w:rPr>
              <w:t>Cost of revenue, exclusive of depreciation and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17,395</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11,271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47,719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32,789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800" w:type="dxa"/>
            <w:vAlign w:val="bottom"/>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 and technology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106,367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95,651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273,503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35,947</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116,211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119,312</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operating expenses</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203,031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188,103</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582,444</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530,518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(15,713 )</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(2,920 )</w:t>
            </w:r>
          </w:p>
        </w:tc>
        <w:tc>
          <w:tcPr>
            <w:tcW w:w="3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(3,829 )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5,928</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(22,271</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(18,486</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(19,463 )</w:t>
            </w:r>
          </w:p>
        </w:tc>
        <w:tc>
          <w:tcPr>
            <w:tcW w:w="3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(19,153 )</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(12,370 )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(41,734</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2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(30,856</w:t>
            </w:r>
          </w:p>
        </w:tc>
        <w:tc>
          <w:tcPr>
            <w:tcW w:w="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862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1500" w:type="dxa"/>
            <w:vAlign w:val="bottom"/>
            <w:gridSpan w:val="6"/>
            <w:vMerge w:val="restart"/>
          </w:tcPr>
          <w:p>
            <w:pPr>
              <w:jc w:val="center"/>
              <w:ind w:left="413"/>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6"/>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Prescription transactions revenue</w:t>
            </w:r>
          </w:p>
        </w:tc>
        <w:tc>
          <w:tcPr>
            <w:tcW w:w="20" w:type="dxa"/>
            <w:vAlign w:val="bottom"/>
          </w:tcPr>
          <w:p>
            <w:pPr>
              <w:spacing w:after="0"/>
              <w:rPr>
                <w:sz w:val="16"/>
                <w:szCs w:val="16"/>
                <w:color w:val="auto"/>
              </w:rPr>
            </w:pP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131,216</w:t>
            </w:r>
          </w:p>
        </w:tc>
        <w:tc>
          <w:tcPr>
            <w:tcW w:w="280" w:type="dxa"/>
            <w:vAlign w:val="bottom"/>
          </w:tcPr>
          <w:p>
            <w:pPr>
              <w:spacing w:after="0"/>
              <w:rPr>
                <w:sz w:val="16"/>
                <w:szCs w:val="16"/>
                <w:color w:val="auto"/>
              </w:rPr>
            </w:pPr>
          </w:p>
        </w:tc>
        <w:tc>
          <w:tcPr>
            <w:tcW w:w="38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155,652</w:t>
            </w:r>
          </w:p>
        </w:tc>
        <w:tc>
          <w:tcPr>
            <w:tcW w:w="220" w:type="dxa"/>
            <w:vAlign w:val="bottom"/>
          </w:tcPr>
          <w:p>
            <w:pPr>
              <w:spacing w:after="0"/>
              <w:rPr>
                <w:sz w:val="16"/>
                <w:szCs w:val="16"/>
                <w:color w:val="auto"/>
              </w:rPr>
            </w:pP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(24,436</w:t>
            </w:r>
          </w:p>
        </w:tc>
        <w:tc>
          <w:tcPr>
            <w:tcW w:w="100" w:type="dxa"/>
            <w:vAlign w:val="bottom"/>
          </w:tcPr>
          <w:p>
            <w:pPr>
              <w:jc w:val="right"/>
              <w:spacing w:after="0" w:line="190"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c>
          <w:tcPr>
            <w:tcW w:w="200" w:type="dxa"/>
            <w:vAlign w:val="bottom"/>
            <w:gridSpan w:val="2"/>
          </w:tcPr>
          <w:p>
            <w:pPr>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26,450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Pharma manufacturer solutions revenue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24,499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5"/>
        </w:trPr>
        <w:tc>
          <w:tcPr>
            <w:tcW w:w="58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9"/>
        </w:trPr>
        <w:tc>
          <w:tcPr>
            <w:tcW w:w="580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187,318</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195,102</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-4049395</wp:posOffset>
            </wp:positionV>
            <wp:extent cx="7683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-4049395</wp:posOffset>
            </wp:positionV>
            <wp:extent cx="6858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-4049395</wp:posOffset>
            </wp:positionV>
            <wp:extent cx="6858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-2816225</wp:posOffset>
            </wp:positionV>
            <wp:extent cx="76835"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-2816225</wp:posOffset>
            </wp:positionV>
            <wp:extent cx="6858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-2816225</wp:posOffset>
            </wp:positionV>
            <wp:extent cx="6858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-2251075</wp:posOffset>
            </wp:positionV>
            <wp:extent cx="7683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-2251075</wp:posOffset>
            </wp:positionV>
            <wp:extent cx="6858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-2251075</wp:posOffset>
            </wp:positionV>
            <wp:extent cx="6858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-1677670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-1660525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-1677670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-1660525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-1677670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-1660525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9" w:lineRule="exact"/>
        <w:rPr>
          <w:sz w:val="20"/>
          <w:szCs w:val="20"/>
          <w:color w:val="auto"/>
        </w:rPr>
      </w:pPr>
    </w:p>
    <w:p>
      <w:pPr>
        <w:jc w:val="both"/>
        <w:ind w:right="100" w:firstLine="210"/>
        <w:spacing w:after="0" w:line="247" w:lineRule="auto"/>
        <w:rPr>
          <w:sz w:val="20"/>
          <w:szCs w:val="20"/>
          <w:color w:val="auto"/>
        </w:rPr>
      </w:pPr>
      <w:r>
        <w:rPr>
          <w:rFonts w:ascii="Arial" w:cs="Arial" w:eastAsia="Arial" w:hAnsi="Arial"/>
          <w:sz w:val="18"/>
          <w:szCs w:val="18"/>
          <w:color w:val="auto"/>
        </w:rPr>
        <w:t>Prescription transactions revenue for the three months ended September 30, 2022 decreased $24.4 million, or 16%, compared to the three months ended September 30, 2021, driven primarily by a 9% decrease in the number of our average Monthly Active Consumers principally due to the sustained impact from the grocer issue as described above. In addition, the year-over-year change in prescription transactions revenue was impacted by an ongoing shift in the volume of prescription transactions to other retailers, which generally provide lower pricing relative to prescription transactions processed through the grocer.</w:t>
      </w:r>
    </w:p>
    <w:p>
      <w:pPr>
        <w:spacing w:after="0" w:line="81" w:lineRule="exact"/>
        <w:rPr>
          <w:sz w:val="20"/>
          <w:szCs w:val="20"/>
          <w:color w:val="auto"/>
        </w:rPr>
      </w:pPr>
    </w:p>
    <w:p>
      <w:pPr>
        <w:jc w:val="both"/>
        <w:ind w:right="100" w:firstLine="210"/>
        <w:spacing w:after="0" w:line="244" w:lineRule="auto"/>
        <w:rPr>
          <w:sz w:val="20"/>
          <w:szCs w:val="20"/>
          <w:color w:val="auto"/>
        </w:rPr>
      </w:pPr>
      <w:r>
        <w:rPr>
          <w:rFonts w:ascii="Arial" w:cs="Arial" w:eastAsia="Arial" w:hAnsi="Arial"/>
          <w:sz w:val="18"/>
          <w:szCs w:val="18"/>
          <w:color w:val="auto"/>
        </w:rPr>
        <w:t>Subscription revenue for the three months ended September 30, 2022 increased $ 10.2 million, or 63%, compared to the three months ended September 30, 2021, driven primarily by a pricing increase for Gold subscribers that went into effect in the first half of 2022, partially offset by a 6% decrease in the number of subscription plans to 1,060 thousand as of September 30, 2022 compared to 1,129 thousand as of September 30, 2021. We expect the increase in Gold pricing to result in slower subscriber growth relative to subscription revenue growth in the near term. We do not believe the grocer issue materially impacted subscription revenue through the third quarter of 2022, though it may be materially impacted in the future.</w:t>
      </w:r>
    </w:p>
    <w:p>
      <w:pPr>
        <w:spacing w:after="0" w:line="86" w:lineRule="exact"/>
        <w:rPr>
          <w:sz w:val="20"/>
          <w:szCs w:val="20"/>
          <w:color w:val="auto"/>
        </w:rPr>
      </w:pPr>
    </w:p>
    <w:p>
      <w:pPr>
        <w:jc w:val="both"/>
        <w:ind w:right="100" w:firstLine="210"/>
        <w:spacing w:after="0" w:line="251" w:lineRule="auto"/>
        <w:rPr>
          <w:sz w:val="20"/>
          <w:szCs w:val="20"/>
          <w:color w:val="auto"/>
        </w:rPr>
      </w:pPr>
      <w:r>
        <w:rPr>
          <w:rFonts w:ascii="Arial" w:cs="Arial" w:eastAsia="Arial" w:hAnsi="Arial"/>
          <w:sz w:val="18"/>
          <w:szCs w:val="18"/>
          <w:color w:val="auto"/>
        </w:rPr>
        <w:t>Pharma manufacturer solutions revenue for the three months ended September 30, 2022 increased $ 6.0 million, or 32%, compared to the three months ended September 30, 2021, driven primarily by organic growth as we continued to expand our market penetration with pharma manufacturers and other customers as well as from our acquisition of vitaCare in April 2022, which contributed $2.0 million in revenues for the three months ended September 30, 2022.</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7" w:right="239" w:bottom="1440" w:gutter="0" w:footer="0" w:header="0"/>
        </w:sectPr>
      </w:pPr>
    </w:p>
    <w:bookmarkStart w:id="26" w:name="page27"/>
    <w:bookmarkEnd w:id="26"/>
    <w:p>
      <w:pPr>
        <w:jc w:val="both"/>
        <w:ind w:right="120" w:firstLine="210"/>
        <w:spacing w:after="0" w:line="286" w:lineRule="auto"/>
        <w:rPr>
          <w:sz w:val="20"/>
          <w:szCs w:val="20"/>
          <w:color w:val="auto"/>
        </w:rPr>
      </w:pPr>
      <w:r>
        <w:rPr>
          <w:rFonts w:ascii="Arial" w:cs="Arial" w:eastAsia="Arial" w:hAnsi="Arial"/>
          <w:sz w:val="18"/>
          <w:szCs w:val="18"/>
          <w:color w:val="auto"/>
        </w:rPr>
        <w:t>Other revenue for the three months ended September 30, 2022 increased $0.5 million, or 10%, compared to the three months ended September 30, 2021, driven by an increase in the number of telehealth visits on our platform.</w:t>
      </w:r>
    </w:p>
    <w:p>
      <w:pPr>
        <w:spacing w:after="0" w:line="33" w:lineRule="exact"/>
        <w:rPr>
          <w:sz w:val="20"/>
          <w:szCs w:val="20"/>
          <w:color w:val="auto"/>
        </w:rPr>
      </w:pPr>
    </w:p>
    <w:p>
      <w:pPr>
        <w:jc w:val="both"/>
        <w:ind w:right="100" w:firstLine="210"/>
        <w:spacing w:after="0" w:line="271" w:lineRule="auto"/>
        <w:rPr>
          <w:sz w:val="20"/>
          <w:szCs w:val="20"/>
          <w:color w:val="auto"/>
        </w:rPr>
      </w:pPr>
      <w:r>
        <w:rPr>
          <w:rFonts w:ascii="Arial" w:cs="Arial" w:eastAsia="Arial" w:hAnsi="Arial"/>
          <w:sz w:val="18"/>
          <w:szCs w:val="18"/>
          <w:color w:val="auto"/>
        </w:rPr>
        <w:t>Other than revenue from vitaCare relative to pharma manufacturer solutions revenue, our acquisitions individually and in the aggregate did not materially contribute to the change in our revenue for the three months ended September 30, 2022 compared to the same period of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17,395</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11,271</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6,124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54</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20" w:firstLine="210"/>
        <w:spacing w:after="0" w:line="252" w:lineRule="auto"/>
        <w:rPr>
          <w:sz w:val="20"/>
          <w:szCs w:val="20"/>
          <w:color w:val="auto"/>
        </w:rPr>
      </w:pPr>
      <w:r>
        <w:rPr>
          <w:rFonts w:ascii="Arial" w:cs="Arial" w:eastAsia="Arial" w:hAnsi="Arial"/>
          <w:sz w:val="18"/>
          <w:szCs w:val="18"/>
          <w:color w:val="auto"/>
        </w:rPr>
        <w:t>Cost of revenue for the three months ended September 30, 2022 increased $ 6.1 million, or 54%, compared to the three months ended September 30, 2021. This increase was primarily driven by a $3.0 million increase in outsourced and in-house personnel related to consumer support and an $1.1 million increase in allocated overhead, principally as a result of the acquisition of vitaCare in April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Product development and technology</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35,921</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35,073</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848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48" w:lineRule="auto"/>
        <w:rPr>
          <w:sz w:val="20"/>
          <w:szCs w:val="20"/>
          <w:color w:val="auto"/>
        </w:rPr>
      </w:pPr>
      <w:r>
        <w:rPr>
          <w:rFonts w:ascii="Arial" w:cs="Arial" w:eastAsia="Arial" w:hAnsi="Arial"/>
          <w:sz w:val="18"/>
          <w:szCs w:val="18"/>
          <w:color w:val="auto"/>
        </w:rPr>
        <w:t>Product development and technology expenses for the three months ended September 30, 2022 remained relatively flat compared to the three months ended September 30, 2021, due primarily to an increase in payroll and related costs due to higher headcount, and also by costs arising from the reduction in force in August 2022, substantially offset by higher capitalization of certain qualified costs related to the development of internal use software in 2022 compared to 2021 due to greater investment in our products. This was principally driven by a restructuring within our product development and technology team resulting in higher utilization and reprioritization of product development efforts that better align with our strategic goals and future scale.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line="190" w:lineRule="exact"/>
              <w:rPr>
                <w:sz w:val="20"/>
                <w:szCs w:val="20"/>
                <w:color w:val="auto"/>
              </w:rPr>
            </w:pPr>
            <w:r>
              <w:rPr>
                <w:rFonts w:ascii="Arial" w:cs="Arial" w:eastAsia="Arial" w:hAnsi="Arial"/>
                <w:sz w:val="18"/>
                <w:szCs w:val="18"/>
                <w:color w:val="auto"/>
              </w:rPr>
              <w:t>Sales and marketing</w:t>
            </w: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86,215</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95,651</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(9,436</w:t>
            </w:r>
          </w:p>
        </w:tc>
        <w:tc>
          <w:tcPr>
            <w:tcW w:w="22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46 %</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49 %</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51" w:lineRule="auto"/>
        <w:rPr>
          <w:sz w:val="20"/>
          <w:szCs w:val="20"/>
          <w:color w:val="auto"/>
        </w:rPr>
      </w:pPr>
      <w:r>
        <w:rPr>
          <w:rFonts w:ascii="Arial" w:cs="Arial" w:eastAsia="Arial" w:hAnsi="Arial"/>
          <w:sz w:val="18"/>
          <w:szCs w:val="18"/>
          <w:color w:val="auto"/>
        </w:rPr>
        <w:t>Sales and marketing expenses for the three months ended September 30, 2022 decreased by $9.4 million, or 10%, compared to the three months ended September 30, 2021. This decrease was primarily driven by a $17.5 million decrease in advertising and promotional expenses, partially offset by a $5.5 million increase in payroll and related expenses due to higher headcount, and also by costs arising from the reduction in force in August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80" w:type="dxa"/>
            <w:vAlign w:val="bottom"/>
          </w:tcPr>
          <w:p>
            <w:pPr>
              <w:ind w:left="20"/>
              <w:spacing w:after="0" w:line="190" w:lineRule="exact"/>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6"/>
                <w:szCs w:val="16"/>
                <w:color w:val="auto"/>
              </w:rPr>
            </w:pP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49,548</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35,947</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line="190" w:lineRule="exact"/>
              <w:rPr>
                <w:sz w:val="20"/>
                <w:szCs w:val="20"/>
                <w:color w:val="auto"/>
              </w:rPr>
            </w:pPr>
            <w:r>
              <w:rPr>
                <w:rFonts w:ascii="Arial" w:cs="Arial" w:eastAsia="Arial" w:hAnsi="Arial"/>
                <w:sz w:val="18"/>
                <w:szCs w:val="18"/>
                <w:color w:val="auto"/>
                <w:w w:val="98"/>
              </w:rPr>
              <w:t>13,601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38</w:t>
            </w:r>
          </w:p>
        </w:tc>
        <w:tc>
          <w:tcPr>
            <w:tcW w:w="16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0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0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-753110</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7" w:name="page28"/>
    <w:bookmarkEnd w:id="27"/>
    <w:p>
      <w:pPr>
        <w:jc w:val="both"/>
        <w:ind w:right="100" w:firstLine="210"/>
        <w:spacing w:after="0" w:line="248" w:lineRule="auto"/>
        <w:rPr>
          <w:sz w:val="20"/>
          <w:szCs w:val="20"/>
          <w:color w:val="auto"/>
        </w:rPr>
      </w:pPr>
      <w:r>
        <w:rPr>
          <w:rFonts w:ascii="Arial" w:cs="Arial" w:eastAsia="Arial" w:hAnsi="Arial"/>
          <w:sz w:val="18"/>
          <w:szCs w:val="18"/>
          <w:color w:val="auto"/>
        </w:rPr>
        <w:t>General and administrative expenses for the three months ended September 30, 2022 increased by $13.6 million, or 38%, compared to the three months ended September 30, 2021. This increase was primarily driven by a $16.6 million change in fair value of contingent consideration related to the vitaCare acquisition in April 2022 (see Note 3 to our condensed consolidated financial statements), and a $6.8 million increase in payroll and related expenses due to higher headcount to support our growth and operations as a public company, partially offset by a $9.9 million decrease in stock-based compensation expense related to the Founders Awards made in connection with our IPO as further described in Note 11 to our condensed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13,952</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10,161</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3,791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52" w:lineRule="auto"/>
        <w:rPr>
          <w:sz w:val="20"/>
          <w:szCs w:val="20"/>
          <w:color w:val="auto"/>
        </w:rPr>
      </w:pPr>
      <w:r>
        <w:rPr>
          <w:rFonts w:ascii="Arial" w:cs="Arial" w:eastAsia="Arial" w:hAnsi="Arial"/>
          <w:sz w:val="18"/>
          <w:szCs w:val="18"/>
          <w:color w:val="auto"/>
        </w:rPr>
        <w:t>Depreciation and amortization expenses for the three months ended September 30, 2022 increased by $3.8 million, or 37%, compared to the three months ended September 30, 2021. This increase was primarily driven by a $3.5 million increase in capitalized software amortization due to higher capitalized costs for platform improvements and the introduction of new products and features.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9,478</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5,928</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3,550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60</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86" w:lineRule="auto"/>
        <w:rPr>
          <w:sz w:val="20"/>
          <w:szCs w:val="20"/>
          <w:color w:val="auto"/>
        </w:rPr>
      </w:pPr>
      <w:r>
        <w:rPr>
          <w:rFonts w:ascii="Arial" w:cs="Arial" w:eastAsia="Arial" w:hAnsi="Arial"/>
          <w:sz w:val="18"/>
          <w:szCs w:val="18"/>
          <w:color w:val="auto"/>
        </w:rPr>
        <w:t>Interest expense for the three months ended September 30, 2022 increased by $3.6 million, or 60%, compared to the three months ended September 30, 2021, primarily due to higher interest rates partially offset by lower average debt balances.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6"/>
          </w:tcPr>
          <w:p>
            <w:pPr>
              <w:jc w:val="center"/>
              <w:ind w:right="73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Income tax expense</w:t>
            </w:r>
          </w:p>
        </w:tc>
        <w:tc>
          <w:tcPr>
            <w:tcW w:w="280" w:type="dxa"/>
            <w:vAlign w:val="bottom"/>
          </w:tcPr>
          <w:p>
            <w:pPr>
              <w:jc w:val="right"/>
              <w:ind w:right="90"/>
              <w:spacing w:after="0" w:line="190"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0" w:lineRule="exact"/>
              <w:rPr>
                <w:sz w:val="20"/>
                <w:szCs w:val="20"/>
                <w:color w:val="auto"/>
              </w:rPr>
            </w:pPr>
            <w:r>
              <w:rPr>
                <w:rFonts w:ascii="Arial" w:cs="Arial" w:eastAsia="Arial" w:hAnsi="Arial"/>
                <w:sz w:val="18"/>
                <w:szCs w:val="18"/>
                <w:color w:val="auto"/>
              </w:rPr>
              <w:t>(19,463</w:t>
            </w:r>
          </w:p>
        </w:tc>
        <w:tc>
          <w:tcPr>
            <w:tcW w:w="24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ind w:right="170"/>
              <w:spacing w:after="0" w:line="190"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(19,153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(310</w:t>
            </w:r>
          </w:p>
        </w:tc>
        <w:tc>
          <w:tcPr>
            <w:tcW w:w="22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(87.4 %)</w:t>
            </w:r>
          </w:p>
        </w:tc>
        <w:tc>
          <w:tcPr>
            <w:tcW w:w="3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1,766.9 %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44" w:lineRule="auto"/>
        <w:rPr>
          <w:sz w:val="20"/>
          <w:szCs w:val="20"/>
          <w:color w:val="auto"/>
        </w:rPr>
      </w:pPr>
      <w:r>
        <w:rPr>
          <w:rFonts w:ascii="Arial" w:cs="Arial" w:eastAsia="Arial" w:hAnsi="Arial"/>
          <w:sz w:val="18"/>
          <w:szCs w:val="18"/>
          <w:color w:val="auto"/>
        </w:rPr>
        <w:t>The year-over-year change in our income tax expense was primarily due to our application of the estimated annual effective income tax rate method to calculate interim taxes during the three months ended September 30, 2022 compared to the discrete effective tax rate method to calculate interim taxes for the three months ended September 30, 2021, the current effects of the full valuation allowance recorded in the fourth quarter of 2021 against our net deferred tax assets in excess of tax amortizable goodwill, which we maintained as of September 30, 2022, and a decrease in our excess tax benefits from our equity awards. See Note 6 to our condensed consolidated financial statements for more information regarding the interim tax calculation methods and the valuation allowance.</w:t>
      </w:r>
    </w:p>
    <w:p>
      <w:pPr>
        <w:spacing w:after="0" w:line="196" w:lineRule="exact"/>
        <w:rPr>
          <w:sz w:val="20"/>
          <w:szCs w:val="20"/>
          <w:color w:val="auto"/>
        </w:rPr>
      </w:pPr>
    </w:p>
    <w:p>
      <w:pPr>
        <w:ind w:right="3320"/>
        <w:spacing w:after="0" w:line="403" w:lineRule="auto"/>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8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80" w:type="dxa"/>
            <w:vAlign w:val="bottom"/>
          </w:tcPr>
          <w:p>
            <w:pPr>
              <w:ind w:left="20"/>
              <w:spacing w:after="0" w:line="190" w:lineRule="exact"/>
              <w:rPr>
                <w:sz w:val="20"/>
                <w:szCs w:val="20"/>
                <w:color w:val="auto"/>
              </w:rPr>
            </w:pPr>
            <w:r>
              <w:rPr>
                <w:rFonts w:ascii="Arial" w:cs="Arial" w:eastAsia="Arial" w:hAnsi="Arial"/>
                <w:sz w:val="18"/>
                <w:szCs w:val="18"/>
                <w:color w:val="auto"/>
              </w:rPr>
              <w:t>Prescription transactions revenue</w:t>
            </w:r>
          </w:p>
        </w:tc>
        <w:tc>
          <w:tcPr>
            <w:tcW w:w="1440" w:type="dxa"/>
            <w:vAlign w:val="bottom"/>
          </w:tcPr>
          <w:p>
            <w:pPr>
              <w:spacing w:after="0"/>
              <w:rPr>
                <w:sz w:val="16"/>
                <w:szCs w:val="16"/>
                <w:color w:val="auto"/>
              </w:rPr>
            </w:pP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421,126</w:t>
            </w:r>
          </w:p>
        </w:tc>
        <w:tc>
          <w:tcPr>
            <w:tcW w:w="280" w:type="dxa"/>
            <w:vAlign w:val="bottom"/>
          </w:tcPr>
          <w:p>
            <w:pPr>
              <w:spacing w:after="0"/>
              <w:rPr>
                <w:sz w:val="16"/>
                <w:szCs w:val="16"/>
                <w:color w:val="auto"/>
              </w:rPr>
            </w:pPr>
          </w:p>
        </w:tc>
        <w:tc>
          <w:tcPr>
            <w:tcW w:w="38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434,570</w:t>
            </w:r>
          </w:p>
        </w:tc>
        <w:tc>
          <w:tcPr>
            <w:tcW w:w="22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(13,444</w:t>
            </w:r>
          </w:p>
        </w:tc>
        <w:tc>
          <w:tcPr>
            <w:tcW w:w="22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Subscription revenue</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71,545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Pharma manufacturer solutions revenue</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74,519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33,459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5"/>
        </w:trPr>
        <w:tc>
          <w:tcPr>
            <w:tcW w:w="43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15,255</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9"/>
        </w:trPr>
        <w:tc>
          <w:tcPr>
            <w:tcW w:w="438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14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582,445</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532,168</w:t>
            </w:r>
          </w:p>
        </w:tc>
        <w:tc>
          <w:tcPr>
            <w:tcW w:w="2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50,277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438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3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-641350</wp:posOffset>
            </wp:positionV>
            <wp:extent cx="713232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8" w:name="page29"/>
    <w:bookmarkEnd w:id="28"/>
    <w:p>
      <w:pPr>
        <w:jc w:val="both"/>
        <w:ind w:right="60" w:firstLine="210"/>
        <w:spacing w:after="0" w:line="246" w:lineRule="auto"/>
        <w:rPr>
          <w:sz w:val="20"/>
          <w:szCs w:val="20"/>
          <w:color w:val="auto"/>
        </w:rPr>
      </w:pPr>
      <w:r>
        <w:rPr>
          <w:rFonts w:ascii="Arial" w:cs="Arial" w:eastAsia="Arial" w:hAnsi="Arial"/>
          <w:sz w:val="18"/>
          <w:szCs w:val="18"/>
          <w:color w:val="auto"/>
        </w:rPr>
        <w:t>Prescription transactions revenue for the nine months ended September 30, 2022 decreased $13.4 million, or 3%, compared to the nine months ended September 30, 2021, driven primarily by the grocer issue as described above. The impact from the grocer issue was principally offset by organic growth in our Monthly Active Consumers over time and our ability to shift certain prescription transactions to other retailers. The net effect of these drivers resulted in the net change in the number of our average Monthly Active Consumers to remain relatively flat year-over-year. We believe the organic growth was due to our increasing consumer base over time as a direct result of our sales and marketing investments. In addition, the year-over-year change in prescription transactions revenue was impacted by an ongoing shift in the volume of prescription transactions to other retailers, which generally provide lower pricing relative to prescription transactions processed through the grocer.</w:t>
      </w:r>
    </w:p>
    <w:p>
      <w:pPr>
        <w:spacing w:after="0" w:line="69" w:lineRule="exact"/>
        <w:rPr>
          <w:sz w:val="20"/>
          <w:szCs w:val="20"/>
          <w:color w:val="auto"/>
        </w:rPr>
      </w:pPr>
    </w:p>
    <w:p>
      <w:pPr>
        <w:jc w:val="both"/>
        <w:ind w:right="60" w:firstLine="210"/>
        <w:spacing w:after="0" w:line="251" w:lineRule="auto"/>
        <w:rPr>
          <w:sz w:val="20"/>
          <w:szCs w:val="20"/>
          <w:color w:val="auto"/>
        </w:rPr>
      </w:pPr>
      <w:r>
        <w:rPr>
          <w:rFonts w:ascii="Arial" w:cs="Arial" w:eastAsia="Arial" w:hAnsi="Arial"/>
          <w:sz w:val="18"/>
          <w:szCs w:val="18"/>
          <w:color w:val="auto"/>
        </w:rPr>
        <w:t>The increases in subscription, pharma manufacturer solutions and other revenue for the nine months ended September 30, 2022 compared to the nine months ended September 30, 2021 were driven by the same factors described above for the three months ended September 30, 2022 compared to the three months ended September 30, 2021. vitaCare's revenue of $3.4 million is included in pharma manufacturer solutions revenue for the nine months ended September 30, 2022.</w:t>
      </w:r>
    </w:p>
    <w:p>
      <w:pPr>
        <w:spacing w:after="0" w:line="65" w:lineRule="exact"/>
        <w:rPr>
          <w:sz w:val="20"/>
          <w:szCs w:val="20"/>
          <w:color w:val="auto"/>
        </w:rPr>
      </w:pPr>
    </w:p>
    <w:p>
      <w:pPr>
        <w:jc w:val="both"/>
        <w:ind w:right="60" w:firstLine="210"/>
        <w:spacing w:after="0" w:line="271" w:lineRule="auto"/>
        <w:rPr>
          <w:sz w:val="20"/>
          <w:szCs w:val="20"/>
          <w:color w:val="auto"/>
        </w:rPr>
      </w:pPr>
      <w:r>
        <w:rPr>
          <w:rFonts w:ascii="Arial" w:cs="Arial" w:eastAsia="Arial" w:hAnsi="Arial"/>
          <w:sz w:val="18"/>
          <w:szCs w:val="18"/>
          <w:color w:val="auto"/>
        </w:rPr>
        <w:t>Our acquisitions individually and in the aggregate did not materially contribute to the change in our revenue for the nine months ended September 30, 2022 compared to the same period of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47,719</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32,789</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line="190" w:lineRule="exact"/>
              <w:rPr>
                <w:sz w:val="20"/>
                <w:szCs w:val="20"/>
                <w:color w:val="auto"/>
              </w:rPr>
            </w:pPr>
            <w:r>
              <w:rPr>
                <w:rFonts w:ascii="Arial" w:cs="Arial" w:eastAsia="Arial" w:hAnsi="Arial"/>
                <w:sz w:val="18"/>
                <w:szCs w:val="18"/>
                <w:color w:val="auto"/>
                <w:w w:val="98"/>
              </w:rPr>
              <w:t>14,930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60" w:firstLine="210"/>
        <w:spacing w:after="0" w:line="251" w:lineRule="auto"/>
        <w:rPr>
          <w:sz w:val="20"/>
          <w:szCs w:val="20"/>
          <w:color w:val="auto"/>
        </w:rPr>
      </w:pPr>
      <w:r>
        <w:rPr>
          <w:rFonts w:ascii="Arial" w:cs="Arial" w:eastAsia="Arial" w:hAnsi="Arial"/>
          <w:sz w:val="18"/>
          <w:szCs w:val="18"/>
          <w:color w:val="auto"/>
        </w:rPr>
        <w:t>Cost of revenue for the nine months ended September 30, 2022 increased $14.9 million, or 46%, compared to the nine months ended September 30, 2021. This increase was primarily driven by a $7.3 million increase in outsourced and in-house personnel related to consumer support and a $2.0 million increase in allocated overhead, principally as a result of the acquisition of vitaCare in April 2022, and a $2.4 million increase in fulfillment costs for certain solutions provided to customers under our pharma manufacturer solutions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Product development and technology</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106,367</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90,800</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line="190" w:lineRule="exact"/>
              <w:rPr>
                <w:sz w:val="20"/>
                <w:szCs w:val="20"/>
                <w:color w:val="auto"/>
              </w:rPr>
            </w:pPr>
            <w:r>
              <w:rPr>
                <w:rFonts w:ascii="Arial" w:cs="Arial" w:eastAsia="Arial" w:hAnsi="Arial"/>
                <w:sz w:val="18"/>
                <w:szCs w:val="18"/>
                <w:color w:val="auto"/>
                <w:w w:val="98"/>
              </w:rPr>
              <w:t>15,567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17</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60" w:firstLine="210"/>
        <w:spacing w:after="0" w:line="252" w:lineRule="auto"/>
        <w:rPr>
          <w:sz w:val="20"/>
          <w:szCs w:val="20"/>
          <w:color w:val="auto"/>
        </w:rPr>
      </w:pPr>
      <w:r>
        <w:rPr>
          <w:rFonts w:ascii="Arial" w:cs="Arial" w:eastAsia="Arial" w:hAnsi="Arial"/>
          <w:sz w:val="18"/>
          <w:szCs w:val="18"/>
          <w:color w:val="auto"/>
        </w:rPr>
        <w:t>Product development and technology expenses for the nine months ended September 30, 2022 increased by $15.6 million, or 17%, compared to the nine months ended September 30, 2021. This increase was primarily driven by a $11.6 million increase in payroll and related expenses primarily due to higher headcount in support of our product development efforts.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Sales and marketing</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273,503</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263,726</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9,777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60" w:firstLine="210"/>
        <w:spacing w:after="0" w:line="251" w:lineRule="auto"/>
        <w:rPr>
          <w:sz w:val="20"/>
          <w:szCs w:val="20"/>
          <w:color w:val="auto"/>
        </w:rPr>
      </w:pPr>
      <w:r>
        <w:rPr>
          <w:rFonts w:ascii="Arial" w:cs="Arial" w:eastAsia="Arial" w:hAnsi="Arial"/>
          <w:sz w:val="18"/>
          <w:szCs w:val="18"/>
          <w:color w:val="auto"/>
        </w:rPr>
        <w:t>Sales and marketing expenses for the nine months ended September 30, 2022 increased by $9.8 million, or 4%, compared to the nine months ended September 30, 2021. This increase was primarily driven by a $18.6 million increase in payroll and related expenses principally due to higher headcount and a $3.7 million increase in third-party services and contractors to support our sales and marketing initiatives, partially offset by a $16.1 million decrease in advertising and promotional expenses.</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1"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ind w:left="20"/>
              <w:spacing w:after="0" w:line="190" w:lineRule="exact"/>
              <w:rPr>
                <w:sz w:val="20"/>
                <w:szCs w:val="20"/>
                <w:color w:val="auto"/>
              </w:rPr>
            </w:pPr>
            <w:r>
              <w:rPr>
                <w:rFonts w:ascii="Arial" w:cs="Arial" w:eastAsia="Arial" w:hAnsi="Arial"/>
                <w:sz w:val="18"/>
                <w:szCs w:val="18"/>
                <w:color w:val="auto"/>
              </w:rPr>
              <w:t>General and administrative</w:t>
            </w:r>
          </w:p>
        </w:tc>
        <w:tc>
          <w:tcPr>
            <w:tcW w:w="26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190" w:lineRule="exact"/>
              <w:rPr>
                <w:sz w:val="20"/>
                <w:szCs w:val="20"/>
                <w:color w:val="auto"/>
              </w:rPr>
            </w:pPr>
            <w:r>
              <w:rPr>
                <w:rFonts w:ascii="Arial" w:cs="Arial" w:eastAsia="Arial" w:hAnsi="Arial"/>
                <w:sz w:val="18"/>
                <w:szCs w:val="18"/>
                <w:color w:val="auto"/>
              </w:rPr>
              <w:t>116,211</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119,312</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(3,101</w:t>
            </w:r>
          </w:p>
        </w:tc>
        <w:tc>
          <w:tcPr>
            <w:tcW w:w="22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20 %</w:t>
            </w:r>
          </w:p>
        </w:tc>
        <w:tc>
          <w:tcPr>
            <w:tcW w:w="4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45" w:lineRule="auto"/>
        <w:rPr>
          <w:sz w:val="20"/>
          <w:szCs w:val="20"/>
          <w:color w:val="auto"/>
        </w:rPr>
      </w:pPr>
      <w:r>
        <w:rPr>
          <w:rFonts w:ascii="Arial" w:cs="Arial" w:eastAsia="Arial" w:hAnsi="Arial"/>
          <w:sz w:val="18"/>
          <w:szCs w:val="18"/>
          <w:color w:val="auto"/>
        </w:rPr>
        <w:t>General and administrative expenses for the nine months ended September 30, 2022 decreased by $3.1 million, or 3%, compared to the nine months ended September 30, 2021. This decrease was primarily driven by a $38.1 million decrease in stock-based compensation expense related to the Founders Awards made in connection with our IPO as further described in Note 11 to our condensed consolidated financial statements. This was partially offset by a $16.9 million change in fair value of contingent consideration related to the vitaCare acquisition in April 2022 (see Note 3 to our condensed consolidated financial statements), a $12.5 million increase in payroll and related expenses due to higher headcount to support our growth and operations as a public company, and a $2.8 million estimated legal settlement accrual of the probable loss recognized in 2022 with respect to the ongoing FTC investigation.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38,644</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23,891</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line="190" w:lineRule="exact"/>
              <w:rPr>
                <w:sz w:val="20"/>
                <w:szCs w:val="20"/>
                <w:color w:val="auto"/>
              </w:rPr>
            </w:pPr>
            <w:r>
              <w:rPr>
                <w:rFonts w:ascii="Arial" w:cs="Arial" w:eastAsia="Arial" w:hAnsi="Arial"/>
                <w:sz w:val="18"/>
                <w:szCs w:val="18"/>
                <w:color w:val="auto"/>
                <w:w w:val="98"/>
              </w:rPr>
              <w:t>14,753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62</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jc w:val="both"/>
        <w:ind w:right="100" w:firstLine="210"/>
        <w:spacing w:after="0" w:line="251" w:lineRule="auto"/>
        <w:rPr>
          <w:sz w:val="20"/>
          <w:szCs w:val="20"/>
          <w:color w:val="auto"/>
        </w:rPr>
      </w:pPr>
      <w:r>
        <w:rPr>
          <w:rFonts w:ascii="Arial" w:cs="Arial" w:eastAsia="Arial" w:hAnsi="Arial"/>
          <w:sz w:val="18"/>
          <w:szCs w:val="18"/>
          <w:color w:val="auto"/>
        </w:rPr>
        <w:t>Depreciation and amortization expenses for the nine months ended September 30, 2022 increased by $14.8 million, or 62%, compared to the nine months ended September 30, 2021. This increase was due primarily to a $9.8 million increase in capitalized software amortization due to higher capitalized costs for platform improvements and the introduction of new products and features and a $4.5 million increase in amortization related to acquired intangible assets.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0" w:lineRule="exact"/>
              <w:rPr>
                <w:sz w:val="20"/>
                <w:szCs w:val="20"/>
                <w:color w:val="auto"/>
              </w:rPr>
            </w:pPr>
            <w:r>
              <w:rPr>
                <w:rFonts w:ascii="Arial" w:cs="Arial" w:eastAsia="Arial" w:hAnsi="Arial"/>
                <w:sz w:val="18"/>
                <w:szCs w:val="18"/>
                <w:color w:val="auto"/>
              </w:rPr>
              <w:t>22,316</w:t>
            </w:r>
          </w:p>
        </w:tc>
        <w:tc>
          <w:tcPr>
            <w:tcW w:w="280" w:type="dxa"/>
            <w:vAlign w:val="bottom"/>
          </w:tcPr>
          <w:p>
            <w:pPr>
              <w:spacing w:after="0"/>
              <w:rPr>
                <w:sz w:val="16"/>
                <w:szCs w:val="16"/>
                <w:color w:val="auto"/>
              </w:rPr>
            </w:pPr>
          </w:p>
        </w:tc>
        <w:tc>
          <w:tcPr>
            <w:tcW w:w="400" w:type="dxa"/>
            <w:vAlign w:val="bottom"/>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17,739</w:t>
            </w:r>
          </w:p>
        </w:tc>
        <w:tc>
          <w:tcPr>
            <w:tcW w:w="240" w:type="dxa"/>
            <w:vAlign w:val="bottom"/>
          </w:tcPr>
          <w:p>
            <w:pPr>
              <w:spacing w:after="0"/>
              <w:rPr>
                <w:sz w:val="16"/>
                <w:szCs w:val="16"/>
                <w:color w:val="auto"/>
              </w:rPr>
            </w:pPr>
          </w:p>
        </w:tc>
        <w:tc>
          <w:tcPr>
            <w:tcW w:w="300" w:type="dxa"/>
            <w:vAlign w:val="bottom"/>
          </w:tcPr>
          <w:p>
            <w:pPr>
              <w:jc w:val="right"/>
              <w:ind w:right="90"/>
              <w:spacing w:after="0" w:line="19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0" w:lineRule="exact"/>
              <w:rPr>
                <w:sz w:val="20"/>
                <w:szCs w:val="20"/>
                <w:color w:val="auto"/>
              </w:rPr>
            </w:pPr>
            <w:r>
              <w:rPr>
                <w:rFonts w:ascii="Arial" w:cs="Arial" w:eastAsia="Arial" w:hAnsi="Arial"/>
                <w:sz w:val="18"/>
                <w:szCs w:val="18"/>
                <w:color w:val="auto"/>
              </w:rPr>
              <w:t>4,577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c>
          <w:tcPr>
            <w:tcW w:w="160" w:type="dxa"/>
            <w:vAlign w:val="bottom"/>
          </w:tcPr>
          <w:p>
            <w:pPr>
              <w:jc w:val="right"/>
              <w:spacing w:after="0" w:line="19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71" w:lineRule="auto"/>
        <w:rPr>
          <w:sz w:val="20"/>
          <w:szCs w:val="20"/>
          <w:color w:val="auto"/>
        </w:rPr>
      </w:pPr>
      <w:r>
        <w:rPr>
          <w:rFonts w:ascii="Arial" w:cs="Arial" w:eastAsia="Arial" w:hAnsi="Arial"/>
          <w:sz w:val="18"/>
          <w:szCs w:val="18"/>
          <w:color w:val="auto"/>
        </w:rPr>
        <w:t>Interest expense for the nine months ended September 30, 2022 increased by $4.6 million, or 26%, compared to the nine months ended September 30, 2021, primarily due to higher interest rates partially offset by lower average debt balances.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3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00" w:type="dxa"/>
            <w:vAlign w:val="bottom"/>
          </w:tcPr>
          <w:p>
            <w:pPr>
              <w:ind w:left="20"/>
              <w:spacing w:after="0" w:line="190" w:lineRule="exact"/>
              <w:rPr>
                <w:sz w:val="20"/>
                <w:szCs w:val="20"/>
                <w:color w:val="auto"/>
              </w:rPr>
            </w:pPr>
            <w:r>
              <w:rPr>
                <w:rFonts w:ascii="Arial" w:cs="Arial" w:eastAsia="Arial" w:hAnsi="Arial"/>
                <w:sz w:val="18"/>
                <w:szCs w:val="18"/>
                <w:color w:val="auto"/>
              </w:rPr>
              <w:t>Income tax (expense) benefit</w:t>
            </w:r>
          </w:p>
        </w:tc>
        <w:tc>
          <w:tcPr>
            <w:tcW w:w="260" w:type="dxa"/>
            <w:vAlign w:val="bottom"/>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(12,370</w:t>
            </w:r>
          </w:p>
        </w:tc>
        <w:tc>
          <w:tcPr>
            <w:tcW w:w="280" w:type="dxa"/>
            <w:vAlign w:val="bottom"/>
          </w:tcPr>
          <w:p>
            <w:pPr>
              <w:jc w:val="right"/>
              <w:ind w:right="110"/>
              <w:spacing w:after="0" w:line="190" w:lineRule="exact"/>
              <w:rPr>
                <w:sz w:val="20"/>
                <w:szCs w:val="20"/>
                <w:color w:val="auto"/>
              </w:rPr>
            </w:pPr>
            <w:r>
              <w:rPr>
                <w:rFonts w:ascii="Arial" w:cs="Arial" w:eastAsia="Arial" w:hAnsi="Arial"/>
                <w:sz w:val="18"/>
                <w:szCs w:val="18"/>
                <w:color w:val="auto"/>
                <w:w w:val="99"/>
              </w:rPr>
              <w:t>)</w:t>
            </w:r>
          </w:p>
        </w:tc>
        <w:tc>
          <w:tcPr>
            <w:tcW w:w="380" w:type="dxa"/>
            <w:vAlign w:val="bottom"/>
          </w:tcPr>
          <w:p>
            <w:pPr>
              <w:jc w:val="right"/>
              <w:ind w:right="170"/>
              <w:spacing w:after="0" w:line="190"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30,707</w:t>
            </w:r>
          </w:p>
        </w:tc>
        <w:tc>
          <w:tcPr>
            <w:tcW w:w="240" w:type="dxa"/>
            <w:vAlign w:val="bottom"/>
          </w:tcPr>
          <w:p>
            <w:pPr>
              <w:spacing w:after="0"/>
              <w:rPr>
                <w:sz w:val="16"/>
                <w:szCs w:val="16"/>
                <w:color w:val="auto"/>
              </w:rPr>
            </w:pPr>
          </w:p>
        </w:tc>
        <w:tc>
          <w:tcPr>
            <w:tcW w:w="2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(43,077</w:t>
            </w:r>
          </w:p>
        </w:tc>
        <w:tc>
          <w:tcPr>
            <w:tcW w:w="220" w:type="dxa"/>
            <w:vAlign w:val="bottom"/>
          </w:tcPr>
          <w:p>
            <w:pPr>
              <w:jc w:val="right"/>
              <w:ind w:right="50"/>
              <w:spacing w:after="0" w:line="190"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6"/>
                <w:szCs w:val="16"/>
                <w:color w:val="auto"/>
              </w:rPr>
            </w:pP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(140</w:t>
            </w:r>
          </w:p>
        </w:tc>
        <w:tc>
          <w:tcPr>
            <w:tcW w:w="200" w:type="dxa"/>
            <w:vAlign w:val="bottom"/>
          </w:tcPr>
          <w:p>
            <w:pPr>
              <w:jc w:val="right"/>
              <w:spacing w:after="0" w:line="190"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39"/>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3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191.4 %</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5" w:lineRule="exact"/>
        <w:rPr>
          <w:sz w:val="20"/>
          <w:szCs w:val="20"/>
          <w:color w:val="auto"/>
        </w:rPr>
      </w:pPr>
    </w:p>
    <w:p>
      <w:pPr>
        <w:jc w:val="both"/>
        <w:ind w:right="100" w:firstLine="210"/>
        <w:spacing w:after="0" w:line="248" w:lineRule="auto"/>
        <w:rPr>
          <w:sz w:val="20"/>
          <w:szCs w:val="20"/>
          <w:color w:val="auto"/>
        </w:rPr>
      </w:pPr>
      <w:r>
        <w:rPr>
          <w:rFonts w:ascii="Arial" w:cs="Arial" w:eastAsia="Arial" w:hAnsi="Arial"/>
          <w:sz w:val="18"/>
          <w:szCs w:val="18"/>
          <w:color w:val="auto"/>
        </w:rPr>
        <w:t>The year-over-year change in our income taxes was primarily due to a decrease in our excess tax benefits from our equity awards and the current effects of the full valuation allowance recorded in the fourth quarter of 2021 against our net deferred tax assets in excess of tax amortizable goodwill, which we maintained as of September 30, 2022, and by our application of the estimated annual effective income tax rate method to calculate interim taxes during the nine months ended September 30, 2022 compared to the discrete effective tax rate method to calculate interim taxes for the nine months ended September 30, 2021. See Note 6 to our condensed consolidated financial statements for more information regarding the interim tax calculation methods and the valuation allowance.</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asset-based revolving credit facility which matures in October 2024. As of September 30, 2022, we have cash and cash equivalents of $728.8 million and $90.8 million available under our revolving credit facility. For additional information regarding our revolving credit facility and our term loan, refer to Note 7 to our condensed consolidated financial statements appearing elsewhere in this Quarterly Report on Form 10-Q.</w:t>
      </w:r>
    </w:p>
    <w:p>
      <w:pPr>
        <w:spacing w:after="0" w:line="86"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As of September 30, 2022, there are no material changes to our primary short-term and long-term requirements for liquidity and capital as disclosed in Part II, Item 7, “Management’s Discussion and Analysis of Financial Condition and Results of Operation” of our 2021 10-K. Based on current conditions, we believe that our net cash provided by operating activities and cash on hand will be adequate to meet our operating, investing and financing needs for at least the next twelve months. Our future capital requirements will depend on many factors, including our revenue growth, the timing and extent of investments to support such growth, sales and marketing activities, and many other factors as described in Part I, Item 1A, “Risk Factors” of our 2021 10-K as updated by Part II, Item 1A, “Risk Factors” of this Quarterly Report on Form 10-Q.</w:t>
      </w:r>
    </w:p>
    <w:p>
      <w:pPr>
        <w:spacing w:after="0" w:line="84"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01"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contains covenants restricting payments of dividends by our subsidiaries, including GoodRx, Inc., unless certain conditions are met. These covenants provide for certain exceptions for specific types of payments. Based on these restrictions, all of the net assets of GoodRx, Inc. are restricted pursuant to the terms of our debt arrangements as of September 30, 2022. Since the restricted net assets of GoodRx, Inc. and its subsidiaries exceed 25% of our consolidated net assets, in accordance with Regulation S-X, refer to the notes to our consolidated financial statements included in our 2021 10-K for the condensed parent company financial information of GoodRx Holdings, Inc.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114,901</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(211,784 )</w:t>
            </w:r>
          </w:p>
        </w:tc>
        <w:tc>
          <w:tcPr>
            <w:tcW w:w="5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(169,474 )</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(115,440 )</w:t>
            </w:r>
          </w:p>
        </w:tc>
        <w:tc>
          <w:tcPr>
            <w:tcW w:w="5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(19,063 )</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(212,323 )</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(59,568 )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1"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Net cash provided by operating activities consist of net loss or net income adjusted for certain non-cash items and changes in assets and liabilities. The $14.1 million decrease in net cash provided by operating activities during the nine months ended September 30, 2022 compared to the nine months ended September 30, 2021 was due to a change from a net income of $14.7 million to a net loss of $30.9 million, partially offset by a net increase of $26.7 million in non-cash adjustments and a $4.7 million increase in changes in operating assets and liabilities. The net increase in non-cash adjustments was primarily driven by an increase in the change in fair value of contingent consideration, depreciation and amortization, and deferred income taxes, partially offset by a decrease in stock-based compensation expense due principally to the Founders Awards. The changes in operating assets and liabilities were primarily driven by the timing of income tax payments and refunds, as well as by the timing of payments and collections for accounts payable and accounts receivable,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5"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Net cash used in investing activities primarily consist of cash used for acquisitions and investments, software development costs, and capital expenditures. The $42.3 million increase in net cash used in investing activities for the nine months ended September 30, 2022 compared to the nine months ended September 30, 2021 was primarily related to a $27.6 million increase in cash paid for acquisition of businesses and minority equity interest investments in privately-held companies, and a $14.7 million increase in software development costs.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1"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Net cash used in financing activities primarily consist of payments related to our debt arrangements, repurchases of our Class A common stock, and net share settlement of equity awards, partially offset by proceeds from exercise of stock options. The $96.4 million increase in net cash used in financing activities for the nine months ended September 30, 2022 compared to the nine months ended September 30, 2021 was primarily related to $101.7 million for repurchases of our Class A common stock in 2022 and a $20.6 million decrease in proceeds from exercises of stock options, partially offset by a $25.1 million decrease in payments related to net share settlement of equity awards.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to our contractual obligations and commitments compared with those described in our 2021 10-K.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Except as noted below, during the three months ended September 30, 2022, there have been no significant changes to our critical accounting policies and estimates compared with those disclosed in Part II, Item 7, “Management’s Discussion and Analysis of Financial Condition and Results of Operations” of our 2021 10-K.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01"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 xml:space="preserve">We record tangible and intangible assets acquired and liabilities assumed in a business combination at fair value as of the acquisition date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Any excess consideration over the fair value of assets acquired and liabilities assumed is recognized as goodwill. Contingent consideration arising from a business combination, if any, is included as part of purchase consideration and recorded at fair value as of the acquisition date. Contingent consideration arrangements are remeasured at fair value at each reporting period subsequent to the acquisition date until the contingency is resolved.</w:t>
      </w:r>
    </w:p>
    <w:p>
      <w:pPr>
        <w:spacing w:after="0" w:line="81"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The valuations of intangible assets and contingent consideration use different valuation methods depending on the asset acquired and underlying nature of the contingency and that may include significant estimates and judgments. Our critical accounting estimates are primarily those relating to forecasts of revenue and estimates of discount rates used in the valuation of developed technology and customer related intangible assets and the contingent consideration receivable. In addition, our critical accounting estimates also relate to the probabilities applied to the assumed scenarios in the fair value remeasurement of the contingent consideration receivable as of September 30, 2022.</w:t>
      </w:r>
    </w:p>
    <w:p>
      <w:pPr>
        <w:spacing w:after="0" w:line="72"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8"/>
          <w:szCs w:val="18"/>
          <w:color w:val="auto"/>
        </w:rPr>
        <w:t>For developed technology and customer related intangible assets, our revenue forecasts include assumptions about future industry conditions, macroeconomic events such as the COVID-19 pandemic, our ability to renew contracts in a competitive bidding process, among other factors. The discount rates focus on rates of return for equity and debt and are calculated using public information from selected guideline companies. The magnitude of the discount rates reflects the perceived risk of each investment, which requires significant judgment. A change in the estimated risk of the acquired companies' cash flows would change the discount rates applied, which in turn could significantly affect the valuation of our acquired developed technology and customer related intangible assets.</w:t>
      </w:r>
    </w:p>
    <w:p>
      <w:pPr>
        <w:spacing w:after="0" w:line="65"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For contingent consideration receivable, our revenue forecasts include assumptions relating to the fair value of services expected to be provided to seller which includes specific assumptions about the seller’s ability to continue to order such services given the seller’s liquidity position, among other macroeconomic and industry factors. The discount rate focuses on the level of risk of achievement of the forecasts and the credit and financial stability of the seller including its financial wherewithal for future payment of the receivable, which requires significant judgment. A change in the seller's liquidity position and future outlook would change the revenue forecasts and discount rate applied and our estimate of the realizability of the contingent consideration receivable, which in turn would affect the valuation of the contingent consideration receivable. Changes in the valuation of the contingent consideration receivable are recorded in general and administrative expenses in our consolidated statement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jc w:val="both"/>
        <w:ind w:firstLine="210"/>
        <w:spacing w:after="0" w:line="243" w:lineRule="auto"/>
        <w:rPr>
          <w:sz w:val="20"/>
          <w:szCs w:val="20"/>
          <w:color w:val="auto"/>
        </w:rPr>
      </w:pPr>
      <w:r>
        <w:rPr>
          <w:rFonts w:ascii="Arial" w:cs="Arial" w:eastAsia="Arial" w:hAnsi="Arial"/>
          <w:sz w:val="18"/>
          <w:szCs w:val="18"/>
          <w:color w:val="auto"/>
        </w:rPr>
        <w:t>As of September 30, 2022, the fair value of the contingent consideration receivable was remeasured based on probability weighting certain scenarios which incorporate the increased risk of collectability of the contingent consideration principally due to certain events that occurred during the three months ended September 30, 2022 with respect to the seller's financing activities that we believe cast substantial doubt on the seller's ability to pay. These events include but are not limited to: (i) execution of amendments with its lenders to extend the maturity date of the seller's debt obligations by fractional increments; (ii) expiration of a tender offer by a prospective buyer; and (iii) insignificant capital raised relative to liability obligations outstanding of which implied a lower valuation of the seller's business relative to the implied valuation based upon the terms of the expired tender offer. Scenarios in the fair value remeasurement include (i) the seller is no longer able to pay the contingent consideration, and (ii) the seller obtains sufficient funding to pay the obligations and achieves the projected revenue over the 5-year term. We applied a 95% and 5% probability rate to the above two assumed scenarios, respectively. A significant change in the probability rates would result in a significantly higher fair value measurement. A hypothetical 20% change in the probability rates applied (abovementioned scenarios at 75% and 25%, respectively) would increase the fair value of the contingent consideration by approximately $4.8 million as of September 30,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About Market Risk” in our 2021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3"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Quarterly Report on Form 10-Q, the effectiveness of our disclosure controls and procedures (as defined in Rules 13a-15(e) and 15d-15(e) under the Exchange Act). Based on that evaluation, our co-principal executive officers and principal financial officer concluded that, as of September 30, 2022, our disclosure controls and procedures are effective.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jc w:val="both"/>
        <w:ind w:firstLine="210"/>
        <w:spacing w:after="0" w:line="252"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3"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information required under this Part II, Item 1 is set forth in Note 8 to our condensed consolidated financial statements included in this Quarterly Report on Form 10-Q and is incorporated herein by this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a discussion of potential risks and uncertainties related to us, see the information included in Part I, Item 1A, "Risk Factors" of our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2021 10-K. There have been no material changes to the risk factors previously disclosed in our 2021 10-K, except as noted below:</w:t>
      </w:r>
    </w:p>
    <w:p>
      <w:pPr>
        <w:spacing w:after="0" w:line="101" w:lineRule="exact"/>
        <w:rPr>
          <w:sz w:val="20"/>
          <w:szCs w:val="20"/>
          <w:color w:val="auto"/>
        </w:rPr>
      </w:pPr>
    </w:p>
    <w:p>
      <w:pPr>
        <w:jc w:val="both"/>
        <w:ind w:right="20" w:firstLine="210"/>
        <w:spacing w:after="0" w:line="278" w:lineRule="auto"/>
        <w:rPr>
          <w:sz w:val="20"/>
          <w:szCs w:val="20"/>
          <w:color w:val="auto"/>
        </w:rPr>
      </w:pPr>
      <w:r>
        <w:rPr>
          <w:rFonts w:ascii="Arial" w:cs="Arial" w:eastAsia="Arial" w:hAnsi="Arial"/>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31" w:lineRule="exact"/>
        <w:rPr>
          <w:sz w:val="20"/>
          <w:szCs w:val="20"/>
          <w:color w:val="auto"/>
        </w:rPr>
      </w:pPr>
    </w:p>
    <w:p>
      <w:pPr>
        <w:jc w:val="both"/>
        <w:ind w:firstLine="210"/>
        <w:spacing w:after="0" w:line="243" w:lineRule="auto"/>
        <w:rPr>
          <w:sz w:val="20"/>
          <w:szCs w:val="20"/>
          <w:color w:val="auto"/>
        </w:rPr>
      </w:pPr>
      <w:r>
        <w:rPr>
          <w:rFonts w:ascii="Arial" w:cs="Arial" w:eastAsia="Arial" w:hAnsi="Arial"/>
          <w:sz w:val="18"/>
          <w:szCs w:val="18"/>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75" w:lineRule="exact"/>
        <w:rPr>
          <w:sz w:val="20"/>
          <w:szCs w:val="20"/>
          <w:color w:val="auto"/>
        </w:rPr>
      </w:pPr>
    </w:p>
    <w:p>
      <w:pPr>
        <w:jc w:val="both"/>
        <w:ind w:firstLine="210"/>
        <w:spacing w:after="0" w:line="245"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In addition, recently there has been heightened governmental scrutiny over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w:t>
      </w:r>
    </w:p>
    <w:p>
      <w:pPr>
        <w:spacing w:after="0" w:line="7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In addition, on August 16, 2022, President Biden signed the Inflation Reduction Act of 2022 (the “IRA”) into law. Among other things, the IRA requires pharmaceutical manufacturers of certain drugs to engage in price negotiations with Medicare (beginning in 2026), with prices that can be negotiated subject to a cap; imposes rebates on manufacturers under Medicare Part B and Medicare Part D to penalize price increases that outpace inflation (first due in 2023); and replaces the Part D coverage gap discount program with a new discounting program (beginning in 2025). The IRA permits the Secretary of the U.S. Department of Health and Human Services to implement many of these provisions through guidance, as opposed to regulation, for the initial years. For that and other reasons, it is currently unclear how the IRA will be effectuated, and while the impact of the IRA on the pharmaceutical industry cannot yet be fully determined, it is likely to be significant and may adversely impact us. Further, we believe Congress and the Biden administration are likely to continue to scrutinize key participants in the healthcare industry, including PBMs.</w:t>
      </w:r>
    </w:p>
    <w:p>
      <w:pPr>
        <w:spacing w:after="0" w:line="75"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In addition, the Supreme Court held in December 2020 in Rutledge v. Pharmaceutical Care Management that ERISA, a federal statute, did not preempt an Arkansas state law that regulates PBM reimbursements to network pharmacies and other standards for PBMs’ reimbursements to network pharmacies. As a result of this holding, some states have passed, and other states may pass, similar legislation or may otherwise attempt to regulate PBMs, which could have impacts on the healthcare industry.</w:t>
      </w:r>
    </w:p>
    <w:p>
      <w:pPr>
        <w:spacing w:after="0" w:line="75"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8"/>
          <w:szCs w:val="18"/>
          <w:color w:val="auto"/>
        </w:rPr>
        <w:t>services or require us to restructure our existing arrangements with PBMs and pharma manufacturers, any of which could adversely affect our business, financial condition and results of operations.</w:t>
      </w:r>
    </w:p>
    <w:p>
      <w:pPr>
        <w:spacing w:after="0" w:line="142" w:lineRule="exact"/>
        <w:rPr>
          <w:sz w:val="20"/>
          <w:szCs w:val="20"/>
          <w:color w:val="auto"/>
        </w:rPr>
      </w:pPr>
    </w:p>
    <w:p>
      <w:pPr>
        <w:jc w:val="both"/>
        <w:ind w:firstLine="210"/>
        <w:spacing w:after="0" w:line="278" w:lineRule="auto"/>
        <w:rPr>
          <w:sz w:val="20"/>
          <w:szCs w:val="20"/>
          <w:color w:val="auto"/>
        </w:rPr>
      </w:pPr>
      <w:r>
        <w:rPr>
          <w:rFonts w:ascii="Arial" w:cs="Arial" w:eastAsia="Arial" w:hAnsi="Arial"/>
          <w:sz w:val="18"/>
          <w:szCs w:val="18"/>
          <w:b w:val="1"/>
          <w:bCs w:val="1"/>
          <w:i w:val="1"/>
          <w:iCs w:val="1"/>
          <w:color w:val="auto"/>
        </w:rPr>
        <w:t>Our recent reduction in force undertaken to re-balance our investments and cost structure into prioritized areas that we believe will drive incremental long-term growth and improve margins may not achieve our intended outcome.</w:t>
      </w:r>
    </w:p>
    <w:p>
      <w:pPr>
        <w:spacing w:after="0" w:line="44"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In August 2022, we implemented a reduction in force affecting approximately 140 employees, or 16%, of our wholly owned subsidiary GoodRx, Inc.’s workforce in order to consolidate functions and eliminate or reduce investment in areas of lower focus. In connection with these actions, we have incurred termination costs, which include pre-tax charges, estimated between approximately $5 million and $7 million for the reduction in force. This reduction in force is expected to result in approximately $23 million to $25 million of annualized run rate cash savings associated with the approximately 140 employees, excluding the hiring of new employees or other additions to our costs and expenses.</w:t>
      </w:r>
    </w:p>
    <w:p>
      <w:pPr>
        <w:spacing w:after="0" w:line="7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September 25, 2020, we completed our IPO. All shares sold were registered pursuant to a registration statement on Form S-1 (File No.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333-248465), as amended (the “Registration Statement”), declared effective by the SEC on September 22, 2020.</w:t>
      </w:r>
    </w:p>
    <w:p>
      <w:pPr>
        <w:spacing w:after="0" w:line="85" w:lineRule="exact"/>
        <w:rPr>
          <w:sz w:val="20"/>
          <w:szCs w:val="20"/>
          <w:color w:val="auto"/>
        </w:rPr>
      </w:pPr>
    </w:p>
    <w:p>
      <w:pPr>
        <w:jc w:val="both"/>
        <w:ind w:firstLine="210"/>
        <w:spacing w:after="0" w:line="251" w:lineRule="auto"/>
        <w:rPr>
          <w:sz w:val="20"/>
          <w:szCs w:val="20"/>
          <w:color w:val="auto"/>
        </w:rPr>
      </w:pPr>
      <w:r>
        <w:rPr>
          <w:rFonts w:ascii="Arial" w:cs="Arial" w:eastAsia="Arial" w:hAnsi="Arial"/>
          <w:sz w:val="18"/>
          <w:szCs w:val="18"/>
          <w:color w:val="auto"/>
        </w:rPr>
        <w:t>There have been no material changes in the expected use of the net proceeds from our IPO as described in our Registration Statement. The remaining net proceeds from our IPO have been invested in investment grade, interest-bearing instruments. As of September 30, 2022, we estimate we have used approximately $244.4 million of the net proceeds from our IPO: (i) $ 164.4 million for the acquisition of businesses that complement our business and (ii) $80.0 million for the repurchases of our Class A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03"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The following table presents information with respect to our repurchases of our Class A common stock during the three months ended September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jc w:val="center"/>
              <w:ind w:right="161"/>
              <w:spacing w:after="0"/>
              <w:rPr>
                <w:sz w:val="20"/>
                <w:szCs w:val="20"/>
                <w:color w:val="auto"/>
              </w:rPr>
            </w:pPr>
            <w:r>
              <w:rPr>
                <w:rFonts w:ascii="Arial" w:cs="Arial" w:eastAsia="Arial" w:hAnsi="Arial"/>
                <w:sz w:val="14"/>
                <w:szCs w:val="14"/>
                <w:b w:val="1"/>
                <w:bCs w:val="1"/>
                <w:color w:val="auto"/>
              </w:rPr>
              <w:t>Approximate Dollar</w:t>
            </w:r>
          </w:p>
        </w:tc>
        <w:tc>
          <w:tcPr>
            <w:tcW w:w="100" w:type="dxa"/>
            <w:vAlign w:val="bottom"/>
          </w:tcPr>
          <w:p>
            <w:pPr>
              <w:spacing w:after="0"/>
              <w:rPr>
                <w:sz w:val="15"/>
                <w:szCs w:val="15"/>
                <w:color w:val="auto"/>
              </w:rPr>
            </w:pPr>
          </w:p>
        </w:tc>
      </w:tr>
      <w:tr>
        <w:trPr>
          <w:trHeight w:val="175"/>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jc w:val="center"/>
              <w:ind w:right="161"/>
              <w:spacing w:after="0"/>
              <w:rPr>
                <w:sz w:val="20"/>
                <w:szCs w:val="20"/>
                <w:color w:val="auto"/>
              </w:rPr>
            </w:pPr>
            <w:r>
              <w:rPr>
                <w:rFonts w:ascii="Arial" w:cs="Arial" w:eastAsia="Arial" w:hAnsi="Arial"/>
                <w:sz w:val="14"/>
                <w:szCs w:val="14"/>
                <w:b w:val="1"/>
                <w:bCs w:val="1"/>
                <w:color w:val="auto"/>
              </w:rPr>
              <w:t>Value of Shares that</w:t>
            </w:r>
          </w:p>
        </w:tc>
        <w:tc>
          <w:tcPr>
            <w:tcW w:w="100" w:type="dxa"/>
            <w:vAlign w:val="bottom"/>
          </w:tcPr>
          <w:p>
            <w:pPr>
              <w:spacing w:after="0"/>
              <w:rPr>
                <w:sz w:val="15"/>
                <w:szCs w:val="15"/>
                <w:color w:val="auto"/>
              </w:rPr>
            </w:pPr>
          </w:p>
        </w:tc>
      </w:tr>
      <w:tr>
        <w:trPr>
          <w:trHeight w:val="175"/>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tcPr>
          <w:p>
            <w:pPr>
              <w:ind w:left="480"/>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tcPr>
          <w:p>
            <w:pPr>
              <w:jc w:val="center"/>
              <w:ind w:right="161"/>
              <w:spacing w:after="0"/>
              <w:rPr>
                <w:sz w:val="20"/>
                <w:szCs w:val="20"/>
                <w:color w:val="auto"/>
              </w:rPr>
            </w:pPr>
            <w:r>
              <w:rPr>
                <w:rFonts w:ascii="Arial" w:cs="Arial" w:eastAsia="Arial" w:hAnsi="Arial"/>
                <w:sz w:val="14"/>
                <w:szCs w:val="14"/>
                <w:b w:val="1"/>
                <w:bCs w:val="1"/>
                <w:color w:val="auto"/>
              </w:rPr>
              <w:t>May Yet Be Repurchased</w:t>
            </w:r>
          </w:p>
        </w:tc>
        <w:tc>
          <w:tcPr>
            <w:tcW w:w="100" w:type="dxa"/>
            <w:vAlign w:val="bottom"/>
          </w:tcPr>
          <w:p>
            <w:pPr>
              <w:spacing w:after="0"/>
              <w:rPr>
                <w:sz w:val="15"/>
                <w:szCs w:val="15"/>
                <w:color w:val="auto"/>
              </w:rPr>
            </w:pPr>
          </w:p>
        </w:tc>
      </w:tr>
      <w:tr>
        <w:trPr>
          <w:trHeight w:val="144"/>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ind w:left="420"/>
              <w:spacing w:after="0" w:line="144" w:lineRule="exact"/>
              <w:rPr>
                <w:sz w:val="20"/>
                <w:szCs w:val="20"/>
                <w:color w:val="auto"/>
              </w:rPr>
            </w:pPr>
            <w:r>
              <w:rPr>
                <w:rFonts w:ascii="Arial" w:cs="Arial" w:eastAsia="Arial" w:hAnsi="Arial"/>
                <w:sz w:val="14"/>
                <w:szCs w:val="14"/>
                <w:b w:val="1"/>
                <w:bCs w:val="1"/>
                <w:color w:val="auto"/>
              </w:rPr>
              <w:t>Total Number of</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98"/>
              <w:spacing w:after="0" w:line="144" w:lineRule="exact"/>
              <w:rPr>
                <w:sz w:val="20"/>
                <w:szCs w:val="20"/>
                <w:color w:val="auto"/>
              </w:rPr>
            </w:pPr>
            <w:r>
              <w:rPr>
                <w:rFonts w:ascii="Arial" w:cs="Arial" w:eastAsia="Arial" w:hAnsi="Arial"/>
                <w:sz w:val="14"/>
                <w:szCs w:val="14"/>
                <w:b w:val="1"/>
                <w:bCs w:val="1"/>
                <w:color w:val="auto"/>
              </w:rPr>
              <w:t>Average Price Paid</w:t>
            </w:r>
          </w:p>
        </w:tc>
        <w:tc>
          <w:tcPr>
            <w:tcW w:w="200" w:type="dxa"/>
            <w:vAlign w:val="bottom"/>
          </w:tcPr>
          <w:p>
            <w:pPr>
              <w:spacing w:after="0"/>
              <w:rPr>
                <w:sz w:val="12"/>
                <w:szCs w:val="12"/>
                <w:color w:val="auto"/>
              </w:rPr>
            </w:pPr>
          </w:p>
        </w:tc>
        <w:tc>
          <w:tcPr>
            <w:tcW w:w="2220" w:type="dxa"/>
            <w:vAlign w:val="bottom"/>
          </w:tcPr>
          <w:p>
            <w:pPr>
              <w:ind w:left="480"/>
              <w:spacing w:after="0" w:line="144" w:lineRule="exact"/>
              <w:rPr>
                <w:sz w:val="20"/>
                <w:szCs w:val="20"/>
                <w:color w:val="auto"/>
              </w:rPr>
            </w:pPr>
            <w:r>
              <w:rPr>
                <w:rFonts w:ascii="Arial" w:cs="Arial" w:eastAsia="Arial" w:hAnsi="Arial"/>
                <w:sz w:val="14"/>
                <w:szCs w:val="14"/>
                <w:b w:val="1"/>
                <w:bCs w:val="1"/>
                <w:color w:val="auto"/>
              </w:rPr>
              <w:t>Repurchased as Part of</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jc w:val="center"/>
              <w:ind w:right="181"/>
              <w:spacing w:after="0" w:line="144" w:lineRule="exact"/>
              <w:rPr>
                <w:sz w:val="20"/>
                <w:szCs w:val="20"/>
                <w:color w:val="auto"/>
              </w:rPr>
            </w:pPr>
            <w:r>
              <w:rPr>
                <w:rFonts w:ascii="Arial" w:cs="Arial" w:eastAsia="Arial" w:hAnsi="Arial"/>
                <w:sz w:val="14"/>
                <w:szCs w:val="14"/>
                <w:b w:val="1"/>
                <w:bCs w:val="1"/>
                <w:color w:val="auto"/>
              </w:rPr>
              <w:t>Under the Program</w:t>
            </w:r>
          </w:p>
        </w:tc>
        <w:tc>
          <w:tcPr>
            <w:tcW w:w="100" w:type="dxa"/>
            <w:vAlign w:val="bottom"/>
          </w:tcPr>
          <w:p>
            <w:pPr>
              <w:spacing w:after="0"/>
              <w:rPr>
                <w:sz w:val="12"/>
                <w:szCs w:val="12"/>
                <w:color w:val="auto"/>
              </w:rPr>
            </w:pPr>
          </w:p>
        </w:tc>
      </w:tr>
      <w:tr>
        <w:trPr>
          <w:trHeight w:val="216"/>
        </w:trPr>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8"/>
                <w:szCs w:val="18"/>
                <w:color w:val="auto"/>
              </w:rPr>
            </w:pPr>
          </w:p>
        </w:tc>
        <w:tc>
          <w:tcPr>
            <w:tcW w:w="1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 Repurchased</w:t>
            </w:r>
          </w:p>
        </w:tc>
        <w:tc>
          <w:tcPr>
            <w:tcW w:w="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 Share</w:t>
            </w:r>
          </w:p>
        </w:tc>
        <w:tc>
          <w:tcPr>
            <w:tcW w:w="58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w w:val="95"/>
              </w:rPr>
              <w:t>(2)</w:t>
            </w:r>
          </w:p>
        </w:tc>
        <w:tc>
          <w:tcPr>
            <w:tcW w:w="200" w:type="dxa"/>
            <w:vAlign w:val="bottom"/>
          </w:tcPr>
          <w:p>
            <w:pPr>
              <w:spacing w:after="0"/>
              <w:rPr>
                <w:sz w:val="18"/>
                <w:szCs w:val="18"/>
                <w:color w:val="auto"/>
              </w:rPr>
            </w:pPr>
          </w:p>
        </w:tc>
        <w:tc>
          <w:tcPr>
            <w:tcW w:w="22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Publicly Announced Program</w:t>
            </w:r>
          </w:p>
        </w:tc>
        <w:tc>
          <w:tcPr>
            <w:tcW w:w="3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95"/>
              </w:rPr>
              <w:t>(1)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r>
      <w:tr>
        <w:trPr>
          <w:trHeight w:val="209"/>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1 - 31</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August 1 - 31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1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1 - 30</w:t>
            </w:r>
          </w:p>
        </w:tc>
        <w:tc>
          <w:tcPr>
            <w:tcW w:w="1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2,818,828</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FF0FC"/>
            </w:tcBorders>
            <w:shd w:val="clear" w:color="auto" w:fill="CFF0FC"/>
          </w:tcPr>
          <w:p>
            <w:pPr>
              <w:spacing w:after="0"/>
              <w:rPr>
                <w:sz w:val="18"/>
                <w:szCs w:val="18"/>
                <w:color w:val="auto"/>
              </w:rPr>
            </w:pPr>
          </w:p>
        </w:tc>
        <w:tc>
          <w:tcPr>
            <w:tcW w:w="2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2,818,828</w:t>
            </w:r>
          </w:p>
        </w:tc>
        <w:tc>
          <w:tcPr>
            <w:tcW w:w="4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148,279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820" w:type="dxa"/>
            <w:vAlign w:val="bottom"/>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2,818,828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2,818,828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-170815</wp:posOffset>
            </wp:positionV>
            <wp:extent cx="7683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-170815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4" w:lineRule="exact"/>
        <w:rPr>
          <w:sz w:val="20"/>
          <w:szCs w:val="20"/>
          <w:color w:val="auto"/>
        </w:rPr>
      </w:pPr>
    </w:p>
    <w:p>
      <w:pPr>
        <w:ind w:left="520" w:hanging="512"/>
        <w:spacing w:after="0" w:line="27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repurchases are being executed from time to time, subject to general business and market conditions and other investment opportunities, through open market purchases or privately negotiated transactions, including through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11899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color w:val="auto"/>
        </w:rPr>
        <w:t>10b5-1 plans. See Note 10 to our condensed consolidated financial statements included elsewhere in this Quarterly Report on Form</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10-Q for additional information related to our stock repurchase program.</w:t>
      </w: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price paid per share includes costs associated with the repurchases.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60" w:type="dxa"/>
            <w:vAlign w:val="bottom"/>
            <w:gridSpan w:val="8"/>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260" w:type="dxa"/>
            <w:vAlign w:val="bottom"/>
            <w:gridSpan w:val="10"/>
          </w:tcPr>
          <w:p>
            <w:pPr>
              <w:spacing w:after="0"/>
              <w:rPr>
                <w:rFonts w:ascii="Arial" w:cs="Arial" w:eastAsia="Arial" w:hAnsi="Arial"/>
                <w:sz w:val="18"/>
                <w:szCs w:val="18"/>
                <w:color w:val="0000FF"/>
              </w:rPr>
            </w:pPr>
            <w:hyperlink r:id="rId205">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60" w:type="dxa"/>
            <w:vAlign w:val="bottom"/>
            <w:gridSpan w:val="10"/>
          </w:tcPr>
          <w:p>
            <w:pPr>
              <w:spacing w:after="0"/>
              <w:rPr>
                <w:rFonts w:ascii="Arial" w:cs="Arial" w:eastAsia="Arial" w:hAnsi="Arial"/>
                <w:sz w:val="18"/>
                <w:szCs w:val="18"/>
                <w:color w:val="0000FF"/>
              </w:rPr>
            </w:pPr>
            <w:hyperlink r:id="rId206">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260" w:type="dxa"/>
            <w:vAlign w:val="bottom"/>
            <w:gridSpan w:val="10"/>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Certificate of Class A Common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260" w:type="dxa"/>
            <w:vAlign w:val="bottom"/>
            <w:gridSpan w:val="10"/>
          </w:tcPr>
          <w:p>
            <w:pPr>
              <w:spacing w:after="0"/>
              <w:rPr>
                <w:rFonts w:ascii="Arial" w:cs="Arial" w:eastAsia="Arial" w:hAnsi="Arial"/>
                <w:sz w:val="18"/>
                <w:szCs w:val="18"/>
                <w:color w:val="0000FF"/>
              </w:rPr>
            </w:pPr>
            <w:hyperlink r:id="rId208">
              <w:r>
                <w:rPr>
                  <w:rFonts w:ascii="Arial" w:cs="Arial" w:eastAsia="Arial" w:hAnsi="Arial"/>
                  <w:sz w:val="18"/>
                  <w:szCs w:val="18"/>
                  <w:color w:val="0000FF"/>
                </w:rPr>
                <w:t>Form of Certificate of Class B Common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Co-Chief Executive Officer pursuant to Rule 13a-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gridSpan w:val="8"/>
          </w:tcPr>
          <w:p>
            <w:pPr>
              <w:spacing w:after="0" w:line="156" w:lineRule="exact"/>
              <w:rPr>
                <w:sz w:val="20"/>
                <w:szCs w:val="20"/>
                <w:color w:val="auto"/>
              </w:rPr>
            </w:pPr>
            <w:r>
              <w:rPr>
                <w:rFonts w:ascii="Arial" w:cs="Arial" w:eastAsia="Arial" w:hAnsi="Arial"/>
                <w:sz w:val="18"/>
                <w:szCs w:val="18"/>
                <w:color w:val="0000FF"/>
              </w:rPr>
              <w:t>14(a)/15d-14(a).</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Co-Chief Executive Officer pursuant to Rule 13a-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80" w:type="dxa"/>
            <w:vAlign w:val="bottom"/>
            <w:gridSpan w:val="8"/>
          </w:tcPr>
          <w:p>
            <w:pPr>
              <w:spacing w:after="0" w:line="156" w:lineRule="exact"/>
              <w:rPr>
                <w:sz w:val="20"/>
                <w:szCs w:val="20"/>
                <w:color w:val="auto"/>
              </w:rPr>
            </w:pPr>
            <w:r>
              <w:rPr>
                <w:rFonts w:ascii="Arial" w:cs="Arial" w:eastAsia="Arial" w:hAnsi="Arial"/>
                <w:sz w:val="18"/>
                <w:szCs w:val="18"/>
                <w:color w:val="0000FF"/>
              </w:rPr>
              <w:t>14(a)/15d-14(a).</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Rule 13a-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20" w:type="dxa"/>
            <w:vAlign w:val="bottom"/>
            <w:gridSpan w:val="6"/>
          </w:tcPr>
          <w:p>
            <w:pPr>
              <w:spacing w:after="0" w:line="156" w:lineRule="exact"/>
              <w:rPr>
                <w:sz w:val="20"/>
                <w:szCs w:val="20"/>
                <w:color w:val="auto"/>
              </w:rPr>
            </w:pPr>
            <w:r>
              <w:rPr>
                <w:rFonts w:ascii="Arial" w:cs="Arial" w:eastAsia="Arial" w:hAnsi="Arial"/>
                <w:sz w:val="18"/>
                <w:szCs w:val="18"/>
                <w:color w:val="0000FF"/>
              </w:rPr>
              <w:t>14(a)/15d-14(a).</w:t>
            </w:r>
          </w:p>
        </w:tc>
        <w:tc>
          <w:tcPr>
            <w:tcW w:w="6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Co-Chief Executive Officer pursuant to 18 U.S.C.</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Section 1350.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Co-Chief Executive Officer pursuant to 18 U.S.C.</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2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Section 1350.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0000FF"/>
              </w:rPr>
              <w:t>Certification of Chief Financial Officer pursuant to 18 U.S.C.</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Section 1350.</w:t>
            </w:r>
          </w:p>
        </w:tc>
        <w:tc>
          <w:tcPr>
            <w:tcW w:w="4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60" w:type="dxa"/>
            <w:vAlign w:val="bottom"/>
            <w:gridSpan w:val="10"/>
          </w:tcPr>
          <w:p>
            <w:pPr>
              <w:spacing w:after="0" w:line="176" w:lineRule="exact"/>
              <w:rPr>
                <w:sz w:val="20"/>
                <w:szCs w:val="20"/>
                <w:color w:val="auto"/>
              </w:rPr>
            </w:pPr>
            <w:r>
              <w:rPr>
                <w:rFonts w:ascii="Arial" w:cs="Arial" w:eastAsia="Arial" w:hAnsi="Arial"/>
                <w:sz w:val="18"/>
                <w:szCs w:val="18"/>
                <w:color w:val="auto"/>
              </w:rPr>
              <w:t>not appear in the Interactive Data File because its XBRL tags are</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2"/>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0" w:type="dxa"/>
            <w:vAlign w:val="bottom"/>
          </w:tcPr>
          <w:p>
            <w:pPr>
              <w:spacing w:after="0"/>
              <w:rPr>
                <w:sz w:val="1"/>
                <w:szCs w:val="1"/>
                <w:color w:val="auto"/>
              </w:rPr>
            </w:pPr>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7"/>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9"/>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120" w:right="220" w:hanging="1099"/>
        <w:spacing w:after="0" w:line="239"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4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6"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1661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8"/>
        </w:trPr>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35"/>
        </w:trPr>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333-248465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333-249069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0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400" w:space="120"/>
            <w:col w:w="4720"/>
          </w:cols>
          <w:pgMar w:left="320" w:top="32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8, 2022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GOODRX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17780</wp:posOffset>
            </wp:positionV>
            <wp:extent cx="32880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Douglas Hirsch</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Co-Chief Executive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17780</wp:posOffset>
            </wp:positionV>
            <wp:extent cx="32880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Trevor Bezdek</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Co-Chief Executive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17780</wp:posOffset>
            </wp:positionV>
            <wp:extent cx="32880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Karsten Voermann</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By: /s/ Romin Nabiey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17780</wp:posOffset>
            </wp:positionV>
            <wp:extent cx="32880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Romin Nabiey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ectPr>
          <w:pgSz w:w="11900" w:h="16838" w:orient="portrait"/>
          <w:cols w:equalWidth="0" w:num="2">
            <w:col w:w="5000" w:space="720"/>
            <w:col w:w="5520"/>
          </w:cols>
          <w:pgMar w:left="320" w:top="323" w:right="3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Hirsch, certify that:</w:t>
      </w:r>
    </w:p>
    <w:p>
      <w:pPr>
        <w:spacing w:after="0" w:line="211"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ind w:left="1020" w:right="100" w:hanging="479"/>
        <w:spacing w:after="0" w:line="258"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020" w:right="340" w:hanging="479"/>
        <w:spacing w:after="0" w:line="258"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20" w:right="140" w:hanging="479"/>
        <w:spacing w:after="0" w:line="250"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18"/>
          <w:szCs w:val="18"/>
          <w:color w:val="auto"/>
        </w:rPr>
      </w:pPr>
    </w:p>
    <w:p>
      <w:pPr>
        <w:ind w:left="1020" w:hanging="479"/>
        <w:spacing w:after="0" w:line="266" w:lineRule="auto"/>
        <w:tabs>
          <w:tab w:leader="none" w:pos="89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280" w:val="left"/>
          <w:tab w:leader="none" w:pos="78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17145</wp:posOffset>
            </wp:positionV>
            <wp:extent cx="34163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17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Douglas Hirsch</w:t>
      </w:r>
    </w:p>
    <w:p>
      <w:pPr>
        <w:ind w:left="7060"/>
        <w:spacing w:after="0" w:line="236" w:lineRule="auto"/>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Bezdek, certify that:</w:t>
      </w:r>
    </w:p>
    <w:p>
      <w:pPr>
        <w:spacing w:after="0" w:line="211"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ind w:left="1020" w:right="100" w:hanging="479"/>
        <w:spacing w:after="0" w:line="258"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020" w:right="340" w:hanging="479"/>
        <w:spacing w:after="0" w:line="258"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20" w:right="140" w:hanging="479"/>
        <w:spacing w:after="0" w:line="250"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18"/>
          <w:szCs w:val="18"/>
          <w:color w:val="auto"/>
        </w:rPr>
      </w:pPr>
    </w:p>
    <w:p>
      <w:pPr>
        <w:ind w:left="1020" w:hanging="479"/>
        <w:spacing w:after="0" w:line="266" w:lineRule="auto"/>
        <w:tabs>
          <w:tab w:leader="none" w:pos="89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5340" w:right="2060" w:hanging="7975"/>
        <w:spacing w:after="0" w:line="253" w:lineRule="auto"/>
        <w:tabs>
          <w:tab w:leader="none" w:pos="532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Trevor Bezdek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0</wp:posOffset>
            </wp:positionV>
            <wp:extent cx="34423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3442335" cy="8255"/>
                    </a:xfrm>
                    <a:prstGeom prst="rect">
                      <a:avLst/>
                    </a:prstGeom>
                    <a:noFill/>
                  </pic:spPr>
                </pic:pic>
              </a:graphicData>
            </a:graphic>
          </wp:anchor>
        </w:drawing>
      </w:r>
    </w:p>
    <w:p>
      <w:pPr>
        <w:spacing w:after="0" w:line="16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Karsten Voermann, certify that:</w:t>
      </w:r>
    </w:p>
    <w:p>
      <w:pPr>
        <w:spacing w:after="0" w:line="211"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GoodRx Holdings,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520" w:right="380" w:hanging="512"/>
        <w:spacing w:after="0" w:line="266"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ind w:left="1020" w:right="100" w:hanging="479"/>
        <w:spacing w:after="0" w:line="258"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8"/>
          <w:szCs w:val="18"/>
          <w:color w:val="auto"/>
        </w:rPr>
      </w:pPr>
    </w:p>
    <w:p>
      <w:pPr>
        <w:ind w:left="1020" w:right="340" w:hanging="479"/>
        <w:spacing w:after="0" w:line="258"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8"/>
          <w:szCs w:val="18"/>
          <w:color w:val="auto"/>
        </w:rPr>
      </w:pPr>
    </w:p>
    <w:p>
      <w:pPr>
        <w:ind w:left="1020" w:right="500" w:hanging="479"/>
        <w:spacing w:after="0" w:line="295" w:lineRule="auto"/>
        <w:tabs>
          <w:tab w:leader="none" w:pos="89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7"/>
          <w:szCs w:val="17"/>
          <w:color w:val="auto"/>
        </w:rPr>
      </w:pPr>
    </w:p>
    <w:p>
      <w:pPr>
        <w:ind w:left="1020" w:right="140" w:hanging="479"/>
        <w:spacing w:after="0" w:line="250"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3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18"/>
          <w:szCs w:val="18"/>
          <w:color w:val="auto"/>
        </w:rPr>
      </w:pPr>
    </w:p>
    <w:p>
      <w:pPr>
        <w:ind w:left="1020" w:hanging="479"/>
        <w:spacing w:after="0" w:line="266" w:lineRule="auto"/>
        <w:tabs>
          <w:tab w:leader="none" w:pos="89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5280" w:val="left"/>
          <w:tab w:leader="none" w:pos="77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17145</wp:posOffset>
            </wp:positionV>
            <wp:extent cx="34163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17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Karsten Voermann</w:t>
      </w:r>
    </w:p>
    <w:p>
      <w:pPr>
        <w:ind w:left="7720"/>
        <w:spacing w:after="0" w:line="236"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GoodRx Holdings, Inc.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89" w:lineRule="exact"/>
        <w:rPr>
          <w:sz w:val="20"/>
          <w:szCs w:val="20"/>
          <w:color w:val="auto"/>
        </w:rPr>
      </w:pPr>
    </w:p>
    <w:p>
      <w:pPr>
        <w:ind w:left="360" w:hanging="307"/>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360" w:hanging="307"/>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5300" w:right="2020" w:hanging="7966"/>
        <w:spacing w:after="0" w:line="260" w:lineRule="auto"/>
        <w:tabs>
          <w:tab w:leader="none" w:pos="52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Douglas Hirsch Douglas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0</wp:posOffset>
            </wp:positionV>
            <wp:extent cx="34163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35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GoodRx Holdings, Inc.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89" w:lineRule="exact"/>
        <w:rPr>
          <w:sz w:val="20"/>
          <w:szCs w:val="20"/>
          <w:color w:val="auto"/>
        </w:rPr>
      </w:pPr>
    </w:p>
    <w:p>
      <w:pPr>
        <w:ind w:left="360" w:hanging="307"/>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360" w:hanging="307"/>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5300" w:right="2040" w:hanging="7995"/>
        <w:spacing w:after="0" w:line="260" w:lineRule="auto"/>
        <w:tabs>
          <w:tab w:leader="none" w:pos="52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Trevor Bezdek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0</wp:posOffset>
            </wp:positionV>
            <wp:extent cx="34163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353"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Director and Co-Chief Executive Officer</w:t>
      </w:r>
    </w:p>
    <w:p>
      <w:pPr>
        <w:spacing w:after="0" w:line="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GoodRx Holdings, Inc.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189" w:lineRule="exact"/>
        <w:rPr>
          <w:sz w:val="20"/>
          <w:szCs w:val="20"/>
          <w:color w:val="auto"/>
        </w:rPr>
      </w:pPr>
    </w:p>
    <w:p>
      <w:pPr>
        <w:ind w:left="360" w:hanging="307"/>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360" w:hanging="307"/>
        <w:spacing w:after="0"/>
        <w:tabs>
          <w:tab w:leader="none" w:pos="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360" w:val="left"/>
          <w:tab w:leader="none" w:pos="77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17145</wp:posOffset>
            </wp:positionV>
            <wp:extent cx="34163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17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Karsten Voermann</w:t>
      </w:r>
    </w:p>
    <w:p>
      <w:pPr>
        <w:ind w:left="7720"/>
        <w:spacing w:after="0" w:line="236"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9"/>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
      <w:numFmt w:val="bullet"/>
      <w:start w:val="1"/>
    </w:lvl>
    <w:lvl w:ilvl="1">
      <w:lvlJc w:val="left"/>
      <w:lvlText w:val="%2"/>
      <w:numFmt w:val="decimal"/>
      <w:start w:val="104"/>
    </w:lvl>
  </w:abstractNum>
  <w:abstractNum w:abstractNumId="22">
    <w:nsid w:val="B03E0C6"/>
    <w:multiLevelType w:val="hybridMultilevel"/>
    <w:lvl w:ilvl="0">
      <w:lvlJc w:val="left"/>
      <w:lvlText w:val="**"/>
      <w:numFmt w:val="bullet"/>
      <w:start w:val="1"/>
    </w:lvl>
    <w:lvl w:ilvl="1">
      <w:lvlJc w:val="left"/>
      <w:lvlText w:val="%2"/>
      <w:numFmt w:val="decimal"/>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05" Type="http://schemas.openxmlformats.org/officeDocument/2006/relationships/hyperlink" Target="https://www.sec.gov/Archives/edgar/data/1809519/000119312520256438/d35545dex31.htm" TargetMode="External"/><Relationship Id="rId206" Type="http://schemas.openxmlformats.org/officeDocument/2006/relationships/hyperlink" Target="https://www.sec.gov/Archives/edgar/data/0001809519/000119312520256438/d35545dex32.htm" TargetMode="External"/><Relationship Id="rId207" Type="http://schemas.openxmlformats.org/officeDocument/2006/relationships/hyperlink" Target="https://www.sec.gov/Archives/edgar/data/1809519/000119312520234662/d949310dex41.htm" TargetMode="External"/><Relationship Id="rId208" Type="http://schemas.openxmlformats.org/officeDocument/2006/relationships/hyperlink" Target="https://www.sec.gov/Archives/edgar/data/1809519/000119312520254694/d6208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2022-11-09T05:26:43Z</dcterms:created>
  <dcterms:modified xsi:type="dcterms:W3CDTF">2022-11-09T05:26:43Z</dcterms:modified>
</cp:coreProperties>
</file>