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png" ContentType="image/png"/>
  <Override PartName="/word/media/image2.png" ContentType="image/png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lineRule="atLeast" w:line="200" w:before="0" w:after="0"/>
        <w:jc w:val="left"/>
        <w:rPr/>
      </w:pPr>
      <w:hyperlink w:anchor="ie7567a6c939a4c249d5fb3b7378752d5_10">
        <w:bookmarkStart w:id="0" w:name="gdrx-20260331.htm"/>
        <w:bookmarkStart w:id="1" w:name="ksgdrx20260331"/>
        <w:bookmarkEnd w:id="0"/>
        <w:bookmarkEnd w:id="1"/>
        <w:r>
          <w:rPr>
            <w:rStyle w:val="InternetLink"/>
            <w:rFonts w:ascii="Arial;sans-serif" w:hAnsi="Arial;sans-serif"/>
            <w:b w:val="false"/>
            <w:i w:val="false"/>
            <w:caps w:val="false"/>
            <w:smallCaps w:val="false"/>
            <w:color w:val="0000FF"/>
            <w:sz w:val="20"/>
            <w:u w:val="single"/>
          </w:rPr>
          <w:t>Table of Contents</w:t>
        </w:r>
      </w:hyperlink>
      <w:r>
        <mc:AlternateContent>
          <mc:Choice Requires="wps">
            <w:drawing>
              <wp:anchor behindDoc="0" distT="0" distB="0" distL="0" distR="0" simplePos="0" locked="0" layoutInCell="1" allowOverlap="1" relativeHeight="2">
                <wp:simplePos x="0" y="0"/>
                <wp:positionH relativeFrom="page">
                  <wp:posOffset>895985</wp:posOffset>
                </wp:positionH>
                <wp:positionV relativeFrom="page">
                  <wp:posOffset>985520</wp:posOffset>
                </wp:positionV>
                <wp:extent cx="5980430" cy="14605"/>
                <wp:effectExtent l="0" t="0" r="0" b="0"/>
                <wp:wrapNone/>
                <wp:docPr id="1" name="Frame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80430" cy="1460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0"/>
                              <w:jc w:val="left"/>
                              <w:rPr/>
                            </w:pPr>
                            <w:r>
                              <w:rPr/>
                              <w:drawing>
                                <wp:inline distT="0" distB="0" distL="0" distR="0">
                                  <wp:extent cx="5980430" cy="14605"/>
                                  <wp:effectExtent l="0" t="0" r="0" b="0"/>
                                  <wp:docPr id="2" name="Image2" descr="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" name="Image2" descr="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"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980430" cy="1460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70.9pt;height:1.15pt;mso-wrap-distance-left:0pt;mso-wrap-distance-right:0pt;mso-wrap-distance-top:0pt;mso-wrap-distance-bottom:0pt;margin-top:77.6pt;mso-position-vertical-relative:page;margin-left:70.5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0"/>
                        <w:jc w:val="left"/>
                        <w:rPr/>
                      </w:pPr>
                      <w:r>
                        <w:rPr/>
                        <w:drawing>
                          <wp:inline distT="0" distB="0" distL="0" distR="0">
                            <wp:extent cx="5980430" cy="14605"/>
                            <wp:effectExtent l="0" t="0" r="0" b="0"/>
                            <wp:docPr id="3" name="Image2" descr="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" name="Image2" descr="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3"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980430" cy="1460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sectPr>
          <w:type w:val="nextPage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tbl>
      <w:tblPr>
        <w:tblW w:w="169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69"/>
      </w:tblGrid>
      <w:tr>
        <w:trPr/>
        <w:tc>
          <w:tcPr>
            <w:tcW w:w="16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9" w:type="dxa"/>
            <w:tcBorders>
              <w:bottom w:val="doub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tLeast" w:line="30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z w:val="30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30"/>
        </w:rPr>
        <w:t>UNITED STATES</w:t>
      </w:r>
    </w:p>
    <w:p>
      <w:pPr>
        <w:pStyle w:val="TextBody"/>
        <w:bidi w:val="0"/>
        <w:spacing w:lineRule="atLeast" w:line="30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z w:val="30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30"/>
        </w:rPr>
        <w:t>SECURITIES AND EXCHANGE COMMISSION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20"/>
        </w:rPr>
        <w:t xml:space="preserve">WASHINGTON, 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D.C.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/>
          <w:i w:val="false"/>
          <w:caps w:val="false"/>
          <w:smallCaps w:val="false"/>
          <w:sz w:val="20"/>
        </w:rPr>
        <w:t>20549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________________________________</w:t>
      </w:r>
    </w:p>
    <w:p>
      <w:pPr>
        <w:pStyle w:val="TextBody"/>
        <w:bidi w:val="0"/>
        <w:spacing w:lineRule="atLeast" w:line="300" w:before="0" w:after="0"/>
        <w:jc w:val="left"/>
        <w:rPr>
          <w:sz w:val="30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30"/>
        </w:rPr>
        <w:t xml:space="preserve">FORM 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30"/>
          <w:u w:val="none"/>
          <w:effect w:val="none"/>
        </w:rPr>
        <w:t>10-Q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________________________________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z w:val="16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16"/>
        </w:rPr>
        <w:t>(Mark One)</w:t>
      </w:r>
    </w:p>
    <w:tbl>
      <w:tblPr>
        <w:tblW w:w="895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01"/>
        <w:gridCol w:w="8656"/>
      </w:tblGrid>
      <w:tr>
        <w:trPr/>
        <w:tc>
          <w:tcPr>
            <w:tcW w:w="3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0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Wingdings;sans-serif" w:hAnsi="Wingdings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Wingdings;sans-serif" w:hAnsi="Wingdings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x</w:t>
            </w:r>
          </w:p>
        </w:tc>
        <w:tc>
          <w:tcPr>
            <w:tcW w:w="865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QUARTERLY REPORT PURSUANT TO SECTION 13 OR 15(d) OF THE SECURITIES EXCHANGE ACT OF 1934</w:t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16"/>
        </w:rPr>
        <w:t xml:space="preserve">For the quarterly period ended 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>March 31, 2026</w:t>
      </w:r>
      <w:r>
        <w:rPr>
          <w:caps w:val="false"/>
          <w:smallCaps w:val="false"/>
          <w:sz w:val="24"/>
        </w:rPr>
        <w:t xml:space="preserve"> 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z w:val="16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16"/>
        </w:rPr>
        <w:t>OR</w:t>
      </w:r>
    </w:p>
    <w:tbl>
      <w:tblPr>
        <w:tblW w:w="891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71"/>
        <w:gridCol w:w="8641"/>
      </w:tblGrid>
      <w:tr>
        <w:trPr/>
        <w:tc>
          <w:tcPr>
            <w:tcW w:w="2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7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Wingdings;sans-serif" w:hAnsi="Wingdings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Wingdings;sans-serif" w:hAnsi="Wingdings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o</w:t>
            </w:r>
          </w:p>
        </w:tc>
        <w:tc>
          <w:tcPr>
            <w:tcW w:w="864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TRANSITION REPORT PURSUANT TO SECTION 13 OR 15(d) OF THE SECURITIES EXCHANGE ACT OF 1934</w:t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z w:val="16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16"/>
        </w:rPr>
        <w:t>For the transition period from ______ to ______.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16"/>
        </w:rPr>
        <w:t xml:space="preserve">Commission File Number: 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>001-39549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________________________________</w:t>
      </w:r>
    </w:p>
    <w:p>
      <w:pPr>
        <w:pStyle w:val="TextBody"/>
        <w:bidi w:val="0"/>
        <w:spacing w:lineRule="atLeast" w:line="40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40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40"/>
          <w:u w:val="none"/>
          <w:effect w:val="none"/>
        </w:rPr>
        <w:t>GoodRx Holdings, Inc.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z w:val="16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16"/>
        </w:rPr>
        <w:t>(Exact Name of Registrant as Specified in its Charter)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________________________________</w:t>
      </w:r>
    </w:p>
    <w:tbl>
      <w:tblPr>
        <w:tblW w:w="394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56"/>
        <w:gridCol w:w="1291"/>
      </w:tblGrid>
      <w:tr>
        <w:trPr/>
        <w:tc>
          <w:tcPr>
            <w:tcW w:w="26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65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Delaware</w:t>
            </w:r>
          </w:p>
        </w:tc>
        <w:tc>
          <w:tcPr>
            <w:tcW w:w="129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47-5104396</w:t>
            </w:r>
          </w:p>
        </w:tc>
      </w:tr>
      <w:tr>
        <w:trPr/>
        <w:tc>
          <w:tcPr>
            <w:tcW w:w="2656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(State or other jurisdiction of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incorporation or organization)</w:t>
            </w:r>
          </w:p>
        </w:tc>
        <w:tc>
          <w:tcPr>
            <w:tcW w:w="1291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(I.R.S. Employer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Identification No.)</w:t>
            </w:r>
          </w:p>
        </w:tc>
      </w:tr>
      <w:tr>
        <w:trPr/>
        <w:tc>
          <w:tcPr>
            <w:tcW w:w="26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65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2701 Olympic Boulevard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Santa Monica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16"/>
              </w:rPr>
              <w:t xml:space="preserve">, 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CA</w:t>
            </w:r>
          </w:p>
        </w:tc>
        <w:tc>
          <w:tcPr>
            <w:tcW w:w="129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90404</w:t>
            </w:r>
          </w:p>
        </w:tc>
      </w:tr>
      <w:tr>
        <w:trPr/>
        <w:tc>
          <w:tcPr>
            <w:tcW w:w="2656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(Address of principal executive offices)</w:t>
            </w:r>
          </w:p>
        </w:tc>
        <w:tc>
          <w:tcPr>
            <w:tcW w:w="1291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(Zip Code)</w:t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16"/>
        </w:rPr>
        <w:t>(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>855</w:t>
      </w:r>
      <w:r>
        <w:rPr>
          <w:rFonts w:ascii="Arial;sans-serif" w:hAnsi="Arial;sans-serif"/>
          <w:b/>
          <w:i w:val="false"/>
          <w:caps w:val="false"/>
          <w:smallCaps w:val="false"/>
          <w:sz w:val="16"/>
        </w:rPr>
        <w:t xml:space="preserve">) 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>268-2822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z w:val="16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16"/>
        </w:rPr>
        <w:t>(Registrant’s telephone number, including area code)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z w:val="16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16"/>
        </w:rPr>
        <w:t>N/A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z w:val="16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16"/>
        </w:rPr>
        <w:t>(Former name, former address and former fiscal year, if changed since last report)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________________________________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6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6"/>
        </w:rPr>
        <w:t xml:space="preserve">Securities registered pursuant to Section 12(b) of the Act: </w:t>
      </w:r>
    </w:p>
    <w:tbl>
      <w:tblPr>
        <w:tblW w:w="8756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961"/>
        <w:gridCol w:w="109"/>
        <w:gridCol w:w="916"/>
        <w:gridCol w:w="109"/>
        <w:gridCol w:w="3661"/>
      </w:tblGrid>
      <w:tr>
        <w:trPr/>
        <w:tc>
          <w:tcPr>
            <w:tcW w:w="39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961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Title of each class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6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Trading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Symbol(s)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61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Name of each exchange on which registered</w:t>
            </w:r>
          </w:p>
        </w:tc>
      </w:tr>
      <w:tr>
        <w:trPr/>
        <w:tc>
          <w:tcPr>
            <w:tcW w:w="3961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Class A common stock, $0.0001 par value per share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6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GDRX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61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The Nasdaq Stock Market LLC</w:t>
            </w:r>
          </w:p>
        </w:tc>
      </w:tr>
    </w:tbl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6"/>
          <w:u w:val="single"/>
        </w:rPr>
        <w:t>Indicate by check mark whether the registrant (1) has filed all reports required to be filed by Section 13 or 15(d) of the Securities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6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6"/>
          <w:u w:val="single"/>
        </w:rPr>
        <w:t>Exchange Act of 1934 during the preceding 12 months (or for such shorter period that the registrant was required to file such reports), and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6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6"/>
          <w:u w:val="single"/>
        </w:rPr>
        <w:t xml:space="preserve">(2) has been subject to such filing requirements for the past 90 days.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>Yes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Wingdings;sans-serif" w:hAnsi="Wingdings;sans-serif"/>
          <w:b w:val="false"/>
          <w:i w:val="false"/>
          <w:caps w:val="false"/>
          <w:smallCaps w:val="false"/>
          <w:sz w:val="16"/>
          <w:u w:val="single"/>
        </w:rPr>
        <w:t>x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6"/>
          <w:u w:val="single"/>
        </w:rPr>
        <w:t xml:space="preserve">No </w:t>
      </w:r>
      <w:r>
        <w:rPr>
          <w:rFonts w:ascii="Wingdings;sans-serif" w:hAnsi="Wingdings;sans-serif"/>
          <w:b w:val="false"/>
          <w:i w:val="false"/>
          <w:caps w:val="false"/>
          <w:smallCaps w:val="false"/>
          <w:sz w:val="16"/>
          <w:u w:val="single"/>
        </w:rPr>
        <w:t>o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6"/>
          <w:u w:val="single"/>
        </w:rPr>
        <w:t>Indicate by check mark whether the registrant has submitted electronically every Interactive Data File required to be submitted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6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6"/>
          <w:u w:val="single"/>
        </w:rPr>
        <w:t>pursuant to Rule 405 of Regulation S-T (§232.405 of this chapter) during the preceding 12 months (or for such shorter period that the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6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6"/>
          <w:u w:val="single"/>
        </w:rPr>
        <w:t xml:space="preserve">registrant was required to submit such files).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>Yes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Wingdings;sans-serif" w:hAnsi="Wingdings;sans-serif"/>
          <w:b w:val="false"/>
          <w:i w:val="false"/>
          <w:caps w:val="false"/>
          <w:smallCaps w:val="false"/>
          <w:sz w:val="16"/>
          <w:u w:val="single"/>
        </w:rPr>
        <w:t>x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6"/>
          <w:u w:val="single"/>
        </w:rPr>
        <w:t xml:space="preserve">No </w:t>
      </w:r>
      <w:r>
        <w:rPr>
          <w:rFonts w:ascii="Wingdings;sans-serif" w:hAnsi="Wingdings;sans-serif"/>
          <w:b w:val="false"/>
          <w:i w:val="false"/>
          <w:caps w:val="false"/>
          <w:smallCaps w:val="false"/>
          <w:sz w:val="16"/>
          <w:u w:val="single"/>
        </w:rPr>
        <w:t>o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6"/>
          <w:u w:val="single"/>
        </w:rPr>
        <w:t>Indicate by check mark whether the registrant is a large accelerated filer, an accelerated filer, a non-accelerated filer, a smaller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6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6"/>
          <w:u w:val="single"/>
        </w:rPr>
        <w:t>reporting company, or an emerging growth company. See the definitions of “large accelerated filer,” “accelerated filer,” “smaller reporting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6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6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6"/>
          <w:u w:val="single"/>
        </w:rPr>
        <w:t>company,” and “emerging growth company” in Rule 12b-2 of the Exchange Act.</w:t>
      </w:r>
    </w:p>
    <w:tbl>
      <w:tblPr>
        <w:tblW w:w="4823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071"/>
        <w:gridCol w:w="256"/>
        <w:gridCol w:w="109"/>
        <w:gridCol w:w="2056"/>
        <w:gridCol w:w="331"/>
      </w:tblGrid>
      <w:tr>
        <w:trPr/>
        <w:tc>
          <w:tcPr>
            <w:tcW w:w="20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7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Large accelerated filer</w:t>
            </w:r>
          </w:p>
        </w:tc>
        <w:tc>
          <w:tcPr>
            <w:tcW w:w="25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Wingdings;sans-serif" w:hAnsi="Wingdings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Wingdings;sans-serif" w:hAnsi="Wingdings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o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5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Accelerated filer</w:t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Wingdings;sans-serif" w:hAnsi="Wingdings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Wingdings;sans-serif" w:hAnsi="Wingdings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x</w:t>
            </w:r>
          </w:p>
        </w:tc>
      </w:tr>
      <w:tr>
        <w:trPr/>
        <w:tc>
          <w:tcPr>
            <w:tcW w:w="20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7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Non-accelerated filer</w:t>
            </w:r>
          </w:p>
        </w:tc>
        <w:tc>
          <w:tcPr>
            <w:tcW w:w="25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Wingdings;sans-serif" w:hAnsi="Wingdings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Wingdings;sans-serif" w:hAnsi="Wingdings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o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5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Smaller reporting company</w:t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Wingdings;sans-serif" w:hAnsi="Wingdings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Wingdings;sans-serif" w:hAnsi="Wingdings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o</w:t>
            </w:r>
          </w:p>
        </w:tc>
      </w:tr>
      <w:tr>
        <w:trPr/>
        <w:tc>
          <w:tcPr>
            <w:tcW w:w="20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7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Emerging growth company</w:t>
            </w:r>
          </w:p>
        </w:tc>
        <w:tc>
          <w:tcPr>
            <w:tcW w:w="25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Wingdings;sans-serif" w:hAnsi="Wingdings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Wingdings;sans-serif" w:hAnsi="Wingdings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o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6"/>
          <w:u w:val="single"/>
        </w:rPr>
        <w:t>If an emerging growth company, indicate by check mark if the registrant has elected not to use the extended transition period for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6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6"/>
          <w:u w:val="single"/>
        </w:rPr>
        <w:t xml:space="preserve">complying with any new or revised financial accounting standards provided pursuant to Section 13(a) of the Exchange Act. </w:t>
      </w:r>
      <w:r>
        <w:rPr>
          <w:rFonts w:ascii="Wingdings;sans-serif" w:hAnsi="Wingdings;sans-serif"/>
          <w:b w:val="false"/>
          <w:i w:val="false"/>
          <w:caps w:val="false"/>
          <w:smallCaps w:val="false"/>
          <w:sz w:val="16"/>
          <w:u w:val="single"/>
        </w:rPr>
        <w:t>o</w:t>
      </w:r>
    </w:p>
    <w:p>
      <w:pPr>
        <w:pStyle w:val="TextBody"/>
        <w:bidi w:val="0"/>
        <w:spacing w:lineRule="atLeast" w:line="16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6"/>
          <w:u w:val="single"/>
        </w:rPr>
        <w:t xml:space="preserve">Indicate by check mark whether the registrant is a shell company (as defined in Rule 12b-2 of the Exchange Act). Yes </w:t>
      </w:r>
      <w:r>
        <w:rPr>
          <w:rFonts w:ascii="Wingdings;sans-serif" w:hAnsi="Wingdings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>o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6"/>
          <w:u w:val="single"/>
        </w:rPr>
        <w:t xml:space="preserve">No </w:t>
      </w:r>
      <w:r>
        <w:rPr>
          <w:rFonts w:ascii="Wingdings;sans-serif" w:hAnsi="Wingdings;sans-serif"/>
          <w:b w:val="false"/>
          <w:i w:val="false"/>
          <w:caps w:val="false"/>
          <w:smallCaps w:val="false"/>
          <w:sz w:val="16"/>
          <w:u w:val="single"/>
        </w:rPr>
        <w:t>x</w:t>
      </w:r>
    </w:p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6"/>
        </w:rPr>
        <w:t xml:space="preserve">As of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>April 28, 2026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6"/>
        </w:rPr>
        <w:t xml:space="preserve">, the registrant had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>104,711,186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 xml:space="preserve">shares of Class A common stock, $0.0001 par value per share, and </w:t>
      </w:r>
    </w:p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>233,964,187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>shares of Class B common stock,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6"/>
        </w:rPr>
        <w:t>$0.0001 par value per share, outstanding.</w:t>
      </w:r>
    </w:p>
    <w:tbl>
      <w:tblPr>
        <w:tblW w:w="169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69"/>
      </w:tblGrid>
      <w:tr>
        <w:trPr/>
        <w:tc>
          <w:tcPr>
            <w:tcW w:w="16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9" w:type="dxa"/>
            <w:tcBorders>
              <w:bottom w:val="doub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/>
      </w:pPr>
      <w:hyperlink w:anchor="ie7567a6c939a4c249d5fb3b7378752d5_10">
        <w:r>
          <w:rPr>
            <w:rStyle w:val="InternetLink"/>
            <w:rFonts w:ascii="Arial;sans-serif" w:hAnsi="Arial;sans-serif"/>
            <w:b w:val="false"/>
            <w:i w:val="false"/>
            <w:caps w:val="false"/>
            <w:smallCaps w:val="false"/>
            <w:color w:val="0000FF"/>
            <w:sz w:val="20"/>
            <w:u w:val="single"/>
          </w:rPr>
          <w:t>Table of Contents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18"/>
        </w:rPr>
        <w:t>FORWARD-LOOKING STATEMENTS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This Quarterly Report on Form 10-Q contains forward-looking statements. We intend such forward-looking statements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to be covered by the safe harbor provisions for forward-looking statements contained in Section 27A of the Securities Act of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1933, as amended, and Section 21E of the Securities Exchange Act of 1934, as amended (the “Exchange Act”). All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statements other than statements of historical facts contained in this Quarterly Report on Form 10-Q may be forward-looking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statements. In some cases, you can identify forward-looking statements by terms such as “may,” “will,” “should,” “expects,”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caps w:val="false"/>
          <w:smallCaps w:val="false"/>
          <w:u w:val="single"/>
        </w:rPr>
        <w:t>“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plans,” “anticipates,” “could,” “intends,” “targets,” “projects,” “contemplates,” “believes,” “estimates,” “forecasts,” “predicts,”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caps w:val="false"/>
          <w:smallCaps w:val="false"/>
          <w:u w:val="single"/>
        </w:rPr>
        <w:t>“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potential” or “continue” or the negative of these terms or other similar expressions. Forward-looking statements contained in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this Quarterly Report on Form 10-Q include, but are not limited to statements regarding our future results of operations and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financial position, industry and business trends, the anticipated impact of ongoing changes in the U.S. retail pharmacy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landscape and macroeconomic environment, the impact of store closures and the announced bankruptcy of one of our retail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partners on our business, the potential impact of the new government-sponsored direct-to-consumer platform called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caps w:val="false"/>
          <w:smallCaps w:val="false"/>
          <w:u w:val="single"/>
        </w:rPr>
        <w:t>“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TrumpRx.gov” and other evolving federal initiatives on our business, our value proposition, our collaborations and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partnerships with third parties, including our integrated savings program, the impact of the recent volume reduction in one of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our integrated savings programs, the anticipated expansion of our condition-specific subscription program, our direct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 xml:space="preserve">contracting approach with select pharmacies, the impact of the sunset of certain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of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our offerings, anticipated impacts of our</w:t>
      </w:r>
      <w:r>
        <w:rPr>
          <w:caps w:val="false"/>
          <w:smallCaps w:val="false"/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restructuring and cost saving initiatives, stock compensation, our stock repurchase program, realizability of deferred tax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assets, impacts from recent tax legislation, potential outcomes and estimated impacts of certain legal proceedings, our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business strategy, our plans, market opportunity and growth and our objectives for future operations.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The forward-looking statements in this Quarterly Report on Form 10-Q are only predictions. We have based these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forward-looking statements largely on our current expectations and projections about future events and financial trends that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we believe may affect our business, financial condition and results of operations. Forward-looking statements involve known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and unknown risks, uncertainties and other important factors that may cause our actual results, performance or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achievements to be materially different from any future results, performance or achievements expressed or implied by the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forward-looking statements, including, but not limited to,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risks related to our limited operating history and early stage of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growth; our recent growth rates may not be sustainable or indicative of future growth; our ability to achieve broad market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education and change consumer purchasing habits; our general ability to continue to attract, acquire and retain consumers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in a cost-effective manner; our significant reliance on our prescription transactions offering and ability to expand our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offerings; changes in medication pricing and the significant impact of pricing structures negotiated by industry participants;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our general inability to control the categories and types of prescriptions for which we can offer savings or discounted prices;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our reliance on a limited number of industry participants, including pharmacy benefit managers, pharmacies, and pharma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manufacturers; the competitive nature of our industry; risks related to pandemics, epidemics or outbreak of infectious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disease; the accuracy of our estimate of our addressable market and other operational metrics; our ability to respond to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changes in the market for prescription pricing and to maintain and expand the use of GoodRx codes; our ability to maintain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positive perception of our platform or maintain and enhance our brand; risks related to any failure to maintain effective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internal control over ﬁnancial reporting; risks related to use of social media, emails, text messages and other messaging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channels as part of our marketing strategy; our dependence on our information technology systems and those of our third-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party vendors, and risks related to any failure or significant disruptions thereof; risks related to the use of AI and machine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learning in our business; risks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related to government regulation of the internet, e-commerce, consumer data and privacy,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information technology and cybersecurity; risks related to a decrease in consumer willingness to receive correspondence or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any technical, legal or any other restrictions to send such correspondence; risks related to any failure to comply with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applicable data protection, privacy and security, advertising and consumer protection laws, regulations, standards, and other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requirements; our ability to utilize our net operating loss carryforwards and certain other tax attributes; the risk that we may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be unable to realize expected benefits from our restructuring and cost reduction efforts; our ability to attract, develop,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motivate and retain well-qualified employees; risks related to our acquisition strategy; risks related to our debt arrangements;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interruptions or delays in service on our apps or websites or any undetected errors or design faults; our reliance on third-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party platforms to distribute our platform and offerings, including software as-a-service technologies; systems failures or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other disruptions in the operations of these parties on which we depend; risks related to climate change; the increasing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focus on environmental sustainability and social initiatives; risks related to our intellectual property; risks related to operating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in the healthcare industry; risks related to our organizational structure; litigation related risks; our ability to accurately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forecast revenue and appropriately plan our expenses in the future; risks related to general economic factors, natural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disasters or other unexpected events; risks related to the healthcare reform legislation and other proposed or future changes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impacting the healthcare industry and healthcare spending which may adversely affect our business, financial condition and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results of operations;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as well as the other important factors discussed in the sections entitled “Risk Factors” of our Annual</w:t>
      </w:r>
      <w:r>
        <w:rPr>
          <w:caps w:val="false"/>
          <w:smallCaps w:val="false"/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 xml:space="preserve">Report on Form 10-K for the fiscal year ended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December 31, 2025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(“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2025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10-K”)</w:t>
      </w:r>
      <w:r>
        <w:rPr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and in our other filings with the Securities</w:t>
      </w:r>
      <w:r>
        <w:rPr>
          <w:caps w:val="false"/>
          <w:smallCaps w:val="false"/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and Exchange Commission (“SEC”). The forward-looking statements in this Quarterly Report on Form 10-Q are based upon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information available to us as of the date of this Quarterly Report on Form 10-Q, and while we believe such information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forms a reasonable basis for such statements, such information may be limited or incomplete, and our statements should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not be read to indicate that we have conducted an exhaustive inquiry into, or review of, all potentially available relevant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information. These statements are inherently uncertain and investors are cautioned not to unduly rely upon these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statements.</w:t>
      </w:r>
    </w:p>
    <w:p>
      <w:pPr>
        <w:pStyle w:val="TextBody"/>
        <w:bidi w:val="0"/>
        <w:spacing w:lineRule="atLeast" w:line="200" w:before="0" w:after="0"/>
        <w:jc w:val="left"/>
        <w:rPr/>
      </w:pPr>
      <w:hyperlink w:anchor="ie7567a6c939a4c249d5fb3b7378752d5_10">
        <w:r>
          <w:rPr>
            <w:rStyle w:val="InternetLink"/>
            <w:rFonts w:ascii="Arial;sans-serif" w:hAnsi="Arial;sans-serif"/>
            <w:b w:val="false"/>
            <w:i w:val="false"/>
            <w:caps w:val="false"/>
            <w:smallCaps w:val="false"/>
            <w:color w:val="0000FF"/>
            <w:sz w:val="20"/>
            <w:u w:val="single"/>
          </w:rPr>
          <w:t>Table of Contents</w:t>
        </w:r>
      </w:hyperlink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You should read this Quarterly Report on Form 10-Q and the documents that we reference in this Quarterly Report on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Form 10-Q and have filed as exhibits to this Quarterly Report on Form 10-Q with the understanding that our actual future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results, levels of activity, performance and achievements may be materially different from what we expect. We qualify all of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our forward-looking statements by these cautionary statements. These forward-looking statements speak only as of the date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of this Quarterly Report on Form 10-Q. Except as required by applicable law, we do not plan to publicly update or revise any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forward-looking statements contained in this Quarterly Report on Form 10-Q, whether as a result of any new information,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future events or otherwise.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We periodically post information that may be important to investors on our investor relations website at https://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investors.goodrx.com. We intend to use our website as a means of disclosing material non-public information and for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complying with our disclosure obligations under Regulation FD. Accordingly, investors and potential investors are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encouraged to consult our website regularly for important information, in addition to following GoodRx’s press releases,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filings with the SEC and public conference calls and webcasts. The information contained on, or that may be accessed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through, our website is not incorporated by reference into, and is not a part of, this Quarterly Report on Form 10-Q.</w:t>
      </w:r>
    </w:p>
    <w:p>
      <w:pPr>
        <w:pStyle w:val="TextBody"/>
        <w:bidi w:val="0"/>
        <w:spacing w:lineRule="atLeast" w:line="200" w:before="0" w:after="0"/>
        <w:jc w:val="left"/>
        <w:rPr/>
      </w:pPr>
      <w:hyperlink w:anchor="ie7567a6c939a4c249d5fb3b7378752d5_10">
        <w:r>
          <w:rPr>
            <w:rStyle w:val="InternetLink"/>
            <w:rFonts w:ascii="Arial;sans-serif" w:hAnsi="Arial;sans-serif"/>
            <w:b w:val="false"/>
            <w:i w:val="false"/>
            <w:caps w:val="false"/>
            <w:smallCaps w:val="false"/>
            <w:color w:val="0000FF"/>
            <w:sz w:val="20"/>
            <w:u w:val="single"/>
          </w:rPr>
          <w:t>Table of Contents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18"/>
        </w:rPr>
        <w:t>Table of Contents</w:t>
      </w:r>
    </w:p>
    <w:tbl>
      <w:tblPr>
        <w:tblW w:w="8733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796"/>
        <w:gridCol w:w="7351"/>
        <w:gridCol w:w="586"/>
      </w:tblGrid>
      <w:tr>
        <w:trPr/>
        <w:tc>
          <w:tcPr>
            <w:tcW w:w="7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8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7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86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Page</w:t>
            </w:r>
          </w:p>
        </w:tc>
      </w:tr>
      <w:tr>
        <w:trPr/>
        <w:tc>
          <w:tcPr>
            <w:tcW w:w="7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86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79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e7567a6c939a4c249d5fb3b7378752d5_13">
              <w:r>
                <w:rPr>
                  <w:rStyle w:val="InternetLink"/>
                  <w:rFonts w:ascii="Arial;sans-serif" w:hAnsi="Arial;sans-serif"/>
                  <w:b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PART I.</w:t>
              </w:r>
            </w:hyperlink>
          </w:p>
        </w:tc>
        <w:tc>
          <w:tcPr>
            <w:tcW w:w="735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e7567a6c939a4c249d5fb3b7378752d5_13">
              <w:r>
                <w:rPr>
                  <w:rStyle w:val="InternetLink"/>
                  <w:rFonts w:ascii="Arial;sans-serif" w:hAnsi="Arial;sans-serif"/>
                  <w:b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FINANCIAL INFORMATION</w:t>
              </w:r>
            </w:hyperlink>
          </w:p>
        </w:tc>
        <w:tc>
          <w:tcPr>
            <w:tcW w:w="58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79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e7567a6c939a4c249d5fb3b7378752d5_16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Item 1.</w:t>
              </w:r>
            </w:hyperlink>
          </w:p>
        </w:tc>
        <w:tc>
          <w:tcPr>
            <w:tcW w:w="735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e7567a6c939a4c249d5fb3b7378752d5_16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color w:val="0000FF"/>
                  <w:sz w:val="18"/>
                  <w:u w:val="single"/>
                </w:rPr>
                <w:t>Financial Statements</w:t>
              </w:r>
            </w:hyperlink>
          </w:p>
        </w:tc>
        <w:tc>
          <w:tcPr>
            <w:tcW w:w="58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e7567a6c939a4c249d5fb3b7378752d5_16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1</w:t>
              </w:r>
            </w:hyperlink>
          </w:p>
        </w:tc>
      </w:tr>
      <w:tr>
        <w:trPr/>
        <w:tc>
          <w:tcPr>
            <w:tcW w:w="7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5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e7567a6c939a4c249d5fb3b7378752d5_19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color w:val="0000FF"/>
                  <w:sz w:val="18"/>
                  <w:u w:val="single"/>
                </w:rPr>
                <w:t>Condensed Consolidated Balance Sheets</w:t>
              </w:r>
            </w:hyperlink>
          </w:p>
        </w:tc>
        <w:tc>
          <w:tcPr>
            <w:tcW w:w="58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e7567a6c939a4c249d5fb3b7378752d5_19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1</w:t>
              </w:r>
            </w:hyperlink>
          </w:p>
        </w:tc>
      </w:tr>
      <w:tr>
        <w:trPr/>
        <w:tc>
          <w:tcPr>
            <w:tcW w:w="7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5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e7567a6c939a4c249d5fb3b7378752d5_22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color w:val="0000FF"/>
                  <w:sz w:val="18"/>
                  <w:u w:val="single"/>
                </w:rPr>
                <w:t>Condensed Consolidated Statements of Operations</w:t>
              </w:r>
            </w:hyperlink>
          </w:p>
        </w:tc>
        <w:tc>
          <w:tcPr>
            <w:tcW w:w="58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e7567a6c939a4c249d5fb3b7378752d5_22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2</w:t>
              </w:r>
            </w:hyperlink>
          </w:p>
        </w:tc>
      </w:tr>
      <w:tr>
        <w:trPr/>
        <w:tc>
          <w:tcPr>
            <w:tcW w:w="7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5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e7567a6c939a4c249d5fb3b7378752d5_25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color w:val="0000FF"/>
                  <w:sz w:val="18"/>
                  <w:u w:val="single"/>
                </w:rPr>
                <w:t>Condensed Consolidated Statements of Stockholders’ Equity</w:t>
              </w:r>
            </w:hyperlink>
          </w:p>
        </w:tc>
        <w:tc>
          <w:tcPr>
            <w:tcW w:w="58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e7567a6c939a4c249d5fb3b7378752d5_25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3</w:t>
              </w:r>
            </w:hyperlink>
          </w:p>
        </w:tc>
      </w:tr>
      <w:tr>
        <w:trPr/>
        <w:tc>
          <w:tcPr>
            <w:tcW w:w="7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5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e7567a6c939a4c249d5fb3b7378752d5_31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color w:val="0000FF"/>
                  <w:sz w:val="18"/>
                  <w:u w:val="single"/>
                </w:rPr>
                <w:t>Condensed Consolidated Statements of Cash Flows</w:t>
              </w:r>
            </w:hyperlink>
          </w:p>
        </w:tc>
        <w:tc>
          <w:tcPr>
            <w:tcW w:w="58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e7567a6c939a4c249d5fb3b7378752d5_31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5</w:t>
              </w:r>
            </w:hyperlink>
          </w:p>
        </w:tc>
      </w:tr>
      <w:tr>
        <w:trPr/>
        <w:tc>
          <w:tcPr>
            <w:tcW w:w="7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5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e7567a6c939a4c249d5fb3b7378752d5_34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color w:val="0000FF"/>
                  <w:sz w:val="18"/>
                  <w:u w:val="single"/>
                </w:rPr>
                <w:t>Notes to Condensed Consolidated Financial Statements</w:t>
              </w:r>
            </w:hyperlink>
          </w:p>
        </w:tc>
        <w:tc>
          <w:tcPr>
            <w:tcW w:w="58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e7567a6c939a4c249d5fb3b7378752d5_34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7</w:t>
              </w:r>
            </w:hyperlink>
          </w:p>
        </w:tc>
      </w:tr>
      <w:tr>
        <w:trPr/>
        <w:tc>
          <w:tcPr>
            <w:tcW w:w="79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e7567a6c939a4c249d5fb3b7378752d5_73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Item 2.</w:t>
              </w:r>
            </w:hyperlink>
          </w:p>
        </w:tc>
        <w:tc>
          <w:tcPr>
            <w:tcW w:w="735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e7567a6c939a4c249d5fb3b7378752d5_73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color w:val="0000FF"/>
                  <w:sz w:val="18"/>
                  <w:u w:val="single"/>
                </w:rPr>
                <w:t>Management’s Discussion and Analysis of Financial Condition and Results of Operations</w:t>
              </w:r>
            </w:hyperlink>
          </w:p>
        </w:tc>
        <w:tc>
          <w:tcPr>
            <w:tcW w:w="58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e7567a6c939a4c249d5fb3b7378752d5_73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15</w:t>
              </w:r>
            </w:hyperlink>
          </w:p>
        </w:tc>
      </w:tr>
      <w:tr>
        <w:trPr/>
        <w:tc>
          <w:tcPr>
            <w:tcW w:w="79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e7567a6c939a4c249d5fb3b7378752d5_109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Item 3.</w:t>
              </w:r>
            </w:hyperlink>
          </w:p>
        </w:tc>
        <w:tc>
          <w:tcPr>
            <w:tcW w:w="735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e7567a6c939a4c249d5fb3b7378752d5_109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color w:val="0000FF"/>
                  <w:sz w:val="18"/>
                  <w:u w:val="single"/>
                </w:rPr>
                <w:t>Quantitative and Qualitative Disclosures About Market Risk</w:t>
              </w:r>
            </w:hyperlink>
          </w:p>
        </w:tc>
        <w:tc>
          <w:tcPr>
            <w:tcW w:w="58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e7567a6c939a4c249d5fb3b7378752d5_109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22</w:t>
              </w:r>
            </w:hyperlink>
          </w:p>
        </w:tc>
      </w:tr>
      <w:tr>
        <w:trPr/>
        <w:tc>
          <w:tcPr>
            <w:tcW w:w="79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e7567a6c939a4c249d5fb3b7378752d5_112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Item 4.</w:t>
              </w:r>
            </w:hyperlink>
          </w:p>
        </w:tc>
        <w:tc>
          <w:tcPr>
            <w:tcW w:w="735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e7567a6c939a4c249d5fb3b7378752d5_112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color w:val="0000FF"/>
                  <w:sz w:val="18"/>
                  <w:u w:val="single"/>
                </w:rPr>
                <w:t>Controls and Procedures</w:t>
              </w:r>
            </w:hyperlink>
          </w:p>
        </w:tc>
        <w:tc>
          <w:tcPr>
            <w:tcW w:w="58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e7567a6c939a4c249d5fb3b7378752d5_112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22</w:t>
              </w:r>
            </w:hyperlink>
          </w:p>
        </w:tc>
      </w:tr>
      <w:tr>
        <w:trPr/>
        <w:tc>
          <w:tcPr>
            <w:tcW w:w="7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8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79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e7567a6c939a4c249d5fb3b7378752d5_115">
              <w:r>
                <w:rPr>
                  <w:rStyle w:val="InternetLink"/>
                  <w:rFonts w:ascii="Arial;sans-serif" w:hAnsi="Arial;sans-serif"/>
                  <w:b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PART II.</w:t>
              </w:r>
            </w:hyperlink>
          </w:p>
        </w:tc>
        <w:tc>
          <w:tcPr>
            <w:tcW w:w="735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e7567a6c939a4c249d5fb3b7378752d5_115">
              <w:r>
                <w:rPr>
                  <w:rStyle w:val="InternetLink"/>
                  <w:rFonts w:ascii="Arial;sans-serif" w:hAnsi="Arial;sans-serif"/>
                  <w:b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OTHER INFORMATION</w:t>
              </w:r>
            </w:hyperlink>
          </w:p>
        </w:tc>
        <w:tc>
          <w:tcPr>
            <w:tcW w:w="58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79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e7567a6c939a4c249d5fb3b7378752d5_118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Item 1.</w:t>
              </w:r>
            </w:hyperlink>
          </w:p>
        </w:tc>
        <w:tc>
          <w:tcPr>
            <w:tcW w:w="735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e7567a6c939a4c249d5fb3b7378752d5_118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color w:val="0000FF"/>
                  <w:sz w:val="18"/>
                  <w:u w:val="single"/>
                </w:rPr>
                <w:t>Legal Proceedings</w:t>
              </w:r>
            </w:hyperlink>
          </w:p>
        </w:tc>
        <w:tc>
          <w:tcPr>
            <w:tcW w:w="58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e7567a6c939a4c249d5fb3b7378752d5_118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23</w:t>
              </w:r>
            </w:hyperlink>
          </w:p>
        </w:tc>
      </w:tr>
      <w:tr>
        <w:trPr/>
        <w:tc>
          <w:tcPr>
            <w:tcW w:w="79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e7567a6c939a4c249d5fb3b7378752d5_121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Item 1A.</w:t>
              </w:r>
            </w:hyperlink>
          </w:p>
        </w:tc>
        <w:tc>
          <w:tcPr>
            <w:tcW w:w="735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e7567a6c939a4c249d5fb3b7378752d5_121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color w:val="0000FF"/>
                  <w:sz w:val="18"/>
                  <w:u w:val="single"/>
                </w:rPr>
                <w:t>Risk Factors</w:t>
              </w:r>
            </w:hyperlink>
          </w:p>
        </w:tc>
        <w:tc>
          <w:tcPr>
            <w:tcW w:w="58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e7567a6c939a4c249d5fb3b7378752d5_121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23</w:t>
              </w:r>
            </w:hyperlink>
          </w:p>
        </w:tc>
      </w:tr>
      <w:tr>
        <w:trPr/>
        <w:tc>
          <w:tcPr>
            <w:tcW w:w="79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e7567a6c939a4c249d5fb3b7378752d5_124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Item 2.</w:t>
              </w:r>
            </w:hyperlink>
          </w:p>
        </w:tc>
        <w:tc>
          <w:tcPr>
            <w:tcW w:w="735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e7567a6c939a4c249d5fb3b7378752d5_124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color w:val="0000FF"/>
                  <w:sz w:val="18"/>
                  <w:u w:val="single"/>
                </w:rPr>
                <w:t>Unregistered Sales of Equity Securities and Use of Proceeds</w:t>
              </w:r>
            </w:hyperlink>
          </w:p>
        </w:tc>
        <w:tc>
          <w:tcPr>
            <w:tcW w:w="58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e7567a6c939a4c249d5fb3b7378752d5_124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23</w:t>
              </w:r>
            </w:hyperlink>
          </w:p>
        </w:tc>
      </w:tr>
      <w:tr>
        <w:trPr/>
        <w:tc>
          <w:tcPr>
            <w:tcW w:w="79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e7567a6c939a4c249d5fb3b7378752d5_127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Item 3.</w:t>
              </w:r>
            </w:hyperlink>
          </w:p>
        </w:tc>
        <w:tc>
          <w:tcPr>
            <w:tcW w:w="735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e7567a6c939a4c249d5fb3b7378752d5_127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color w:val="0000FF"/>
                  <w:sz w:val="18"/>
                  <w:u w:val="single"/>
                </w:rPr>
                <w:t>Defaults Upon Senior Securities</w:t>
              </w:r>
            </w:hyperlink>
          </w:p>
        </w:tc>
        <w:tc>
          <w:tcPr>
            <w:tcW w:w="58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e7567a6c939a4c249d5fb3b7378752d5_127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23</w:t>
              </w:r>
            </w:hyperlink>
          </w:p>
        </w:tc>
      </w:tr>
      <w:tr>
        <w:trPr/>
        <w:tc>
          <w:tcPr>
            <w:tcW w:w="79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e7567a6c939a4c249d5fb3b7378752d5_130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Item 4.</w:t>
              </w:r>
            </w:hyperlink>
          </w:p>
        </w:tc>
        <w:tc>
          <w:tcPr>
            <w:tcW w:w="735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e7567a6c939a4c249d5fb3b7378752d5_130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color w:val="0000FF"/>
                  <w:sz w:val="18"/>
                  <w:u w:val="single"/>
                </w:rPr>
                <w:t>Mine Safety Disclosures</w:t>
              </w:r>
            </w:hyperlink>
          </w:p>
        </w:tc>
        <w:tc>
          <w:tcPr>
            <w:tcW w:w="58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e7567a6c939a4c249d5fb3b7378752d5_130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23</w:t>
              </w:r>
            </w:hyperlink>
          </w:p>
        </w:tc>
      </w:tr>
      <w:tr>
        <w:trPr/>
        <w:tc>
          <w:tcPr>
            <w:tcW w:w="79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e7567a6c939a4c249d5fb3b7378752d5_133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Item 5.</w:t>
              </w:r>
            </w:hyperlink>
          </w:p>
        </w:tc>
        <w:tc>
          <w:tcPr>
            <w:tcW w:w="735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e7567a6c939a4c249d5fb3b7378752d5_133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color w:val="0000FF"/>
                  <w:sz w:val="18"/>
                  <w:u w:val="single"/>
                </w:rPr>
                <w:t>Other Information</w:t>
              </w:r>
            </w:hyperlink>
          </w:p>
        </w:tc>
        <w:tc>
          <w:tcPr>
            <w:tcW w:w="58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e7567a6c939a4c249d5fb3b7378752d5_133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23</w:t>
              </w:r>
            </w:hyperlink>
          </w:p>
        </w:tc>
      </w:tr>
      <w:tr>
        <w:trPr/>
        <w:tc>
          <w:tcPr>
            <w:tcW w:w="79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e7567a6c939a4c249d5fb3b7378752d5_139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Item 6.</w:t>
              </w:r>
            </w:hyperlink>
          </w:p>
        </w:tc>
        <w:tc>
          <w:tcPr>
            <w:tcW w:w="735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e7567a6c939a4c249d5fb3b7378752d5_139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color w:val="0000FF"/>
                  <w:sz w:val="18"/>
                  <w:u w:val="single"/>
                </w:rPr>
                <w:t>Exhibits</w:t>
              </w:r>
            </w:hyperlink>
          </w:p>
        </w:tc>
        <w:tc>
          <w:tcPr>
            <w:tcW w:w="58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e7567a6c939a4c249d5fb3b7378752d5_139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25</w:t>
              </w:r>
            </w:hyperlink>
          </w:p>
        </w:tc>
      </w:tr>
      <w:tr>
        <w:trPr/>
        <w:tc>
          <w:tcPr>
            <w:tcW w:w="7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5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e7567a6c939a4c249d5fb3b7378752d5_142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color w:val="0000FF"/>
                  <w:sz w:val="18"/>
                  <w:u w:val="single"/>
                </w:rPr>
                <w:t>Signatures</w:t>
              </w:r>
            </w:hyperlink>
          </w:p>
        </w:tc>
        <w:tc>
          <w:tcPr>
            <w:tcW w:w="58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e7567a6c939a4c249d5fb3b7378752d5_142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26</w:t>
              </w:r>
            </w:hyperlink>
          </w:p>
        </w:tc>
      </w:tr>
    </w:tbl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1</w:t>
      </w:r>
    </w:p>
    <w:p>
      <w:pPr>
        <w:pStyle w:val="TextBody"/>
        <w:bidi w:val="0"/>
        <w:spacing w:lineRule="atLeast" w:line="200" w:before="0" w:after="0"/>
        <w:jc w:val="left"/>
        <w:rPr/>
      </w:pPr>
      <w:hyperlink w:anchor="ie7567a6c939a4c249d5fb3b7378752d5_10">
        <w:r>
          <w:rPr>
            <w:rStyle w:val="InternetLink"/>
            <w:rFonts w:ascii="Arial;sans-serif" w:hAnsi="Arial;sans-serif"/>
            <w:b w:val="false"/>
            <w:i w:val="false"/>
            <w:caps w:val="false"/>
            <w:smallCaps w:val="false"/>
            <w:color w:val="0000FF"/>
            <w:sz w:val="20"/>
            <w:u w:val="single"/>
          </w:rPr>
          <w:t>Table of Contents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18"/>
        </w:rPr>
        <w:t>PART I. FINANCIAL INFORMATION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18"/>
        </w:rPr>
        <w:t>Item 1. Financial Statements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18"/>
        </w:rPr>
        <w:t>GoodRx Holdings, Inc.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18"/>
        </w:rPr>
        <w:t>Condensed Consolidated Balance Sheets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/>
          <w:sz w:val="18"/>
        </w:rPr>
      </w:pPr>
      <w:r>
        <w:rPr>
          <w:rFonts w:ascii="Arial;sans-serif" w:hAnsi="Arial;sans-serif"/>
          <w:b w:val="false"/>
          <w:i/>
          <w:sz w:val="18"/>
        </w:rPr>
        <w:t>(Unaudited)</w:t>
      </w:r>
    </w:p>
    <w:tbl>
      <w:tblPr>
        <w:tblW w:w="941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421"/>
        <w:gridCol w:w="1261"/>
        <w:gridCol w:w="109"/>
        <w:gridCol w:w="1621"/>
      </w:tblGrid>
      <w:tr>
        <w:trPr/>
        <w:tc>
          <w:tcPr>
            <w:tcW w:w="64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642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(in thousands, except par values)</w:t>
            </w:r>
          </w:p>
        </w:tc>
        <w:tc>
          <w:tcPr>
            <w:tcW w:w="1261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March 31, 2026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21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December 31, 2025</w:t>
            </w:r>
          </w:p>
        </w:tc>
      </w:tr>
      <w:tr>
        <w:trPr/>
        <w:tc>
          <w:tcPr>
            <w:tcW w:w="642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Assets</w:t>
            </w:r>
          </w:p>
        </w:tc>
        <w:tc>
          <w:tcPr>
            <w:tcW w:w="126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2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642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Current assets</w:t>
            </w:r>
          </w:p>
        </w:tc>
        <w:tc>
          <w:tcPr>
            <w:tcW w:w="12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2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642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Cash and cash equivalents</w:t>
            </w:r>
          </w:p>
        </w:tc>
        <w:tc>
          <w:tcPr>
            <w:tcW w:w="12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$235,710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2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$261,820</w:t>
            </w:r>
          </w:p>
        </w:tc>
      </w:tr>
      <w:tr>
        <w:trPr/>
        <w:tc>
          <w:tcPr>
            <w:tcW w:w="642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Accounts receivable, net</w:t>
            </w:r>
          </w:p>
        </w:tc>
        <w:tc>
          <w:tcPr>
            <w:tcW w:w="12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232,721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2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235,746</w:t>
            </w:r>
          </w:p>
        </w:tc>
      </w:tr>
      <w:tr>
        <w:trPr/>
        <w:tc>
          <w:tcPr>
            <w:tcW w:w="642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Prescription reimbursement assets</w:t>
            </w:r>
          </w:p>
        </w:tc>
        <w:tc>
          <w:tcPr>
            <w:tcW w:w="12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753,530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2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98,331</w:t>
            </w:r>
          </w:p>
        </w:tc>
      </w:tr>
      <w:tr>
        <w:trPr/>
        <w:tc>
          <w:tcPr>
            <w:tcW w:w="642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Prepaid expenses and other current assets</w:t>
            </w:r>
          </w:p>
        </w:tc>
        <w:tc>
          <w:tcPr>
            <w:tcW w:w="1261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44,507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21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47,205</w:t>
            </w:r>
          </w:p>
        </w:tc>
      </w:tr>
      <w:tr>
        <w:trPr/>
        <w:tc>
          <w:tcPr>
            <w:tcW w:w="642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Total current assets</w:t>
            </w:r>
          </w:p>
        </w:tc>
        <w:tc>
          <w:tcPr>
            <w:tcW w:w="126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1,266,468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2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643,102</w:t>
            </w:r>
          </w:p>
        </w:tc>
      </w:tr>
      <w:tr>
        <w:trPr/>
        <w:tc>
          <w:tcPr>
            <w:tcW w:w="642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Property and equipment, net</w:t>
            </w:r>
          </w:p>
        </w:tc>
        <w:tc>
          <w:tcPr>
            <w:tcW w:w="12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11,742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2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12,268</w:t>
            </w:r>
          </w:p>
        </w:tc>
      </w:tr>
      <w:tr>
        <w:trPr/>
        <w:tc>
          <w:tcPr>
            <w:tcW w:w="642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Goodwill</w:t>
            </w:r>
          </w:p>
        </w:tc>
        <w:tc>
          <w:tcPr>
            <w:tcW w:w="12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430,331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2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430,331</w:t>
            </w:r>
          </w:p>
        </w:tc>
      </w:tr>
      <w:tr>
        <w:trPr/>
        <w:tc>
          <w:tcPr>
            <w:tcW w:w="642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Intangible assets, net</w:t>
            </w:r>
          </w:p>
        </w:tc>
        <w:tc>
          <w:tcPr>
            <w:tcW w:w="12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61,167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2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64,082</w:t>
            </w:r>
          </w:p>
        </w:tc>
      </w:tr>
      <w:tr>
        <w:trPr/>
        <w:tc>
          <w:tcPr>
            <w:tcW w:w="642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Capitalized software, net</w:t>
            </w:r>
          </w:p>
        </w:tc>
        <w:tc>
          <w:tcPr>
            <w:tcW w:w="12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140,191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2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139,261</w:t>
            </w:r>
          </w:p>
        </w:tc>
      </w:tr>
      <w:tr>
        <w:trPr/>
        <w:tc>
          <w:tcPr>
            <w:tcW w:w="642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Operating lease right-of-use assets, net</w:t>
            </w:r>
          </w:p>
        </w:tc>
        <w:tc>
          <w:tcPr>
            <w:tcW w:w="12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28,748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2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28,808</w:t>
            </w:r>
          </w:p>
        </w:tc>
      </w:tr>
      <w:tr>
        <w:trPr/>
        <w:tc>
          <w:tcPr>
            <w:tcW w:w="642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Deferred tax assets, net</w:t>
            </w:r>
          </w:p>
        </w:tc>
        <w:tc>
          <w:tcPr>
            <w:tcW w:w="12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53,042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2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57,111</w:t>
            </w:r>
          </w:p>
        </w:tc>
      </w:tr>
      <w:tr>
        <w:trPr/>
        <w:tc>
          <w:tcPr>
            <w:tcW w:w="642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Other assets</w:t>
            </w:r>
          </w:p>
        </w:tc>
        <w:tc>
          <w:tcPr>
            <w:tcW w:w="1261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29,562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21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29,095</w:t>
            </w:r>
          </w:p>
        </w:tc>
      </w:tr>
      <w:tr>
        <w:trPr/>
        <w:tc>
          <w:tcPr>
            <w:tcW w:w="642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Total assets</w:t>
            </w:r>
          </w:p>
        </w:tc>
        <w:tc>
          <w:tcPr>
            <w:tcW w:w="1261" w:type="dxa"/>
            <w:tcBorders>
              <w:top w:val="sing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$2,021,251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21" w:type="dxa"/>
            <w:tcBorders>
              <w:top w:val="sing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$1,404,058</w:t>
            </w:r>
          </w:p>
        </w:tc>
      </w:tr>
      <w:tr>
        <w:trPr/>
        <w:tc>
          <w:tcPr>
            <w:tcW w:w="642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Liabilities and stockholders' equity</w:t>
            </w:r>
          </w:p>
        </w:tc>
        <w:tc>
          <w:tcPr>
            <w:tcW w:w="1261" w:type="dxa"/>
            <w:tcBorders>
              <w:top w:val="doub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21" w:type="dxa"/>
            <w:tcBorders>
              <w:top w:val="doub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642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Current liabilities</w:t>
            </w:r>
          </w:p>
        </w:tc>
        <w:tc>
          <w:tcPr>
            <w:tcW w:w="12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2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642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Accounts payable</w:t>
            </w:r>
          </w:p>
        </w:tc>
        <w:tc>
          <w:tcPr>
            <w:tcW w:w="12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$14,525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2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$19,405</w:t>
            </w:r>
          </w:p>
        </w:tc>
      </w:tr>
      <w:tr>
        <w:trPr/>
        <w:tc>
          <w:tcPr>
            <w:tcW w:w="642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Prescription reimbursement liabilities</w:t>
            </w:r>
          </w:p>
        </w:tc>
        <w:tc>
          <w:tcPr>
            <w:tcW w:w="12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750,978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2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130,139</w:t>
            </w:r>
          </w:p>
        </w:tc>
      </w:tr>
      <w:tr>
        <w:trPr/>
        <w:tc>
          <w:tcPr>
            <w:tcW w:w="642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Accrued expenses and other current liabilities</w:t>
            </w:r>
          </w:p>
        </w:tc>
        <w:tc>
          <w:tcPr>
            <w:tcW w:w="12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83,719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2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86,705</w:t>
            </w:r>
          </w:p>
        </w:tc>
      </w:tr>
      <w:tr>
        <w:trPr/>
        <w:tc>
          <w:tcPr>
            <w:tcW w:w="642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Current portion of debt</w:t>
            </w:r>
          </w:p>
        </w:tc>
        <w:tc>
          <w:tcPr>
            <w:tcW w:w="12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5,000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2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5,000</w:t>
            </w:r>
          </w:p>
        </w:tc>
      </w:tr>
      <w:tr>
        <w:trPr/>
        <w:tc>
          <w:tcPr>
            <w:tcW w:w="642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Operating lease liabilities, current</w:t>
            </w:r>
          </w:p>
        </w:tc>
        <w:tc>
          <w:tcPr>
            <w:tcW w:w="1261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4,976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21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4,753</w:t>
            </w:r>
          </w:p>
        </w:tc>
      </w:tr>
      <w:tr>
        <w:trPr/>
        <w:tc>
          <w:tcPr>
            <w:tcW w:w="642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Total current liabilities</w:t>
            </w:r>
          </w:p>
        </w:tc>
        <w:tc>
          <w:tcPr>
            <w:tcW w:w="126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859,198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2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246,002</w:t>
            </w:r>
          </w:p>
        </w:tc>
      </w:tr>
      <w:tr>
        <w:trPr/>
        <w:tc>
          <w:tcPr>
            <w:tcW w:w="642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Debt, net</w:t>
            </w:r>
          </w:p>
        </w:tc>
        <w:tc>
          <w:tcPr>
            <w:tcW w:w="12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482,422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2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483,264</w:t>
            </w:r>
          </w:p>
        </w:tc>
      </w:tr>
      <w:tr>
        <w:trPr/>
        <w:tc>
          <w:tcPr>
            <w:tcW w:w="642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Operating lease liabilities, net of current portion</w:t>
            </w:r>
          </w:p>
        </w:tc>
        <w:tc>
          <w:tcPr>
            <w:tcW w:w="12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48,953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2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49,789</w:t>
            </w:r>
          </w:p>
        </w:tc>
      </w:tr>
      <w:tr>
        <w:trPr/>
        <w:tc>
          <w:tcPr>
            <w:tcW w:w="642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Other liabilities</w:t>
            </w:r>
          </w:p>
        </w:tc>
        <w:tc>
          <w:tcPr>
            <w:tcW w:w="1261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8,692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21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8,741</w:t>
            </w:r>
          </w:p>
        </w:tc>
      </w:tr>
      <w:tr>
        <w:trPr/>
        <w:tc>
          <w:tcPr>
            <w:tcW w:w="642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Total liabilities</w:t>
            </w:r>
          </w:p>
        </w:tc>
        <w:tc>
          <w:tcPr>
            <w:tcW w:w="126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1,399,265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2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787,796</w:t>
            </w:r>
          </w:p>
        </w:tc>
      </w:tr>
      <w:tr>
        <w:trPr/>
        <w:tc>
          <w:tcPr>
            <w:tcW w:w="642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Commitments and contingencies (Note 7)</w:t>
            </w:r>
          </w:p>
        </w:tc>
        <w:tc>
          <w:tcPr>
            <w:tcW w:w="12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2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642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Stockholders' equity</w:t>
            </w:r>
          </w:p>
        </w:tc>
        <w:tc>
          <w:tcPr>
            <w:tcW w:w="12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2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642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 xml:space="preserve">Preferred stock,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$0.0001</w:t>
            </w:r>
            <w:r>
              <w:rPr>
                <w:caps w:val="false"/>
                <w:smallCaps w:val="false"/>
                <w:sz w:val="24"/>
              </w:rPr>
              <w:t xml:space="preserve">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 xml:space="preserve">par value;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50,000</w:t>
            </w:r>
            <w:r>
              <w:rPr>
                <w:caps w:val="false"/>
                <w:smallCaps w:val="false"/>
                <w:sz w:val="24"/>
              </w:rPr>
              <w:t xml:space="preserve">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 xml:space="preserve">shares authorized and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nil</w:t>
            </w:r>
            <w:r>
              <w:rPr>
                <w:caps w:val="false"/>
                <w:smallCaps w:val="false"/>
                <w:sz w:val="24"/>
              </w:rPr>
              <w:t xml:space="preserve">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 xml:space="preserve">shares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 xml:space="preserve">issued and outstanding at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March 31, 2026</w:t>
            </w:r>
            <w:r>
              <w:rPr>
                <w:caps w:val="false"/>
                <w:smallCaps w:val="false"/>
                <w:sz w:val="24"/>
              </w:rPr>
              <w:t xml:space="preserve">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 xml:space="preserve">and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December 31, 2025</w:t>
            </w:r>
          </w:p>
        </w:tc>
        <w:tc>
          <w:tcPr>
            <w:tcW w:w="12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2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</w:tr>
      <w:tr>
        <w:trPr/>
        <w:tc>
          <w:tcPr>
            <w:tcW w:w="642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 xml:space="preserve">Common stock,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$0.0001</w:t>
            </w:r>
            <w:r>
              <w:rPr>
                <w:caps w:val="false"/>
                <w:smallCaps w:val="false"/>
                <w:sz w:val="24"/>
              </w:rPr>
              <w:t xml:space="preserve">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 xml:space="preserve">par value; Class A: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2,000,000</w:t>
            </w:r>
            <w:r>
              <w:rPr>
                <w:caps w:val="false"/>
                <w:smallCaps w:val="false"/>
                <w:sz w:val="24"/>
              </w:rPr>
              <w:t xml:space="preserve">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 xml:space="preserve">shares authorized,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103,613</w:t>
            </w:r>
            <w:r>
              <w:rPr>
                <w:caps w:val="false"/>
                <w:smallCaps w:val="false"/>
                <w:sz w:val="24"/>
              </w:rPr>
              <w:t xml:space="preserve">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 xml:space="preserve">and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107,088</w:t>
            </w:r>
            <w:r>
              <w:rPr>
                <w:caps w:val="false"/>
                <w:smallCaps w:val="false"/>
                <w:sz w:val="24"/>
              </w:rPr>
              <w:t xml:space="preserve">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 xml:space="preserve">shares issued and outstanding at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March 31, 2026</w:t>
            </w:r>
            <w:r>
              <w:rPr>
                <w:caps w:val="false"/>
                <w:smallCaps w:val="false"/>
                <w:sz w:val="24"/>
              </w:rPr>
              <w:t xml:space="preserve">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 xml:space="preserve">and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December 31, 2025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 xml:space="preserve">, respectively; and Class B: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1,000,000</w:t>
            </w:r>
            <w:r>
              <w:rPr>
                <w:caps w:val="false"/>
                <w:smallCaps w:val="false"/>
                <w:sz w:val="24"/>
              </w:rPr>
              <w:t xml:space="preserve">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 xml:space="preserve">shares authorized,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233,964</w:t>
            </w:r>
            <w:r>
              <w:rPr>
                <w:caps w:val="false"/>
                <w:smallCaps w:val="false"/>
                <w:sz w:val="24"/>
              </w:rPr>
              <w:t xml:space="preserve">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 xml:space="preserve">shares issued and outstanding at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March 31, 2026</w:t>
            </w:r>
            <w:r>
              <w:rPr>
                <w:caps w:val="false"/>
                <w:smallCaps w:val="false"/>
                <w:sz w:val="24"/>
              </w:rPr>
              <w:t xml:space="preserve">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 xml:space="preserve">and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December 31, 2025</w:t>
            </w:r>
          </w:p>
        </w:tc>
        <w:tc>
          <w:tcPr>
            <w:tcW w:w="12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34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2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34</w:t>
            </w:r>
          </w:p>
        </w:tc>
      </w:tr>
      <w:tr>
        <w:trPr/>
        <w:tc>
          <w:tcPr>
            <w:tcW w:w="642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Additional paid-in capital</w:t>
            </w:r>
          </w:p>
        </w:tc>
        <w:tc>
          <w:tcPr>
            <w:tcW w:w="12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2,031,357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2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2,026,802</w:t>
            </w:r>
          </w:p>
        </w:tc>
      </w:tr>
      <w:tr>
        <w:trPr/>
        <w:tc>
          <w:tcPr>
            <w:tcW w:w="642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Accumulated deficit</w:t>
            </w:r>
          </w:p>
        </w:tc>
        <w:tc>
          <w:tcPr>
            <w:tcW w:w="1261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(1,409,405)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21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(1,410,574)</w:t>
            </w:r>
          </w:p>
        </w:tc>
      </w:tr>
      <w:tr>
        <w:trPr/>
        <w:tc>
          <w:tcPr>
            <w:tcW w:w="642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Total stockholders' equity</w:t>
            </w:r>
          </w:p>
        </w:tc>
        <w:tc>
          <w:tcPr>
            <w:tcW w:w="1261" w:type="dxa"/>
            <w:tcBorders>
              <w:top w:val="single" w:sz="8" w:space="0" w:color="000000"/>
              <w:bottom w:val="sing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621,986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21" w:type="dxa"/>
            <w:tcBorders>
              <w:top w:val="single" w:sz="8" w:space="0" w:color="000000"/>
              <w:bottom w:val="sing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616,262</w:t>
            </w:r>
          </w:p>
        </w:tc>
      </w:tr>
      <w:tr>
        <w:trPr/>
        <w:tc>
          <w:tcPr>
            <w:tcW w:w="642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Total liabilities and stockholders' equity</w:t>
            </w:r>
          </w:p>
        </w:tc>
        <w:tc>
          <w:tcPr>
            <w:tcW w:w="1261" w:type="dxa"/>
            <w:tcBorders>
              <w:top w:val="sing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$2,021,251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21" w:type="dxa"/>
            <w:tcBorders>
              <w:top w:val="sing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$1,404,058</w:t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/>
          <w:sz w:val="18"/>
        </w:rPr>
      </w:pPr>
      <w:r>
        <w:rPr>
          <w:rFonts w:ascii="Arial;sans-serif" w:hAnsi="Arial;sans-serif"/>
          <w:b w:val="false"/>
          <w:i/>
          <w:sz w:val="18"/>
        </w:rPr>
        <w:t>See accompanying notes to condensed consolidated financial statements.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2</w:t>
      </w:r>
    </w:p>
    <w:p>
      <w:pPr>
        <w:pStyle w:val="TextBody"/>
        <w:bidi w:val="0"/>
        <w:spacing w:lineRule="atLeast" w:line="200" w:before="0" w:after="0"/>
        <w:jc w:val="left"/>
        <w:rPr/>
      </w:pPr>
      <w:hyperlink w:anchor="ie7567a6c939a4c249d5fb3b7378752d5_10">
        <w:r>
          <w:rPr>
            <w:rStyle w:val="InternetLink"/>
            <w:rFonts w:ascii="Arial;sans-serif" w:hAnsi="Arial;sans-serif"/>
            <w:b w:val="false"/>
            <w:i w:val="false"/>
            <w:caps w:val="false"/>
            <w:smallCaps w:val="false"/>
            <w:color w:val="0000FF"/>
            <w:sz w:val="20"/>
            <w:u w:val="single"/>
          </w:rPr>
          <w:t>Table of Contents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18"/>
        </w:rPr>
        <w:t>GoodRx Holdings, Inc.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18"/>
        </w:rPr>
        <w:t>Condensed Consolidated Statements of Operations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/>
          <w:sz w:val="18"/>
        </w:rPr>
      </w:pPr>
      <w:r>
        <w:rPr>
          <w:rFonts w:ascii="Arial;sans-serif" w:hAnsi="Arial;sans-serif"/>
          <w:b w:val="false"/>
          <w:i/>
          <w:sz w:val="18"/>
        </w:rPr>
        <w:t>(Unaudited)</w:t>
      </w:r>
    </w:p>
    <w:tbl>
      <w:tblPr>
        <w:tblW w:w="8700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06"/>
        <w:gridCol w:w="1194"/>
        <w:gridCol w:w="146"/>
        <w:gridCol w:w="1254"/>
      </w:tblGrid>
      <w:tr>
        <w:trPr/>
        <w:tc>
          <w:tcPr>
            <w:tcW w:w="61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9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61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94" w:type="dxa"/>
            <w:gridSpan w:val="3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Three Months Ended March 31,</w:t>
            </w:r>
          </w:p>
        </w:tc>
      </w:tr>
      <w:tr>
        <w:trPr/>
        <w:tc>
          <w:tcPr>
            <w:tcW w:w="610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(in thousands, except for per share amounts)</w:t>
            </w:r>
          </w:p>
        </w:tc>
        <w:tc>
          <w:tcPr>
            <w:tcW w:w="1194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2026</w:t>
            </w:r>
          </w:p>
        </w:tc>
        <w:tc>
          <w:tcPr>
            <w:tcW w:w="146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54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2025</w:t>
            </w:r>
          </w:p>
        </w:tc>
      </w:tr>
      <w:tr>
        <w:trPr/>
        <w:tc>
          <w:tcPr>
            <w:tcW w:w="610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Revenue</w:t>
            </w:r>
          </w:p>
        </w:tc>
        <w:tc>
          <w:tcPr>
            <w:tcW w:w="1194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$194,006</w:t>
            </w:r>
          </w:p>
        </w:tc>
        <w:tc>
          <w:tcPr>
            <w:tcW w:w="14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54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$202,970</w:t>
            </w:r>
          </w:p>
        </w:tc>
      </w:tr>
      <w:tr>
        <w:trPr/>
        <w:tc>
          <w:tcPr>
            <w:tcW w:w="610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Costs and operating expenses:</w:t>
            </w:r>
          </w:p>
        </w:tc>
        <w:tc>
          <w:tcPr>
            <w:tcW w:w="1194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54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610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Cost of revenue, exclusive of depreciation and amortization presented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separately below</w:t>
            </w:r>
          </w:p>
        </w:tc>
        <w:tc>
          <w:tcPr>
            <w:tcW w:w="1194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20,156</w:t>
            </w:r>
          </w:p>
        </w:tc>
        <w:tc>
          <w:tcPr>
            <w:tcW w:w="14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54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13,364</w:t>
            </w:r>
          </w:p>
        </w:tc>
      </w:tr>
      <w:tr>
        <w:trPr/>
        <w:tc>
          <w:tcPr>
            <w:tcW w:w="610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Product development and technology</w:t>
            </w:r>
          </w:p>
        </w:tc>
        <w:tc>
          <w:tcPr>
            <w:tcW w:w="1194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30,177</w:t>
            </w:r>
          </w:p>
        </w:tc>
        <w:tc>
          <w:tcPr>
            <w:tcW w:w="14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54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31,142</w:t>
            </w:r>
          </w:p>
        </w:tc>
      </w:tr>
      <w:tr>
        <w:trPr/>
        <w:tc>
          <w:tcPr>
            <w:tcW w:w="610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Sales and marketing</w:t>
            </w:r>
          </w:p>
        </w:tc>
        <w:tc>
          <w:tcPr>
            <w:tcW w:w="1194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81,053</w:t>
            </w:r>
          </w:p>
        </w:tc>
        <w:tc>
          <w:tcPr>
            <w:tcW w:w="14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54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84,542</w:t>
            </w:r>
          </w:p>
        </w:tc>
      </w:tr>
      <w:tr>
        <w:trPr/>
        <w:tc>
          <w:tcPr>
            <w:tcW w:w="610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General and administrative</w:t>
            </w:r>
          </w:p>
        </w:tc>
        <w:tc>
          <w:tcPr>
            <w:tcW w:w="1194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26,819</w:t>
            </w:r>
          </w:p>
        </w:tc>
        <w:tc>
          <w:tcPr>
            <w:tcW w:w="14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54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29,630</w:t>
            </w:r>
          </w:p>
        </w:tc>
      </w:tr>
      <w:tr>
        <w:trPr/>
        <w:tc>
          <w:tcPr>
            <w:tcW w:w="610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Depreciation and amortization</w:t>
            </w:r>
          </w:p>
        </w:tc>
        <w:tc>
          <w:tcPr>
            <w:tcW w:w="1194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21,792</w:t>
            </w:r>
          </w:p>
        </w:tc>
        <w:tc>
          <w:tcPr>
            <w:tcW w:w="14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54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20,912</w:t>
            </w:r>
          </w:p>
        </w:tc>
      </w:tr>
      <w:tr>
        <w:trPr/>
        <w:tc>
          <w:tcPr>
            <w:tcW w:w="610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Total costs and operating expenses</w:t>
            </w:r>
          </w:p>
        </w:tc>
        <w:tc>
          <w:tcPr>
            <w:tcW w:w="1194" w:type="dxa"/>
            <w:tcBorders>
              <w:top w:val="single" w:sz="8" w:space="0" w:color="000000"/>
              <w:bottom w:val="sing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179,997</w:t>
            </w:r>
          </w:p>
        </w:tc>
        <w:tc>
          <w:tcPr>
            <w:tcW w:w="14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54" w:type="dxa"/>
            <w:tcBorders>
              <w:top w:val="single" w:sz="8" w:space="0" w:color="000000"/>
              <w:bottom w:val="sing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179,590</w:t>
            </w:r>
          </w:p>
        </w:tc>
      </w:tr>
      <w:tr>
        <w:trPr/>
        <w:tc>
          <w:tcPr>
            <w:tcW w:w="610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Operating income</w:t>
            </w:r>
          </w:p>
        </w:tc>
        <w:tc>
          <w:tcPr>
            <w:tcW w:w="1194" w:type="dxa"/>
            <w:tcBorders>
              <w:top w:val="single" w:sz="8" w:space="0" w:color="000000"/>
              <w:bottom w:val="sing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14,009</w:t>
            </w:r>
          </w:p>
        </w:tc>
        <w:tc>
          <w:tcPr>
            <w:tcW w:w="14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54" w:type="dxa"/>
            <w:tcBorders>
              <w:top w:val="single" w:sz="8" w:space="0" w:color="000000"/>
              <w:bottom w:val="sing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23,380</w:t>
            </w:r>
          </w:p>
        </w:tc>
      </w:tr>
      <w:tr>
        <w:trPr/>
        <w:tc>
          <w:tcPr>
            <w:tcW w:w="610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Other expense, net:</w:t>
            </w:r>
          </w:p>
        </w:tc>
        <w:tc>
          <w:tcPr>
            <w:tcW w:w="1194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54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610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Interest income</w:t>
            </w:r>
          </w:p>
        </w:tc>
        <w:tc>
          <w:tcPr>
            <w:tcW w:w="1194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1,397</w:t>
            </w:r>
          </w:p>
        </w:tc>
        <w:tc>
          <w:tcPr>
            <w:tcW w:w="14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54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3,932</w:t>
            </w:r>
          </w:p>
        </w:tc>
      </w:tr>
      <w:tr>
        <w:trPr/>
        <w:tc>
          <w:tcPr>
            <w:tcW w:w="610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Interest expense</w:t>
            </w:r>
          </w:p>
        </w:tc>
        <w:tc>
          <w:tcPr>
            <w:tcW w:w="1194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(9,767)</w:t>
            </w:r>
          </w:p>
        </w:tc>
        <w:tc>
          <w:tcPr>
            <w:tcW w:w="14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54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(10,644)</w:t>
            </w:r>
          </w:p>
        </w:tc>
      </w:tr>
      <w:tr>
        <w:trPr/>
        <w:tc>
          <w:tcPr>
            <w:tcW w:w="610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Total other expense, net</w:t>
            </w:r>
          </w:p>
        </w:tc>
        <w:tc>
          <w:tcPr>
            <w:tcW w:w="1194" w:type="dxa"/>
            <w:tcBorders>
              <w:top w:val="single" w:sz="8" w:space="0" w:color="000000"/>
              <w:bottom w:val="sing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(8,370)</w:t>
            </w:r>
          </w:p>
        </w:tc>
        <w:tc>
          <w:tcPr>
            <w:tcW w:w="14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54" w:type="dxa"/>
            <w:tcBorders>
              <w:top w:val="single" w:sz="8" w:space="0" w:color="000000"/>
              <w:bottom w:val="sing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(6,712)</w:t>
            </w:r>
          </w:p>
        </w:tc>
      </w:tr>
      <w:tr>
        <w:trPr/>
        <w:tc>
          <w:tcPr>
            <w:tcW w:w="610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Income before income taxes</w:t>
            </w:r>
          </w:p>
        </w:tc>
        <w:tc>
          <w:tcPr>
            <w:tcW w:w="1194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5,639</w:t>
            </w:r>
          </w:p>
        </w:tc>
        <w:tc>
          <w:tcPr>
            <w:tcW w:w="14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54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16,668</w:t>
            </w:r>
          </w:p>
        </w:tc>
      </w:tr>
      <w:tr>
        <w:trPr/>
        <w:tc>
          <w:tcPr>
            <w:tcW w:w="610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Income tax expense</w:t>
            </w:r>
          </w:p>
        </w:tc>
        <w:tc>
          <w:tcPr>
            <w:tcW w:w="1194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(4,470)</w:t>
            </w:r>
          </w:p>
        </w:tc>
        <w:tc>
          <w:tcPr>
            <w:tcW w:w="14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54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(5,616)</w:t>
            </w:r>
          </w:p>
        </w:tc>
      </w:tr>
      <w:tr>
        <w:trPr/>
        <w:tc>
          <w:tcPr>
            <w:tcW w:w="610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Net income</w:t>
            </w:r>
          </w:p>
        </w:tc>
        <w:tc>
          <w:tcPr>
            <w:tcW w:w="1194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$1,169</w:t>
            </w:r>
          </w:p>
        </w:tc>
        <w:tc>
          <w:tcPr>
            <w:tcW w:w="14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54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$11,052</w:t>
            </w:r>
          </w:p>
        </w:tc>
      </w:tr>
      <w:tr>
        <w:trPr/>
        <w:tc>
          <w:tcPr>
            <w:tcW w:w="610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Earnings per share:</w:t>
            </w:r>
          </w:p>
        </w:tc>
        <w:tc>
          <w:tcPr>
            <w:tcW w:w="1194" w:type="dxa"/>
            <w:tcBorders>
              <w:top w:val="doub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54" w:type="dxa"/>
            <w:tcBorders>
              <w:top w:val="doub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610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Basic</w:t>
            </w:r>
          </w:p>
        </w:tc>
        <w:tc>
          <w:tcPr>
            <w:tcW w:w="1194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$0.00</w:t>
            </w:r>
          </w:p>
        </w:tc>
        <w:tc>
          <w:tcPr>
            <w:tcW w:w="14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54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$0.03</w:t>
            </w:r>
          </w:p>
        </w:tc>
      </w:tr>
      <w:tr>
        <w:trPr/>
        <w:tc>
          <w:tcPr>
            <w:tcW w:w="610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Diluted</w:t>
            </w:r>
          </w:p>
        </w:tc>
        <w:tc>
          <w:tcPr>
            <w:tcW w:w="1194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$0.00</w:t>
            </w:r>
          </w:p>
        </w:tc>
        <w:tc>
          <w:tcPr>
            <w:tcW w:w="14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54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$0.03</w:t>
            </w:r>
          </w:p>
        </w:tc>
      </w:tr>
      <w:tr>
        <w:trPr/>
        <w:tc>
          <w:tcPr>
            <w:tcW w:w="610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Weighted average shares used in computing earnings per share:</w:t>
            </w:r>
          </w:p>
        </w:tc>
        <w:tc>
          <w:tcPr>
            <w:tcW w:w="1194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54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610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Basic</w:t>
            </w:r>
          </w:p>
        </w:tc>
        <w:tc>
          <w:tcPr>
            <w:tcW w:w="1194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340,531</w:t>
            </w:r>
          </w:p>
        </w:tc>
        <w:tc>
          <w:tcPr>
            <w:tcW w:w="14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54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379,196</w:t>
            </w:r>
          </w:p>
        </w:tc>
      </w:tr>
      <w:tr>
        <w:trPr/>
        <w:tc>
          <w:tcPr>
            <w:tcW w:w="610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Diluted</w:t>
            </w:r>
          </w:p>
        </w:tc>
        <w:tc>
          <w:tcPr>
            <w:tcW w:w="1194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341,424</w:t>
            </w:r>
          </w:p>
        </w:tc>
        <w:tc>
          <w:tcPr>
            <w:tcW w:w="14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54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379,656</w:t>
            </w:r>
          </w:p>
        </w:tc>
      </w:tr>
      <w:tr>
        <w:trPr/>
        <w:tc>
          <w:tcPr>
            <w:tcW w:w="610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94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54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610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Stock-based compensation included in costs and operating expenses:</w:t>
            </w:r>
          </w:p>
        </w:tc>
        <w:tc>
          <w:tcPr>
            <w:tcW w:w="1194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54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610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Cost of revenue</w:t>
            </w:r>
          </w:p>
        </w:tc>
        <w:tc>
          <w:tcPr>
            <w:tcW w:w="1194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$52</w:t>
            </w:r>
          </w:p>
        </w:tc>
        <w:tc>
          <w:tcPr>
            <w:tcW w:w="14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54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$100</w:t>
            </w:r>
          </w:p>
        </w:tc>
      </w:tr>
      <w:tr>
        <w:trPr/>
        <w:tc>
          <w:tcPr>
            <w:tcW w:w="610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Product development and technology</w:t>
            </w:r>
          </w:p>
        </w:tc>
        <w:tc>
          <w:tcPr>
            <w:tcW w:w="1194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4,208</w:t>
            </w:r>
          </w:p>
        </w:tc>
        <w:tc>
          <w:tcPr>
            <w:tcW w:w="14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54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5,670</w:t>
            </w:r>
          </w:p>
        </w:tc>
      </w:tr>
      <w:tr>
        <w:trPr/>
        <w:tc>
          <w:tcPr>
            <w:tcW w:w="610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Sales and marketing</w:t>
            </w:r>
          </w:p>
        </w:tc>
        <w:tc>
          <w:tcPr>
            <w:tcW w:w="1194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4,249</w:t>
            </w:r>
          </w:p>
        </w:tc>
        <w:tc>
          <w:tcPr>
            <w:tcW w:w="14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54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5,882</w:t>
            </w:r>
          </w:p>
        </w:tc>
      </w:tr>
      <w:tr>
        <w:trPr/>
        <w:tc>
          <w:tcPr>
            <w:tcW w:w="610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General and administrative</w:t>
            </w:r>
          </w:p>
        </w:tc>
        <w:tc>
          <w:tcPr>
            <w:tcW w:w="1194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8,000</w:t>
            </w:r>
          </w:p>
        </w:tc>
        <w:tc>
          <w:tcPr>
            <w:tcW w:w="14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54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7,522</w:t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/>
      </w:pPr>
      <w:r>
        <w:rPr>
          <w:rFonts w:ascii="Arial;sans-serif" w:hAnsi="Arial;sans-serif"/>
          <w:b w:val="false"/>
          <w:i/>
          <w:sz w:val="18"/>
        </w:rPr>
        <w:t>See accompanying notes to condensed consolidated financial statements</w:t>
      </w:r>
      <w:r>
        <w:rPr>
          <w:rFonts w:ascii="Arial;sans-serif" w:hAnsi="Arial;sans-serif"/>
          <w:b w:val="false"/>
          <w:i/>
          <w:sz w:val="20"/>
        </w:rPr>
        <w:t>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3</w:t>
      </w:r>
    </w:p>
    <w:p>
      <w:pPr>
        <w:pStyle w:val="TextBody"/>
        <w:bidi w:val="0"/>
        <w:spacing w:lineRule="atLeast" w:line="200" w:before="0" w:after="0"/>
        <w:jc w:val="left"/>
        <w:rPr/>
      </w:pPr>
      <w:hyperlink w:anchor="ie7567a6c939a4c249d5fb3b7378752d5_10">
        <w:r>
          <w:rPr>
            <w:rStyle w:val="InternetLink"/>
            <w:rFonts w:ascii="Arial;sans-serif" w:hAnsi="Arial;sans-serif"/>
            <w:b w:val="false"/>
            <w:i w:val="false"/>
            <w:caps w:val="false"/>
            <w:smallCaps w:val="false"/>
            <w:color w:val="0000FF"/>
            <w:sz w:val="20"/>
            <w:u w:val="single"/>
          </w:rPr>
          <w:t>Table of Contents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18"/>
        </w:rPr>
        <w:t>GoodRx Holdings, Inc.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18"/>
        </w:rPr>
        <w:t>Condensed Consolidated Statements of Stockholders’ Equity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/>
          <w:sz w:val="18"/>
        </w:rPr>
      </w:pPr>
      <w:r>
        <w:rPr>
          <w:rFonts w:ascii="Arial;sans-serif" w:hAnsi="Arial;sans-serif"/>
          <w:b w:val="false"/>
          <w:i/>
          <w:sz w:val="18"/>
        </w:rPr>
        <w:t>(Unaudited)</w:t>
      </w:r>
    </w:p>
    <w:tbl>
      <w:tblPr>
        <w:tblW w:w="9031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481"/>
        <w:gridCol w:w="807"/>
        <w:gridCol w:w="112"/>
        <w:gridCol w:w="776"/>
        <w:gridCol w:w="109"/>
        <w:gridCol w:w="1036"/>
        <w:gridCol w:w="109"/>
        <w:gridCol w:w="1201"/>
        <w:gridCol w:w="109"/>
        <w:gridCol w:w="1291"/>
      </w:tblGrid>
      <w:tr>
        <w:trPr/>
        <w:tc>
          <w:tcPr>
            <w:tcW w:w="34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95" w:type="dxa"/>
            <w:gridSpan w:val="3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Class A and Class B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Common Stock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6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Additional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 xml:space="preserve">Paid-in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 xml:space="preserve">Capital 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01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 xml:space="preserve">Accumulated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 xml:space="preserve">Deficit 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91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Total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 xml:space="preserve">Stockholders'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 xml:space="preserve">Equity </w:t>
            </w:r>
          </w:p>
        </w:tc>
      </w:tr>
      <w:tr>
        <w:trPr/>
        <w:tc>
          <w:tcPr>
            <w:tcW w:w="348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(in thousands)</w:t>
            </w:r>
          </w:p>
        </w:tc>
        <w:tc>
          <w:tcPr>
            <w:tcW w:w="807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 xml:space="preserve">Shares </w:t>
            </w:r>
          </w:p>
        </w:tc>
        <w:tc>
          <w:tcPr>
            <w:tcW w:w="112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6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Amount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6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01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91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4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Balance at December 31, 2025</w:t>
            </w:r>
          </w:p>
        </w:tc>
        <w:tc>
          <w:tcPr>
            <w:tcW w:w="807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341,052</w:t>
            </w:r>
          </w:p>
        </w:tc>
        <w:tc>
          <w:tcPr>
            <w:tcW w:w="112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6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$34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6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$2,026,802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0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$(1,410,574)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9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$616,262</w:t>
            </w:r>
          </w:p>
        </w:tc>
      </w:tr>
      <w:tr>
        <w:trPr/>
        <w:tc>
          <w:tcPr>
            <w:tcW w:w="34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Stock options exercised</w:t>
            </w:r>
          </w:p>
        </w:tc>
        <w:tc>
          <w:tcPr>
            <w:tcW w:w="807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192</w:t>
            </w:r>
          </w:p>
        </w:tc>
        <w:tc>
          <w:tcPr>
            <w:tcW w:w="112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95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0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9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95</w:t>
            </w:r>
          </w:p>
        </w:tc>
      </w:tr>
      <w:tr>
        <w:trPr/>
        <w:tc>
          <w:tcPr>
            <w:tcW w:w="34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Stock-based compensation</w:t>
            </w:r>
          </w:p>
        </w:tc>
        <w:tc>
          <w:tcPr>
            <w:tcW w:w="807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12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19,683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0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9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19,683</w:t>
            </w:r>
          </w:p>
        </w:tc>
      </w:tr>
      <w:tr>
        <w:trPr/>
        <w:tc>
          <w:tcPr>
            <w:tcW w:w="34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Vesting and settlement of restricted stock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units</w:t>
            </w:r>
          </w:p>
        </w:tc>
        <w:tc>
          <w:tcPr>
            <w:tcW w:w="807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2,965</w:t>
            </w:r>
          </w:p>
        </w:tc>
        <w:tc>
          <w:tcPr>
            <w:tcW w:w="112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0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9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</w:tr>
      <w:tr>
        <w:trPr/>
        <w:tc>
          <w:tcPr>
            <w:tcW w:w="34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Common stock withheld related to net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share settlement</w:t>
            </w:r>
          </w:p>
        </w:tc>
        <w:tc>
          <w:tcPr>
            <w:tcW w:w="807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(1,096)</w:t>
            </w:r>
          </w:p>
        </w:tc>
        <w:tc>
          <w:tcPr>
            <w:tcW w:w="112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(2,582)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0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9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(2,582)</w:t>
            </w:r>
          </w:p>
        </w:tc>
      </w:tr>
      <w:tr>
        <w:trPr/>
        <w:tc>
          <w:tcPr>
            <w:tcW w:w="34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Repurchases of Class A common stock</w:t>
            </w:r>
          </w:p>
        </w:tc>
        <w:tc>
          <w:tcPr>
            <w:tcW w:w="807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(5,536)</w:t>
            </w:r>
          </w:p>
        </w:tc>
        <w:tc>
          <w:tcPr>
            <w:tcW w:w="112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(12,641)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0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9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(12,641)</w:t>
            </w:r>
          </w:p>
        </w:tc>
      </w:tr>
      <w:tr>
        <w:trPr/>
        <w:tc>
          <w:tcPr>
            <w:tcW w:w="34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Net income</w:t>
            </w:r>
          </w:p>
        </w:tc>
        <w:tc>
          <w:tcPr>
            <w:tcW w:w="807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12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6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6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01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1,169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91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1,169</w:t>
            </w:r>
          </w:p>
        </w:tc>
      </w:tr>
      <w:tr>
        <w:trPr/>
        <w:tc>
          <w:tcPr>
            <w:tcW w:w="34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Balance at March 31, 2026</w:t>
            </w:r>
          </w:p>
        </w:tc>
        <w:tc>
          <w:tcPr>
            <w:tcW w:w="807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337,577</w:t>
            </w:r>
          </w:p>
        </w:tc>
        <w:tc>
          <w:tcPr>
            <w:tcW w:w="112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6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$34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6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$2,031,357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01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$(1,409,405)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91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$621,986</w:t>
            </w:r>
          </w:p>
        </w:tc>
      </w:tr>
    </w:tbl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/>
          <w:sz w:val="18"/>
        </w:rPr>
      </w:pPr>
      <w:r>
        <w:rPr>
          <w:rFonts w:ascii="Arial;sans-serif" w:hAnsi="Arial;sans-serif"/>
          <w:b w:val="false"/>
          <w:i/>
          <w:sz w:val="18"/>
        </w:rPr>
        <w:t>See accompanying notes to condensed consolidated financial statements.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4</w:t>
      </w:r>
    </w:p>
    <w:p>
      <w:pPr>
        <w:pStyle w:val="TextBody"/>
        <w:bidi w:val="0"/>
        <w:spacing w:lineRule="atLeast" w:line="200" w:before="0" w:after="0"/>
        <w:jc w:val="left"/>
        <w:rPr/>
      </w:pPr>
      <w:hyperlink w:anchor="ie7567a6c939a4c249d5fb3b7378752d5_10">
        <w:r>
          <w:rPr>
            <w:rStyle w:val="InternetLink"/>
            <w:rFonts w:ascii="Arial;sans-serif" w:hAnsi="Arial;sans-serif"/>
            <w:b w:val="false"/>
            <w:i w:val="false"/>
            <w:caps w:val="false"/>
            <w:smallCaps w:val="false"/>
            <w:color w:val="0000FF"/>
            <w:sz w:val="20"/>
            <w:u w:val="single"/>
          </w:rPr>
          <w:t>Table of Contents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18"/>
        </w:rPr>
        <w:t>GoodRx Holdings, Inc.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18"/>
        </w:rPr>
        <w:t>Condensed Consolidated Statements of Stockholders’ Equity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/>
          <w:sz w:val="18"/>
        </w:rPr>
      </w:pPr>
      <w:r>
        <w:rPr>
          <w:rFonts w:ascii="Arial;sans-serif" w:hAnsi="Arial;sans-serif"/>
          <w:b w:val="false"/>
          <w:i/>
          <w:sz w:val="18"/>
        </w:rPr>
        <w:t>(Unaudited)</w:t>
      </w:r>
    </w:p>
    <w:tbl>
      <w:tblPr>
        <w:tblW w:w="9046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496"/>
        <w:gridCol w:w="815"/>
        <w:gridCol w:w="111"/>
        <w:gridCol w:w="769"/>
        <w:gridCol w:w="109"/>
        <w:gridCol w:w="1036"/>
        <w:gridCol w:w="109"/>
        <w:gridCol w:w="1201"/>
        <w:gridCol w:w="109"/>
        <w:gridCol w:w="1291"/>
      </w:tblGrid>
      <w:tr>
        <w:trPr/>
        <w:tc>
          <w:tcPr>
            <w:tcW w:w="34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95" w:type="dxa"/>
            <w:gridSpan w:val="3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Class A and Class B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Common Stock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6" w:type="dxa"/>
            <w:vMerge w:val="restart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Additional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 xml:space="preserve">Paid-in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Capital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01" w:type="dxa"/>
            <w:vMerge w:val="restart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 xml:space="preserve">Accumulated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Deficit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91" w:type="dxa"/>
            <w:vMerge w:val="restart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Total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 xml:space="preserve">Stockholders'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Equity</w:t>
            </w:r>
          </w:p>
        </w:tc>
      </w:tr>
      <w:tr>
        <w:trPr/>
        <w:tc>
          <w:tcPr>
            <w:tcW w:w="349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(in thousands)</w:t>
            </w:r>
          </w:p>
        </w:tc>
        <w:tc>
          <w:tcPr>
            <w:tcW w:w="815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 xml:space="preserve">Shares </w:t>
            </w:r>
          </w:p>
        </w:tc>
        <w:tc>
          <w:tcPr>
            <w:tcW w:w="111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9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Amount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6" w:type="dxa"/>
            <w:vMerge w:val="continue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01" w:type="dxa"/>
            <w:vMerge w:val="continue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91" w:type="dxa"/>
            <w:vMerge w:val="continue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49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Balance at December 31, 2024</w:t>
            </w:r>
          </w:p>
        </w:tc>
        <w:tc>
          <w:tcPr>
            <w:tcW w:w="815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382,815</w:t>
            </w:r>
          </w:p>
        </w:tc>
        <w:tc>
          <w:tcPr>
            <w:tcW w:w="1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9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$38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6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$2,165,633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0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$(1,441,013)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9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$724,658</w:t>
            </w:r>
          </w:p>
        </w:tc>
      </w:tr>
      <w:tr>
        <w:trPr/>
        <w:tc>
          <w:tcPr>
            <w:tcW w:w="349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Stock options exercised</w:t>
            </w:r>
          </w:p>
        </w:tc>
        <w:tc>
          <w:tcPr>
            <w:tcW w:w="81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</w:t>
            </w:r>
          </w:p>
        </w:tc>
        <w:tc>
          <w:tcPr>
            <w:tcW w:w="11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0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9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</w:t>
            </w:r>
          </w:p>
        </w:tc>
      </w:tr>
      <w:tr>
        <w:trPr/>
        <w:tc>
          <w:tcPr>
            <w:tcW w:w="349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Stock-based compensation</w:t>
            </w:r>
          </w:p>
        </w:tc>
        <w:tc>
          <w:tcPr>
            <w:tcW w:w="81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23,312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0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9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23,312</w:t>
            </w:r>
          </w:p>
        </w:tc>
      </w:tr>
      <w:tr>
        <w:trPr/>
        <w:tc>
          <w:tcPr>
            <w:tcW w:w="349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Vesting and settlement of restricted stock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units</w:t>
            </w:r>
          </w:p>
        </w:tc>
        <w:tc>
          <w:tcPr>
            <w:tcW w:w="81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2,136</w:t>
            </w:r>
          </w:p>
        </w:tc>
        <w:tc>
          <w:tcPr>
            <w:tcW w:w="11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0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9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</w:tr>
      <w:tr>
        <w:trPr/>
        <w:tc>
          <w:tcPr>
            <w:tcW w:w="349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Common stock withheld related to net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share settlement</w:t>
            </w:r>
          </w:p>
        </w:tc>
        <w:tc>
          <w:tcPr>
            <w:tcW w:w="81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(802)</w:t>
            </w:r>
          </w:p>
        </w:tc>
        <w:tc>
          <w:tcPr>
            <w:tcW w:w="1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(3,757)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0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9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(3,757)</w:t>
            </w:r>
          </w:p>
        </w:tc>
      </w:tr>
      <w:tr>
        <w:trPr/>
        <w:tc>
          <w:tcPr>
            <w:tcW w:w="349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 xml:space="preserve">Repurchases of Class A common stock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2"/>
              </w:rPr>
              <w:t>(1)</w:t>
            </w:r>
          </w:p>
        </w:tc>
        <w:tc>
          <w:tcPr>
            <w:tcW w:w="81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(23,340)</w:t>
            </w:r>
          </w:p>
        </w:tc>
        <w:tc>
          <w:tcPr>
            <w:tcW w:w="11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(2)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(100,918)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0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9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(100,920)</w:t>
            </w:r>
          </w:p>
        </w:tc>
      </w:tr>
      <w:tr>
        <w:trPr/>
        <w:tc>
          <w:tcPr>
            <w:tcW w:w="349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Net income</w:t>
            </w:r>
          </w:p>
        </w:tc>
        <w:tc>
          <w:tcPr>
            <w:tcW w:w="815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9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6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01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11,052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91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11,052</w:t>
            </w:r>
          </w:p>
        </w:tc>
      </w:tr>
      <w:tr>
        <w:trPr/>
        <w:tc>
          <w:tcPr>
            <w:tcW w:w="349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Balance at March 31, 2025</w:t>
            </w:r>
          </w:p>
        </w:tc>
        <w:tc>
          <w:tcPr>
            <w:tcW w:w="815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360,813</w:t>
            </w:r>
          </w:p>
        </w:tc>
        <w:tc>
          <w:tcPr>
            <w:tcW w:w="11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9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$36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6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$2,084,272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01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$(1,429,961)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91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$654,347</w:t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/>
          <w:sz w:val="18"/>
        </w:rPr>
      </w:pPr>
      <w:r>
        <w:rPr>
          <w:rFonts w:ascii="Arial;sans-serif" w:hAnsi="Arial;sans-serif"/>
          <w:b w:val="false"/>
          <w:i/>
          <w:sz w:val="18"/>
        </w:rPr>
        <w:t>See accompanying notes to condensed consolidated financial statements.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>_____________________________________________________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(1)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Repurchases of Class A common stock for the three months ended March 31, 2025 include 20.0 million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shares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repurchased from related parties (after giving effect to the automatic conversion of Class B common stock to Class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 common stock upon such repurchase) for an aggregate consideration of $84.9 million. See "Note 9.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Stockholders' Equity" for additional information.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5</w:t>
      </w:r>
    </w:p>
    <w:p>
      <w:pPr>
        <w:pStyle w:val="TextBody"/>
        <w:bidi w:val="0"/>
        <w:spacing w:lineRule="atLeast" w:line="200" w:before="0" w:after="0"/>
        <w:jc w:val="left"/>
        <w:rPr/>
      </w:pPr>
      <w:hyperlink w:anchor="ie7567a6c939a4c249d5fb3b7378752d5_10">
        <w:r>
          <w:rPr>
            <w:rStyle w:val="InternetLink"/>
            <w:rFonts w:ascii="Arial;sans-serif" w:hAnsi="Arial;sans-serif"/>
            <w:b w:val="false"/>
            <w:i w:val="false"/>
            <w:caps w:val="false"/>
            <w:smallCaps w:val="false"/>
            <w:color w:val="0000FF"/>
            <w:sz w:val="20"/>
            <w:u w:val="single"/>
          </w:rPr>
          <w:t>Table of Contents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18"/>
        </w:rPr>
        <w:t>GoodRx Holdings, Inc.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18"/>
        </w:rPr>
        <w:t>Condensed Consolidated Statements of Cash Flows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/>
          <w:sz w:val="18"/>
        </w:rPr>
      </w:pPr>
      <w:r>
        <w:rPr>
          <w:rFonts w:ascii="Arial;sans-serif" w:hAnsi="Arial;sans-serif"/>
          <w:b w:val="false"/>
          <w:i/>
          <w:sz w:val="18"/>
        </w:rPr>
        <w:t>(Unaudited)</w:t>
      </w:r>
    </w:p>
    <w:tbl>
      <w:tblPr>
        <w:tblW w:w="9120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526"/>
        <w:gridCol w:w="1195"/>
        <w:gridCol w:w="144"/>
        <w:gridCol w:w="1255"/>
      </w:tblGrid>
      <w:tr>
        <w:trPr/>
        <w:tc>
          <w:tcPr>
            <w:tcW w:w="65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9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5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65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94" w:type="dxa"/>
            <w:gridSpan w:val="3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Three Months Ended March 31,</w:t>
            </w:r>
          </w:p>
        </w:tc>
      </w:tr>
      <w:tr>
        <w:trPr/>
        <w:tc>
          <w:tcPr>
            <w:tcW w:w="652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(in thousands)</w:t>
            </w:r>
          </w:p>
        </w:tc>
        <w:tc>
          <w:tcPr>
            <w:tcW w:w="1195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2026</w:t>
            </w:r>
          </w:p>
        </w:tc>
        <w:tc>
          <w:tcPr>
            <w:tcW w:w="144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55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2025</w:t>
            </w:r>
          </w:p>
        </w:tc>
      </w:tr>
      <w:tr>
        <w:trPr/>
        <w:tc>
          <w:tcPr>
            <w:tcW w:w="65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Cash flows from operating activities</w:t>
            </w:r>
          </w:p>
        </w:tc>
        <w:tc>
          <w:tcPr>
            <w:tcW w:w="1195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4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55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652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Net income</w:t>
            </w:r>
          </w:p>
        </w:tc>
        <w:tc>
          <w:tcPr>
            <w:tcW w:w="119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$1,169</w:t>
            </w:r>
          </w:p>
        </w:tc>
        <w:tc>
          <w:tcPr>
            <w:tcW w:w="144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5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$11,052</w:t>
            </w:r>
          </w:p>
        </w:tc>
      </w:tr>
      <w:tr>
        <w:trPr/>
        <w:tc>
          <w:tcPr>
            <w:tcW w:w="65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Adjustments to reconcile net income to net cash provided by operating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activities:</w:t>
            </w:r>
          </w:p>
        </w:tc>
        <w:tc>
          <w:tcPr>
            <w:tcW w:w="119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4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5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652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Depreciation and amortization</w:t>
            </w:r>
          </w:p>
        </w:tc>
        <w:tc>
          <w:tcPr>
            <w:tcW w:w="119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21,792</w:t>
            </w:r>
          </w:p>
        </w:tc>
        <w:tc>
          <w:tcPr>
            <w:tcW w:w="144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5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20,912</w:t>
            </w:r>
          </w:p>
        </w:tc>
      </w:tr>
      <w:tr>
        <w:trPr/>
        <w:tc>
          <w:tcPr>
            <w:tcW w:w="65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Amortization of debt issuance costs and discounts</w:t>
            </w:r>
          </w:p>
        </w:tc>
        <w:tc>
          <w:tcPr>
            <w:tcW w:w="119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462</w:t>
            </w:r>
          </w:p>
        </w:tc>
        <w:tc>
          <w:tcPr>
            <w:tcW w:w="144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5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430</w:t>
            </w:r>
          </w:p>
        </w:tc>
      </w:tr>
      <w:tr>
        <w:trPr/>
        <w:tc>
          <w:tcPr>
            <w:tcW w:w="652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Non-cash operating lease expense</w:t>
            </w:r>
          </w:p>
        </w:tc>
        <w:tc>
          <w:tcPr>
            <w:tcW w:w="119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925</w:t>
            </w:r>
          </w:p>
        </w:tc>
        <w:tc>
          <w:tcPr>
            <w:tcW w:w="144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5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1,086</w:t>
            </w:r>
          </w:p>
        </w:tc>
      </w:tr>
      <w:tr>
        <w:trPr/>
        <w:tc>
          <w:tcPr>
            <w:tcW w:w="65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Stock-based compensation expense</w:t>
            </w:r>
          </w:p>
        </w:tc>
        <w:tc>
          <w:tcPr>
            <w:tcW w:w="119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16,509</w:t>
            </w:r>
          </w:p>
        </w:tc>
        <w:tc>
          <w:tcPr>
            <w:tcW w:w="144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5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19,174</w:t>
            </w:r>
          </w:p>
        </w:tc>
      </w:tr>
      <w:tr>
        <w:trPr/>
        <w:tc>
          <w:tcPr>
            <w:tcW w:w="652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Deferred income taxes</w:t>
            </w:r>
          </w:p>
        </w:tc>
        <w:tc>
          <w:tcPr>
            <w:tcW w:w="119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4,069</w:t>
            </w:r>
          </w:p>
        </w:tc>
        <w:tc>
          <w:tcPr>
            <w:tcW w:w="144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5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</w:tr>
      <w:tr>
        <w:trPr/>
        <w:tc>
          <w:tcPr>
            <w:tcW w:w="65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Loss on operating lease asset</w:t>
            </w:r>
          </w:p>
        </w:tc>
        <w:tc>
          <w:tcPr>
            <w:tcW w:w="119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44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5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4,409</w:t>
            </w:r>
          </w:p>
        </w:tc>
      </w:tr>
      <w:tr>
        <w:trPr/>
        <w:tc>
          <w:tcPr>
            <w:tcW w:w="652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Other</w:t>
            </w:r>
          </w:p>
        </w:tc>
        <w:tc>
          <w:tcPr>
            <w:tcW w:w="119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798</w:t>
            </w:r>
          </w:p>
        </w:tc>
        <w:tc>
          <w:tcPr>
            <w:tcW w:w="144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5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286</w:t>
            </w:r>
          </w:p>
        </w:tc>
      </w:tr>
      <w:tr>
        <w:trPr/>
        <w:tc>
          <w:tcPr>
            <w:tcW w:w="65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Changes in operating assets and liabilities:</w:t>
            </w:r>
          </w:p>
        </w:tc>
        <w:tc>
          <w:tcPr>
            <w:tcW w:w="119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4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5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652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Accounts receivable</w:t>
            </w:r>
          </w:p>
        </w:tc>
        <w:tc>
          <w:tcPr>
            <w:tcW w:w="119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3,025</w:t>
            </w:r>
          </w:p>
        </w:tc>
        <w:tc>
          <w:tcPr>
            <w:tcW w:w="144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5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(14,183)</w:t>
            </w:r>
          </w:p>
        </w:tc>
      </w:tr>
      <w:tr>
        <w:trPr/>
        <w:tc>
          <w:tcPr>
            <w:tcW w:w="65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 xml:space="preserve">Prescription reimbursement assets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2"/>
              </w:rPr>
              <w:t>(1)</w:t>
            </w:r>
          </w:p>
        </w:tc>
        <w:tc>
          <w:tcPr>
            <w:tcW w:w="119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(655,199)</w:t>
            </w:r>
          </w:p>
        </w:tc>
        <w:tc>
          <w:tcPr>
            <w:tcW w:w="144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5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(14,391)</w:t>
            </w:r>
          </w:p>
        </w:tc>
      </w:tr>
      <w:tr>
        <w:trPr/>
        <w:tc>
          <w:tcPr>
            <w:tcW w:w="652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 xml:space="preserve">Prepaid expenses and other assets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2"/>
              </w:rPr>
              <w:t>(1)</w:t>
            </w:r>
          </w:p>
        </w:tc>
        <w:tc>
          <w:tcPr>
            <w:tcW w:w="119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2,177</w:t>
            </w:r>
          </w:p>
        </w:tc>
        <w:tc>
          <w:tcPr>
            <w:tcW w:w="144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5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904</w:t>
            </w:r>
          </w:p>
        </w:tc>
      </w:tr>
      <w:tr>
        <w:trPr/>
        <w:tc>
          <w:tcPr>
            <w:tcW w:w="65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Accounts payable</w:t>
            </w:r>
          </w:p>
        </w:tc>
        <w:tc>
          <w:tcPr>
            <w:tcW w:w="119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(4,945)</w:t>
            </w:r>
          </w:p>
        </w:tc>
        <w:tc>
          <w:tcPr>
            <w:tcW w:w="144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5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286</w:t>
            </w:r>
          </w:p>
        </w:tc>
      </w:tr>
      <w:tr>
        <w:trPr/>
        <w:tc>
          <w:tcPr>
            <w:tcW w:w="652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 xml:space="preserve">Prescription reimbursement liabilities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2"/>
              </w:rPr>
              <w:t>(1)</w:t>
            </w:r>
          </w:p>
        </w:tc>
        <w:tc>
          <w:tcPr>
            <w:tcW w:w="119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620,839</w:t>
            </w:r>
          </w:p>
        </w:tc>
        <w:tc>
          <w:tcPr>
            <w:tcW w:w="144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5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(8,520)</w:t>
            </w:r>
          </w:p>
        </w:tc>
      </w:tr>
      <w:tr>
        <w:trPr/>
        <w:tc>
          <w:tcPr>
            <w:tcW w:w="65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 xml:space="preserve">Accrued expenses and other current liabilities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2"/>
              </w:rPr>
              <w:t>(1)</w:t>
            </w:r>
          </w:p>
        </w:tc>
        <w:tc>
          <w:tcPr>
            <w:tcW w:w="119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1,744</w:t>
            </w:r>
          </w:p>
        </w:tc>
        <w:tc>
          <w:tcPr>
            <w:tcW w:w="144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5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(10,559)</w:t>
            </w:r>
          </w:p>
        </w:tc>
      </w:tr>
      <w:tr>
        <w:trPr/>
        <w:tc>
          <w:tcPr>
            <w:tcW w:w="652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Operating lease liabilities</w:t>
            </w:r>
          </w:p>
        </w:tc>
        <w:tc>
          <w:tcPr>
            <w:tcW w:w="119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(1,478)</w:t>
            </w:r>
          </w:p>
        </w:tc>
        <w:tc>
          <w:tcPr>
            <w:tcW w:w="144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5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(1,628)</w:t>
            </w:r>
          </w:p>
        </w:tc>
      </w:tr>
      <w:tr>
        <w:trPr/>
        <w:tc>
          <w:tcPr>
            <w:tcW w:w="65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Other liabilities</w:t>
            </w:r>
          </w:p>
        </w:tc>
        <w:tc>
          <w:tcPr>
            <w:tcW w:w="1195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(49)</w:t>
            </w:r>
          </w:p>
        </w:tc>
        <w:tc>
          <w:tcPr>
            <w:tcW w:w="144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55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155</w:t>
            </w:r>
          </w:p>
        </w:tc>
      </w:tr>
      <w:tr>
        <w:trPr/>
        <w:tc>
          <w:tcPr>
            <w:tcW w:w="652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Net cash provided by operating activities</w:t>
            </w:r>
          </w:p>
        </w:tc>
        <w:tc>
          <w:tcPr>
            <w:tcW w:w="1195" w:type="dxa"/>
            <w:tcBorders>
              <w:top w:val="single" w:sz="8" w:space="0" w:color="000000"/>
              <w:bottom w:val="sing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11,838</w:t>
            </w:r>
          </w:p>
        </w:tc>
        <w:tc>
          <w:tcPr>
            <w:tcW w:w="144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55" w:type="dxa"/>
            <w:tcBorders>
              <w:top w:val="single" w:sz="8" w:space="0" w:color="000000"/>
              <w:bottom w:val="sing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9,413</w:t>
            </w:r>
          </w:p>
        </w:tc>
      </w:tr>
      <w:tr>
        <w:trPr/>
        <w:tc>
          <w:tcPr>
            <w:tcW w:w="65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Cash flows from investing activities</w:t>
            </w:r>
          </w:p>
        </w:tc>
        <w:tc>
          <w:tcPr>
            <w:tcW w:w="1195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4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55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652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Purchase of property and equipment</w:t>
            </w:r>
          </w:p>
        </w:tc>
        <w:tc>
          <w:tcPr>
            <w:tcW w:w="119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(1,136)</w:t>
            </w:r>
          </w:p>
        </w:tc>
        <w:tc>
          <w:tcPr>
            <w:tcW w:w="144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5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(142)</w:t>
            </w:r>
          </w:p>
        </w:tc>
      </w:tr>
      <w:tr>
        <w:trPr/>
        <w:tc>
          <w:tcPr>
            <w:tcW w:w="65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Acquisition</w:t>
            </w:r>
          </w:p>
        </w:tc>
        <w:tc>
          <w:tcPr>
            <w:tcW w:w="119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44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5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(30,000)</w:t>
            </w:r>
          </w:p>
        </w:tc>
      </w:tr>
      <w:tr>
        <w:trPr/>
        <w:tc>
          <w:tcPr>
            <w:tcW w:w="652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Capitalized software</w:t>
            </w:r>
          </w:p>
        </w:tc>
        <w:tc>
          <w:tcPr>
            <w:tcW w:w="1195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(20,508)</w:t>
            </w:r>
          </w:p>
        </w:tc>
        <w:tc>
          <w:tcPr>
            <w:tcW w:w="144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55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(21,734)</w:t>
            </w:r>
          </w:p>
        </w:tc>
      </w:tr>
      <w:tr>
        <w:trPr/>
        <w:tc>
          <w:tcPr>
            <w:tcW w:w="65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Net cash used in investing activities</w:t>
            </w:r>
          </w:p>
        </w:tc>
        <w:tc>
          <w:tcPr>
            <w:tcW w:w="1195" w:type="dxa"/>
            <w:tcBorders>
              <w:top w:val="single" w:sz="8" w:space="0" w:color="000000"/>
              <w:bottom w:val="sing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(21,644)</w:t>
            </w:r>
          </w:p>
        </w:tc>
        <w:tc>
          <w:tcPr>
            <w:tcW w:w="144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55" w:type="dxa"/>
            <w:tcBorders>
              <w:top w:val="single" w:sz="8" w:space="0" w:color="000000"/>
              <w:bottom w:val="sing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(51,876)</w:t>
            </w:r>
          </w:p>
        </w:tc>
      </w:tr>
      <w:tr>
        <w:trPr/>
        <w:tc>
          <w:tcPr>
            <w:tcW w:w="652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Cash flows from financing activities</w:t>
            </w:r>
          </w:p>
        </w:tc>
        <w:tc>
          <w:tcPr>
            <w:tcW w:w="1195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4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55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65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Payments on long-term debt</w:t>
            </w:r>
          </w:p>
        </w:tc>
        <w:tc>
          <w:tcPr>
            <w:tcW w:w="119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(1,250)</w:t>
            </w:r>
          </w:p>
        </w:tc>
        <w:tc>
          <w:tcPr>
            <w:tcW w:w="144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5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(1,250)</w:t>
            </w:r>
          </w:p>
        </w:tc>
      </w:tr>
      <w:tr>
        <w:trPr/>
        <w:tc>
          <w:tcPr>
            <w:tcW w:w="652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 xml:space="preserve">Repurchases of Class A common stock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2"/>
              </w:rPr>
              <w:t>(2)</w:t>
            </w:r>
          </w:p>
        </w:tc>
        <w:tc>
          <w:tcPr>
            <w:tcW w:w="119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(12,567)</w:t>
            </w:r>
          </w:p>
        </w:tc>
        <w:tc>
          <w:tcPr>
            <w:tcW w:w="144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5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(99,897)</w:t>
            </w:r>
          </w:p>
        </w:tc>
      </w:tr>
      <w:tr>
        <w:trPr/>
        <w:tc>
          <w:tcPr>
            <w:tcW w:w="65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Proceeds from exercise of stock options</w:t>
            </w:r>
          </w:p>
        </w:tc>
        <w:tc>
          <w:tcPr>
            <w:tcW w:w="119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95</w:t>
            </w:r>
          </w:p>
        </w:tc>
        <w:tc>
          <w:tcPr>
            <w:tcW w:w="144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5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</w:t>
            </w:r>
          </w:p>
        </w:tc>
      </w:tr>
      <w:tr>
        <w:trPr/>
        <w:tc>
          <w:tcPr>
            <w:tcW w:w="652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Employee taxes paid related to net share settlement of equity awards</w:t>
            </w:r>
          </w:p>
        </w:tc>
        <w:tc>
          <w:tcPr>
            <w:tcW w:w="1195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(2,582)</w:t>
            </w:r>
          </w:p>
        </w:tc>
        <w:tc>
          <w:tcPr>
            <w:tcW w:w="144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55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(3,757)</w:t>
            </w:r>
          </w:p>
        </w:tc>
      </w:tr>
      <w:tr>
        <w:trPr/>
        <w:tc>
          <w:tcPr>
            <w:tcW w:w="65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Net cash used in financing activities</w:t>
            </w:r>
          </w:p>
        </w:tc>
        <w:tc>
          <w:tcPr>
            <w:tcW w:w="1195" w:type="dxa"/>
            <w:tcBorders>
              <w:top w:val="single" w:sz="8" w:space="0" w:color="000000"/>
              <w:bottom w:val="sing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(16,304)</w:t>
            </w:r>
          </w:p>
        </w:tc>
        <w:tc>
          <w:tcPr>
            <w:tcW w:w="144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55" w:type="dxa"/>
            <w:tcBorders>
              <w:top w:val="single" w:sz="8" w:space="0" w:color="000000"/>
              <w:bottom w:val="sing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(104,902)</w:t>
            </w:r>
          </w:p>
        </w:tc>
      </w:tr>
      <w:tr>
        <w:trPr/>
        <w:tc>
          <w:tcPr>
            <w:tcW w:w="652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Net change in cash and cash equivalents</w:t>
            </w:r>
          </w:p>
        </w:tc>
        <w:tc>
          <w:tcPr>
            <w:tcW w:w="1195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(26,110)</w:t>
            </w:r>
          </w:p>
        </w:tc>
        <w:tc>
          <w:tcPr>
            <w:tcW w:w="144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55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(147,365)</w:t>
            </w:r>
          </w:p>
        </w:tc>
      </w:tr>
      <w:tr>
        <w:trPr/>
        <w:tc>
          <w:tcPr>
            <w:tcW w:w="65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Cash and cash equivalents</w:t>
            </w:r>
          </w:p>
        </w:tc>
        <w:tc>
          <w:tcPr>
            <w:tcW w:w="119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4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5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652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Beginning of period</w:t>
            </w:r>
          </w:p>
        </w:tc>
        <w:tc>
          <w:tcPr>
            <w:tcW w:w="1195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261,820</w:t>
            </w:r>
          </w:p>
        </w:tc>
        <w:tc>
          <w:tcPr>
            <w:tcW w:w="144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55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448,346</w:t>
            </w:r>
          </w:p>
        </w:tc>
      </w:tr>
      <w:tr>
        <w:trPr/>
        <w:tc>
          <w:tcPr>
            <w:tcW w:w="65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End of period</w:t>
            </w:r>
          </w:p>
        </w:tc>
        <w:tc>
          <w:tcPr>
            <w:tcW w:w="1195" w:type="dxa"/>
            <w:tcBorders>
              <w:top w:val="sing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$235,710</w:t>
            </w:r>
          </w:p>
        </w:tc>
        <w:tc>
          <w:tcPr>
            <w:tcW w:w="144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55" w:type="dxa"/>
            <w:tcBorders>
              <w:top w:val="sing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$300,981</w:t>
            </w:r>
          </w:p>
        </w:tc>
      </w:tr>
      <w:tr>
        <w:trPr/>
        <w:tc>
          <w:tcPr>
            <w:tcW w:w="652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Supplemental disclosure of cash flow information</w:t>
            </w:r>
          </w:p>
        </w:tc>
        <w:tc>
          <w:tcPr>
            <w:tcW w:w="1195" w:type="dxa"/>
            <w:tcBorders>
              <w:top w:val="doub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4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55" w:type="dxa"/>
            <w:tcBorders>
              <w:top w:val="doub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65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Non cash investing and financing activities:</w:t>
            </w:r>
          </w:p>
        </w:tc>
        <w:tc>
          <w:tcPr>
            <w:tcW w:w="119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4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5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652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Stock-based compensation included in capitalized software</w:t>
            </w:r>
          </w:p>
        </w:tc>
        <w:tc>
          <w:tcPr>
            <w:tcW w:w="119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$3,174</w:t>
            </w:r>
          </w:p>
        </w:tc>
        <w:tc>
          <w:tcPr>
            <w:tcW w:w="144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5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$4,138</w:t>
            </w:r>
          </w:p>
        </w:tc>
      </w:tr>
      <w:tr>
        <w:trPr/>
        <w:tc>
          <w:tcPr>
            <w:tcW w:w="65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Capitalized software included in accounts payable and accrued expenses and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other current liabilities</w:t>
            </w:r>
          </w:p>
        </w:tc>
        <w:tc>
          <w:tcPr>
            <w:tcW w:w="119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3,806</w:t>
            </w:r>
          </w:p>
        </w:tc>
        <w:tc>
          <w:tcPr>
            <w:tcW w:w="144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5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5,311</w:t>
            </w:r>
          </w:p>
        </w:tc>
      </w:tr>
    </w:tbl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/>
          <w:sz w:val="18"/>
        </w:rPr>
      </w:pPr>
      <w:r>
        <w:rPr>
          <w:rFonts w:ascii="Arial;sans-serif" w:hAnsi="Arial;sans-serif"/>
          <w:b w:val="false"/>
          <w:i/>
          <w:sz w:val="18"/>
        </w:rPr>
        <w:t>See accompanying notes to condensed consolidated financial statements.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6</w:t>
      </w:r>
    </w:p>
    <w:p>
      <w:pPr>
        <w:pStyle w:val="TextBody"/>
        <w:bidi w:val="0"/>
        <w:spacing w:lineRule="atLeast" w:line="200" w:before="0" w:after="0"/>
        <w:jc w:val="left"/>
        <w:rPr/>
      </w:pPr>
      <w:hyperlink w:anchor="ie7567a6c939a4c249d5fb3b7378752d5_10">
        <w:r>
          <w:rPr>
            <w:rStyle w:val="InternetLink"/>
            <w:rFonts w:ascii="Arial;sans-serif" w:hAnsi="Arial;sans-serif"/>
            <w:b w:val="false"/>
            <w:i w:val="false"/>
            <w:caps w:val="false"/>
            <w:smallCaps w:val="false"/>
            <w:color w:val="0000FF"/>
            <w:sz w:val="20"/>
            <w:u w:val="single"/>
          </w:rPr>
          <w:t>Table of Contents</w:t>
        </w:r>
      </w:hyperlink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>_____________________________________________________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(1)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Prior to December 31, 2025, prescription reimbursement assets were presented as a component of prepaid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expenses and other current assets, and prescription reimbursement liabilities as a component of accrued expenses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and other current liabilities. Prior period amounts have been reclassified to conform to the current period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presentation. These reclassifications had no impact on previously reported cash flows provided by operating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activities.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(2)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Repurchases of Class A common stock for the three months ended March 31, 2025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include 20.0 million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shares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repurchased from related parties (after giving effect to the automatic conversion of Class B common stock to Class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 common stock upon such repurchase) for an aggregate consideration of $84.9 million. See "Note 9.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Stockholders' Equity" for additional information.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7</w:t>
      </w:r>
    </w:p>
    <w:p>
      <w:pPr>
        <w:pStyle w:val="TextBody"/>
        <w:bidi w:val="0"/>
        <w:spacing w:lineRule="atLeast" w:line="200" w:before="0" w:after="0"/>
        <w:jc w:val="left"/>
        <w:rPr/>
      </w:pPr>
      <w:hyperlink w:anchor="ie7567a6c939a4c249d5fb3b7378752d5_10">
        <w:r>
          <w:rPr>
            <w:rStyle w:val="InternetLink"/>
            <w:rFonts w:ascii="Arial;sans-serif" w:hAnsi="Arial;sans-serif"/>
            <w:b w:val="false"/>
            <w:i w:val="false"/>
            <w:caps w:val="false"/>
            <w:smallCaps w:val="false"/>
            <w:color w:val="0000FF"/>
            <w:sz w:val="20"/>
            <w:u w:val="single"/>
          </w:rPr>
          <w:t>Table of Contents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18"/>
        </w:rPr>
        <w:t>GoodRx Holdings, Inc.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18"/>
        </w:rPr>
        <w:t>Notes to Condensed Consolidated Financial Statements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/>
          <w:sz w:val="18"/>
        </w:rPr>
      </w:pPr>
      <w:r>
        <w:rPr>
          <w:rFonts w:ascii="Arial;sans-serif" w:hAnsi="Arial;sans-serif"/>
          <w:b w:val="false"/>
          <w:i/>
          <w:sz w:val="18"/>
        </w:rPr>
        <w:t>(Unaudited)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1</w:t>
      </w:r>
      <w:r>
        <w:rPr>
          <w:rFonts w:ascii="Arial;sans-serif" w:hAnsi="Arial;sans-serif"/>
          <w:b/>
          <w:i w:val="false"/>
          <w:caps w:val="false"/>
          <w:smallCaps w:val="false"/>
          <w:sz w:val="18"/>
          <w:u w:val="single"/>
        </w:rPr>
        <w:t xml:space="preserve">. 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Description of Business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GoodRx Holdings, Inc. was incorporated in September 2015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and has no material assets or standalone operations other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than its ownership in its consolidated subsidiaries. GoodRx, Inc. ("GoodRx"), a Delaware corporation initially formed in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September 2011, is a wholly-owned subsidiary of GoodRx Intermediate Holdings, LLC, which itself is a wholly-owned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subsidiary of GoodRx Holdings, Inc.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GoodRx Holdings, Inc. and its subsidiaries (collectively, "we," "us" or "our") offer information and tools to help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consumers compare prices and save on their prescription drug purchases. We operate a price comparison platform that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provides consumers with curated, geographically relevant prescription pricing, and provides access to negotiated prices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through our codes that can be used to save money on prescriptions across the United States (the "prescription transactions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offering"). We also offer other healthcare products and services, including subscription programs, solutions for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pharmaceutical manufacturers and other customers, referred to as GoodRx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Pharma Direct ("Pharma Direct"),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and telehealth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services.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2</w:t>
      </w:r>
      <w:r>
        <w:rPr>
          <w:rFonts w:ascii="Arial;sans-serif" w:hAnsi="Arial;sans-serif"/>
          <w:b/>
          <w:i w:val="false"/>
          <w:caps w:val="false"/>
          <w:smallCaps w:val="false"/>
          <w:sz w:val="18"/>
          <w:u w:val="single"/>
        </w:rPr>
        <w:t xml:space="preserve">. 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Summary of Significant Accounting Policies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Basis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of Presentation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accompanying unaudited condensed consolidated financial statements have been prepared in conformity with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accounting principles generally accepted in the United States (“GAAP”) and applicable rules and regulations of the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Securities and Exchange Commission (“SEC”) regarding interim financial information. Certain information and disclosures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normally included in our annual consolidated financial statements prepared in accordance with GAAP have been condensed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or omitted. Accordingly, these condensed consolidated financial statements should be read in conjunction with our audited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consolidated financial statements for the year ended December 31, 2025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and the related notes, which are included in our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Annual Report on Form 10-K filed with the SEC on February 26, 2026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("2025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10-K"). The December 31, 2025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condensed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consolidated balance sheet was derived from our audited consolidated financial statements as of that date. The condensed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consolidated financial statements include, in the opinion of management, all adjustments, consisting of normal and recurring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items, necessary for the fair statement of our condensed consolidated financial statements. The operating results for the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three months ended March 31, 2026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are not necessarily indicative of the results expected for the full year ending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December 31, 2026.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There have been no material changes in significant accounting policies during the three months ended March 31, 2026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from those disclosed in “Note 2. Summary of Significant Accounting Policies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”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in the notes to our consolidated financial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statements included in our 2025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10-K.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Principles of Consolidation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condensed consolidated financial statements include the accounts of GoodRx Holdings, Inc., its wholly owned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subsidiaries and variable interest entities for which we are the primary beneficiary. Intercompany balances and transactions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have been eliminated in consolidation. Results of businesses acquired are included in our condensed consolidated financial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statements from their respective dates of acquisition.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Segment Reporting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Operating segments are defined as components of an enterprise for which separate financial information is available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that is regularly provided to the chief operating decision maker ("CODM") in deciding how to allocate resources and in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assessing performance. Our CODM manages our business on the basis of one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operating segment.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Our operating segment derives revenue in a manner as described in "Note 2. Summary of Significant Accounting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Policies" in the notes to our consolidated financial statements included in our 2025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10-K. Our CODM is our principal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executive officer, who is our Chief Executive Officer and President. Consolidated net income or loss is the measure of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segment profit or loss reviewed by our CODM in assessing segment performance and deciding how to allocate resources.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Our CODM uses consolidated net income or loss to monitor budget versus actual results, review historical company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performance trends, conduct benchmark analysis of our peers and competitors, and evaluate management’s compensation.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Significant expenses included in the reported measure of segment profit or loss regularly provided to our CODM are on a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consolidated basis as presented in the accompanying condensed consolidated statements of operations.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8</w:t>
      </w:r>
    </w:p>
    <w:p>
      <w:pPr>
        <w:pStyle w:val="TextBody"/>
        <w:bidi w:val="0"/>
        <w:spacing w:lineRule="atLeast" w:line="200" w:before="0" w:after="0"/>
        <w:jc w:val="left"/>
        <w:rPr/>
      </w:pPr>
      <w:hyperlink w:anchor="ie7567a6c939a4c249d5fb3b7378752d5_10">
        <w:r>
          <w:rPr>
            <w:rStyle w:val="InternetLink"/>
            <w:rFonts w:ascii="Arial;sans-serif" w:hAnsi="Arial;sans-serif"/>
            <w:b w:val="false"/>
            <w:i w:val="false"/>
            <w:caps w:val="false"/>
            <w:smallCaps w:val="false"/>
            <w:color w:val="0000FF"/>
            <w:sz w:val="20"/>
            <w:u w:val="single"/>
          </w:rPr>
          <w:t>Table of Contents</w:t>
        </w:r>
      </w:hyperlink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Use of Estimates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preparation of the condensed consolidated financial statements in conformity with GAAP requires management to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make estimates and assumptions that affect the amounts reported in the condensed consolidated financial statements,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including the accompanying notes. We base our estimates on historical factors; current circumstances; macroeconomic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events and conditions; and the experience and judgment of our management. We evaluate our estimates and assumptions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on an ongoing basis. Actual results can differ materially from these estimates, and such differences can affect the results of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operations reported in future periods.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Certain Risks and Concentrations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Financial instruments that potentially subject us to significant concentrations of credit risk consist principally of cash,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cash equivalents and accounts receivable.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We maintain cash deposits with multiple financial institutions in the United States which, at times, may exceed federally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insured limits. Cash may be withdrawn or redeemed on demand. We believe that the financial institutions that hold our cash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are financially sound and, accordingly, minimal credit risk exists with respect to these balances. However, market conditions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can impact the viability of these institutions. In the event of failure of any of the financial institutions where we maintain our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cash and cash equivalents, there can be no assurance that we will be able to access uninsured funds in a timely manner or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at all. We have not experienced any losses in such accounts.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We consider all short-term, highly liquid investments purchased with an original maturity of three months or less at the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date of purchase to be cash equivalents. Cash equivalents, consisting of U.S. treasury securities money market funds, of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$164.0 million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at March 31, 2026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and December 31, 2025, were classified as Level 1 of the fair value hierarchy and valued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using quoted market prices in active markets.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We extend credit to our customers based on an evaluation of their ability to pay amounts due under contractual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arrangements and generally do not obtain or require collateral.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For the three months ended March 31, 2026, no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customer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accounted for more than 10%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of our revenue. For the three months ended March 31, 2025, one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customer accounted for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13%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of our revenue. At March 31, 2026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and December 31, 2025, no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customer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accounted for more than 10%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of our accounts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receivable balance.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Prescription Reimbursement Assets and Prescription Reimbursement Liabilities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Consumer direct pricing is an affordability solution under our pharma direct offering that allows pharma manufacturers to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use our platform to set and fund a portion of the consumer cash price for their prescription drugs at the point of sale. We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generally require deposits from pharma manufacturers which are included as a component of prescription reimbursement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liabilities on our condensed consolidated balance sheets and shall not be offset against other amounts owed to us. We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generally invoice pharma manufacturers for the funded amounts a month in arrears and payment is generally due within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thirty days of invoicing. Funded amounts owed to us are presented as a component of prescription reimbursement assets 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our condensed consolidated balance sheets.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We remit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reimbursements of the funded amounts to pharmacies, or intermediaries. Funded amounts owed to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pharmacies, or intermediaries, are presented as a component of prescription reimbursement liabilities on our consolidated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balance sheets. Pharmacies, or intermediaries, may also require deposits from us. These deposits are included as a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component of prescription reimbursement assets on our condensed consolidated balance sheets and shall not be offset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against other amounts owed to them. At March 31, 2026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and December 31, 2025, a majority of our prescription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reimbursement assets were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with two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counterparties.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Equity Investments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We retain minority equity interests in privately-held companies without readily determinable fair values. Our ownership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interests are less than 20%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of the voting stock of the investees and we do not have the ability to exercise significant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influence over the operating and financial policies of the investees. The equity investments are accounted for under the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measurement alternative in accordance with Accounting Standards Codification ("ASC") 321, </w:t>
      </w:r>
      <w:r>
        <w:rPr>
          <w:rFonts w:ascii="Arial;sans-serif" w:hAnsi="Arial;sans-serif"/>
          <w:b w:val="false"/>
          <w:i/>
          <w:strike w:val="false"/>
          <w:dstrike w:val="false"/>
          <w:sz w:val="18"/>
          <w:u w:val="none"/>
          <w:effect w:val="none"/>
        </w:rPr>
        <w:t>Investments – Equity</w:t>
      </w:r>
      <w:r>
        <w:rPr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/>
          <w:strike w:val="false"/>
          <w:dstrike w:val="false"/>
          <w:sz w:val="18"/>
          <w:u w:val="none"/>
          <w:effect w:val="none"/>
        </w:rPr>
        <w:t>Securities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, which is cost minus impairment, if any, plus or minus changes resulting from observable price changes. We did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not recognize any changes resulting from observable price changes or impairment losses on our minority equity interest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investments during the three months ended March 31, 2026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and 2025. Equity investments included in other assets on our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condensed consolidated balance sheets were $15.0 million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as of March 31, 2026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and December 31, 2025.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Impairment of Long-Lived Assets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We account for the impairment of long-lived assets in accordance with ASC 360, </w:t>
      </w:r>
      <w:r>
        <w:rPr>
          <w:rFonts w:ascii="Arial;sans-serif" w:hAnsi="Arial;sans-serif"/>
          <w:b w:val="false"/>
          <w:i/>
          <w:strike w:val="false"/>
          <w:dstrike w:val="false"/>
          <w:sz w:val="18"/>
          <w:u w:val="none"/>
          <w:effect w:val="none"/>
        </w:rPr>
        <w:t>Property, Plant, and Equipment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. In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accordance with ASC 360, long-lived assets to be held and used are reviewed for impairment when events or changes in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circumstances indicate that their carrying values may not be recoverable. We perform impairment testing at the asset group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level that represents the lowest level for which identifiable cash flows are largely independent of the cash flows of other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9</w:t>
      </w:r>
    </w:p>
    <w:p>
      <w:pPr>
        <w:pStyle w:val="TextBody"/>
        <w:bidi w:val="0"/>
        <w:spacing w:lineRule="atLeast" w:line="200" w:before="0" w:after="0"/>
        <w:jc w:val="left"/>
        <w:rPr/>
      </w:pPr>
      <w:hyperlink w:anchor="ie7567a6c939a4c249d5fb3b7378752d5_10">
        <w:r>
          <w:rPr>
            <w:rStyle w:val="InternetLink"/>
            <w:rFonts w:ascii="Arial;sans-serif" w:hAnsi="Arial;sans-serif"/>
            <w:b w:val="false"/>
            <w:i w:val="false"/>
            <w:caps w:val="false"/>
            <w:smallCaps w:val="false"/>
            <w:color w:val="0000FF"/>
            <w:sz w:val="20"/>
            <w:u w:val="single"/>
          </w:rPr>
          <w:t>Table of Contents</w:t>
        </w:r>
      </w:hyperlink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assets and liabilities. An impairment loss is recognized when estimated undiscounted future cash flows expected to result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from the use of the asset and its eventual disposition are less than its carrying value. If an asset is determined to be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impaired, the impairment is measured by the amount that the carrying value of the asset exceeds its fair value.</w:t>
      </w:r>
    </w:p>
    <w:p>
      <w:pPr>
        <w:pStyle w:val="TextBody"/>
        <w:bidi w:val="0"/>
        <w:spacing w:lineRule="atLeast" w:line="24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During the three months ended March 31, 2025, we recognized an impairment loss of $4.4 million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within general and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administrative expenses to reduce the carrying value of an asset group to its estimated fair value of $3.4 million. The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impairment charge was due to a significant deterioration in the sublease market and rental rates whereby the carrying value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of the asset group was not recoverable. We otherwise have not recognized any impairment losses of our long-lived assets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during the three months ended March 31, 2026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and 2025.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Recent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Accounting Pronouncements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/>
          <w:strike w:val="false"/>
          <w:dstrike w:val="false"/>
          <w:sz w:val="18"/>
          <w:u w:val="none"/>
          <w:effect w:val="none"/>
        </w:rPr>
        <w:t>Recently Adopted Accounting Pronouncement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In July 2025, the Financial Accounting Standards Board ("FASB") issued Accounting Standards Update ("ASU")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2025-05, </w:t>
      </w:r>
      <w:r>
        <w:rPr>
          <w:rFonts w:ascii="Arial;sans-serif" w:hAnsi="Arial;sans-serif"/>
          <w:b w:val="false"/>
          <w:i/>
          <w:strike w:val="false"/>
          <w:dstrike w:val="false"/>
          <w:sz w:val="18"/>
          <w:u w:val="none"/>
          <w:effect w:val="none"/>
        </w:rPr>
        <w:t>Financial Instruments-Credit Losses (Topic 326): Measurement of Credit Losses for Accounts Receivable and</w:t>
      </w:r>
      <w:r>
        <w:rPr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/>
          <w:strike w:val="false"/>
          <w:dstrike w:val="false"/>
          <w:sz w:val="18"/>
          <w:u w:val="none"/>
          <w:effect w:val="none"/>
        </w:rPr>
        <w:t xml:space="preserve">Contract Assets for Private Companies and Certain Not-For-Profit Entities.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This ASU amends ASC 326-20 in part to provide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 practical expedient election to assume that current conditions as of the balance sheet date do not change for the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remaining life of current accounts receivable and/or current contract assets arising from transactions accounted for under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Topic 606, </w:t>
      </w:r>
      <w:r>
        <w:rPr>
          <w:rFonts w:ascii="Arial;sans-serif" w:hAnsi="Arial;sans-serif"/>
          <w:b w:val="false"/>
          <w:i/>
          <w:strike w:val="false"/>
          <w:dstrike w:val="false"/>
          <w:sz w:val="18"/>
          <w:u w:val="none"/>
          <w:effect w:val="none"/>
        </w:rPr>
        <w:t>Revenue from Contracts with Customers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. This ASU is effective for all entities for annual reporting periods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beginning after December 15, 2025, and for interim reporting periods within those annual reporting periods. We adopted this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standard effective January 1, 2026, and the adoption did not have a material impact on our condensed consolidated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financial statements.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/>
          <w:strike w:val="false"/>
          <w:dstrike w:val="false"/>
          <w:sz w:val="18"/>
          <w:u w:val="none"/>
          <w:effect w:val="none"/>
        </w:rPr>
        <w:t>Recently Issued Accounting Pronouncements - Not Yet Adopted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In September 2025, the FASB issued ASU 2025-06, </w:t>
      </w:r>
      <w:r>
        <w:rPr>
          <w:rFonts w:ascii="Arial;sans-serif" w:hAnsi="Arial;sans-serif"/>
          <w:b w:val="false"/>
          <w:i/>
          <w:strike w:val="false"/>
          <w:dstrike w:val="false"/>
          <w:sz w:val="18"/>
          <w:u w:val="none"/>
          <w:effect w:val="none"/>
        </w:rPr>
        <w:t>Intangibles-Goodwill and Other-Internal-Use Software (Subtopic</w:t>
      </w:r>
      <w:r>
        <w:rPr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/>
          <w:strike w:val="false"/>
          <w:dstrike w:val="false"/>
          <w:sz w:val="18"/>
          <w:u w:val="none"/>
          <w:effect w:val="none"/>
        </w:rPr>
        <w:t xml:space="preserve">350-40),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which amends certain aspects of the accounting for and disclosure of software costs under ASC 350-40. The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amendments in this ASU, amongst other things, eliminate accounting considerations of software development stages and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instead require entities to capitalize internal-use software costs when management commits to funding the software project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and it is probable the project will be completed and will be used to perform the function intended. This ASU will be effective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for all entities for annual reporting periods beginning after December 15, 2027, and for interim reporting periods within those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annual reporting periods. Early adoption of this ASU is permitted and can be applied retrospectively, prospectively or on a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modified prospective basis. We are currently evaluating the impact of the adoption of this ASU on our consolidated financial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statements and related disclosures.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In November 2024, the FASB issued ASU 2024-03, </w:t>
      </w:r>
      <w:r>
        <w:rPr>
          <w:rFonts w:ascii="Arial;sans-serif" w:hAnsi="Arial;sans-serif"/>
          <w:b w:val="false"/>
          <w:i/>
          <w:strike w:val="false"/>
          <w:dstrike w:val="false"/>
          <w:sz w:val="18"/>
          <w:u w:val="none"/>
          <w:effect w:val="none"/>
        </w:rPr>
        <w:t>Income Statement - Reporting Comprehensive Income - Expense</w:t>
      </w:r>
      <w:r>
        <w:rPr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/>
          <w:strike w:val="false"/>
          <w:dstrike w:val="false"/>
          <w:sz w:val="18"/>
          <w:u w:val="none"/>
          <w:effect w:val="none"/>
        </w:rPr>
        <w:t>Disaggregation Disclosures (Subtopic 220-40): Disaggregation of Income Statement Expenses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, which is intended to improve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disclosures of expenses by providing more detailed information about the types of expenses in commonly presented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expense captions. This ASU requires entities to disclose the amounts of purchases of inventory, employee compensation,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depreciation and intangible asset amortization included in each relevant expense caption; as well as a qualitative description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of the amounts remaining in relevant expense captions that are not separately disaggregated quantitatively. This ASU also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requires disclosure of the total amount of selling expense and, in annual reporting periods, an entity’s definition of selling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expenses. In January 2025, the FASB issued ASU 2025-01 which clarified the effective date of this ASU. This ASU applies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to all public entities and will be effective for fiscal years beginning after December 15, 2026, and for interim periods within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fiscal years beginning after December 15, 2027. Early adoption of this ASU is permitted. This ASU should be applied either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prospectively to financial statements issued for reporting periods after the effective date of this ASU or retrospectively to any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or all prior periods presented in the financial statements. We are currently evaluating the impact of the adoption of this ASU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on our consolidated financial statements disclosures.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80" w:before="0" w:after="0"/>
        <w:jc w:val="left"/>
        <w:rPr>
          <w:sz w:val="24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3</w:t>
      </w:r>
      <w:r>
        <w:rPr>
          <w:rFonts w:ascii="Arial;sans-serif" w:hAnsi="Arial;sans-serif"/>
          <w:b/>
          <w:i w:val="false"/>
          <w:caps w:val="false"/>
          <w:smallCaps w:val="false"/>
          <w:sz w:val="18"/>
        </w:rPr>
        <w:t xml:space="preserve">. 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Business Combination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On January 13, 2025,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we acquired substantially all of the assets and assembled workforce of VCRx, a prescription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savings business of Vivid Clear Rx, Inc., for $30.0 million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in cash. VCRx operates a price comparison platform that provides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consumer prescription savings through its partnership with PBMs. The acquisition expands our consumer reach particularly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with respect to our prescription transactions offering.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Goodwill associated with this acquisition totaled $11.0 million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and primarily related to the expected long-term synergies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and other benefits, including the acquired assembled workforce. The goodwill is deductible for tax purposes. Identifiable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intangible assets related to this acquisition, totaled $19.0 million, of which $18.1 million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was attributable to a customer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related intangible asset, with an estimated useful life of 6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years.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10</w:t>
      </w:r>
    </w:p>
    <w:p>
      <w:pPr>
        <w:pStyle w:val="TextBody"/>
        <w:bidi w:val="0"/>
        <w:spacing w:lineRule="atLeast" w:line="200" w:before="0" w:after="0"/>
        <w:jc w:val="left"/>
        <w:rPr/>
      </w:pPr>
      <w:hyperlink w:anchor="ie7567a6c939a4c249d5fb3b7378752d5_10">
        <w:r>
          <w:rPr>
            <w:rStyle w:val="InternetLink"/>
            <w:rFonts w:ascii="Arial;sans-serif" w:hAnsi="Arial;sans-serif"/>
            <w:b w:val="false"/>
            <w:i w:val="false"/>
            <w:caps w:val="false"/>
            <w:smallCaps w:val="false"/>
            <w:color w:val="0000FF"/>
            <w:sz w:val="20"/>
            <w:u w:val="single"/>
          </w:rPr>
          <w:t>Table of Contents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80" w:before="0" w:after="0"/>
        <w:jc w:val="left"/>
        <w:rPr>
          <w:sz w:val="24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4</w:t>
      </w:r>
      <w:r>
        <w:rPr>
          <w:rFonts w:ascii="Arial;sans-serif" w:hAnsi="Arial;sans-serif"/>
          <w:b/>
          <w:i w:val="false"/>
          <w:caps w:val="false"/>
          <w:smallCaps w:val="false"/>
          <w:sz w:val="18"/>
        </w:rPr>
        <w:t xml:space="preserve">. 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Accrued Expenses and Other Current Liabilities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Accrued expenses and other current liabilities consist of the following:</w:t>
      </w:r>
    </w:p>
    <w:tbl>
      <w:tblPr>
        <w:tblW w:w="726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4276"/>
        <w:gridCol w:w="1261"/>
        <w:gridCol w:w="109"/>
        <w:gridCol w:w="1621"/>
      </w:tblGrid>
      <w:tr>
        <w:trPr/>
        <w:tc>
          <w:tcPr>
            <w:tcW w:w="42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27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(in thousands)</w:t>
            </w:r>
          </w:p>
        </w:tc>
        <w:tc>
          <w:tcPr>
            <w:tcW w:w="1261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March 31, 2026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21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December 31, 2025</w:t>
            </w:r>
          </w:p>
        </w:tc>
      </w:tr>
      <w:tr>
        <w:trPr/>
        <w:tc>
          <w:tcPr>
            <w:tcW w:w="427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Accrued bonus and other payroll related</w:t>
            </w:r>
          </w:p>
        </w:tc>
        <w:tc>
          <w:tcPr>
            <w:tcW w:w="126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$13,434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2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$25,434</w:t>
            </w:r>
          </w:p>
        </w:tc>
      </w:tr>
      <w:tr>
        <w:trPr/>
        <w:tc>
          <w:tcPr>
            <w:tcW w:w="427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Accrued legal settlement</w:t>
            </w:r>
          </w:p>
        </w:tc>
        <w:tc>
          <w:tcPr>
            <w:tcW w:w="12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30,500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2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30,500</w:t>
            </w:r>
          </w:p>
        </w:tc>
      </w:tr>
      <w:tr>
        <w:trPr/>
        <w:tc>
          <w:tcPr>
            <w:tcW w:w="427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Accrued marketing</w:t>
            </w:r>
          </w:p>
        </w:tc>
        <w:tc>
          <w:tcPr>
            <w:tcW w:w="12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17,243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2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11,063</w:t>
            </w:r>
          </w:p>
        </w:tc>
      </w:tr>
      <w:tr>
        <w:trPr/>
        <w:tc>
          <w:tcPr>
            <w:tcW w:w="427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Deferred revenue</w:t>
            </w:r>
          </w:p>
        </w:tc>
        <w:tc>
          <w:tcPr>
            <w:tcW w:w="12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8,628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2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6,705</w:t>
            </w:r>
          </w:p>
        </w:tc>
      </w:tr>
      <w:tr>
        <w:trPr/>
        <w:tc>
          <w:tcPr>
            <w:tcW w:w="427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Other accrued expenses</w:t>
            </w:r>
          </w:p>
        </w:tc>
        <w:tc>
          <w:tcPr>
            <w:tcW w:w="1261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13,914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21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13,003</w:t>
            </w:r>
          </w:p>
        </w:tc>
      </w:tr>
      <w:tr>
        <w:trPr/>
        <w:tc>
          <w:tcPr>
            <w:tcW w:w="427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Total accrued expenses and other current liabilities</w:t>
            </w:r>
          </w:p>
        </w:tc>
        <w:tc>
          <w:tcPr>
            <w:tcW w:w="1261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$83,719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21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$86,705</w:t>
            </w:r>
          </w:p>
        </w:tc>
      </w:tr>
    </w:tbl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Deferred revenue represents payments received in advance of providing services for certain advertising contracts with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customers and subscriptions. We expect substantially all of the deferred revenue at March 31, 2026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will be recognized as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revenue within the subsequent twelve months. Of the $6.7 million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of deferred revenue at December 31, 2025, $4.5 million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was recognized as revenue during the three months ended March 31, 2026. Revenue recognized during the three months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ended March 31, 2025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of $4.3 million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was included as deferred revenue at December 31, 2024.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5</w:t>
      </w:r>
      <w:r>
        <w:rPr>
          <w:rFonts w:ascii="Arial;sans-serif" w:hAnsi="Arial;sans-serif"/>
          <w:b/>
          <w:i w:val="false"/>
          <w:caps w:val="false"/>
          <w:smallCaps w:val="false"/>
          <w:sz w:val="18"/>
          <w:u w:val="single"/>
        </w:rPr>
        <w:t xml:space="preserve">. 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Income Taxes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We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generally calculate income taxes in interim periods by applying an estimated annual effective income tax rate to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income or loss before income taxes and by calculating the tax effect of discrete items recognized during such periods. Our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estimated annual effective income tax rate is based on our estimated full year income or loss and the related income taxes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for each jurisdiction in which we operate. This rate can be affected by estimates of full year pre-tax income or loss and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permanent differences.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effective income tax rate for the three months ended March 31, 2026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and 2025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was 79.3%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and 33.7%,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respectively. The primary differences between our effective income tax rates and the federal statutory tax rate for the three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months ended March 31, 2026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and 2025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were due to the effects of non-deductible officers’ stock-based compensation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expense, state income taxes, benefits from research and development tax credits, and tax effects from our equity awards.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80" w:before="0" w:after="0"/>
        <w:jc w:val="left"/>
        <w:rPr>
          <w:sz w:val="24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6</w:t>
      </w:r>
      <w:r>
        <w:rPr>
          <w:rFonts w:ascii="Arial;sans-serif" w:hAnsi="Arial;sans-serif"/>
          <w:b/>
          <w:i w:val="false"/>
          <w:caps w:val="false"/>
          <w:smallCaps w:val="false"/>
          <w:sz w:val="18"/>
        </w:rPr>
        <w:t xml:space="preserve">. 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Debt</w:t>
      </w:r>
    </w:p>
    <w:p>
      <w:pPr>
        <w:pStyle w:val="TextBody"/>
        <w:bidi w:val="0"/>
        <w:spacing w:lineRule="atLeast" w:line="24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Our First Lien Credit Agreement (as amended from time to time, the "Credit Agreement") provides for (i) a $500.0 million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term loan maturing on July 10, 2029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("2024 Term Loan Facility"); and (ii) a revolving credit facility for up to $88.0 million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(the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"Revolving Credit Facility") maturing on April 10, 2029. As of March 31, 2026, there were no changes to the terms of our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2024 Term Loan Facility and Revolving Credit Facility as disclosed in Note 12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to our consolidated financial statements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included in our 2025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10-K.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effective interest rate on our term loans for the three months ended March 31, 2026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and 2025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was 7.87%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and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8.52%, respectively.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We had no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borrowings against the Revolving Credit Facility as of March 31, 2026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and December 31, 2025.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We had outstanding letters of credit issued against the Revolving Credit Facility for $7.6 million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and $7.8 million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as of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March 31, 2026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and December 31, 2025, respectively, which reduce our available borrowings under the Revolving Credit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Facility.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Our debt balance is as follows:</w:t>
      </w:r>
    </w:p>
    <w:tbl>
      <w:tblPr>
        <w:tblW w:w="747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4486"/>
        <w:gridCol w:w="1261"/>
        <w:gridCol w:w="109"/>
        <w:gridCol w:w="1621"/>
      </w:tblGrid>
      <w:tr>
        <w:trPr/>
        <w:tc>
          <w:tcPr>
            <w:tcW w:w="448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48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(in thousands)</w:t>
            </w:r>
          </w:p>
        </w:tc>
        <w:tc>
          <w:tcPr>
            <w:tcW w:w="1261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March 31, 2026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21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December 31, 2025</w:t>
            </w:r>
          </w:p>
        </w:tc>
      </w:tr>
      <w:tr>
        <w:trPr/>
        <w:tc>
          <w:tcPr>
            <w:tcW w:w="448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Principal balance under 2024 Term Loan Facility</w:t>
            </w:r>
          </w:p>
        </w:tc>
        <w:tc>
          <w:tcPr>
            <w:tcW w:w="126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$493,750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2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$495,000</w:t>
            </w:r>
          </w:p>
        </w:tc>
      </w:tr>
      <w:tr>
        <w:trPr/>
        <w:tc>
          <w:tcPr>
            <w:tcW w:w="448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Less: Unamortized debt issuance costs and discounts</w:t>
            </w:r>
          </w:p>
        </w:tc>
        <w:tc>
          <w:tcPr>
            <w:tcW w:w="1261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(6,328)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21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(6,736)</w:t>
            </w:r>
          </w:p>
        </w:tc>
      </w:tr>
      <w:tr>
        <w:trPr/>
        <w:tc>
          <w:tcPr>
            <w:tcW w:w="448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1" w:type="dxa"/>
            <w:tcBorders>
              <w:top w:val="sing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$487,422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21" w:type="dxa"/>
            <w:tcBorders>
              <w:top w:val="sing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$488,264</w:t>
            </w:r>
          </w:p>
        </w:tc>
      </w:tr>
    </w:tbl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estimated fair value of our debt was $444.4 million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as of March 31, 2026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and approximated its carrying value as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December 31, 2025, based on inputs categorized as Level 2 in the fair value hierarchy.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Under the Credit Agreement, we are subject to a financial covenant requiring maintenance of a First Lien Net Leverage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Ratio (as defined in the Credit Agreement) not to exceed 8.2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to 1.0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only in the event that the amounts outstanding under the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Revolving Credit Facility exceed a specified percentage of commitments under the Revolving Credit Facility, and other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nonfinancial covenants under the Credit Agreement. At March 31, 2026, we were in compliance with our covenants under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Credit Agreement.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11</w:t>
      </w:r>
    </w:p>
    <w:p>
      <w:pPr>
        <w:pStyle w:val="TextBody"/>
        <w:bidi w:val="0"/>
        <w:spacing w:lineRule="atLeast" w:line="200" w:before="0" w:after="0"/>
        <w:jc w:val="left"/>
        <w:rPr/>
      </w:pPr>
      <w:hyperlink w:anchor="ie7567a6c939a4c249d5fb3b7378752d5_10">
        <w:r>
          <w:rPr>
            <w:rStyle w:val="InternetLink"/>
            <w:rFonts w:ascii="Arial;sans-serif" w:hAnsi="Arial;sans-serif"/>
            <w:b w:val="false"/>
            <w:i w:val="false"/>
            <w:caps w:val="false"/>
            <w:smallCaps w:val="false"/>
            <w:color w:val="0000FF"/>
            <w:sz w:val="20"/>
            <w:u w:val="single"/>
          </w:rPr>
          <w:t>Table of Contents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7</w:t>
      </w:r>
      <w:r>
        <w:rPr>
          <w:rFonts w:ascii="Arial;sans-serif" w:hAnsi="Arial;sans-serif"/>
          <w:b/>
          <w:i w:val="false"/>
          <w:caps w:val="false"/>
          <w:smallCaps w:val="false"/>
          <w:sz w:val="18"/>
          <w:u w:val="single"/>
        </w:rPr>
        <w:t xml:space="preserve">. 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Commitments and Contingencies</w:t>
      </w:r>
    </w:p>
    <w:p>
      <w:pPr>
        <w:pStyle w:val="TextBody"/>
        <w:bidi w:val="0"/>
        <w:spacing w:lineRule="atLeast" w:line="24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Aside from the below, as of March 31, 2026, there were no material changes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to our commitments and contingencies as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disclosed in the notes to our consolidated financial statements included in our 2025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10-K.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Legal Contingencies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/>
          <w:strike w:val="false"/>
          <w:dstrike w:val="false"/>
          <w:sz w:val="18"/>
          <w:u w:val="none"/>
          <w:effect w:val="none"/>
        </w:rPr>
        <w:t>Consumer privacy class action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- Between February 2, 2023, and March 30, 2023, five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individual plaintiffs filed five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separate putative class action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lawsuits against Google, Meta, Criteo and us, alleging generally that we have not adequately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protected consumer privacy and that we communicated consumer information to third parties, including the three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co-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defendants. Four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of the plaintiffs allege common law intrusion upon seclusion and unjust enrichment claims, as well as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claims under California’s Confidentiality of Medical Information Act, Invasion of Privacy Act, Consumer Legal Remedies Act,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and Unfair Competition Law. One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of these four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plaintiffs additionally brings a claim under the Electronic Communications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Privacy Act. The fifth plaintiff brings claims for common-law unjust enrichment and violations of New York’s General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Business Law. Four of these cases were originally filed in the United States District Court for the Northern District of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California ("NDCA") (Cases No. 3:23-cv-00501; 3:23-cv-00744; 3:23-cv-00940; and 4:23-cv-01293). One case was originally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filed in the United States District Court for the Southern District of New York (Case No. 1:23-cv-00943); however, that case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was voluntarily dismissed and re-filed in the NDCA (Case No. 3:23-cv-01508). These five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matters have been consolidated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and assigned to U.S. District Judge Araceli Martínez-Olguín in the NDCA. The court also set a briefing schedule for filing a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single consolidated complaint, which the plaintiffs filed on May 21, 2023 (Case No. 3:23-cv-00501-AMO; the "NDCA Class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Action Matter"), as well as motions to dismiss and motions to compel arbitration. In addition to the aforementioned claims,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plaintiffs in the now consolidated matter bring claims under the Illinois Consumer Fraud and Deceptive Business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Practices Act, common law negligence and negligence per se, in each case, pleaded in the alternative. The plaintiffs are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seeking various forms of monetary damages (such as statutory damages, compensatory damages, attorneys’ fees and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disgorgement of profits) as well as injunctive relief. Briefing on the motions to dismiss and motions to compel arbitration was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completed on August 24, 2023.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On October 27, 2023, six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plaintiffs filed a class action complaint (Case No. 1:23-cv-24127-BB; the “SDFL Class Action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Matter”) against us in the United States District Court for the Southern District of Florida ("SDFL"). The plaintiffs alleged, 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behalf of the same nationwide class as the NDCA Class Action Matter, substantially the same statutory and common law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violation claims as alleged in that matter as well as claims based on the federal Electronic Communications Privacy Act,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invasion of privacy under California common law and the California constitution, invasion of privacy under New Jersey's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Constitution, and violations of Pennsylvania’s Wiretapping and Electronic Surveillance Control Act, Florida’s Security of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Communications Act, New York’s Civil Rights Law and Stop Hack and Improve Electronic Data Security Act. The plaintiffs in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SDFL Class Action Matter seek various forms of monetary damages as well as injunctive and other unspecified equitable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relief.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On October 27, 2023, we entered into a proposed settlement agreement with the plaintiffs in the SDFL Class Action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Matter, on behalf of a nationwide settlement class that includes the NDCA Class Action Matter, which provides for a payment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of $13.0 million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by us. On October 30, 2023, the plaintiffs in the SDFL Class Action Matter filed a motion and memorandum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in support of preliminary approval of the proposed class action settlement and, on October 31, 2023, the SDFL granted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preliminary approval of the proposed settlement. Members of the class have the opportunity to opt-out of the class and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commence their own actions.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In response to the proposed settlement in the SDFL Class Action Matter, plaintiffs in the NDCA Class Action Matter filed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(i) on November 1, 2023, a motion in the NDCA for an order to require us to cease litigation of, or alternatively file a motion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to stay in, the SDFL Class Action Matter and enjoin us from seeking settlement with counsel other than plaintiffs’ counsel in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NDCA Class Action Matter; and (ii) on November 2, 2023, a motion in the SDFL for that court to allow them to intervene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and appear in the SDFL action, transfer the SDFL Class Action Matter to the NDCA and reconsider and deny its preliminary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approval of the proposed settlement. The SDFL has issued an order requiring the SDFL plaintiffs to, among other things, file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 response to the NDCA plaintiffs' motion to intervene. Additionally, U.S. District Judge Araceli Martínez-Olguín in the NDCA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issued an order for us to show cause as to why we should not be sanctioned for an alleged failure to provide notification to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NDCA of the pendency of the SDFL Class Action Matter. We filed our written response to this order on November 8,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2023. The NDCA held a hearing on November 14, 2023, and ordered parties to the litigation to participate in mediation. The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parties participated in mediation on January 10, 2024, and agreed to participate in an additional day of mediation, which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occurred on March 7, 2024.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On December 3, 2024, the SDFL plaintiffs filed a voluntary motion to dismiss, with prejudice, which was approved by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court on December 4, 2024. On November 25, 2024, we entered into a settlement agreement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with the NDCA plaintiffs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for $25.0 million, subject to approval by the court. On June 12, 2025, the court denied the motion for preliminary approval of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settlement with prejudice, with leave for the plaintiffs to refile with additional information requested by the court. Based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on the settlement agreement, an estimated probable loss of $25.0 million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was included within accrued expenses and other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current liabilities on our condensed consolidated balance sheets as of March 31, 2026 and December 31, 2025. Additionally,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we estimated a probable loss of $5.5 million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relating to the indemnification of certain parties named in the class action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lawsuits, which was included within accrued expenses and other current liabilities on our condensed consolidated balance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sheets as of March 31, 2026 and December 31, 2025. While these amounts represent our best judgment of the probable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12</w:t>
      </w:r>
    </w:p>
    <w:p>
      <w:pPr>
        <w:pStyle w:val="TextBody"/>
        <w:bidi w:val="0"/>
        <w:spacing w:lineRule="atLeast" w:line="200" w:before="0" w:after="0"/>
        <w:jc w:val="left"/>
        <w:rPr/>
      </w:pPr>
      <w:hyperlink w:anchor="ie7567a6c939a4c249d5fb3b7378752d5_10">
        <w:r>
          <w:rPr>
            <w:rStyle w:val="InternetLink"/>
            <w:rFonts w:ascii="Arial;sans-serif" w:hAnsi="Arial;sans-serif"/>
            <w:b w:val="false"/>
            <w:i w:val="false"/>
            <w:caps w:val="false"/>
            <w:smallCaps w:val="false"/>
            <w:color w:val="0000FF"/>
            <w:sz w:val="20"/>
            <w:u w:val="single"/>
          </w:rPr>
          <w:t>Table of Contents</w:t>
        </w:r>
      </w:hyperlink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losses based on the information currently available to us, they are subject to significant judgments and estimates and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numerous factors beyond our control, including, without limitation, final approval of the court.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On November 19, 2025, together with another party named in the class action lawsuit, we filed an amended settlement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agreement. On November 26, 2025, plaintiffs filed a motion for preliminary approval of the class settlement. On January 16,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2026, the court denied the motion for preliminary approval of the settlement, requesting additional information from the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plaintiffs. On March 24, 2026, the plaintiffs filed an administrative motion for leave to submit supplemental brief to address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court's concerns and request for status conference. On March 26, 2026, the court denied the motion but granted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plaintiffs leave to submit a new motion for preliminary approval. The terms of the amended settlement agreement were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reflective of the aggregate probable loss recorded in connection with this matter and, as such, we did not accrue for any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additional amounts. The results of legal proceedings are inherently uncertain, and upon final resolution of these matters, it is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reasonably possible that the actual loss may differ from our estimates.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/>
          <w:strike w:val="false"/>
          <w:dstrike w:val="false"/>
          <w:sz w:val="18"/>
          <w:u w:val="none"/>
          <w:effect w:val="none"/>
        </w:rPr>
        <w:t>Consumer state litigations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- On May 28, 2024, The Bert and Annette Mullens Foundation ("Mullens Foundation") filed a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lawsuit against us in Pope County, Arkansas, alleging that we violated an Arkansas statute related to the distribution of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health-related discount cards. Specifically, the statute provides that each discount card must “expressly provide in bold and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prominent type that the discounts are not insurance.” Ark. Code Ann. § 4-106-201(1). Furthermore, the statute provides that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each card must “expressly provide in bold and prominent type on the card or in a statement attached to the card that the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consumer has the right to cancel his or her registration within thirty (30) days from the effective date of the card.” Ark. Code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Ann. § 4-106-201(2). The plaintiff alleges that our cards did not comply with these requirements, and sought an injunction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and statutory damages. We filed a motion to dismiss the complaint, which was denied on December 2, 2024. On May 9,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2025, the Arkansas Attorney General moved to intervene in the case. On May 13, 2025, the plaintiff moved for partial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summary judgment, which we and the Arkansas Attorney General opposed. Separately, on September 24, 2025, the State of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Arkansas, ex rel. Tim Griffin, Attorney General, filed suit in Faulkner County, Arkansas alleging the same violations of Ark.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Code Ann. § 4-106-201 et seq. as the Mullens Foundation in addition to violations of the Arkansas Deceptive Trade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Practices Act ("ADTPA"). On September 25, 2025, the Circuit Court of Faulkner County entered a Consent Judgment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through which the plaintiff, acting parens patriae for the people of Arkansas, released us from any and all claims and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remedies available or potentially available under the ADTPA and the discount card statute, Ark. Code Ann. §§ 4-106-201 et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seq. for GoodRx discount cards sold, marketed, promoted, advertised, or otherwise distributed in Arkansas from January 1,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2022 until the effective date of the agreement. As part of the Consent Judgment we also agreed to pay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immaterial monetary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relief.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Furthermore, on June 11, 2024, the Minnesota Teamsters Service Bureau, also filed a lawsuit against us in Hennepin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County, Minnesota, alleging that we violated a Minnesota statute related to the distribution of health-related discount cards.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Specifically, the statute provides that each discount card must “expressly provide in bold and prominent type that the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discounts are not insurance.” Minn. Stat. Ann. § 325F.784, subd. 1(1). The plaintiff alleges that our cards do not comply with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these requirements and also seeks an injunction and statutory damages. We filed a motion to dismiss the complaint, which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was denied on December 17, 2024. On June 10, 2025, the plaintiff moved to dismiss some of our counterclaims; the court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granted the motion to dismiss. Discovery has been completed in Minnesota. On October 10, 2025, we moved for summary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judgment and plaintiff moved for partial summary judgment. On February 5, 2026, the court entered an order on our motion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for summary judgment, directing that judgment be entered dismissing plaintiff’s claims as time-barred. On April 10, 2026,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plaintiff filed a notice of appeal regarding the court’s summary judgment decision.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We intend to vigorously defend against the claims asserted in the Mullens Foundation matter and the Minnesota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Teamsters Service Bureau matters as we believe we have meritorious defenses to such claims. While it is reasonably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possible a loss may have been incurred, we have not accrued a loss as a loss is not probable and we are unable to estimate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 loss or range of loss.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These pending proceedings involve complex questions of fact and law and may require the expenditure of significant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funds and the diversion of other resources to defend. In addition, during the normal course of business, we (including our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directors and officers whom we indemnify) may become subject to, and are presently involved in, legal proceedings, claims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and litigation. Such matters are subject to many uncertainties and outcomes are not predictable with assurance. Aside from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consumer privacy class action matter, we have not accrued for a material loss for any other matters as a loss is not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probable and a loss, or a range of loss, is not reasonably estimable. Accruals for loss contingencies are recognized when a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loss is probable, and the amount of such loss can be reasonably estimated. See "Note 4. Accrued Expenses and Other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Current Liabilities" for additional information. Loss recoveries are recognized when a loss has been incurred and the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recovery is probable.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Insurance recovery receivables of $11.9 million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were included in prepaid expenses and other current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assets on our condensed consolidated balance sheets as of March 31, 2026 and December 31, 2025.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13</w:t>
      </w:r>
    </w:p>
    <w:p>
      <w:pPr>
        <w:pStyle w:val="TextBody"/>
        <w:bidi w:val="0"/>
        <w:spacing w:lineRule="atLeast" w:line="200" w:before="0" w:after="0"/>
        <w:jc w:val="left"/>
        <w:rPr/>
      </w:pPr>
      <w:hyperlink w:anchor="ie7567a6c939a4c249d5fb3b7378752d5_10">
        <w:r>
          <w:rPr>
            <w:rStyle w:val="InternetLink"/>
            <w:rFonts w:ascii="Arial;sans-serif" w:hAnsi="Arial;sans-serif"/>
            <w:b w:val="false"/>
            <w:i w:val="false"/>
            <w:caps w:val="false"/>
            <w:smallCaps w:val="false"/>
            <w:color w:val="0000FF"/>
            <w:sz w:val="20"/>
            <w:u w:val="single"/>
          </w:rPr>
          <w:t>Table of Contents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8</w:t>
      </w:r>
      <w:r>
        <w:rPr>
          <w:rFonts w:ascii="Arial;sans-serif" w:hAnsi="Arial;sans-serif"/>
          <w:b/>
          <w:i w:val="false"/>
          <w:caps w:val="false"/>
          <w:smallCaps w:val="false"/>
          <w:sz w:val="18"/>
          <w:u w:val="single"/>
        </w:rPr>
        <w:t xml:space="preserve">. 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Revenue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For the three months ended March 31, 2026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and 2025, revenue comprised the following:</w:t>
      </w:r>
    </w:p>
    <w:tbl>
      <w:tblPr>
        <w:tblW w:w="544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851"/>
        <w:gridCol w:w="1194"/>
        <w:gridCol w:w="146"/>
        <w:gridCol w:w="1254"/>
      </w:tblGrid>
      <w:tr>
        <w:trPr/>
        <w:tc>
          <w:tcPr>
            <w:tcW w:w="28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9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8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94" w:type="dxa"/>
            <w:gridSpan w:val="3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Three Months Ended March 31,</w:t>
            </w:r>
          </w:p>
        </w:tc>
      </w:tr>
      <w:tr>
        <w:trPr/>
        <w:tc>
          <w:tcPr>
            <w:tcW w:w="285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(in thousands)</w:t>
            </w:r>
          </w:p>
        </w:tc>
        <w:tc>
          <w:tcPr>
            <w:tcW w:w="1194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2026</w:t>
            </w:r>
          </w:p>
        </w:tc>
        <w:tc>
          <w:tcPr>
            <w:tcW w:w="146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54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2025</w:t>
            </w:r>
          </w:p>
        </w:tc>
      </w:tr>
      <w:tr>
        <w:trPr/>
        <w:tc>
          <w:tcPr>
            <w:tcW w:w="285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Prescription transactions revenue</w:t>
            </w:r>
          </w:p>
        </w:tc>
        <w:tc>
          <w:tcPr>
            <w:tcW w:w="1194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$113,692</w:t>
            </w:r>
          </w:p>
        </w:tc>
        <w:tc>
          <w:tcPr>
            <w:tcW w:w="14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54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$148,923</w:t>
            </w:r>
          </w:p>
        </w:tc>
      </w:tr>
      <w:tr>
        <w:trPr/>
        <w:tc>
          <w:tcPr>
            <w:tcW w:w="285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Subscription revenue</w:t>
            </w:r>
          </w:p>
        </w:tc>
        <w:tc>
          <w:tcPr>
            <w:tcW w:w="1194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24,393</w:t>
            </w:r>
          </w:p>
        </w:tc>
        <w:tc>
          <w:tcPr>
            <w:tcW w:w="14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54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21,017</w:t>
            </w:r>
          </w:p>
        </w:tc>
      </w:tr>
      <w:tr>
        <w:trPr/>
        <w:tc>
          <w:tcPr>
            <w:tcW w:w="285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Pharma Direct revenue</w:t>
            </w:r>
          </w:p>
        </w:tc>
        <w:tc>
          <w:tcPr>
            <w:tcW w:w="1194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52,230</w:t>
            </w:r>
          </w:p>
        </w:tc>
        <w:tc>
          <w:tcPr>
            <w:tcW w:w="14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54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28,648</w:t>
            </w:r>
          </w:p>
        </w:tc>
      </w:tr>
      <w:tr>
        <w:trPr/>
        <w:tc>
          <w:tcPr>
            <w:tcW w:w="285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Other revenue</w:t>
            </w:r>
          </w:p>
        </w:tc>
        <w:tc>
          <w:tcPr>
            <w:tcW w:w="1194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3,691</w:t>
            </w:r>
          </w:p>
        </w:tc>
        <w:tc>
          <w:tcPr>
            <w:tcW w:w="14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54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4,382</w:t>
            </w:r>
          </w:p>
        </w:tc>
      </w:tr>
      <w:tr>
        <w:trPr/>
        <w:tc>
          <w:tcPr>
            <w:tcW w:w="285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Total revenue</w:t>
            </w:r>
          </w:p>
        </w:tc>
        <w:tc>
          <w:tcPr>
            <w:tcW w:w="1194" w:type="dxa"/>
            <w:tcBorders>
              <w:top w:val="sing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$194,006</w:t>
            </w:r>
          </w:p>
        </w:tc>
        <w:tc>
          <w:tcPr>
            <w:tcW w:w="14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54" w:type="dxa"/>
            <w:tcBorders>
              <w:top w:val="sing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$202,970</w:t>
            </w:r>
          </w:p>
        </w:tc>
      </w:tr>
    </w:tbl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9</w:t>
      </w:r>
      <w:r>
        <w:rPr>
          <w:rFonts w:ascii="Arial;sans-serif" w:hAnsi="Arial;sans-serif"/>
          <w:b/>
          <w:i w:val="false"/>
          <w:caps w:val="false"/>
          <w:smallCaps w:val="false"/>
          <w:sz w:val="18"/>
          <w:u w:val="single"/>
        </w:rPr>
        <w:t xml:space="preserve">. 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Stockholders' Equity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On February 27, 2024, our board of directors ("Board") authorized the repurchase of up to an aggregate of $450.0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million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of our Class A common stock with no expiration date. Repurchases under this repurchase program may be made in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open market, in privately negotiated transactions or otherwise, with the amount and timing of repurchases to be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determined at our discretion, depending on market conditions and corporate needs, or under a trading plan intended to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satisfy the affirmative defense conditions of Rule 10b5-1(c)(1) under the Exchange Act. This repurchase program does not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obligate us to acquire any particular amount of Class A common stock and may be modified, suspended or terminated at any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time at the discretion of our Board. Repurchased shares are subsequently retired and returned to the status of authorized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but unissued. As of March 31, 2026, we had $60.2 million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available for future repurchases of our Class A common stock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under this repurchase program.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In March 2025, we repurchased 10.0 million, 7.0 million, and 3.0 million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shares of our Class A common stock (after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giving effect to the automatic conversion of our Class B common stock to Class A common stock upon such repurchase)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from related parties, Francisco Partners IV, L.P. and Francisco Partners IV-A, Idea Men, LLC, and Spectrum Equity VII, L.P.,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Spectrum VII Investment Managers' Fund, L.P., and Spectrum VII Co-Investment Fund, L.P., respectively, for an aggregate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repurchase of 20.0 million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shares of our Class A common stock at a price of $4.20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per share, in each case representing a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discount from our closing share price of $4.42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as of the last trading day prior to the execution date of these transactions. The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aggregate consideration for these repurchases was $84.9 million, inclusive of direct costs and estimated excise taxes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associated with these transactions.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These related party repurchases were approved by our Board and its Audit and Risk Committee as part of the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aforementioned repurchase programs.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following table presents information about our repurchases of our Class A common stock: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tbl>
      <w:tblPr>
        <w:tblW w:w="5251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56"/>
        <w:gridCol w:w="1113"/>
        <w:gridCol w:w="155"/>
        <w:gridCol w:w="1327"/>
      </w:tblGrid>
      <w:tr>
        <w:trPr/>
        <w:tc>
          <w:tcPr>
            <w:tcW w:w="26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1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2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6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95" w:type="dxa"/>
            <w:gridSpan w:val="3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Three Months Ended March 31,</w:t>
            </w:r>
          </w:p>
        </w:tc>
      </w:tr>
      <w:tr>
        <w:trPr/>
        <w:tc>
          <w:tcPr>
            <w:tcW w:w="265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(in thousands)</w:t>
            </w:r>
          </w:p>
        </w:tc>
        <w:tc>
          <w:tcPr>
            <w:tcW w:w="1113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2026</w:t>
            </w:r>
          </w:p>
        </w:tc>
        <w:tc>
          <w:tcPr>
            <w:tcW w:w="155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27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2025</w:t>
            </w:r>
          </w:p>
        </w:tc>
      </w:tr>
      <w:tr>
        <w:trPr/>
        <w:tc>
          <w:tcPr>
            <w:tcW w:w="265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Number of shares repurchased</w:t>
            </w:r>
          </w:p>
        </w:tc>
        <w:tc>
          <w:tcPr>
            <w:tcW w:w="1113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5,536</w:t>
            </w:r>
          </w:p>
        </w:tc>
        <w:tc>
          <w:tcPr>
            <w:tcW w:w="15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27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23,340</w:t>
            </w:r>
          </w:p>
        </w:tc>
      </w:tr>
      <w:tr>
        <w:trPr/>
        <w:tc>
          <w:tcPr>
            <w:tcW w:w="265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Cost of shares repurchased</w:t>
            </w:r>
          </w:p>
        </w:tc>
        <w:tc>
          <w:tcPr>
            <w:tcW w:w="1113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$12,641</w:t>
            </w:r>
          </w:p>
        </w:tc>
        <w:tc>
          <w:tcPr>
            <w:tcW w:w="15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27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$100,920</w:t>
            </w:r>
          </w:p>
        </w:tc>
      </w:tr>
    </w:tbl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10</w:t>
      </w:r>
      <w:r>
        <w:rPr>
          <w:rFonts w:ascii="Arial;sans-serif" w:hAnsi="Arial;sans-serif"/>
          <w:b/>
          <w:i w:val="false"/>
          <w:caps w:val="false"/>
          <w:smallCaps w:val="false"/>
          <w:sz w:val="18"/>
          <w:u w:val="single"/>
        </w:rPr>
        <w:t xml:space="preserve">. 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Basic and Diluted Earnings Per Share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computation of earnings per share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for the three months ended March 31, 2026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and 2025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is as follows:</w:t>
      </w:r>
    </w:p>
    <w:tbl>
      <w:tblPr>
        <w:tblW w:w="727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4681"/>
        <w:gridCol w:w="1181"/>
        <w:gridCol w:w="164"/>
        <w:gridCol w:w="1249"/>
      </w:tblGrid>
      <w:tr>
        <w:trPr/>
        <w:tc>
          <w:tcPr>
            <w:tcW w:w="46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4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6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94" w:type="dxa"/>
            <w:gridSpan w:val="3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Three Months Ended March 31,</w:t>
            </w:r>
          </w:p>
        </w:tc>
      </w:tr>
      <w:tr>
        <w:trPr/>
        <w:tc>
          <w:tcPr>
            <w:tcW w:w="468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(in thousands, except per share amounts)</w:t>
            </w:r>
          </w:p>
        </w:tc>
        <w:tc>
          <w:tcPr>
            <w:tcW w:w="1181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2026</w:t>
            </w:r>
          </w:p>
        </w:tc>
        <w:tc>
          <w:tcPr>
            <w:tcW w:w="164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49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2025</w:t>
            </w:r>
          </w:p>
        </w:tc>
      </w:tr>
      <w:tr>
        <w:trPr/>
        <w:tc>
          <w:tcPr>
            <w:tcW w:w="46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Numerator:</w:t>
            </w:r>
          </w:p>
        </w:tc>
        <w:tc>
          <w:tcPr>
            <w:tcW w:w="118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4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49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6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Net income</w:t>
            </w:r>
          </w:p>
        </w:tc>
        <w:tc>
          <w:tcPr>
            <w:tcW w:w="11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$1,169</w:t>
            </w:r>
          </w:p>
        </w:tc>
        <w:tc>
          <w:tcPr>
            <w:tcW w:w="164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4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$11,052</w:t>
            </w:r>
          </w:p>
        </w:tc>
      </w:tr>
      <w:tr>
        <w:trPr/>
        <w:tc>
          <w:tcPr>
            <w:tcW w:w="46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Denominator:</w:t>
            </w:r>
          </w:p>
        </w:tc>
        <w:tc>
          <w:tcPr>
            <w:tcW w:w="11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4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4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6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Weighted average shares - basic</w:t>
            </w:r>
          </w:p>
        </w:tc>
        <w:tc>
          <w:tcPr>
            <w:tcW w:w="11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340,531</w:t>
            </w:r>
          </w:p>
        </w:tc>
        <w:tc>
          <w:tcPr>
            <w:tcW w:w="164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4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379,196</w:t>
            </w:r>
          </w:p>
        </w:tc>
      </w:tr>
      <w:tr>
        <w:trPr/>
        <w:tc>
          <w:tcPr>
            <w:tcW w:w="46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Dilutive impact of stock options and restricted stock units</w:t>
            </w:r>
          </w:p>
        </w:tc>
        <w:tc>
          <w:tcPr>
            <w:tcW w:w="1181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893</w:t>
            </w:r>
          </w:p>
        </w:tc>
        <w:tc>
          <w:tcPr>
            <w:tcW w:w="164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49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460</w:t>
            </w:r>
          </w:p>
        </w:tc>
      </w:tr>
      <w:tr>
        <w:trPr/>
        <w:tc>
          <w:tcPr>
            <w:tcW w:w="46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Weighted average shares - diluted</w:t>
            </w:r>
          </w:p>
        </w:tc>
        <w:tc>
          <w:tcPr>
            <w:tcW w:w="1181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341,424</w:t>
            </w:r>
          </w:p>
        </w:tc>
        <w:tc>
          <w:tcPr>
            <w:tcW w:w="164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49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379,656</w:t>
            </w:r>
          </w:p>
        </w:tc>
      </w:tr>
      <w:tr>
        <w:trPr/>
        <w:tc>
          <w:tcPr>
            <w:tcW w:w="46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Earnings per share:</w:t>
            </w:r>
          </w:p>
        </w:tc>
        <w:tc>
          <w:tcPr>
            <w:tcW w:w="1181" w:type="dxa"/>
            <w:tcBorders>
              <w:top w:val="doub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4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49" w:type="dxa"/>
            <w:tcBorders>
              <w:top w:val="doub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14</w:t>
      </w:r>
    </w:p>
    <w:p>
      <w:pPr>
        <w:pStyle w:val="TextBody"/>
        <w:bidi w:val="0"/>
        <w:spacing w:lineRule="atLeast" w:line="200" w:before="0" w:after="0"/>
        <w:jc w:val="left"/>
        <w:rPr/>
      </w:pPr>
      <w:hyperlink w:anchor="ie7567a6c939a4c249d5fb3b7378752d5_10">
        <w:r>
          <w:rPr>
            <w:rStyle w:val="InternetLink"/>
            <w:rFonts w:ascii="Arial;sans-serif" w:hAnsi="Arial;sans-serif"/>
            <w:b w:val="false"/>
            <w:i w:val="false"/>
            <w:caps w:val="false"/>
            <w:smallCaps w:val="false"/>
            <w:color w:val="0000FF"/>
            <w:sz w:val="20"/>
            <w:u w:val="single"/>
          </w:rPr>
          <w:t>Table of Contents</w:t>
        </w:r>
      </w:hyperlink>
    </w:p>
    <w:tbl>
      <w:tblPr>
        <w:tblW w:w="200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706"/>
        <w:gridCol w:w="571"/>
        <w:gridCol w:w="109"/>
        <w:gridCol w:w="616"/>
      </w:tblGrid>
      <w:tr>
        <w:trPr/>
        <w:tc>
          <w:tcPr>
            <w:tcW w:w="7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70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Basic</w:t>
            </w:r>
          </w:p>
        </w:tc>
        <w:tc>
          <w:tcPr>
            <w:tcW w:w="57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$0.00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$0.03</w:t>
            </w:r>
          </w:p>
        </w:tc>
      </w:tr>
      <w:tr>
        <w:trPr/>
        <w:tc>
          <w:tcPr>
            <w:tcW w:w="70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Diluted</w:t>
            </w:r>
          </w:p>
        </w:tc>
        <w:tc>
          <w:tcPr>
            <w:tcW w:w="57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$0.00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$0.03</w:t>
            </w:r>
          </w:p>
        </w:tc>
      </w:tr>
    </w:tbl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following weighted average potentially dilutive shares are excluded from the computation of diluted earnings per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share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for the periods presented because including them would have been antidilutive:</w:t>
      </w:r>
    </w:p>
    <w:tbl>
      <w:tblPr>
        <w:tblW w:w="586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271"/>
        <w:gridCol w:w="1165"/>
        <w:gridCol w:w="187"/>
        <w:gridCol w:w="1242"/>
      </w:tblGrid>
      <w:tr>
        <w:trPr/>
        <w:tc>
          <w:tcPr>
            <w:tcW w:w="32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8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4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2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94" w:type="dxa"/>
            <w:gridSpan w:val="3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Three Months Ended March 31,</w:t>
            </w:r>
          </w:p>
        </w:tc>
      </w:tr>
      <w:tr>
        <w:trPr/>
        <w:tc>
          <w:tcPr>
            <w:tcW w:w="327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(in thousands)</w:t>
            </w:r>
          </w:p>
        </w:tc>
        <w:tc>
          <w:tcPr>
            <w:tcW w:w="1165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2026</w:t>
            </w:r>
          </w:p>
        </w:tc>
        <w:tc>
          <w:tcPr>
            <w:tcW w:w="187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42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2025</w:t>
            </w:r>
          </w:p>
        </w:tc>
      </w:tr>
      <w:tr>
        <w:trPr/>
        <w:tc>
          <w:tcPr>
            <w:tcW w:w="327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Stock options and restricted stock units</w:t>
            </w:r>
          </w:p>
        </w:tc>
        <w:tc>
          <w:tcPr>
            <w:tcW w:w="1165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45,896</w:t>
            </w:r>
          </w:p>
        </w:tc>
        <w:tc>
          <w:tcPr>
            <w:tcW w:w="187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42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41,161</w:t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15</w:t>
      </w:r>
    </w:p>
    <w:p>
      <w:pPr>
        <w:pStyle w:val="TextBody"/>
        <w:bidi w:val="0"/>
        <w:spacing w:lineRule="atLeast" w:line="200" w:before="0" w:after="0"/>
        <w:jc w:val="left"/>
        <w:rPr/>
      </w:pPr>
      <w:hyperlink w:anchor="ie7567a6c939a4c249d5fb3b7378752d5_10">
        <w:r>
          <w:rPr>
            <w:rStyle w:val="InternetLink"/>
            <w:rFonts w:ascii="Arial;sans-serif" w:hAnsi="Arial;sans-serif"/>
            <w:b w:val="false"/>
            <w:i w:val="false"/>
            <w:caps w:val="false"/>
            <w:smallCaps w:val="false"/>
            <w:color w:val="0000FF"/>
            <w:sz w:val="20"/>
            <w:u w:val="single"/>
          </w:rPr>
          <w:t>Table of Contents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18"/>
          <w:u w:val="single"/>
        </w:rPr>
        <w:t>Item 2. Management’s Discussion and Analysis of Financial Condition and Results of Operations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/>
          <w:sz w:val="18"/>
          <w:u w:val="single"/>
        </w:rPr>
        <w:t>You should read the following discussion and analysis of our financial condition and results of operations together with</w:t>
      </w:r>
      <w:r>
        <w:rPr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/>
          <w:sz w:val="18"/>
          <w:u w:val="single"/>
        </w:rPr>
        <w:t>our unaudited condensed consolidated financial statements and related notes included elsewhere in this Quarterly Report</w:t>
      </w:r>
      <w:r>
        <w:rPr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/>
          <w:sz w:val="18"/>
          <w:u w:val="single"/>
        </w:rPr>
        <w:t>on Form 10-Q, as well as Part II, Item 7, “Management’s Discussion and Analysis of Financial Condition and Results of</w:t>
      </w:r>
      <w:r>
        <w:rPr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/>
          <w:sz w:val="18"/>
          <w:u w:val="single"/>
        </w:rPr>
      </w:pPr>
      <w:r>
        <w:rPr>
          <w:rFonts w:ascii="Arial;sans-serif" w:hAnsi="Arial;sans-serif"/>
          <w:b w:val="false"/>
          <w:i/>
          <w:sz w:val="18"/>
          <w:u w:val="single"/>
        </w:rPr>
        <w:t>Operations” and Part II, Item 8, “Financial Statements and Supplementary Data” included in our Annual Report on Form 10-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/>
          <w:sz w:val="18"/>
          <w:u w:val="single"/>
        </w:rPr>
        <w:t xml:space="preserve">K for the fiscal year ended </w:t>
      </w:r>
      <w:r>
        <w:rPr>
          <w:rFonts w:ascii="Arial;sans-serif" w:hAnsi="Arial;sans-serif"/>
          <w:b w:val="false"/>
          <w:i/>
          <w:strike w:val="false"/>
          <w:dstrike w:val="false"/>
          <w:sz w:val="18"/>
          <w:u w:val="none"/>
          <w:effect w:val="none"/>
        </w:rPr>
        <w:t>December 31, 2025</w:t>
      </w:r>
      <w:r>
        <w:rPr>
          <w:sz w:val="24"/>
          <w:u w:val="single"/>
        </w:rPr>
        <w:t xml:space="preserve"> </w:t>
      </w:r>
      <w:r>
        <w:rPr>
          <w:rFonts w:ascii="Arial;sans-serif" w:hAnsi="Arial;sans-serif"/>
          <w:b w:val="false"/>
          <w:i/>
          <w:sz w:val="18"/>
          <w:u w:val="single"/>
        </w:rPr>
        <w:t xml:space="preserve">filed with the Securities and Exchange Commission ("SEC") on </w:t>
      </w:r>
      <w:r>
        <w:rPr>
          <w:rFonts w:ascii="Arial;sans-serif" w:hAnsi="Arial;sans-serif"/>
          <w:b w:val="false"/>
          <w:i/>
          <w:strike w:val="false"/>
          <w:dstrike w:val="false"/>
          <w:sz w:val="18"/>
          <w:u w:val="none"/>
          <w:effect w:val="none"/>
        </w:rPr>
        <w:t>February 26,</w:t>
      </w:r>
      <w:r>
        <w:rPr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/>
          <w:strike w:val="false"/>
          <w:dstrike w:val="false"/>
          <w:sz w:val="18"/>
          <w:u w:val="none"/>
          <w:effect w:val="none"/>
        </w:rPr>
        <w:t>2026</w:t>
      </w:r>
      <w:r>
        <w:rPr>
          <w:sz w:val="24"/>
          <w:u w:val="single"/>
        </w:rPr>
        <w:t xml:space="preserve"> </w:t>
      </w:r>
      <w:r>
        <w:rPr>
          <w:rFonts w:ascii="Arial;sans-serif" w:hAnsi="Arial;sans-serif"/>
          <w:b w:val="false"/>
          <w:i/>
          <w:sz w:val="18"/>
          <w:u w:val="single"/>
        </w:rPr>
        <w:t>(“</w:t>
      </w:r>
      <w:r>
        <w:rPr>
          <w:rFonts w:ascii="Arial;sans-serif" w:hAnsi="Arial;sans-serif"/>
          <w:b w:val="false"/>
          <w:i/>
          <w:strike w:val="false"/>
          <w:dstrike w:val="false"/>
          <w:sz w:val="18"/>
          <w:u w:val="none"/>
          <w:effect w:val="none"/>
        </w:rPr>
        <w:t>2025</w:t>
      </w:r>
      <w:r>
        <w:rPr>
          <w:sz w:val="24"/>
          <w:u w:val="single"/>
        </w:rPr>
        <w:t xml:space="preserve"> </w:t>
      </w:r>
      <w:r>
        <w:rPr>
          <w:rFonts w:ascii="Arial;sans-serif" w:hAnsi="Arial;sans-serif"/>
          <w:b w:val="false"/>
          <w:i/>
          <w:sz w:val="18"/>
          <w:u w:val="single"/>
        </w:rPr>
        <w:t>10-K”). This discussion contains forward-looking statements based upon current plans, expectations and beliefs</w:t>
      </w:r>
      <w:r>
        <w:rPr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/>
          <w:sz w:val="18"/>
          <w:u w:val="single"/>
        </w:rPr>
        <w:t>involving risks and uncertainties. Our actual results may differ materially from those anticipated in these forward-looking</w:t>
      </w:r>
      <w:r>
        <w:rPr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/>
          <w:sz w:val="18"/>
          <w:u w:val="single"/>
        </w:rPr>
        <w:t xml:space="preserve">statements as a result of various factors, including those set forth in the "Risk Factors" sections of our </w:t>
      </w:r>
      <w:r>
        <w:rPr>
          <w:rFonts w:ascii="Arial;sans-serif" w:hAnsi="Arial;sans-serif"/>
          <w:b w:val="false"/>
          <w:i/>
          <w:strike w:val="false"/>
          <w:dstrike w:val="false"/>
          <w:sz w:val="18"/>
          <w:u w:val="none"/>
          <w:effect w:val="none"/>
        </w:rPr>
        <w:t>2025</w:t>
      </w:r>
      <w:r>
        <w:rPr>
          <w:sz w:val="24"/>
          <w:u w:val="single"/>
        </w:rPr>
        <w:t xml:space="preserve"> </w:t>
      </w:r>
      <w:r>
        <w:rPr>
          <w:rFonts w:ascii="Arial;sans-serif" w:hAnsi="Arial;sans-serif"/>
          <w:b w:val="false"/>
          <w:i/>
          <w:sz w:val="18"/>
          <w:u w:val="single"/>
        </w:rPr>
        <w:t>10-K and this</w:t>
      </w:r>
      <w:r>
        <w:rPr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/>
          <w:sz w:val="18"/>
          <w:u w:val="single"/>
        </w:rPr>
        <w:t>Quarterly Report on Form 10-Q and other factors set forth in other parts of this Quarterly Report on Form 10-Q and our</w:t>
      </w:r>
      <w:r>
        <w:rPr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/>
          <w:sz w:val="18"/>
          <w:u w:val="single"/>
        </w:rPr>
      </w:pPr>
      <w:r>
        <w:rPr>
          <w:rFonts w:ascii="Arial;sans-serif" w:hAnsi="Arial;sans-serif"/>
          <w:b w:val="false"/>
          <w:i/>
          <w:sz w:val="18"/>
          <w:u w:val="single"/>
        </w:rPr>
        <w:t>filings with the SEC.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18"/>
          <w:u w:val="single"/>
        </w:rPr>
        <w:t>Glossary of Selected Terminology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As used in this Quarterly Report on Form 10-Q, unless the context otherwise requires, references to: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caps w:val="false"/>
          <w:smallCaps w:val="false"/>
          <w:u w:val="single"/>
        </w:rPr>
        <w:t>•“</w:t>
      </w:r>
      <w:r>
        <w:rPr>
          <w:rFonts w:ascii="Arial;sans-serif" w:hAnsi="Arial;sans-serif"/>
          <w:b/>
          <w:i/>
          <w:sz w:val="18"/>
          <w:u w:val="single"/>
        </w:rPr>
        <w:t>we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,” “</w:t>
      </w:r>
      <w:r>
        <w:rPr>
          <w:rFonts w:ascii="Arial;sans-serif" w:hAnsi="Arial;sans-serif"/>
          <w:b/>
          <w:i/>
          <w:sz w:val="18"/>
          <w:u w:val="single"/>
        </w:rPr>
        <w:t>us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,” “</w:t>
      </w:r>
      <w:r>
        <w:rPr>
          <w:rFonts w:ascii="Arial;sans-serif" w:hAnsi="Arial;sans-serif"/>
          <w:b/>
          <w:i/>
          <w:sz w:val="18"/>
          <w:u w:val="single"/>
        </w:rPr>
        <w:t>our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,” “</w:t>
      </w:r>
      <w:r>
        <w:rPr>
          <w:rFonts w:ascii="Arial;sans-serif" w:hAnsi="Arial;sans-serif"/>
          <w:b/>
          <w:i/>
          <w:sz w:val="18"/>
          <w:u w:val="single"/>
        </w:rPr>
        <w:t>GoodRx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,” and similar references refer to GoodRx Holdings, Inc. and its consolidated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subsidiaries.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caps w:val="false"/>
          <w:smallCaps w:val="false"/>
          <w:u w:val="single"/>
        </w:rPr>
        <w:t>•“</w:t>
      </w:r>
      <w:r>
        <w:rPr>
          <w:rFonts w:ascii="Arial;sans-serif" w:hAnsi="Arial;sans-serif"/>
          <w:b/>
          <w:i/>
          <w:sz w:val="18"/>
          <w:u w:val="single"/>
        </w:rPr>
        <w:t>consumers</w:t>
      </w:r>
      <w:r>
        <w:rPr>
          <w:u w:val="single"/>
        </w:rPr>
        <w:t>”</w:t>
      </w:r>
      <w:r>
        <w:rPr>
          <w:caps w:val="false"/>
          <w:smallCaps w:val="false"/>
          <w:u w:val="singl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refer to the general population in the United States that uses or otherwise purchases healthcare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products and services. References to “</w:t>
      </w:r>
      <w:r>
        <w:rPr>
          <w:rFonts w:ascii="Arial;sans-serif" w:hAnsi="Arial;sans-serif"/>
          <w:b/>
          <w:i/>
          <w:sz w:val="18"/>
          <w:u w:val="single"/>
        </w:rPr>
        <w:t>our consumers</w:t>
      </w:r>
      <w:r>
        <w:rPr>
          <w:caps w:val="false"/>
          <w:smallCaps w:val="false"/>
          <w:u w:val="single"/>
        </w:rPr>
        <w:t xml:space="preserve">”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or “</w:t>
      </w:r>
      <w:r>
        <w:rPr>
          <w:rFonts w:ascii="Arial;sans-serif" w:hAnsi="Arial;sans-serif"/>
          <w:b/>
          <w:i/>
          <w:sz w:val="18"/>
          <w:u w:val="single"/>
        </w:rPr>
        <w:t>GoodRx consumers</w:t>
      </w:r>
      <w:r>
        <w:rPr>
          <w:caps w:val="false"/>
          <w:smallCaps w:val="false"/>
          <w:u w:val="single"/>
        </w:rPr>
        <w:t xml:space="preserve">”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refer to consumers that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have used one or more of our offerings.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caps w:val="false"/>
          <w:smallCaps w:val="false"/>
          <w:u w:val="single"/>
        </w:rPr>
        <w:t>•“</w:t>
      </w:r>
      <w:r>
        <w:rPr>
          <w:rFonts w:ascii="Arial;sans-serif" w:hAnsi="Arial;sans-serif"/>
          <w:b/>
          <w:i/>
          <w:sz w:val="18"/>
          <w:u w:val="single"/>
        </w:rPr>
        <w:t>discounted price</w:t>
      </w:r>
      <w:r>
        <w:rPr>
          <w:caps w:val="false"/>
          <w:smallCaps w:val="false"/>
          <w:u w:val="single"/>
        </w:rPr>
        <w:t xml:space="preserve">”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refers to a price for a prescription provided on our platform that represents a negotiated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rate provided by one of our PBM partners at a retail pharmacy or under a direct contract with one of our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partner pharmacies. Through our platform, our discounted prices are free to access for consumers by saving a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GoodRx code to their mobile device for their selected prescription and presenting it at the chosen pharmacy.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The term “discounted price” excludes prices we may otherwise source, such as prices from patient assistance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programs for low-income individuals and Medicare prices, and any negotiated rates offered through our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subscription offerings.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caps w:val="false"/>
          <w:smallCaps w:val="false"/>
          <w:u w:val="single"/>
        </w:rPr>
        <w:t>•“</w:t>
      </w:r>
      <w:r>
        <w:rPr>
          <w:rFonts w:ascii="Arial;sans-serif" w:hAnsi="Arial;sans-serif"/>
          <w:b/>
          <w:i/>
          <w:sz w:val="18"/>
          <w:u w:val="single"/>
        </w:rPr>
        <w:t>GoodRx code</w:t>
      </w:r>
      <w:r>
        <w:rPr>
          <w:u w:val="single"/>
        </w:rPr>
        <w:t>”</w:t>
      </w:r>
      <w:r>
        <w:rPr>
          <w:caps w:val="false"/>
          <w:smallCaps w:val="false"/>
          <w:u w:val="singl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refers to codes that can be accessed by our consumers through our apps or websites or that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can be provided to our consumers directly by healthcare professionals, including physicians and pharmacists,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that allow our consumers free access to our discounted prices or a lower list price for their prescriptions when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such code is presented at their chosen pharmacy.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caps w:val="false"/>
          <w:smallCaps w:val="false"/>
          <w:u w:val="single"/>
        </w:rPr>
        <w:t>•“</w:t>
      </w:r>
      <w:r>
        <w:rPr>
          <w:rFonts w:ascii="Arial;sans-serif" w:hAnsi="Arial;sans-serif"/>
          <w:b/>
          <w:i/>
          <w:sz w:val="18"/>
          <w:u w:val="single"/>
        </w:rPr>
        <w:t>Monthly Active Consumers</w:t>
      </w:r>
      <w:r>
        <w:rPr>
          <w:u w:val="single"/>
        </w:rPr>
        <w:t>”</w:t>
      </w:r>
      <w:r>
        <w:rPr>
          <w:caps w:val="false"/>
          <w:smallCaps w:val="false"/>
          <w:u w:val="singl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refers to the number of unique consumers who have used a GoodRx code to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purchase a prescription medication in a given calendar month and have saved money compared to the list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price of the medication. A unique consumer who uses a GoodRx code more than once in a calendar month to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purchase prescription medications is only counted as one Monthly Active Consumer in that month. A unique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consumer who uses a GoodRx code in two or three calendar months within a quarter will be counted as a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Monthly Active Consumer in each such month. Monthly Active Consumers do not include subscribers to our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subscription offerings, consumers of our GoodRx Pharma Direct ("Pharma Direct") offering, or consumers who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used our telehealth offering. When presented for a period longer than a month, Monthly Active Consumers is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averaged over the number of calendar months in such period. For example, a unique consumer who uses a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GoodRx code twice in January, but who did not use our prescription transactions offering again in February or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March, is counted as 1 in January and as 0 in both February and March, thus contributing 0.33 to our Monthly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Active Consumers for such quarter (average of 1, 0 and 0). A unique consumer who uses a GoodRx code in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January and in March, but did not use our prescription transactions offering in February, would be counted as 1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in January, 0 in February and 1 in March, thus contributing 0.66 to our Monthly Active Consumers for such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quarter. Effective January 1, 2025, Monthly Active Consumers from acquired companies are included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beginning from the acquisition date.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caps w:val="false"/>
          <w:smallCaps w:val="false"/>
          <w:u w:val="singl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"</w:t>
      </w:r>
      <w:r>
        <w:rPr>
          <w:rFonts w:ascii="Arial;sans-serif" w:hAnsi="Arial;sans-serif"/>
          <w:b/>
          <w:i/>
          <w:sz w:val="18"/>
          <w:u w:val="single"/>
        </w:rPr>
        <w:t>partner pharmacies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" refers to select licensed pharmacies with whom we have direct contractual agreements.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caps w:val="false"/>
          <w:smallCaps w:val="false"/>
          <w:u w:val="single"/>
        </w:rPr>
        <w:t>•“</w:t>
      </w:r>
      <w:r>
        <w:rPr>
          <w:rFonts w:ascii="Arial;sans-serif" w:hAnsi="Arial;sans-serif"/>
          <w:b/>
          <w:i/>
          <w:sz w:val="18"/>
          <w:u w:val="single"/>
        </w:rPr>
        <w:t>PBM</w:t>
      </w:r>
      <w:r>
        <w:rPr>
          <w:u w:val="single"/>
        </w:rPr>
        <w:t>”</w:t>
      </w:r>
      <w:r>
        <w:rPr>
          <w:caps w:val="false"/>
          <w:smallCaps w:val="false"/>
          <w:u w:val="singl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refers to a pharmacy benefit manager. PBMs aggregate demand to negotiate prescription medication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prices with pharmacies and pharma manufacturers. PBMs find most of their demand through relationships with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insurance companies and employers. However, nearly all PBMs also have consumer direct or cash network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pricing that they negotiate with pharmacies for consumers who choose to purchase prescriptions outside of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insurance.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caps w:val="false"/>
          <w:smallCaps w:val="false"/>
          <w:u w:val="single"/>
        </w:rPr>
        <w:t>•“</w:t>
      </w:r>
      <w:r>
        <w:rPr>
          <w:rFonts w:ascii="Arial;sans-serif" w:hAnsi="Arial;sans-serif"/>
          <w:b/>
          <w:i/>
          <w:sz w:val="18"/>
          <w:u w:val="single"/>
        </w:rPr>
        <w:t>pharma</w:t>
      </w:r>
      <w:r>
        <w:rPr>
          <w:caps w:val="false"/>
          <w:smallCaps w:val="false"/>
          <w:u w:val="single"/>
        </w:rPr>
        <w:t xml:space="preserve">”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is an abbreviation for pharmaceutical.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caps w:val="false"/>
          <w:smallCaps w:val="false"/>
          <w:u w:val="single"/>
        </w:rPr>
        <w:t>•“</w:t>
      </w:r>
      <w:r>
        <w:rPr>
          <w:rFonts w:ascii="Arial;sans-serif" w:hAnsi="Arial;sans-serif"/>
          <w:b/>
          <w:i/>
          <w:sz w:val="18"/>
          <w:u w:val="single"/>
        </w:rPr>
        <w:t>savings,</w:t>
      </w:r>
      <w:r>
        <w:rPr>
          <w:u w:val="single"/>
        </w:rPr>
        <w:t>”</w:t>
      </w:r>
      <w:r>
        <w:rPr>
          <w:caps w:val="false"/>
          <w:smallCaps w:val="false"/>
          <w:u w:val="single"/>
        </w:rPr>
        <w:t xml:space="preserve"> “</w:t>
      </w:r>
      <w:r>
        <w:rPr>
          <w:rFonts w:ascii="Arial;sans-serif" w:hAnsi="Arial;sans-serif"/>
          <w:b/>
          <w:i/>
          <w:sz w:val="18"/>
          <w:u w:val="single"/>
        </w:rPr>
        <w:t>saved</w:t>
      </w:r>
      <w:r>
        <w:rPr>
          <w:u w:val="single"/>
        </w:rPr>
        <w:t>”</w:t>
      </w:r>
      <w:r>
        <w:rPr>
          <w:caps w:val="false"/>
          <w:smallCaps w:val="false"/>
          <w:u w:val="singl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and similar references refer to the difference between the list price for a particular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prescription at a particular pharmacy and the price paid by the GoodRx consumer for that prescription utilizing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a GoodRx code available through our platform at that same pharmacy. In certain circumstances, we may show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a list price on our platform when such list price is lower than the negotiated price available using a GoodRx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code and, in certain circumstances, a consumer may use a GoodRx code and pay the list price at a pharmacy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if such list price is lower than the negotiated price available using a GoodRx code. We do not earn revenue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16</w:t>
      </w:r>
    </w:p>
    <w:p>
      <w:pPr>
        <w:pStyle w:val="TextBody"/>
        <w:bidi w:val="0"/>
        <w:spacing w:lineRule="atLeast" w:line="200" w:before="0" w:after="0"/>
        <w:jc w:val="left"/>
        <w:rPr/>
      </w:pPr>
      <w:hyperlink w:anchor="ie7567a6c939a4c249d5fb3b7378752d5_10">
        <w:r>
          <w:rPr>
            <w:rStyle w:val="InternetLink"/>
            <w:rFonts w:ascii="Arial;sans-serif" w:hAnsi="Arial;sans-serif"/>
            <w:b w:val="false"/>
            <w:i w:val="false"/>
            <w:caps w:val="false"/>
            <w:smallCaps w:val="false"/>
            <w:color w:val="0000FF"/>
            <w:sz w:val="20"/>
            <w:u w:val="single"/>
          </w:rPr>
          <w:t>Table of Contents</w:t>
        </w:r>
      </w:hyperlink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from such transactions, but our savings calculation includes an estimate of the savings achieved by the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consumer because our platform has directed the consumer to the pharmacy with the low list price. This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estimate of savings when the consumer pays the list price is based on internal data and is calculated as the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difference between the average list price across all pharmacies where GoodRx consumers paid the list price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and the average list price paid by consumers in the pharmacies to which we directed them. We do not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calculate savings based on insurance prices as we do not have information about a consumer’s specific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coverage or price. We do not believe savings are representative or indicative of our revenue or results of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operations.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caps w:val="false"/>
          <w:smallCaps w:val="false"/>
          <w:u w:val="single"/>
        </w:rPr>
        <w:t>•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>“</w:t>
      </w:r>
      <w:r>
        <w:rPr>
          <w:rFonts w:ascii="Arial;sans-serif" w:hAnsi="Arial;sans-serif"/>
          <w:b/>
          <w:i/>
          <w:strike w:val="false"/>
          <w:dstrike w:val="false"/>
          <w:sz w:val="18"/>
          <w:u w:val="none"/>
          <w:effect w:val="none"/>
        </w:rPr>
        <w:t>subscribers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”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and similar references refer to our consumers that are subscribed to our subscription offerings,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GoodRx Gold (“</w:t>
      </w:r>
      <w:r>
        <w:rPr>
          <w:rFonts w:ascii="Arial;sans-serif" w:hAnsi="Arial;sans-serif"/>
          <w:b/>
          <w:i/>
          <w:strike w:val="false"/>
          <w:dstrike w:val="false"/>
          <w:sz w:val="18"/>
          <w:u w:val="none"/>
          <w:effect w:val="none"/>
        </w:rPr>
        <w:t>Gold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>”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), condition-specific subscription programs which first launched in June 2025, and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RxSmartSaver+ powered by GoodRx ("</w:t>
      </w:r>
      <w:r>
        <w:rPr>
          <w:rFonts w:ascii="Arial;sans-serif" w:hAnsi="Arial;sans-serif"/>
          <w:b/>
          <w:i/>
          <w:strike w:val="false"/>
          <w:dstrike w:val="false"/>
          <w:sz w:val="18"/>
          <w:u w:val="none"/>
          <w:effect w:val="none"/>
        </w:rPr>
        <w:t>RxSmartSaver+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") which launched in July 2025. References to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subscription plans as of a particular date represent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an active subscription to any one of our aforementioned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subscription offerings as of the specified date. For Gold and RxSmartSaver+, each subscription plan may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represent more than one subscriber since family subscription plans may include multiple members.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Certain monetary amounts, percentages, and other figures included in this Quarterly Report on Form 10-Q have been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subject to rounding adjustments. Percentage amounts included in this Quarterly Report on Form 10-Q have not in all cases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been calculated on the basis of such rounded figures, but on the basis of such amounts prior to rounding. For this reason,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percentage amounts in this Quarterly Report on Form 10-Q may vary from those obtained by performing the same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calculations using the figures in our condensed consolidated financial statements included elsewhere in this Quarterly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Report on Form 10-Q. Certain other amounts that appear in this Quarterly Report on Form 10-Q may not sum due to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rounding.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18"/>
        </w:rPr>
        <w:t>Overview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Our mission is to help Americans save time and money when filling their medications. To achieve this, we are building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 xml:space="preserve">the leading consumer-focused digital healthcare platform in the United States.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For example, in the first quarter of 2026, we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announced the launch of Employer Direct, a new platform designed to help employers address gaps in traditional insurance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coverage by pairing their existing benefits with integrated cash pricing in order to expand affordability and access for their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employees. We also continued to grow our consumer direct pricing and announced a collaboration with a pharmaceutical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manufacturer to offer eligible patients nationwide access to certain medications, including Lipitor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2"/>
          <w:u w:val="none"/>
          <w:effect w:val="none"/>
        </w:rPr>
        <w:t>®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, Celebrex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2"/>
          <w:u w:val="none"/>
          <w:effect w:val="none"/>
        </w:rPr>
        <w:t>®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, Viagra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2"/>
          <w:u w:val="none"/>
          <w:effect w:val="none"/>
        </w:rPr>
        <w:t>®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, and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Norvasc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2"/>
          <w:u w:val="none"/>
          <w:effect w:val="none"/>
        </w:rPr>
        <w:t>®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, at a significantly lower cash price through our platform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.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With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respect to the healthcare landscape, change has become a constant with positive and negative impacts on our</w:t>
      </w:r>
      <w:r>
        <w:rPr>
          <w:caps w:val="false"/>
          <w:smallCaps w:val="false"/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business. Widening coverage gaps, elevated out-of-pocket costs, and a growing uninsured population are increasing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demand for pricing transparency and affordability solutions. As a result, cost is becoming a more significant factor earlier in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the patient journey, with consumers and providers actively evaluating cost before prescribing and filling, pharma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manufacturers expanding direct-to-consumer strategies, employers seeking solutions for high-cost therapies, and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pharmacies adapting to more transparent, digitally enabled fulfillment models. As these dynamics evolve, how affordability is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presented and experienced by consumers is becoming increasingly important, shaping not just awareness, but whether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patients ultimately move forward with treatments. Separately, as previously described in Part II, Item 7, “Management’s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 xml:space="preserve">Discussion and Analysis of Financial Condition and Results of Operations” included in our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2025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 xml:space="preserve">10-K,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certain major drug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producers and manufacturers have negotiated or are in negotiations with the current Presidential administration to receive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relief from the potential imposition of a 100% tariff on any branded or patented pharmaceutical product produced outside of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United States. As a result of these negotiations, certain manufacturers have announced their participation in a new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government sponsored direct-to-consumer platform called “TrumpRx.gov” ("TrumpRx"), which was launched in February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2026 and is designed to offer consumers discounts on their products and some specialty brands. GoodRx is a key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integration partner for pharma manufacturers offering discounted cash prices on TrumpRx at launch. We are observing early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utilization of the platform, with initial demand concentrated in GLP-1 therapies. Based on preliminary data, this utilization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appears to be incremental, expanding access to new patients rather than displacing existing demand. The potential impact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of TrumpRx on our business, offerings, or results of operations remains uncertain and could be material. With the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introduction of these federal initiatives, including the renewed focus on Most-Favored-Nation pricing, the market is shifting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decisively toward greater transparency and direct-to-consumer access. For us, this evolution is both an opportunity and a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clear validation of our mission.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Conversely, we have seen rapid changes in the U.S. retail pharmacy landscape with announcements of store closures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and reduction of footprint from various retail pharmacies, including Rite Aid and Walgreens. In early May 2025, Rite Aid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announced its plan to pursue a sale of substantially all of its assets through a voluntary bankruptcy process. Consequently,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we saw several PBMs remove Rite Aid from their networks, causing immediate cessation in the associated claims volume,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as well as rapid store closures, which altogether adversely impacted our ability to recapture these claims in the near term.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As an extension of the changing retail pharmacy landscape, we have seen and continue to expect heightened renegotiations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between pharmacies and PBMs, including changes in retailer reimbursement models, as a result of the pharmacies'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increased focus on rationalizing their spending. Furthermore, in the second quarter of 2025, we saw a material volume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reduction in one of our integrated savings programs, which integrate our competitive discounts and pricing in a seamless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experience at the pharmacy counter for eligible plan members served by certain PBM partners. Integrated savings programs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17</w:t>
      </w:r>
    </w:p>
    <w:p>
      <w:pPr>
        <w:pStyle w:val="TextBody"/>
        <w:bidi w:val="0"/>
        <w:spacing w:lineRule="atLeast" w:line="200" w:before="0" w:after="0"/>
        <w:jc w:val="left"/>
        <w:rPr/>
      </w:pPr>
      <w:hyperlink w:anchor="ie7567a6c939a4c249d5fb3b7378752d5_10">
        <w:r>
          <w:rPr>
            <w:rStyle w:val="InternetLink"/>
            <w:rFonts w:ascii="Arial;sans-serif" w:hAnsi="Arial;sans-serif"/>
            <w:b w:val="false"/>
            <w:i w:val="false"/>
            <w:caps w:val="false"/>
            <w:smallCaps w:val="false"/>
            <w:color w:val="0000FF"/>
            <w:sz w:val="20"/>
            <w:u w:val="single"/>
          </w:rPr>
          <w:t>Table of Contents</w:t>
        </w:r>
      </w:hyperlink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are operated through PBMs who decide how to implement and manage these programs. These external factors have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adversely impacted our prescription transactions revenue, financial results, and Monthly Active Consumers that we expect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will continue in the near term and are reflected in our year-over-year comparative results below.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While our prescription transactions offering remains foundational, given the evolving dynamics of prescription access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and pharmacy economics, including the growing relevance of self-pay and direct-to-consumer distribution models, we are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continuing to position our Pharma Direct offering as a key driver of growth. As these programs scale, our focus is shifting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from launch to how affordability is surfaced and discovered by consumers, and we are developing new ways for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manufacturers to engage patients on GoodRx. When manufacturers utilize GoodRx as a channel, these programs are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accessible across our nationwide pharmacy network, supporting consumer choice and access. As we increase investment in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our Pharma Direct as well as subscription offerings, we expect near-term impact on our prescription transactions unit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economics and revenue in 2026. Accordingly, while this transition may impact near-term financial performance, we believe it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 xml:space="preserve">enhances our long-term growth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prospects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and ability to create sustainable value.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 xml:space="preserve">For the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three months ended March 31, 2026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 xml:space="preserve">as compared to the same period of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2025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: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caps w:val="false"/>
          <w:smallCaps w:val="false"/>
          <w:u w:val="singl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 xml:space="preserve">Revenue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decreased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 xml:space="preserve">to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$194.0 million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 xml:space="preserve">from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$203.0 million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;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caps w:val="false"/>
          <w:smallCaps w:val="false"/>
          <w:u w:val="singl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Net income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 xml:space="preserve">and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net income margin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 xml:space="preserve">were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$1.2 million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 xml:space="preserve">and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0.6%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 xml:space="preserve">, respectively, compared to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$11.1 million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and</w:t>
      </w:r>
      <w:r>
        <w:rPr>
          <w:caps w:val="false"/>
          <w:smallCaps w:val="false"/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5.4%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, respectively; and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caps w:val="false"/>
          <w:smallCaps w:val="false"/>
          <w:u w:val="singl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 xml:space="preserve">Adjusted EBITDA and Adjusted EBITDA Margin were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$58.3 million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 xml:space="preserve">and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30.0%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 xml:space="preserve">, respectively, compared to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$69.8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million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 xml:space="preserve">and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34.4%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, respectively.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 xml:space="preserve">Revenue,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net income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 xml:space="preserve">and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net income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margin are financial measures prepared in conformity with accounting principles</w:t>
      </w:r>
      <w:r>
        <w:rPr>
          <w:caps w:val="false"/>
          <w:smallCaps w:val="false"/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generally accepted in the United States ("GAAP"). Adjusted EBITDA and Adjusted EBITDA Margin are non-GAAP financial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measures. For a reconciliation and presentation of Adjusted EBITDA and Adjusted EBITDA Margin to the most directly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comparable GAAP financial measures, information about why we consider Adjusted EBITDA and Adjusted EBITDA Margin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useful and a discussion of the material risks and limitations of these measures, please see “Key Financial and Operating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Metrics—Non-GAAP Financial Measures" below.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18"/>
        </w:rPr>
        <w:t>Key Financial and Operating Metrics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We use Monthly Active Consumers, subscription plans, Adjusted EBITDA and Adjusted EBITDA Margin to assess our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performance, make strategic and offering decisions and build our financial projections. The number of Monthly Active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Consumers and subscription plans are key indicators of the scale of our consumer base and a gauge for our marketing and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engagement efforts. We believe these operating metrics reflect our scale, growth and engagement with consumers. As our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 xml:space="preserve">business continues to evolve, we are reassessing the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Monthly Active Consumers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metric as a primary indicator of</w:t>
      </w:r>
      <w:r>
        <w:rPr>
          <w:caps w:val="false"/>
          <w:smallCaps w:val="false"/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performance to ensure it aligns with how we measure growth and profitability.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/>
          <w:i/>
          <w:sz w:val="18"/>
          <w:u w:val="single"/>
        </w:rPr>
      </w:pPr>
      <w:r>
        <w:rPr>
          <w:rFonts w:ascii="Arial;sans-serif" w:hAnsi="Arial;sans-serif"/>
          <w:b/>
          <w:i/>
          <w:sz w:val="18"/>
          <w:u w:val="single"/>
        </w:rPr>
        <w:t>Monthly Active Consumers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The factors described in the "Overview" section have adversely impacted our Monthly Active Consumers beginning in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the second quarter of 2025.</w:t>
      </w:r>
    </w:p>
    <w:tbl>
      <w:tblPr>
        <w:tblW w:w="765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296"/>
        <w:gridCol w:w="856"/>
        <w:gridCol w:w="109"/>
        <w:gridCol w:w="1171"/>
        <w:gridCol w:w="109"/>
        <w:gridCol w:w="1231"/>
        <w:gridCol w:w="109"/>
        <w:gridCol w:w="766"/>
        <w:gridCol w:w="109"/>
        <w:gridCol w:w="901"/>
      </w:tblGrid>
      <w:tr>
        <w:trPr/>
        <w:tc>
          <w:tcPr>
            <w:tcW w:w="22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361" w:type="dxa"/>
            <w:gridSpan w:val="9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Three Months Ended</w:t>
            </w:r>
          </w:p>
        </w:tc>
      </w:tr>
      <w:tr>
        <w:trPr/>
        <w:tc>
          <w:tcPr>
            <w:tcW w:w="229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(in millions)</w:t>
            </w:r>
          </w:p>
        </w:tc>
        <w:tc>
          <w:tcPr>
            <w:tcW w:w="856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March 31,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2026</w:t>
            </w:r>
          </w:p>
        </w:tc>
        <w:tc>
          <w:tcPr>
            <w:tcW w:w="109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December 31,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2025</w:t>
            </w:r>
          </w:p>
        </w:tc>
        <w:tc>
          <w:tcPr>
            <w:tcW w:w="109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31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September 30,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2025</w:t>
            </w:r>
          </w:p>
        </w:tc>
        <w:tc>
          <w:tcPr>
            <w:tcW w:w="109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6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June 30,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2025</w:t>
            </w:r>
          </w:p>
        </w:tc>
        <w:tc>
          <w:tcPr>
            <w:tcW w:w="109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1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March 31,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2025</w:t>
            </w:r>
          </w:p>
        </w:tc>
      </w:tr>
      <w:tr>
        <w:trPr/>
        <w:tc>
          <w:tcPr>
            <w:tcW w:w="229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Monthly Active Consumers</w:t>
            </w:r>
          </w:p>
        </w:tc>
        <w:tc>
          <w:tcPr>
            <w:tcW w:w="856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5.3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5.3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3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5.4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6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5.7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6.4</w:t>
            </w:r>
          </w:p>
        </w:tc>
      </w:tr>
    </w:tbl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/>
          <w:i/>
          <w:sz w:val="18"/>
          <w:u w:val="single"/>
        </w:rPr>
      </w:pPr>
      <w:r>
        <w:rPr>
          <w:rFonts w:ascii="Arial;sans-serif" w:hAnsi="Arial;sans-serif"/>
          <w:b/>
          <w:i/>
          <w:sz w:val="18"/>
          <w:u w:val="single"/>
        </w:rPr>
        <w:t>Subscription Plans</w:t>
      </w:r>
    </w:p>
    <w:tbl>
      <w:tblPr>
        <w:tblW w:w="699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636"/>
        <w:gridCol w:w="856"/>
        <w:gridCol w:w="109"/>
        <w:gridCol w:w="1171"/>
        <w:gridCol w:w="109"/>
        <w:gridCol w:w="1231"/>
        <w:gridCol w:w="109"/>
        <w:gridCol w:w="766"/>
        <w:gridCol w:w="109"/>
        <w:gridCol w:w="901"/>
      </w:tblGrid>
      <w:tr>
        <w:trPr/>
        <w:tc>
          <w:tcPr>
            <w:tcW w:w="16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361" w:type="dxa"/>
            <w:gridSpan w:val="9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As of</w:t>
            </w:r>
          </w:p>
        </w:tc>
      </w:tr>
      <w:tr>
        <w:trPr/>
        <w:tc>
          <w:tcPr>
            <w:tcW w:w="163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(in thousands)</w:t>
            </w:r>
          </w:p>
        </w:tc>
        <w:tc>
          <w:tcPr>
            <w:tcW w:w="856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March 31,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2026</w:t>
            </w:r>
          </w:p>
        </w:tc>
        <w:tc>
          <w:tcPr>
            <w:tcW w:w="109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December 31,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2025</w:t>
            </w:r>
          </w:p>
        </w:tc>
        <w:tc>
          <w:tcPr>
            <w:tcW w:w="109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31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September 30,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2025</w:t>
            </w:r>
          </w:p>
        </w:tc>
        <w:tc>
          <w:tcPr>
            <w:tcW w:w="109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6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June 30,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2025</w:t>
            </w:r>
          </w:p>
        </w:tc>
        <w:tc>
          <w:tcPr>
            <w:tcW w:w="109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1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March 31,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2025</w:t>
            </w:r>
          </w:p>
        </w:tc>
      </w:tr>
      <w:tr>
        <w:trPr/>
        <w:tc>
          <w:tcPr>
            <w:tcW w:w="163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Subscription plans</w:t>
            </w:r>
          </w:p>
        </w:tc>
        <w:tc>
          <w:tcPr>
            <w:tcW w:w="856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717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674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3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671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6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668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680</w:t>
            </w:r>
          </w:p>
        </w:tc>
      </w:tr>
    </w:tbl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/>
          <w:i/>
          <w:sz w:val="18"/>
          <w:u w:val="single"/>
        </w:rPr>
      </w:pPr>
      <w:r>
        <w:rPr>
          <w:rFonts w:ascii="Arial;sans-serif" w:hAnsi="Arial;sans-serif"/>
          <w:b/>
          <w:i/>
          <w:sz w:val="18"/>
          <w:u w:val="single"/>
        </w:rPr>
        <w:t>Non-GAAP Financial Measures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Adjusted EBITDA and Adjusted EBITDA Margin are key measures we use to assess our financial performance and are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also used for internal planning and forecasting purposes. We believe Adjusted EBITDA and Adjusted EBITDA Margin are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helpful to investors, analysts and other interested parties because they can assist in providing a more consistent and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18</w:t>
      </w:r>
    </w:p>
    <w:p>
      <w:pPr>
        <w:pStyle w:val="TextBody"/>
        <w:bidi w:val="0"/>
        <w:spacing w:lineRule="atLeast" w:line="200" w:before="0" w:after="0"/>
        <w:jc w:val="left"/>
        <w:rPr/>
      </w:pPr>
      <w:hyperlink w:anchor="ie7567a6c939a4c249d5fb3b7378752d5_10">
        <w:r>
          <w:rPr>
            <w:rStyle w:val="InternetLink"/>
            <w:rFonts w:ascii="Arial;sans-serif" w:hAnsi="Arial;sans-serif"/>
            <w:b w:val="false"/>
            <w:i w:val="false"/>
            <w:caps w:val="false"/>
            <w:smallCaps w:val="false"/>
            <w:color w:val="0000FF"/>
            <w:sz w:val="20"/>
            <w:u w:val="single"/>
          </w:rPr>
          <w:t>Table of Contents</w:t>
        </w:r>
      </w:hyperlink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comparable overview of our operations across our historical financial periods. In addition, these measures are frequently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used by analysts, investors and other interested parties to evaluate and assess performance.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We define Adjusted EBITDA for a particular period as net income or loss before interest, taxes, depreciation and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amortization, and as further adjusted, as applicable, for acquisition related expenses, stock-based compensation expense,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payroll tax expense related to stock-based compensation, loss on extinguishment of debt, financing related expenses, loss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on operating lease assets, restructuring related expenses, legal settlement expenses, gain on sale of business and other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income or expense, net. These excluded items are either non-cash charges or such that we believe they do not represent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our underlying core operating performance and that their exclusion provides investors with a better understanding of the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factors and trends affecting our business. Adjusted EBITDA Margin represents Adjusted EBITDA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as a percentage of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Adjusted Revenue. Adjusted Revenue is a non-GAAP financial measure defined as revenue excluding client contract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termination costs associated with restructuring related activities. We exclude these costs from revenue because we believe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they are not indicative of past or future underlying performance of the business. For the three months ended March 31, 2026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and 2025, revenue equaled Adjusted Revenue.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Adjusted EBITDA and Adjusted EBITDA Margin are non-GAAP financial measures and are presented for supplemental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informational purposes only and should not be considered as alternatives or substitutes to financial information presented in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accordance with GAAP. These measures have certain limitations in that they do not include the impact of certain costs that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are reflected in our condensed consolidated statements of operations that are necessary to run our business. Other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companies, including other companies in our industry, may not use these measures or may calculate these measures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differently than as presented in this Quarterly Report on Form 10-Q, limiting their usefulness as comparative measures.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 xml:space="preserve">The following table presents a reconciliation of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net income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, the most directly comparable financial measure calculated in</w:t>
      </w:r>
      <w:r>
        <w:rPr>
          <w:caps w:val="false"/>
          <w:smallCaps w:val="false"/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 xml:space="preserve">accordance with GAAP, to Adjusted EBITDA, and presents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net income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margin, the most directly comparable financial</w:t>
      </w:r>
      <w:r>
        <w:rPr>
          <w:caps w:val="false"/>
          <w:smallCaps w:val="false"/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measure calculated in accordance with GAAP, with Adjusted EBITDA Margin:</w:t>
      </w:r>
    </w:p>
    <w:tbl>
      <w:tblPr>
        <w:tblW w:w="736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4771"/>
        <w:gridCol w:w="1194"/>
        <w:gridCol w:w="146"/>
        <w:gridCol w:w="1254"/>
      </w:tblGrid>
      <w:tr>
        <w:trPr/>
        <w:tc>
          <w:tcPr>
            <w:tcW w:w="47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9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7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94" w:type="dxa"/>
            <w:gridSpan w:val="3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Three Months Ended March 31,</w:t>
            </w:r>
          </w:p>
        </w:tc>
      </w:tr>
      <w:tr>
        <w:trPr/>
        <w:tc>
          <w:tcPr>
            <w:tcW w:w="477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(dollars in thousands)</w:t>
            </w:r>
          </w:p>
        </w:tc>
        <w:tc>
          <w:tcPr>
            <w:tcW w:w="1194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2026</w:t>
            </w:r>
          </w:p>
        </w:tc>
        <w:tc>
          <w:tcPr>
            <w:tcW w:w="146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54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2025</w:t>
            </w:r>
          </w:p>
        </w:tc>
      </w:tr>
      <w:tr>
        <w:trPr/>
        <w:tc>
          <w:tcPr>
            <w:tcW w:w="477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Net income</w:t>
            </w:r>
          </w:p>
        </w:tc>
        <w:tc>
          <w:tcPr>
            <w:tcW w:w="1194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$1,169</w:t>
            </w:r>
          </w:p>
        </w:tc>
        <w:tc>
          <w:tcPr>
            <w:tcW w:w="14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54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$11,052</w:t>
            </w:r>
          </w:p>
        </w:tc>
      </w:tr>
      <w:tr>
        <w:trPr/>
        <w:tc>
          <w:tcPr>
            <w:tcW w:w="477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Adjusted to exclude the following:</w:t>
            </w:r>
          </w:p>
        </w:tc>
        <w:tc>
          <w:tcPr>
            <w:tcW w:w="1194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54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77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Interest income</w:t>
            </w:r>
          </w:p>
        </w:tc>
        <w:tc>
          <w:tcPr>
            <w:tcW w:w="1194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(1,397)</w:t>
            </w:r>
          </w:p>
        </w:tc>
        <w:tc>
          <w:tcPr>
            <w:tcW w:w="14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54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(3,932)</w:t>
            </w:r>
          </w:p>
        </w:tc>
      </w:tr>
      <w:tr>
        <w:trPr/>
        <w:tc>
          <w:tcPr>
            <w:tcW w:w="477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Interest expense</w:t>
            </w:r>
          </w:p>
        </w:tc>
        <w:tc>
          <w:tcPr>
            <w:tcW w:w="1194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9,767</w:t>
            </w:r>
          </w:p>
        </w:tc>
        <w:tc>
          <w:tcPr>
            <w:tcW w:w="14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54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10,644</w:t>
            </w:r>
          </w:p>
        </w:tc>
      </w:tr>
      <w:tr>
        <w:trPr/>
        <w:tc>
          <w:tcPr>
            <w:tcW w:w="477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Income tax expense</w:t>
            </w:r>
          </w:p>
        </w:tc>
        <w:tc>
          <w:tcPr>
            <w:tcW w:w="1194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4,470</w:t>
            </w:r>
          </w:p>
        </w:tc>
        <w:tc>
          <w:tcPr>
            <w:tcW w:w="14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54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5,616</w:t>
            </w:r>
          </w:p>
        </w:tc>
      </w:tr>
      <w:tr>
        <w:trPr/>
        <w:tc>
          <w:tcPr>
            <w:tcW w:w="477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Depreciation and amortization</w:t>
            </w:r>
          </w:p>
        </w:tc>
        <w:tc>
          <w:tcPr>
            <w:tcW w:w="1194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21,792</w:t>
            </w:r>
          </w:p>
        </w:tc>
        <w:tc>
          <w:tcPr>
            <w:tcW w:w="14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54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20,912</w:t>
            </w:r>
          </w:p>
        </w:tc>
      </w:tr>
      <w:tr>
        <w:trPr/>
        <w:tc>
          <w:tcPr>
            <w:tcW w:w="477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 xml:space="preserve">Acquisition related expenses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2"/>
              </w:rPr>
              <w:t>(1)</w:t>
            </w:r>
          </w:p>
        </w:tc>
        <w:tc>
          <w:tcPr>
            <w:tcW w:w="1194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252</w:t>
            </w:r>
          </w:p>
        </w:tc>
        <w:tc>
          <w:tcPr>
            <w:tcW w:w="14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54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26</w:t>
            </w:r>
          </w:p>
        </w:tc>
      </w:tr>
      <w:tr>
        <w:trPr/>
        <w:tc>
          <w:tcPr>
            <w:tcW w:w="477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 xml:space="preserve">Restructuring related expenses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2"/>
              </w:rPr>
              <w:t>(2)</w:t>
            </w:r>
          </w:p>
        </w:tc>
        <w:tc>
          <w:tcPr>
            <w:tcW w:w="1194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5,286</w:t>
            </w:r>
          </w:p>
        </w:tc>
        <w:tc>
          <w:tcPr>
            <w:tcW w:w="14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54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1,219</w:t>
            </w:r>
          </w:p>
        </w:tc>
      </w:tr>
      <w:tr>
        <w:trPr/>
        <w:tc>
          <w:tcPr>
            <w:tcW w:w="477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Stock-based compensation expense</w:t>
            </w:r>
          </w:p>
        </w:tc>
        <w:tc>
          <w:tcPr>
            <w:tcW w:w="1194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16,509</w:t>
            </w:r>
          </w:p>
        </w:tc>
        <w:tc>
          <w:tcPr>
            <w:tcW w:w="14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54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19,174</w:t>
            </w:r>
          </w:p>
        </w:tc>
      </w:tr>
      <w:tr>
        <w:trPr/>
        <w:tc>
          <w:tcPr>
            <w:tcW w:w="477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Payroll tax expense related to stock-based compensation</w:t>
            </w:r>
          </w:p>
        </w:tc>
        <w:tc>
          <w:tcPr>
            <w:tcW w:w="1194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422</w:t>
            </w:r>
          </w:p>
        </w:tc>
        <w:tc>
          <w:tcPr>
            <w:tcW w:w="14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54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685</w:t>
            </w:r>
          </w:p>
        </w:tc>
      </w:tr>
      <w:tr>
        <w:trPr/>
        <w:tc>
          <w:tcPr>
            <w:tcW w:w="477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 xml:space="preserve">Loss on operating lease asset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2"/>
              </w:rPr>
              <w:t>(3)</w:t>
            </w:r>
          </w:p>
        </w:tc>
        <w:tc>
          <w:tcPr>
            <w:tcW w:w="1194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4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54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4,409</w:t>
            </w:r>
          </w:p>
        </w:tc>
      </w:tr>
      <w:tr>
        <w:trPr/>
        <w:tc>
          <w:tcPr>
            <w:tcW w:w="477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Adjusted EBITDA</w:t>
            </w:r>
          </w:p>
        </w:tc>
        <w:tc>
          <w:tcPr>
            <w:tcW w:w="1194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$58,270</w:t>
            </w:r>
          </w:p>
        </w:tc>
        <w:tc>
          <w:tcPr>
            <w:tcW w:w="14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54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$69,805</w:t>
            </w:r>
          </w:p>
        </w:tc>
      </w:tr>
      <w:tr>
        <w:trPr/>
        <w:tc>
          <w:tcPr>
            <w:tcW w:w="477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94" w:type="dxa"/>
            <w:tcBorders>
              <w:top w:val="doub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54" w:type="dxa"/>
            <w:tcBorders>
              <w:top w:val="doub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77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Revenue</w:t>
            </w:r>
          </w:p>
        </w:tc>
        <w:tc>
          <w:tcPr>
            <w:tcW w:w="1194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$194,006</w:t>
            </w:r>
          </w:p>
        </w:tc>
        <w:tc>
          <w:tcPr>
            <w:tcW w:w="14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54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$202,970</w:t>
            </w:r>
          </w:p>
        </w:tc>
      </w:tr>
      <w:tr>
        <w:trPr/>
        <w:tc>
          <w:tcPr>
            <w:tcW w:w="477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Net income margin</w:t>
            </w:r>
          </w:p>
        </w:tc>
        <w:tc>
          <w:tcPr>
            <w:tcW w:w="1194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0.6%</w:t>
            </w:r>
          </w:p>
        </w:tc>
        <w:tc>
          <w:tcPr>
            <w:tcW w:w="14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54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5.4%</w:t>
            </w:r>
          </w:p>
        </w:tc>
      </w:tr>
      <w:tr>
        <w:trPr/>
        <w:tc>
          <w:tcPr>
            <w:tcW w:w="477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Adjusted EBITDA Margin</w:t>
            </w:r>
          </w:p>
        </w:tc>
        <w:tc>
          <w:tcPr>
            <w:tcW w:w="1194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30.0%</w:t>
            </w:r>
          </w:p>
        </w:tc>
        <w:tc>
          <w:tcPr>
            <w:tcW w:w="14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54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34.4%</w:t>
            </w:r>
          </w:p>
        </w:tc>
      </w:tr>
    </w:tbl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>_____________________________________________________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(1)Acquisition related expenses principally include costs for actual or planned acquisitions including related third-party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fees, legal, consulting and other expenditures, and as applicable, severance costs and retention or performance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bonuses to employees related to acquisitions. From time to time, acquisition related expenses may also include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similar transaction related costs for business dispositions.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(2)Restructuring related expenses include costs for various workforce optimization and organizational changes to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better align with our strategic goals and future scale including employee severance and other personnel related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costs, and as applicable, contract termination costs, and losses from the disposal of certain technology and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capitalized software.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(3)Loss on operating lease asset represents losses incurred from time to time relating to the impairment or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abandonment of leased office space.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18"/>
        </w:rPr>
        <w:t>Components of our Results of Operations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 xml:space="preserve">For a description of the components of our results of operations, refer to Note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2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to our audited consolidated financial</w:t>
      </w:r>
      <w:r>
        <w:rPr>
          <w:caps w:val="false"/>
          <w:smallCaps w:val="false"/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 xml:space="preserve">statements included in our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2025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10-K. In addition, for a description of primary drivers that may cause our revenue, costs and</w:t>
      </w:r>
      <w:r>
        <w:rPr>
          <w:caps w:val="false"/>
          <w:smallCaps w:val="false"/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19</w:t>
      </w:r>
    </w:p>
    <w:p>
      <w:pPr>
        <w:pStyle w:val="TextBody"/>
        <w:bidi w:val="0"/>
        <w:spacing w:lineRule="atLeast" w:line="200" w:before="0" w:after="0"/>
        <w:jc w:val="left"/>
        <w:rPr/>
      </w:pPr>
      <w:hyperlink w:anchor="ie7567a6c939a4c249d5fb3b7378752d5_10">
        <w:r>
          <w:rPr>
            <w:rStyle w:val="InternetLink"/>
            <w:rFonts w:ascii="Arial;sans-serif" w:hAnsi="Arial;sans-serif"/>
            <w:b w:val="false"/>
            <w:i w:val="false"/>
            <w:caps w:val="false"/>
            <w:smallCaps w:val="false"/>
            <w:color w:val="0000FF"/>
            <w:sz w:val="20"/>
            <w:u w:val="single"/>
          </w:rPr>
          <w:t>Table of Contents</w:t>
        </w:r>
      </w:hyperlink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operating expenses to fluctuate from period to period, including seasonality, refer to Part II, Item 7, “Management’s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 xml:space="preserve">Discussion and Analysis of Financial Condition and Results of Operations” included in our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2025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10-K.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18"/>
        </w:rPr>
        <w:t>Results of Operations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 xml:space="preserve">The following table sets forth our results of operations for the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three months ended March 31, 2026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 xml:space="preserve">and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2025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:</w:t>
      </w:r>
    </w:p>
    <w:tbl>
      <w:tblPr>
        <w:tblW w:w="949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166"/>
        <w:gridCol w:w="901"/>
        <w:gridCol w:w="109"/>
        <w:gridCol w:w="961"/>
        <w:gridCol w:w="109"/>
        <w:gridCol w:w="901"/>
        <w:gridCol w:w="109"/>
        <w:gridCol w:w="961"/>
        <w:gridCol w:w="109"/>
        <w:gridCol w:w="976"/>
        <w:gridCol w:w="109"/>
        <w:gridCol w:w="1081"/>
      </w:tblGrid>
      <w:tr>
        <w:trPr/>
        <w:tc>
          <w:tcPr>
            <w:tcW w:w="31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16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(dollars in thousands)</w:t>
            </w:r>
          </w:p>
        </w:tc>
        <w:tc>
          <w:tcPr>
            <w:tcW w:w="901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 xml:space="preserve">Three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 xml:space="preserve">Months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Ended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 xml:space="preserve">March 31,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2026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1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 xml:space="preserve">% of Total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Revenue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1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 xml:space="preserve">Three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 xml:space="preserve">Months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Ended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 xml:space="preserve">March 31,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2025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1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 xml:space="preserve">% of Total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Revenue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Change ($)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Change (%)</w:t>
            </w:r>
          </w:p>
        </w:tc>
      </w:tr>
      <w:tr>
        <w:trPr/>
        <w:tc>
          <w:tcPr>
            <w:tcW w:w="316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Revenue:</w:t>
            </w:r>
          </w:p>
        </w:tc>
        <w:tc>
          <w:tcPr>
            <w:tcW w:w="90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16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Prescription transactions revenue</w:t>
            </w:r>
          </w:p>
        </w:tc>
        <w:tc>
          <w:tcPr>
            <w:tcW w:w="90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$113,692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59%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$148,923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73%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$(35,231)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(24%)</w:t>
            </w:r>
          </w:p>
        </w:tc>
      </w:tr>
      <w:tr>
        <w:trPr/>
        <w:tc>
          <w:tcPr>
            <w:tcW w:w="316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Subscription revenue</w:t>
            </w:r>
          </w:p>
        </w:tc>
        <w:tc>
          <w:tcPr>
            <w:tcW w:w="90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24,393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13%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21,017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10%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3,376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16%</w:t>
            </w:r>
          </w:p>
        </w:tc>
      </w:tr>
      <w:tr>
        <w:trPr/>
        <w:tc>
          <w:tcPr>
            <w:tcW w:w="316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Pharma Direct revenue</w:t>
            </w:r>
          </w:p>
        </w:tc>
        <w:tc>
          <w:tcPr>
            <w:tcW w:w="90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52,230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27%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28,648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14%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23,582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82%</w:t>
            </w:r>
          </w:p>
        </w:tc>
      </w:tr>
      <w:tr>
        <w:trPr/>
        <w:tc>
          <w:tcPr>
            <w:tcW w:w="316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Other revenue</w:t>
            </w:r>
          </w:p>
        </w:tc>
        <w:tc>
          <w:tcPr>
            <w:tcW w:w="901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3,691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2%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1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4,382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2%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(691)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(16%)</w:t>
            </w:r>
          </w:p>
        </w:tc>
      </w:tr>
      <w:tr>
        <w:trPr/>
        <w:tc>
          <w:tcPr>
            <w:tcW w:w="316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Total revenue</w:t>
            </w:r>
          </w:p>
        </w:tc>
        <w:tc>
          <w:tcPr>
            <w:tcW w:w="901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194,006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1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202,970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16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Costs and operating expenses:</w:t>
            </w:r>
          </w:p>
        </w:tc>
        <w:tc>
          <w:tcPr>
            <w:tcW w:w="90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16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Cost of revenue, exclusive of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depreciation and amortization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presented separately below</w:t>
            </w:r>
          </w:p>
        </w:tc>
        <w:tc>
          <w:tcPr>
            <w:tcW w:w="90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20,156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10%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13,364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7%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6,792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51%</w:t>
            </w:r>
          </w:p>
        </w:tc>
      </w:tr>
      <w:tr>
        <w:trPr/>
        <w:tc>
          <w:tcPr>
            <w:tcW w:w="316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Product development and technology</w:t>
            </w:r>
          </w:p>
        </w:tc>
        <w:tc>
          <w:tcPr>
            <w:tcW w:w="90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30,177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16%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31,142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15%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(965)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(3%)</w:t>
            </w:r>
          </w:p>
        </w:tc>
      </w:tr>
      <w:tr>
        <w:trPr/>
        <w:tc>
          <w:tcPr>
            <w:tcW w:w="316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Sales and marketing</w:t>
            </w:r>
          </w:p>
        </w:tc>
        <w:tc>
          <w:tcPr>
            <w:tcW w:w="90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81,053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42%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84,542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42%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(3,489)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(4%)</w:t>
            </w:r>
          </w:p>
        </w:tc>
      </w:tr>
      <w:tr>
        <w:trPr/>
        <w:tc>
          <w:tcPr>
            <w:tcW w:w="316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General and administrative</w:t>
            </w:r>
          </w:p>
        </w:tc>
        <w:tc>
          <w:tcPr>
            <w:tcW w:w="90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26,819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14%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29,630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15%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(2,811)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(9%)</w:t>
            </w:r>
          </w:p>
        </w:tc>
      </w:tr>
      <w:tr>
        <w:trPr/>
        <w:tc>
          <w:tcPr>
            <w:tcW w:w="316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Depreciation and amortization</w:t>
            </w:r>
          </w:p>
        </w:tc>
        <w:tc>
          <w:tcPr>
            <w:tcW w:w="901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21,792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11%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1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20,912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10%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880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4%</w:t>
            </w:r>
          </w:p>
        </w:tc>
      </w:tr>
      <w:tr>
        <w:trPr/>
        <w:tc>
          <w:tcPr>
            <w:tcW w:w="316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Total costs and operating expenses</w:t>
            </w:r>
          </w:p>
        </w:tc>
        <w:tc>
          <w:tcPr>
            <w:tcW w:w="901" w:type="dxa"/>
            <w:tcBorders>
              <w:top w:val="single" w:sz="8" w:space="0" w:color="000000"/>
              <w:bottom w:val="sing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179,997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1" w:type="dxa"/>
            <w:tcBorders>
              <w:top w:val="single" w:sz="8" w:space="0" w:color="000000"/>
              <w:bottom w:val="sing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179,590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16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Operating income</w:t>
            </w:r>
          </w:p>
        </w:tc>
        <w:tc>
          <w:tcPr>
            <w:tcW w:w="901" w:type="dxa"/>
            <w:tcBorders>
              <w:top w:val="single" w:sz="8" w:space="0" w:color="000000"/>
              <w:bottom w:val="sing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14,009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1" w:type="dxa"/>
            <w:tcBorders>
              <w:top w:val="single" w:sz="8" w:space="0" w:color="000000"/>
              <w:bottom w:val="sing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23,380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16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Other expense, net:</w:t>
            </w:r>
          </w:p>
        </w:tc>
        <w:tc>
          <w:tcPr>
            <w:tcW w:w="90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16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Interest income</w:t>
            </w:r>
          </w:p>
        </w:tc>
        <w:tc>
          <w:tcPr>
            <w:tcW w:w="90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1,397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1%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3,932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2%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(2,535)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(64%)</w:t>
            </w:r>
          </w:p>
        </w:tc>
      </w:tr>
      <w:tr>
        <w:trPr/>
        <w:tc>
          <w:tcPr>
            <w:tcW w:w="316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Interest expense</w:t>
            </w:r>
          </w:p>
        </w:tc>
        <w:tc>
          <w:tcPr>
            <w:tcW w:w="901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(9,767)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5%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1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(10,644)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5%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877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(8%)</w:t>
            </w:r>
          </w:p>
        </w:tc>
      </w:tr>
      <w:tr>
        <w:trPr/>
        <w:tc>
          <w:tcPr>
            <w:tcW w:w="316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Total other expense, net</w:t>
            </w:r>
          </w:p>
        </w:tc>
        <w:tc>
          <w:tcPr>
            <w:tcW w:w="901" w:type="dxa"/>
            <w:tcBorders>
              <w:top w:val="single" w:sz="8" w:space="0" w:color="000000"/>
              <w:bottom w:val="sing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(8,370)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1" w:type="dxa"/>
            <w:tcBorders>
              <w:top w:val="single" w:sz="8" w:space="0" w:color="000000"/>
              <w:bottom w:val="sing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(6,712)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16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Income before income taxes</w:t>
            </w:r>
          </w:p>
        </w:tc>
        <w:tc>
          <w:tcPr>
            <w:tcW w:w="90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5,639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16,668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16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Income tax expense</w:t>
            </w:r>
          </w:p>
        </w:tc>
        <w:tc>
          <w:tcPr>
            <w:tcW w:w="901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(4,470)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2%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1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(5,616)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3%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1,146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(20%)</w:t>
            </w:r>
          </w:p>
        </w:tc>
      </w:tr>
      <w:tr>
        <w:trPr/>
        <w:tc>
          <w:tcPr>
            <w:tcW w:w="316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Net income</w:t>
            </w:r>
          </w:p>
        </w:tc>
        <w:tc>
          <w:tcPr>
            <w:tcW w:w="901" w:type="dxa"/>
            <w:tcBorders>
              <w:top w:val="sing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$1,169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1" w:type="dxa"/>
            <w:tcBorders>
              <w:top w:val="sing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$11,052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/>
          <w:i/>
          <w:sz w:val="18"/>
        </w:rPr>
      </w:pPr>
      <w:r>
        <w:rPr>
          <w:rFonts w:ascii="Arial;sans-serif" w:hAnsi="Arial;sans-serif"/>
          <w:b/>
          <w:i/>
          <w:sz w:val="18"/>
        </w:rPr>
        <w:t>Revenue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>All of our revenue has been generated in the United States.</w:t>
      </w:r>
    </w:p>
    <w:p>
      <w:pPr>
        <w:pStyle w:val="TextBody"/>
        <w:bidi w:val="0"/>
        <w:spacing w:lineRule="atLeast" w:line="22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 xml:space="preserve">Prescription transactions revenue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decreased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$35.2 million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 xml:space="preserve">, or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24%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 xml:space="preserve">, year-over-year, primarily driven by a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decrease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in the</w:t>
      </w:r>
      <w:r>
        <w:rPr>
          <w:caps w:val="false"/>
          <w:smallCaps w:val="false"/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number of our Monthly Active Consumers due to the broader changes in the retail pharmacy landscape including store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 xml:space="preserve">closures and volume reduction in one of our integrated savings programs as discussed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above. The year-over-year decrease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was also due to lower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unit economics which we expect to continue in the near-term as w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e made deliberate decisions to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favor long-term durability and certainty.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The impact from these factors was partially offset by r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evenue contribution from our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2025 acquisitions which provided a 3% year-on-year increase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in prescription transactions revenue.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 xml:space="preserve">Subscription revenue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increased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$3.4 million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 xml:space="preserve">, or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16%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, year-over-year, primarily driven by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introduction of our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condition-specific subscription programs beginning in the second quarter of 2025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and a related increase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in the number of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subscription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plans with 717 thousand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 xml:space="preserve">subscription plans as of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March 31, 2026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 xml:space="preserve">compared to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680 thousand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 xml:space="preserve">as of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March 31,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2025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.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Pharma Direct revenue increased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$23.6 million, or 82%, year-over-year, driven by organic growth as we continued to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expand our market penetration with pharma manufacturers and other customers, in particular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consumer direct pricing.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20</w:t>
      </w:r>
    </w:p>
    <w:p>
      <w:pPr>
        <w:pStyle w:val="TextBody"/>
        <w:bidi w:val="0"/>
        <w:spacing w:lineRule="atLeast" w:line="200" w:before="0" w:after="0"/>
        <w:jc w:val="left"/>
        <w:rPr/>
      </w:pPr>
      <w:hyperlink w:anchor="ie7567a6c939a4c249d5fb3b7378752d5_10">
        <w:r>
          <w:rPr>
            <w:rStyle w:val="InternetLink"/>
            <w:rFonts w:ascii="Arial;sans-serif" w:hAnsi="Arial;sans-serif"/>
            <w:b w:val="false"/>
            <w:i w:val="false"/>
            <w:caps w:val="false"/>
            <w:smallCaps w:val="false"/>
            <w:color w:val="0000FF"/>
            <w:sz w:val="20"/>
            <w:u w:val="single"/>
          </w:rPr>
          <w:t>Table of Contents</w:t>
        </w:r>
      </w:hyperlink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/>
          <w:i/>
          <w:sz w:val="18"/>
        </w:rPr>
      </w:pPr>
      <w:r>
        <w:rPr>
          <w:rFonts w:ascii="Arial;sans-serif" w:hAnsi="Arial;sans-serif"/>
          <w:b/>
          <w:i/>
          <w:sz w:val="18"/>
        </w:rPr>
        <w:t>Costs and Operating Expenses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/>
          <w:strike w:val="false"/>
          <w:dstrike w:val="false"/>
          <w:sz w:val="18"/>
          <w:u w:val="none"/>
          <w:effect w:val="none"/>
        </w:rPr>
        <w:t>Cost of revenue, exclusive of depreciation and amortization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 xml:space="preserve">Cost of revenue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increased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$6.8 million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 xml:space="preserve">, or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51%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 xml:space="preserve">, year-over-year,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primarily driven by a $3.5 million increase in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prescription delivery costs from ScriptDrop, Inc., a business we acquired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in October 2025, a $3.0 million increase in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fulfillment costs for certain solutions provided to customers under our Pharma Direct offering, and a $2.5 million increase in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costs related to our condition-specific subscription programs. We expect cost of revenue to continue to grow on a year-on-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year basis in the near term as we continue to scale and expand our various offerings.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/>
          <w:sz w:val="18"/>
        </w:rPr>
      </w:pPr>
      <w:r>
        <w:rPr>
          <w:rFonts w:ascii="Arial;sans-serif" w:hAnsi="Arial;sans-serif"/>
          <w:b w:val="false"/>
          <w:i/>
          <w:sz w:val="18"/>
        </w:rPr>
        <w:t>Product development and technology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Product development and technology expenses remain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ed relatively flat year-over-year.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/>
          <w:sz w:val="18"/>
        </w:rPr>
      </w:pPr>
      <w:r>
        <w:rPr>
          <w:rFonts w:ascii="Arial;sans-serif" w:hAnsi="Arial;sans-serif"/>
          <w:b w:val="false"/>
          <w:i/>
          <w:sz w:val="18"/>
        </w:rPr>
        <w:t>Sales and marketing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 xml:space="preserve">Sales and marketing expenses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decreased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$3.5 million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 xml:space="preserve">, or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4%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 xml:space="preserve">, year-over-year, primarily driven by a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decrease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in</w:t>
      </w:r>
      <w:r>
        <w:rPr>
          <w:caps w:val="false"/>
          <w:smallCaps w:val="false"/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advertising expenses.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/>
          <w:sz w:val="18"/>
        </w:rPr>
      </w:pPr>
      <w:r>
        <w:rPr>
          <w:rFonts w:ascii="Arial;sans-serif" w:hAnsi="Arial;sans-serif"/>
          <w:b w:val="false"/>
          <w:i/>
          <w:sz w:val="18"/>
        </w:rPr>
        <w:t>General and administrative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 xml:space="preserve">General and administrative expenses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decreased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$2.8 million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 xml:space="preserve">, or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9%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, year-over-year, primarily driven by a $4.4 million</w:t>
      </w:r>
      <w:r>
        <w:rPr>
          <w:caps w:val="false"/>
          <w:smallCaps w:val="false"/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impairment loss related to a leased office space in 2025.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/>
          <w:sz w:val="18"/>
        </w:rPr>
      </w:pPr>
      <w:r>
        <w:rPr>
          <w:rFonts w:ascii="Arial;sans-serif" w:hAnsi="Arial;sans-serif"/>
          <w:b w:val="false"/>
          <w:i/>
          <w:sz w:val="18"/>
        </w:rPr>
        <w:t>Depreciation and amortization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 xml:space="preserve">Depreciation and amortization expenses remained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relatively flat year-over-year.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/>
          <w:i/>
          <w:sz w:val="18"/>
          <w:u w:val="single"/>
        </w:rPr>
      </w:pPr>
      <w:r>
        <w:rPr>
          <w:rFonts w:ascii="Arial;sans-serif" w:hAnsi="Arial;sans-serif"/>
          <w:b/>
          <w:i/>
          <w:sz w:val="18"/>
          <w:u w:val="single"/>
        </w:rPr>
        <w:t>Interest Income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 xml:space="preserve">Interest income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decreased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$2.5 million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 xml:space="preserve">, or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64%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, year-over-year, primarily due to lower average balance of cash</w:t>
      </w:r>
      <w:r>
        <w:rPr>
          <w:caps w:val="false"/>
          <w:smallCaps w:val="false"/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 xml:space="preserve">equivalents held in U.S. treasury securities money market funds and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lower interest rates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.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/>
          <w:i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/>
          <w:i/>
          <w:strike w:val="false"/>
          <w:dstrike w:val="false"/>
          <w:sz w:val="18"/>
          <w:u w:val="none"/>
          <w:effect w:val="none"/>
        </w:rPr>
        <w:t>Interest Expense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Interest expense remained relatively flat year-over-year.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/>
          <w:i/>
          <w:sz w:val="18"/>
        </w:rPr>
      </w:pPr>
      <w:r>
        <w:rPr>
          <w:rFonts w:ascii="Arial;sans-serif" w:hAnsi="Arial;sans-serif"/>
          <w:b/>
          <w:i/>
          <w:sz w:val="18"/>
        </w:rPr>
        <w:t>Income Taxes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 xml:space="preserve">For the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three months ended March 31, 2026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 xml:space="preserve">and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2025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 xml:space="preserve">, we had income tax expense of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$4.5 million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 xml:space="preserve">and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$5.6 million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,</w:t>
      </w:r>
      <w:r>
        <w:rPr>
          <w:caps w:val="false"/>
          <w:smallCaps w:val="false"/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 xml:space="preserve">respectively, and an effective income tax rate of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79.3%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 xml:space="preserve">and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33.7%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, respectively. The year-over-year decrease in income tax</w:t>
      </w:r>
      <w:r>
        <w:rPr>
          <w:caps w:val="false"/>
          <w:smallCaps w:val="false"/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expense was primarily driven by a decrease in income before income taxes, partially offset by an increase in the estimated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annual effective income tax rate and tax effects from our equity awards.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18"/>
        </w:rPr>
        <w:t>Liquidity and Capital Resources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Since our inception, we have financed our operations primarily through net cash provided by operating activities, equity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 xml:space="preserve">issuances, and borrowings under our long-term debt arrangements. As of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March 31, 2026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, our principal sources of liquidity</w:t>
      </w:r>
      <w:r>
        <w:rPr>
          <w:caps w:val="false"/>
          <w:smallCaps w:val="false"/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 xml:space="preserve">are our cash and cash equivalents and borrowings available under our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$88.0 million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secured revolving credit facility that</w:t>
      </w:r>
      <w:r>
        <w:rPr>
          <w:caps w:val="false"/>
          <w:smallCaps w:val="false"/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 xml:space="preserve">matures on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April 10, 2029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 xml:space="preserve">. As of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March 31, 2026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 xml:space="preserve">, we had cash and cash equivalents of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$235.7 million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 xml:space="preserve">and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$80.4 million</w:t>
      </w:r>
      <w:r>
        <w:rPr>
          <w:caps w:val="false"/>
          <w:smallCaps w:val="false"/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available under our revolving credit facility.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4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 xml:space="preserve">As of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March 31, 2026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 xml:space="preserve">, there were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no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material changes to our primary short-term and long-term requirements for liquidity</w:t>
      </w:r>
      <w:r>
        <w:rPr>
          <w:caps w:val="false"/>
          <w:smallCaps w:val="false"/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and capital or to our contractual commitments as disclosed in Part II, Item 7, "Management's Discussion and Analysis of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 xml:space="preserve">Financial Condition and Results of Operations" of our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2025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10-K.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Based on our current conditions, we believe that our net cash provided by operating activities and cash on hand will be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adequate to meet our operating, investing and financing needs for at least the next twelve months from the date of the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issuance of the accompanying unaudited condensed consolidated financial statements. Our future capital requirements will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depend on many factors, including the growth of our business, the timing and extent of investments, sales and marketing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 xml:space="preserve">activities, and many other factors as described in Part I, Item 1A, "Risk Factors" of our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2025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10-K.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If necessary, we may borrow funds under our revolving credit facility to finance our liquidity requirements, subject to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customary borrowing conditions. To the extent additional funds are necessary to meet our long-term liquidity needs as we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continue to execute our business strategy, we anticipate that they will be obtained through the incurrence of additional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21</w:t>
      </w:r>
    </w:p>
    <w:p>
      <w:pPr>
        <w:pStyle w:val="TextBody"/>
        <w:bidi w:val="0"/>
        <w:spacing w:lineRule="atLeast" w:line="200" w:before="0" w:after="0"/>
        <w:jc w:val="left"/>
        <w:rPr/>
      </w:pPr>
      <w:hyperlink w:anchor="ie7567a6c939a4c249d5fb3b7378752d5_10">
        <w:r>
          <w:rPr>
            <w:rStyle w:val="InternetLink"/>
            <w:rFonts w:ascii="Arial;sans-serif" w:hAnsi="Arial;sans-serif"/>
            <w:b w:val="false"/>
            <w:i w:val="false"/>
            <w:caps w:val="false"/>
            <w:smallCaps w:val="false"/>
            <w:color w:val="0000FF"/>
            <w:sz w:val="20"/>
            <w:u w:val="single"/>
          </w:rPr>
          <w:t>Table of Contents</w:t>
        </w:r>
      </w:hyperlink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indebtedness, additional equity financings or a combination of these potential sources of funds; however, such financing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may not be available on favorable terms, or at all. In particular, the current economic uncertainty, including rising inflation,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new or increased tariffs and socio-political events, has resulted in, and may continue to result in, significant disruption of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global financial markets, including rising interest rates, which could reduce our ability to access capital. If we are unable to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raise additional funds when needed or on the terms desired, our business, financial condition and results of operations could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be adversely affected.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/>
          <w:i/>
          <w:sz w:val="18"/>
        </w:rPr>
      </w:pPr>
      <w:r>
        <w:rPr>
          <w:rFonts w:ascii="Arial;sans-serif" w:hAnsi="Arial;sans-serif"/>
          <w:b/>
          <w:i/>
          <w:sz w:val="18"/>
        </w:rPr>
        <w:t>Holding Company Status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GoodRx Holdings, Inc. is a holding company that does not conduct any business operations of its own. As a result,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GoodRx Holdings, Inc. is largely dependent upon cash distributions and other transfers from its subsidiaries to meet its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obligations and to make future dividend payments, if any. Our existing debt arrangements contain covenants restricting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payments of dividends by our subsidiaries, including GoodRx, Inc., unless certain conditions are met. These covenants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provide for certain exceptions for specific types of payments. Based on these restrictions, all of the net assets of GoodRx,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 xml:space="preserve">Inc. were restricted pursuant to the terms of our debt arrangements as of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March 31, 2026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. Since the restricted net assets of</w:t>
      </w:r>
      <w:r>
        <w:rPr>
          <w:caps w:val="false"/>
          <w:smallCaps w:val="false"/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GoodRx, Inc. and its subsidiaries exceed 25% of our consolidated net assets, in accordance with Regulation S-X, see Note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18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 xml:space="preserve">to our consolidated financial statements included in our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2025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10-K for the condensed parent company financial</w:t>
      </w:r>
      <w:r>
        <w:rPr>
          <w:caps w:val="false"/>
          <w:smallCaps w:val="false"/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information of GoodRx Holdings, Inc.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/>
          <w:i/>
          <w:sz w:val="18"/>
        </w:rPr>
      </w:pPr>
      <w:r>
        <w:rPr>
          <w:rFonts w:ascii="Arial;sans-serif" w:hAnsi="Arial;sans-serif"/>
          <w:b/>
          <w:i/>
          <w:sz w:val="18"/>
        </w:rPr>
        <w:t>Cash Flows</w:t>
      </w:r>
    </w:p>
    <w:tbl>
      <w:tblPr>
        <w:tblW w:w="607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481"/>
        <w:gridCol w:w="1134"/>
        <w:gridCol w:w="137"/>
        <w:gridCol w:w="1323"/>
      </w:tblGrid>
      <w:tr>
        <w:trPr/>
        <w:tc>
          <w:tcPr>
            <w:tcW w:w="34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3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94" w:type="dxa"/>
            <w:gridSpan w:val="3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Three Months Ended March 31,</w:t>
            </w:r>
          </w:p>
        </w:tc>
      </w:tr>
      <w:tr>
        <w:trPr/>
        <w:tc>
          <w:tcPr>
            <w:tcW w:w="348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(in thousands)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2026</w:t>
            </w:r>
          </w:p>
        </w:tc>
        <w:tc>
          <w:tcPr>
            <w:tcW w:w="137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23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2025</w:t>
            </w:r>
          </w:p>
        </w:tc>
      </w:tr>
      <w:tr>
        <w:trPr/>
        <w:tc>
          <w:tcPr>
            <w:tcW w:w="34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Net cash provided by operating activities</w:t>
            </w:r>
          </w:p>
        </w:tc>
        <w:tc>
          <w:tcPr>
            <w:tcW w:w="1134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$11,838</w:t>
            </w:r>
          </w:p>
        </w:tc>
        <w:tc>
          <w:tcPr>
            <w:tcW w:w="137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23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$9,413</w:t>
            </w:r>
          </w:p>
        </w:tc>
      </w:tr>
      <w:tr>
        <w:trPr/>
        <w:tc>
          <w:tcPr>
            <w:tcW w:w="34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Net cash used in investing activities</w:t>
            </w:r>
          </w:p>
        </w:tc>
        <w:tc>
          <w:tcPr>
            <w:tcW w:w="1134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(21,644)</w:t>
            </w:r>
          </w:p>
        </w:tc>
        <w:tc>
          <w:tcPr>
            <w:tcW w:w="137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23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(51,876)</w:t>
            </w:r>
          </w:p>
        </w:tc>
      </w:tr>
      <w:tr>
        <w:trPr/>
        <w:tc>
          <w:tcPr>
            <w:tcW w:w="34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Net cash used in financing activities</w:t>
            </w:r>
          </w:p>
        </w:tc>
        <w:tc>
          <w:tcPr>
            <w:tcW w:w="1134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(16,304)</w:t>
            </w:r>
          </w:p>
        </w:tc>
        <w:tc>
          <w:tcPr>
            <w:tcW w:w="137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23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(104,902)</w:t>
            </w:r>
          </w:p>
        </w:tc>
      </w:tr>
      <w:tr>
        <w:trPr/>
        <w:tc>
          <w:tcPr>
            <w:tcW w:w="34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Net change in cash and cash equivalents</w:t>
            </w:r>
          </w:p>
        </w:tc>
        <w:tc>
          <w:tcPr>
            <w:tcW w:w="1134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$(26,110)</w:t>
            </w:r>
          </w:p>
        </w:tc>
        <w:tc>
          <w:tcPr>
            <w:tcW w:w="137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23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$(147,365)</w:t>
            </w:r>
          </w:p>
        </w:tc>
      </w:tr>
    </w:tbl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/>
          <w:sz w:val="18"/>
        </w:rPr>
      </w:pPr>
      <w:r>
        <w:rPr>
          <w:rFonts w:ascii="Arial;sans-serif" w:hAnsi="Arial;sans-serif"/>
          <w:b w:val="false"/>
          <w:i/>
          <w:sz w:val="18"/>
        </w:rPr>
        <w:t>Net cash provided by operating activities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 xml:space="preserve">The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$2.4 million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 xml:space="preserve">year-over-year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increase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 xml:space="preserve">in net cash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provided by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 xml:space="preserve">operations was driven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by a $14.1 million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decrease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in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cash outflow from changes in operating assets and liabilities, partially offset by a $11.6 million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decrease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in net income after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adjusting for non-cash adjustments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. Changes in operating assets and liabilities were principally driven by the timing of</w:t>
      </w:r>
      <w:r>
        <w:rPr>
          <w:caps w:val="false"/>
          <w:smallCaps w:val="false"/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collections of prescription reimbursement assets and accounts receivable, as well as payments of prescription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reimbursement liabilities, accrued expenses, and accounts payable.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/>
          <w:sz w:val="18"/>
        </w:rPr>
      </w:pPr>
      <w:r>
        <w:rPr>
          <w:rFonts w:ascii="Arial;sans-serif" w:hAnsi="Arial;sans-serif"/>
          <w:b w:val="false"/>
          <w:i/>
          <w:sz w:val="18"/>
        </w:rPr>
        <w:t>Net cash used in investing activities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 xml:space="preserve">The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$30.2 million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 xml:space="preserve">year-over-year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decrease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 xml:space="preserve">in net cash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used in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investing activities was almost entirely driven by cash</w:t>
      </w:r>
      <w:r>
        <w:rPr>
          <w:caps w:val="false"/>
          <w:smallCaps w:val="false"/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paid for a business acquisition in 2025.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/>
          <w:sz w:val="18"/>
        </w:rPr>
      </w:pPr>
      <w:r>
        <w:rPr>
          <w:rFonts w:ascii="Arial;sans-serif" w:hAnsi="Arial;sans-serif"/>
          <w:b w:val="false"/>
          <w:i/>
          <w:sz w:val="18"/>
        </w:rPr>
        <w:t>Net cash used in financing activities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 xml:space="preserve">The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$88.6 million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 xml:space="preserve">year-over-year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decrease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 xml:space="preserve">in net cash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used in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financing activities was almost entirely driven by a</w:t>
      </w:r>
      <w:r>
        <w:rPr>
          <w:caps w:val="false"/>
          <w:smallCaps w:val="false"/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decrease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in payments for repurchases of our Class A common stock.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18"/>
        </w:rPr>
        <w:t>Recent Accounting Pronouncements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 xml:space="preserve">Refer to Note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2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to our condensed consolidated financial statements appearing elsewhere in this Quarterly Report on</w:t>
      </w:r>
      <w:r>
        <w:rPr>
          <w:caps w:val="false"/>
          <w:smallCaps w:val="false"/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Form 10-Q.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18"/>
        </w:rPr>
        <w:t>Critical Accounting Policies and Estimates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 xml:space="preserve">During the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three months ended March 31, 2026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, there have been no significant changes to our critical accounting</w:t>
      </w:r>
      <w:r>
        <w:rPr>
          <w:caps w:val="false"/>
          <w:smallCaps w:val="false"/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policies and estimates compared with those disclosed in Part II, Item 7, “Management’s Discussion and Analysis of Financial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 xml:space="preserve">Condition and Results of Operations” of our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2025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10-K.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22</w:t>
      </w:r>
    </w:p>
    <w:p>
      <w:pPr>
        <w:pStyle w:val="TextBody"/>
        <w:bidi w:val="0"/>
        <w:spacing w:lineRule="atLeast" w:line="200" w:before="0" w:after="0"/>
        <w:jc w:val="left"/>
        <w:rPr/>
      </w:pPr>
      <w:hyperlink w:anchor="ie7567a6c939a4c249d5fb3b7378752d5_10">
        <w:r>
          <w:rPr>
            <w:rStyle w:val="InternetLink"/>
            <w:rFonts w:ascii="Arial;sans-serif" w:hAnsi="Arial;sans-serif"/>
            <w:b w:val="false"/>
            <w:i w:val="false"/>
            <w:caps w:val="false"/>
            <w:smallCaps w:val="false"/>
            <w:color w:val="0000FF"/>
            <w:sz w:val="20"/>
            <w:u w:val="single"/>
          </w:rPr>
          <w:t>Table of Contents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18"/>
          <w:u w:val="single"/>
        </w:rPr>
        <w:t>Item 3. Quantitative and Qualitative Disclosures About Market Risk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There have been no material changes in our market risk from the disclosure included in Part II, Item 7A, “Quantitative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 xml:space="preserve">and Qualitative Disclosures About Market Risk” of our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2025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10-K.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18"/>
          <w:u w:val="single"/>
        </w:rPr>
        <w:t>Item 4. Controls and Procedures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18"/>
          <w:u w:val="single"/>
        </w:rPr>
        <w:t>Limitations on Effectiveness of Controls and Procedures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In designing and evaluating our disclosure controls and procedures, management recognizes that any controls and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procedures, no matter how well designed and operated, can provide only reasonable assurance of achieving the desired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control objectives. In addition, the design of disclosure controls and procedures must reflect the fact that there are resource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constraints and that management is required to apply judgment in evaluating the benefits of possible controls and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procedures relative to their costs.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Evaluation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of Disclosure Controls and Procedures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Our management, with the participation of our principal executive officer and principal financial officer, evaluated, as of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 xml:space="preserve">the end of the period covered by this Quarterly Report on Form 10-Q,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effectiveness of our disclosure controls and</w:t>
      </w:r>
      <w:r>
        <w:rPr>
          <w:caps w:val="false"/>
          <w:smallCaps w:val="false"/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procedures (as defined in Rules 13a-15(e) and 15d-15(e) under the Exchange Act). Based on that evaluation, our principal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 xml:space="preserve">executive officer and principal financial officer concluded that, as of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March 31, 2026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, our disclosure controls and procedures</w:t>
      </w:r>
      <w:r>
        <w:rPr>
          <w:caps w:val="false"/>
          <w:smallCaps w:val="false"/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were effective to provide reasonable assurance that information we are required to disclose in reports that we file or submit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under the Exchange Act is recorded, processed, summarized, and reported within the time periods specified in SEC rules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and forms, and that such information is accumulated and communicated to our management, including our principal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executive officer and principal financial officer, as appropriate, to allow timely decisions regarding required disclosure.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Changes in Internal Control Over Financial Reporting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There have been no changes in our internal control over financial reporting (as defined in Rules 13a-15(f) and 15d-15(f)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 xml:space="preserve">under the Exchange Act) during the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three months ended March 31, 2026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that have materially affected, or are reasonably</w:t>
      </w:r>
      <w:r>
        <w:rPr>
          <w:caps w:val="false"/>
          <w:smallCaps w:val="false"/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likely to materially affect, our internal control over financial reporting.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23</w:t>
      </w:r>
    </w:p>
    <w:p>
      <w:pPr>
        <w:pStyle w:val="TextBody"/>
        <w:bidi w:val="0"/>
        <w:spacing w:lineRule="atLeast" w:line="200" w:before="0" w:after="0"/>
        <w:jc w:val="left"/>
        <w:rPr/>
      </w:pPr>
      <w:hyperlink w:anchor="ie7567a6c939a4c249d5fb3b7378752d5_10">
        <w:r>
          <w:rPr>
            <w:rStyle w:val="InternetLink"/>
            <w:rFonts w:ascii="Arial;sans-serif" w:hAnsi="Arial;sans-serif"/>
            <w:b w:val="false"/>
            <w:i w:val="false"/>
            <w:caps w:val="false"/>
            <w:smallCaps w:val="false"/>
            <w:color w:val="0000FF"/>
            <w:sz w:val="20"/>
            <w:u w:val="single"/>
          </w:rPr>
          <w:t>Table of Contents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18"/>
          <w:u w:val="single"/>
        </w:rPr>
        <w:t>PART II. OTHER INFORMATION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18"/>
          <w:u w:val="single"/>
        </w:rPr>
        <w:t>Item 1. Legal Proceedings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 xml:space="preserve">The information required under this Part II, Item 1 is set forth in Note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7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to our condensed consolidated financial</w:t>
      </w:r>
      <w:r>
        <w:rPr>
          <w:caps w:val="false"/>
          <w:smallCaps w:val="false"/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statements included in this Quarterly Report on Form 10-Q and is incorporated herein by this reference.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Item 1A. Risk Factors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 xml:space="preserve">There have been no material changes to the risk factors previously disclosed in our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2025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 xml:space="preserve">10-K.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For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a discussion of</w:t>
      </w:r>
      <w:r>
        <w:rPr>
          <w:caps w:val="false"/>
          <w:smallCaps w:val="false"/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 xml:space="preserve">potential risks and uncertainties related to us, see the information included in Part I, Item 1A, "Risk Factors" of our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2025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10-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K.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18"/>
          <w:u w:val="single"/>
        </w:rPr>
        <w:t>Item 2. Unregistered Sales of Equity Securities and Use of Proceeds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18"/>
          <w:u w:val="single"/>
        </w:rPr>
        <w:t>Unregistered Sales of Equity Securities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None.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Use of Proceeds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On September 25, 2020, we completed our IPO. All shares sold were registered pursuant to a registration statement on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Form S-1 (File No. 333-248465), as amended (the “Registration Statement”), declared effective by the SEC on September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22, 2020.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 xml:space="preserve">As of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March 31, 2026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 xml:space="preserve">, the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$886.9 million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net proceeds from our IPO have been fully utilized for the purposes described</w:t>
      </w:r>
      <w:r>
        <w:rPr>
          <w:caps w:val="false"/>
          <w:smallCaps w:val="false"/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 xml:space="preserve">in our Registration Statement: (i)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$197.9 million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 xml:space="preserve">for the acquisition of businesses that complement our business; (ii)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$448.2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million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 xml:space="preserve">for the repurchases of our Class A common stock; (iii)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$160.0 million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for the repayment of our outstanding debt</w:t>
      </w:r>
      <w:r>
        <w:rPr>
          <w:caps w:val="false"/>
          <w:smallCaps w:val="false"/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 xml:space="preserve">obligations; and (iv)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$80.8 million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for working capital and other general corporate purposes.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18"/>
          <w:u w:val="single"/>
        </w:rPr>
        <w:t>Issuer Repurchases of Equity Securities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 xml:space="preserve">The following table presents information with respect to our repurchases of our Class A common stock during the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three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months ended March 31, 2026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.</w:t>
      </w:r>
    </w:p>
    <w:tbl>
      <w:tblPr>
        <w:tblW w:w="9051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366"/>
        <w:gridCol w:w="109"/>
        <w:gridCol w:w="1906"/>
        <w:gridCol w:w="109"/>
        <w:gridCol w:w="1621"/>
        <w:gridCol w:w="109"/>
        <w:gridCol w:w="1981"/>
        <w:gridCol w:w="109"/>
        <w:gridCol w:w="1741"/>
      </w:tblGrid>
      <w:tr>
        <w:trPr/>
        <w:tc>
          <w:tcPr>
            <w:tcW w:w="13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366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Period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06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16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16"/>
              </w:rPr>
              <w:t xml:space="preserve">Total Number of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16"/>
              </w:rPr>
              <w:t xml:space="preserve">Shares Repurchased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0"/>
              </w:rPr>
              <w:t>(1)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21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16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16"/>
              </w:rPr>
              <w:t xml:space="preserve">Average Price Paid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16"/>
              </w:rPr>
              <w:t xml:space="preserve">per Share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0"/>
              </w:rPr>
              <w:t>(2)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81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16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16"/>
              </w:rPr>
              <w:t>Total Number of Shares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16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16"/>
              </w:rPr>
              <w:t>Repurchased as Part of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16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16"/>
              </w:rPr>
              <w:t xml:space="preserve">Publicly Announced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16"/>
              </w:rPr>
              <w:t xml:space="preserve">Program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0"/>
              </w:rPr>
              <w:t>(1)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41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16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16"/>
              </w:rPr>
              <w:t>Approximate Dollar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16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16"/>
              </w:rPr>
              <w:t>Value of Shares that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16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16"/>
              </w:rPr>
              <w:t xml:space="preserve">May Yet Be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16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16"/>
              </w:rPr>
              <w:t>Repurchased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16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16"/>
              </w:rPr>
              <w:t>Under the Program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/>
                <w:sz w:val="16"/>
              </w:rPr>
            </w:pPr>
            <w:r>
              <w:rPr>
                <w:rFonts w:ascii="Arial;sans-serif" w:hAnsi="Arial;sans-serif"/>
                <w:b w:val="false"/>
                <w:i/>
                <w:sz w:val="16"/>
              </w:rPr>
              <w:t>(in thousands)</w:t>
            </w:r>
          </w:p>
        </w:tc>
      </w:tr>
      <w:tr>
        <w:trPr/>
        <w:tc>
          <w:tcPr>
            <w:tcW w:w="1366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January 1 - 31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06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2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8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4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$—</w:t>
            </w:r>
          </w:p>
        </w:tc>
      </w:tr>
      <w:tr>
        <w:trPr/>
        <w:tc>
          <w:tcPr>
            <w:tcW w:w="136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February 1 - 28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0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2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4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$—</w:t>
            </w:r>
          </w:p>
        </w:tc>
      </w:tr>
      <w:tr>
        <w:trPr/>
        <w:tc>
          <w:tcPr>
            <w:tcW w:w="136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March 1 - 31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06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5,535,548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2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$2.28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81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5,535,548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4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$60,218</w:t>
            </w:r>
          </w:p>
        </w:tc>
      </w:tr>
      <w:tr>
        <w:trPr/>
        <w:tc>
          <w:tcPr>
            <w:tcW w:w="136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Total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06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5,535,548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2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81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5,535,548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4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_____________________________________________________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(1)The repurchases are being executed from time to time, subject to general business and market conditions and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other investment opportunities, through open market purchases or privately negotiated transactions, which may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include repurchases through a trading plan intended to satisfy the affirmative defense conditions of Rule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 xml:space="preserve">10b5-1(c)(1) under the Exchange Act. See Note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9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to our condensed consolidated financial statements included</w:t>
      </w:r>
      <w:r>
        <w:rPr>
          <w:caps w:val="false"/>
          <w:smallCaps w:val="false"/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elsewhere in this Quarterly Report on Form 10-Q for additional information related to our $450.0 million stock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repurchase program with no expiration date, which was publicly announced on February 29, 2024.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(2)Average price paid per share includes direct costs and estimated excise taxes associated with the repurchases.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18"/>
          <w:u w:val="single"/>
        </w:rPr>
        <w:t>Item 3. Defaults Upon Senior Securities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None.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18"/>
          <w:u w:val="single"/>
        </w:rPr>
        <w:t>Item 4. Mine Safety Disclosures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Not applicable.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18"/>
          <w:u w:val="single"/>
        </w:rPr>
        <w:t>Item 5. Other Information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24</w:t>
      </w:r>
    </w:p>
    <w:p>
      <w:pPr>
        <w:pStyle w:val="TextBody"/>
        <w:bidi w:val="0"/>
        <w:spacing w:lineRule="atLeast" w:line="200" w:before="0" w:after="0"/>
        <w:jc w:val="left"/>
        <w:rPr/>
      </w:pPr>
      <w:hyperlink w:anchor="ie7567a6c939a4c249d5fb3b7378752d5_10">
        <w:r>
          <w:rPr>
            <w:rStyle w:val="InternetLink"/>
            <w:rFonts w:ascii="Arial;sans-serif" w:hAnsi="Arial;sans-serif"/>
            <w:b w:val="false"/>
            <w:i w:val="false"/>
            <w:caps w:val="false"/>
            <w:smallCaps w:val="false"/>
            <w:color w:val="0000FF"/>
            <w:sz w:val="20"/>
            <w:u w:val="single"/>
          </w:rPr>
          <w:t>Table of Contents</w:t>
        </w:r>
      </w:hyperlink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Insider Trading Arrangements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During the three months ended March 31, 2026, none of our directors or officers (as defined in Section 16 of the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Exchange Act), adopted, modified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or terminated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any contract,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instruction or written plan for the purchase or sale of our</w:t>
      </w:r>
      <w:r>
        <w:rPr>
          <w:caps w:val="false"/>
          <w:smallCaps w:val="false"/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securities that was intended to satisfy the affirmative defense conditions of Rule 10b5-1(c) of the Exchange Act or any "non-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Rule 10b5-1 trading arrangement" (as defined in Item 408(c) of Regulation S-K of the Exchange Act).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25</w:t>
      </w:r>
    </w:p>
    <w:p>
      <w:pPr>
        <w:pStyle w:val="TextBody"/>
        <w:bidi w:val="0"/>
        <w:spacing w:lineRule="atLeast" w:line="200" w:before="0" w:after="0"/>
        <w:jc w:val="left"/>
        <w:rPr/>
      </w:pPr>
      <w:hyperlink w:anchor="ie7567a6c939a4c249d5fb3b7378752d5_10">
        <w:r>
          <w:rPr>
            <w:rStyle w:val="InternetLink"/>
            <w:rFonts w:ascii="Arial;sans-serif" w:hAnsi="Arial;sans-serif"/>
            <w:b w:val="false"/>
            <w:i w:val="false"/>
            <w:caps w:val="false"/>
            <w:smallCaps w:val="false"/>
            <w:color w:val="0000FF"/>
            <w:sz w:val="20"/>
            <w:u w:val="single"/>
          </w:rPr>
          <w:t>Table of Contents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18"/>
          <w:u w:val="single"/>
        </w:rPr>
        <w:t>Item 6. Exhibits</w:t>
      </w:r>
    </w:p>
    <w:tbl>
      <w:tblPr>
        <w:tblW w:w="9661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781"/>
        <w:gridCol w:w="109"/>
        <w:gridCol w:w="4456"/>
        <w:gridCol w:w="109"/>
        <w:gridCol w:w="526"/>
        <w:gridCol w:w="109"/>
        <w:gridCol w:w="976"/>
        <w:gridCol w:w="109"/>
        <w:gridCol w:w="661"/>
        <w:gridCol w:w="109"/>
        <w:gridCol w:w="646"/>
        <w:gridCol w:w="109"/>
        <w:gridCol w:w="961"/>
      </w:tblGrid>
      <w:tr>
        <w:trPr/>
        <w:tc>
          <w:tcPr>
            <w:tcW w:w="7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7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136" w:type="dxa"/>
            <w:gridSpan w:val="7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Incorporated by Reference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1" w:type="dxa"/>
            <w:vMerge w:val="restart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Filed/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Furnished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Herewith</w:t>
            </w:r>
          </w:p>
        </w:tc>
      </w:tr>
      <w:tr>
        <w:trPr/>
        <w:tc>
          <w:tcPr>
            <w:tcW w:w="781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Exhibit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Number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56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Exhibit Description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26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Form</w:t>
            </w:r>
          </w:p>
        </w:tc>
        <w:tc>
          <w:tcPr>
            <w:tcW w:w="109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File No.</w:t>
            </w:r>
          </w:p>
        </w:tc>
        <w:tc>
          <w:tcPr>
            <w:tcW w:w="109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1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Exhibit</w:t>
            </w:r>
          </w:p>
        </w:tc>
        <w:tc>
          <w:tcPr>
            <w:tcW w:w="109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6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Filing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Date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1" w:type="dxa"/>
            <w:vMerge w:val="continue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781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56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26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1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6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1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78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3.1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5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hyperlink r:id="rId4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color w:val="0000FF"/>
                  <w:sz w:val="16"/>
                  <w:u w:val="single"/>
                </w:rPr>
                <w:t>Amended and Restated Certificate of Incorporation</w:t>
              </w:r>
            </w:hyperlink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2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8-K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001-39549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3.1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9/28/20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7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78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3.2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5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hyperlink r:id="rId5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color w:val="0000FF"/>
                  <w:sz w:val="16"/>
                  <w:u w:val="single"/>
                </w:rPr>
                <w:t>Amended and Restated Bylaws</w:t>
              </w:r>
            </w:hyperlink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2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8-K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001-39549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3.2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9/28/20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7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78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4.1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5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hyperlink r:id="rId6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color w:val="0000FF"/>
                  <w:sz w:val="16"/>
                  <w:u w:val="single"/>
                </w:rPr>
                <w:t>Form of Certificate of Class A Common Stock</w:t>
              </w:r>
            </w:hyperlink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2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S-1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333-248465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4.1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8/28/20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7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78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4.2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5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hyperlink r:id="rId7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color w:val="0000FF"/>
                  <w:sz w:val="16"/>
                  <w:u w:val="single"/>
                </w:rPr>
                <w:t>Form of Certificate of Class B Common Stock</w:t>
              </w:r>
            </w:hyperlink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2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S-8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333-249069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4.4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9/25/20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7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78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</w:rPr>
              <w:t>10.1†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5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hyperlink w:anchor="ex101-thomaschan_offerlett.htm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color w:val="0000FF"/>
                  <w:sz w:val="16"/>
                  <w:u w:val="single"/>
                </w:rPr>
                <w:t>Offer Letter for Thomas Chan, effective October 19, 2020</w:t>
              </w:r>
            </w:hyperlink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</w:rPr>
              <w:t>*</w:t>
            </w:r>
          </w:p>
        </w:tc>
      </w:tr>
      <w:tr>
        <w:trPr/>
        <w:tc>
          <w:tcPr>
            <w:tcW w:w="7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78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10.2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5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hyperlink w:anchor="ex102-pfsixthamendmenttoof.htm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color w:val="0000FF"/>
                  <w:sz w:val="16"/>
                  <w:u w:val="single"/>
                </w:rPr>
                <w:t xml:space="preserve">Sixth Amendment to Office Lease Agreement by and </w:t>
              </w:r>
            </w:hyperlink>
          </w:p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hyperlink w:anchor="ex102-pfsixthamendmenttoof.htm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color w:val="0000FF"/>
                  <w:sz w:val="16"/>
                  <w:u w:val="single"/>
                </w:rPr>
                <w:t xml:space="preserve">between GoodRx, Inc. and Pen Factory Property Owner, </w:t>
              </w:r>
            </w:hyperlink>
          </w:p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hyperlink w:anchor="ex102-pfsixthamendmenttoof.htm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color w:val="0000FF"/>
                  <w:sz w:val="16"/>
                  <w:u w:val="single"/>
                </w:rPr>
                <w:t>LLC, dated February 23, 2026</w:t>
              </w:r>
            </w:hyperlink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</w:rPr>
              <w:t>*</w:t>
            </w:r>
          </w:p>
        </w:tc>
      </w:tr>
      <w:tr>
        <w:trPr/>
        <w:tc>
          <w:tcPr>
            <w:tcW w:w="7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78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31.1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5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hyperlink w:anchor="gdrxq126-ex311.htm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color w:val="0000FF"/>
                  <w:sz w:val="16"/>
                  <w:u w:val="single"/>
                </w:rPr>
                <w:t xml:space="preserve">Certification of Chief Executive Officer pursuant to Rule </w:t>
              </w:r>
            </w:hyperlink>
          </w:p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hyperlink w:anchor="gdrxq126-ex311.htm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color w:val="0000FF"/>
                  <w:sz w:val="16"/>
                  <w:u w:val="single"/>
                </w:rPr>
                <w:t>13a-14(a)/15d-14(a)</w:t>
              </w:r>
            </w:hyperlink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*</w:t>
            </w:r>
          </w:p>
        </w:tc>
      </w:tr>
      <w:tr>
        <w:trPr/>
        <w:tc>
          <w:tcPr>
            <w:tcW w:w="7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78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31.2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5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hyperlink w:anchor="gdrxq126-ex312.htm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color w:val="0000FF"/>
                  <w:sz w:val="16"/>
                  <w:u w:val="single"/>
                </w:rPr>
                <w:t xml:space="preserve">Certification of Chief Financial Officer pursuant to Rule </w:t>
              </w:r>
            </w:hyperlink>
          </w:p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hyperlink w:anchor="gdrxq126-ex312.htm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color w:val="0000FF"/>
                  <w:sz w:val="16"/>
                  <w:u w:val="single"/>
                </w:rPr>
                <w:t>13a-14(a)/15d-14(a)</w:t>
              </w:r>
            </w:hyperlink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*</w:t>
            </w:r>
          </w:p>
        </w:tc>
      </w:tr>
      <w:tr>
        <w:trPr/>
        <w:tc>
          <w:tcPr>
            <w:tcW w:w="7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78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32.1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5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hyperlink w:anchor="gdrxq126-ex321.htm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color w:val="0000FF"/>
                  <w:sz w:val="16"/>
                  <w:u w:val="single"/>
                </w:rPr>
                <w:t xml:space="preserve">Certification of Chief Executive Officer pursuant to 18 </w:t>
              </w:r>
            </w:hyperlink>
          </w:p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hyperlink w:anchor="gdrxq126-ex321.htm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color w:val="0000FF"/>
                  <w:sz w:val="16"/>
                  <w:u w:val="single"/>
                </w:rPr>
                <w:t>U.S.C. Section 1350</w:t>
              </w:r>
            </w:hyperlink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**</w:t>
            </w:r>
          </w:p>
        </w:tc>
      </w:tr>
      <w:tr>
        <w:trPr/>
        <w:tc>
          <w:tcPr>
            <w:tcW w:w="7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78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32.2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5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hyperlink w:anchor="gdrxq126-ex322.htm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color w:val="0000FF"/>
                  <w:sz w:val="16"/>
                  <w:u w:val="single"/>
                </w:rPr>
                <w:t xml:space="preserve">Certification of Chief Financial Officer pursuant to 18 U.S.C. </w:t>
              </w:r>
            </w:hyperlink>
          </w:p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hyperlink w:anchor="gdrxq126-ex322.htm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color w:val="0000FF"/>
                  <w:sz w:val="16"/>
                  <w:u w:val="single"/>
                </w:rPr>
                <w:t>Section 1350</w:t>
              </w:r>
            </w:hyperlink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**</w:t>
            </w:r>
          </w:p>
        </w:tc>
      </w:tr>
      <w:tr>
        <w:trPr/>
        <w:tc>
          <w:tcPr>
            <w:tcW w:w="7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78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101.INS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5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 xml:space="preserve">Inline XBRL Instance Document – the instance document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 xml:space="preserve">does not appear in the Interactive Data File because its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XBRL tags are embedded within the Inline XBRL document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*</w:t>
            </w:r>
          </w:p>
        </w:tc>
      </w:tr>
      <w:tr>
        <w:trPr/>
        <w:tc>
          <w:tcPr>
            <w:tcW w:w="7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78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101.SCH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5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Inline XBRL Taxonomy Extension Schema Document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*</w:t>
            </w:r>
          </w:p>
        </w:tc>
      </w:tr>
      <w:tr>
        <w:trPr/>
        <w:tc>
          <w:tcPr>
            <w:tcW w:w="7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78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101.CAL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5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 xml:space="preserve">Inline XBRL Taxonomy Extension Calculation Linkbase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Document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*</w:t>
            </w:r>
          </w:p>
        </w:tc>
      </w:tr>
      <w:tr>
        <w:trPr/>
        <w:tc>
          <w:tcPr>
            <w:tcW w:w="7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78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101.DEF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5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 xml:space="preserve">Inline XBRL Taxonomy Extension Definition Linkbase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Document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*</w:t>
            </w:r>
          </w:p>
        </w:tc>
      </w:tr>
      <w:tr>
        <w:trPr/>
        <w:tc>
          <w:tcPr>
            <w:tcW w:w="7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78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101.LAB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5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 xml:space="preserve">Inline XBRL Taxonomy Extension Label Linkbase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Document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*</w:t>
            </w:r>
          </w:p>
        </w:tc>
      </w:tr>
      <w:tr>
        <w:trPr/>
        <w:tc>
          <w:tcPr>
            <w:tcW w:w="7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78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101.PRE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5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 xml:space="preserve">Inline XBRL Taxonomy Extension Presentation Linkbase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Document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*</w:t>
            </w:r>
          </w:p>
        </w:tc>
      </w:tr>
      <w:tr>
        <w:trPr/>
        <w:tc>
          <w:tcPr>
            <w:tcW w:w="7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78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104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5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 xml:space="preserve">Cover Page Interactive Data File (formatted as Inline XBRL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and contained in Exhibit 101)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*</w:t>
            </w:r>
          </w:p>
        </w:tc>
      </w:tr>
    </w:tbl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>_____________________________________________________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*Filed herewith.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**Furnished herewith.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caps w:val="false"/>
          <w:smallCaps w:val="false"/>
          <w:u w:val="single"/>
        </w:rPr>
        <w:t>†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Indicates management contract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26</w:t>
      </w:r>
    </w:p>
    <w:p>
      <w:pPr>
        <w:pStyle w:val="TextBody"/>
        <w:bidi w:val="0"/>
        <w:spacing w:lineRule="atLeast" w:line="200" w:before="0" w:after="0"/>
        <w:jc w:val="left"/>
        <w:rPr/>
      </w:pPr>
      <w:hyperlink w:anchor="ie7567a6c939a4c249d5fb3b7378752d5_10">
        <w:r>
          <w:rPr>
            <w:rStyle w:val="InternetLink"/>
            <w:rFonts w:ascii="Arial;sans-serif" w:hAnsi="Arial;sans-serif"/>
            <w:b w:val="false"/>
            <w:i w:val="false"/>
            <w:caps w:val="false"/>
            <w:smallCaps w:val="false"/>
            <w:color w:val="0000FF"/>
            <w:sz w:val="20"/>
            <w:u w:val="single"/>
          </w:rPr>
          <w:t>Table of Contents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SIGNATURES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Pursuant to the requirements of the Securities Exchange Act of 1934, the registrant has duly caused this report to be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signed on its behalf by the undersigned thereunto duly authorized.</w:t>
      </w:r>
    </w:p>
    <w:tbl>
      <w:tblPr>
        <w:tblW w:w="4953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606"/>
        <w:gridCol w:w="361"/>
        <w:gridCol w:w="2986"/>
      </w:tblGrid>
      <w:tr>
        <w:trPr/>
        <w:tc>
          <w:tcPr>
            <w:tcW w:w="16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98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47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GOODRX HOLDINGS, INC.</w:t>
            </w:r>
          </w:p>
        </w:tc>
      </w:tr>
      <w:tr>
        <w:trPr/>
        <w:tc>
          <w:tcPr>
            <w:tcW w:w="16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98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0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 xml:space="preserve">Date: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May 6, 2026</w:t>
            </w:r>
          </w:p>
        </w:tc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By:</w:t>
            </w:r>
          </w:p>
        </w:tc>
        <w:tc>
          <w:tcPr>
            <w:tcW w:w="2986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>/s/ Wendy Barnes</w:t>
            </w:r>
          </w:p>
        </w:tc>
      </w:tr>
      <w:tr>
        <w:trPr/>
        <w:tc>
          <w:tcPr>
            <w:tcW w:w="16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986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>Wendy Barnes</w:t>
            </w:r>
          </w:p>
        </w:tc>
      </w:tr>
      <w:tr>
        <w:trPr/>
        <w:tc>
          <w:tcPr>
            <w:tcW w:w="16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98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>Chief Executive Officer &amp; President</w:t>
            </w:r>
          </w:p>
        </w:tc>
      </w:tr>
      <w:tr>
        <w:trPr/>
        <w:tc>
          <w:tcPr>
            <w:tcW w:w="16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98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(Principal Executive Officer) </w:t>
            </w:r>
          </w:p>
        </w:tc>
      </w:tr>
      <w:tr>
        <w:trPr/>
        <w:tc>
          <w:tcPr>
            <w:tcW w:w="16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98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0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 xml:space="preserve">Date: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May 6, 2026</w:t>
            </w:r>
          </w:p>
        </w:tc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By:</w:t>
            </w:r>
          </w:p>
        </w:tc>
        <w:tc>
          <w:tcPr>
            <w:tcW w:w="2986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>/s/ Christopher McGinnis</w:t>
            </w:r>
          </w:p>
        </w:tc>
      </w:tr>
      <w:tr>
        <w:trPr/>
        <w:tc>
          <w:tcPr>
            <w:tcW w:w="16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986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>Christopher McGinnis</w:t>
            </w:r>
          </w:p>
        </w:tc>
      </w:tr>
      <w:tr>
        <w:trPr/>
        <w:tc>
          <w:tcPr>
            <w:tcW w:w="16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98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>Chief Financial Officer &amp; Treasurer</w:t>
            </w:r>
          </w:p>
        </w:tc>
      </w:tr>
      <w:tr>
        <w:trPr/>
        <w:tc>
          <w:tcPr>
            <w:tcW w:w="16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98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(Principal Financial Officer)</w:t>
            </w:r>
          </w:p>
        </w:tc>
      </w:tr>
      <w:tr>
        <w:trPr/>
        <w:tc>
          <w:tcPr>
            <w:tcW w:w="16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98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0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 xml:space="preserve">Date: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May 6, 2026</w:t>
            </w:r>
          </w:p>
        </w:tc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By:</w:t>
            </w:r>
          </w:p>
        </w:tc>
        <w:tc>
          <w:tcPr>
            <w:tcW w:w="2986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>/s/ Thomas Chan</w:t>
            </w:r>
          </w:p>
        </w:tc>
      </w:tr>
      <w:tr>
        <w:trPr/>
        <w:tc>
          <w:tcPr>
            <w:tcW w:w="16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986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>Thomas Chan</w:t>
            </w:r>
          </w:p>
        </w:tc>
      </w:tr>
      <w:tr>
        <w:trPr/>
        <w:tc>
          <w:tcPr>
            <w:tcW w:w="16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98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>Chief Accounting Officer</w:t>
            </w:r>
          </w:p>
        </w:tc>
      </w:tr>
      <w:tr>
        <w:trPr/>
        <w:tc>
          <w:tcPr>
            <w:tcW w:w="16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98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/>
                <w:sz w:val="18"/>
              </w:rPr>
            </w:pPr>
            <w:r>
              <w:rPr>
                <w:rFonts w:ascii="Arial;sans-serif" w:hAnsi="Arial;sans-serif"/>
                <w:b w:val="false"/>
                <w:i/>
                <w:sz w:val="18"/>
              </w:rPr>
              <w:t>(Principal Accounting Officer)</w:t>
            </w:r>
          </w:p>
        </w:tc>
      </w:tr>
    </w:tbl>
    <w:p>
      <w:pPr>
        <w:pStyle w:val="TextBody"/>
        <w:bidi w:val="0"/>
        <w:spacing w:lineRule="atLeast" w:line="149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2"/>
          <w:shd w:fill="E4E4E4" w:val="clear"/>
        </w:rPr>
      </w:pPr>
      <w:bookmarkStart w:id="2" w:name="ex101-thomaschan_offerlett.htm"/>
      <w:bookmarkStart w:id="3" w:name="ksex101thomaschan_offerlett"/>
      <w:bookmarkEnd w:id="2"/>
      <w:bookmarkEnd w:id="3"/>
      <w:r>
        <w:rPr>
          <w:rFonts w:ascii="Times New Roman;serif" w:hAnsi="Times New Roman;serif"/>
          <w:b/>
          <w:i w:val="false"/>
          <w:caps w:val="false"/>
          <w:smallCaps w:val="false"/>
          <w:sz w:val="22"/>
          <w:shd w:fill="E4E4E4" w:val="clear"/>
        </w:rPr>
        <w:t>Exhibit 10.1</w:t>
      </w:r>
      <w:r>
        <w:br w:type="page"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shd w:fill="E4E4E4" w:val="clear"/>
        </w:rPr>
      </w:pPr>
      <w:r>
        <w:rPr>
          <w:shd w:fill="E4E4E4" w:val="clear"/>
        </w:rPr>
        <w:drawing>
          <wp:inline distT="0" distB="0" distL="0" distR="0">
            <wp:extent cx="1471930" cy="382905"/>
            <wp:effectExtent l="0" t="0" r="0" b="0"/>
            <wp:docPr id="4" name="Image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1" descr="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1930" cy="382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lineRule="atLeast" w:line="166" w:before="0" w:after="0"/>
        <w:jc w:val="left"/>
        <w:rPr>
          <w:rFonts w:ascii="Arial;sans-serif" w:hAnsi="Arial;sans-serif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September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24, 2020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 xml:space="preserve">Thomas Chan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thomasc519@hotmail.com</w:t>
      </w:r>
    </w:p>
    <w:p>
      <w:pPr>
        <w:pStyle w:val="TextBody"/>
        <w:bidi w:val="0"/>
        <w:spacing w:lineRule="atLeast" w:line="166" w:before="0" w:after="0"/>
        <w:jc w:val="left"/>
        <w:rPr>
          <w:rFonts w:ascii="Arial;sans-serif" w:hAnsi="Arial;sans-serif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u w:val="single"/>
          <w:shd w:fill="E4E4E4" w:val="clear"/>
        </w:rPr>
        <w:t>Re:</w:t>
      </w:r>
      <w:r>
        <w:rPr>
          <w:rFonts w:ascii="Arial;sans-serif" w:hAnsi="Arial;sans-serif"/>
          <w:caps w:val="false"/>
          <w:smallCaps w:val="false"/>
          <w:u w:val="singl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u w:val="single"/>
          <w:shd w:fill="E4E4E4" w:val="clear"/>
        </w:rPr>
        <w:t>GoodRx, Inc. Offer of Employment</w:t>
      </w:r>
    </w:p>
    <w:p>
      <w:pPr>
        <w:pStyle w:val="TextBody"/>
        <w:bidi w:val="0"/>
        <w:spacing w:lineRule="atLeast" w:line="166" w:before="0" w:after="0"/>
        <w:jc w:val="left"/>
        <w:rPr>
          <w:rFonts w:ascii="Arial;sans-serif" w:hAnsi="Arial;sans-serif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Your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employment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start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date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will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be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on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or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before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October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19,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2020.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Your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initial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 xml:space="preserve">employment </w:t>
      </w:r>
      <w:r>
        <mc:AlternateContent>
          <mc:Choice Requires="wps">
            <w:drawing>
              <wp:anchor behindDoc="0" distT="0" distB="0" distL="0" distR="0" simplePos="0" locked="0" layoutInCell="1" allowOverlap="1" relativeHeight="47">
                <wp:simplePos x="0" y="0"/>
                <wp:positionH relativeFrom="page">
                  <wp:posOffset>2934335</wp:posOffset>
                </wp:positionH>
                <wp:positionV relativeFrom="line">
                  <wp:posOffset>635</wp:posOffset>
                </wp:positionV>
                <wp:extent cx="490855" cy="350520"/>
                <wp:effectExtent l="0" t="0" r="0" b="0"/>
                <wp:wrapNone/>
                <wp:docPr id="5" name="Frame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0855" cy="35052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4"/>
                                <w:u w:val="none"/>
                                <w:effect w:val="none"/>
                              </w:rPr>
                              <w:t>position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8.65pt;height:27.6pt;mso-wrap-distance-left:0pt;mso-wrap-distance-right:0pt;mso-wrap-distance-top:0pt;mso-wrap-distance-bottom:0pt;margin-top:0pt;mso-position-vertical:top;mso-position-vertical-relative:text;margin-left:231.0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4"/>
                          <w:u w:val="none"/>
                          <w:effect w:val="none"/>
                        </w:rPr>
                        <w:t>position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5">
                <wp:simplePos x="0" y="0"/>
                <wp:positionH relativeFrom="page">
                  <wp:posOffset>4589780</wp:posOffset>
                </wp:positionH>
                <wp:positionV relativeFrom="line">
                  <wp:posOffset>635</wp:posOffset>
                </wp:positionV>
                <wp:extent cx="541020" cy="350520"/>
                <wp:effectExtent l="0" t="0" r="0" b="0"/>
                <wp:wrapNone/>
                <wp:docPr id="6" name="Frame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1020" cy="35052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4"/>
                                <w:u w:val="none"/>
                                <w:effect w:val="none"/>
                              </w:rPr>
                              <w:t>Manager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2.6pt;height:27.6pt;mso-wrap-distance-left:0pt;mso-wrap-distance-right:0pt;mso-wrap-distance-top:0pt;mso-wrap-distance-bottom:0pt;margin-top:0pt;mso-position-vertical:top;mso-position-vertical-relative:text;margin-left:361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4"/>
                          <w:u w:val="none"/>
                          <w:effect w:val="none"/>
                        </w:rPr>
                        <w:t>Manager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4">
                <wp:simplePos x="0" y="0"/>
                <wp:positionH relativeFrom="page">
                  <wp:posOffset>4551680</wp:posOffset>
                </wp:positionH>
                <wp:positionV relativeFrom="line">
                  <wp:posOffset>635</wp:posOffset>
                </wp:positionV>
                <wp:extent cx="38735" cy="175260"/>
                <wp:effectExtent l="0" t="0" r="0" b="0"/>
                <wp:wrapNone/>
                <wp:docPr id="7" name="Frame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73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05pt;height:13.8pt;mso-wrap-distance-left:0pt;mso-wrap-distance-right:0pt;mso-wrap-distance-top:0pt;mso-wrap-distance-bottom:0pt;margin-top:0pt;mso-position-vertical:top;mso-position-vertical-relative:text;margin-left:358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3">
                <wp:simplePos x="0" y="0"/>
                <wp:positionH relativeFrom="page">
                  <wp:posOffset>3841115</wp:posOffset>
                </wp:positionH>
                <wp:positionV relativeFrom="line">
                  <wp:posOffset>635</wp:posOffset>
                </wp:positionV>
                <wp:extent cx="710565" cy="350520"/>
                <wp:effectExtent l="0" t="0" r="0" b="0"/>
                <wp:wrapNone/>
                <wp:docPr id="8" name="Frame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0565" cy="35052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4"/>
                                <w:u w:val="none"/>
                                <w:effect w:val="none"/>
                              </w:rPr>
                              <w:t>Accounting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5.95pt;height:27.6pt;mso-wrap-distance-left:0pt;mso-wrap-distance-right:0pt;mso-wrap-distance-top:0pt;mso-wrap-distance-bottom:0pt;margin-top:0pt;mso-position-vertical:top;mso-position-vertical-relative:text;margin-left:302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4"/>
                          <w:u w:val="none"/>
                          <w:effect w:val="none"/>
                        </w:rPr>
                        <w:t>Accounting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2">
                <wp:simplePos x="0" y="0"/>
                <wp:positionH relativeFrom="page">
                  <wp:posOffset>3802380</wp:posOffset>
                </wp:positionH>
                <wp:positionV relativeFrom="line">
                  <wp:posOffset>635</wp:posOffset>
                </wp:positionV>
                <wp:extent cx="38735" cy="175260"/>
                <wp:effectExtent l="0" t="0" r="0" b="0"/>
                <wp:wrapNone/>
                <wp:docPr id="9" name="Frame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73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05pt;height:13.8pt;mso-wrap-distance-left:0pt;mso-wrap-distance-right:0pt;mso-wrap-distance-top:0pt;mso-wrap-distance-bottom:0pt;margin-top:0pt;mso-position-vertical:top;mso-position-vertical-relative:text;margin-left:299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1">
                <wp:simplePos x="0" y="0"/>
                <wp:positionH relativeFrom="page">
                  <wp:posOffset>3629025</wp:posOffset>
                </wp:positionH>
                <wp:positionV relativeFrom="line">
                  <wp:posOffset>635</wp:posOffset>
                </wp:positionV>
                <wp:extent cx="173355" cy="350520"/>
                <wp:effectExtent l="0" t="0" r="0" b="0"/>
                <wp:wrapNone/>
                <wp:docPr id="10" name="Frame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3355" cy="35052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4"/>
                                <w:u w:val="none"/>
                                <w:effect w:val="none"/>
                              </w:rPr>
                              <w:t>Sr.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3.65pt;height:27.6pt;mso-wrap-distance-left:0pt;mso-wrap-distance-right:0pt;mso-wrap-distance-top:0pt;mso-wrap-distance-bottom:0pt;margin-top:0pt;mso-position-vertical:top;mso-position-vertical-relative:text;margin-left:285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4"/>
                          <w:u w:val="none"/>
                          <w:effect w:val="none"/>
                        </w:rPr>
                        <w:t>Sr.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0">
                <wp:simplePos x="0" y="0"/>
                <wp:positionH relativeFrom="page">
                  <wp:posOffset>3590290</wp:posOffset>
                </wp:positionH>
                <wp:positionV relativeFrom="line">
                  <wp:posOffset>635</wp:posOffset>
                </wp:positionV>
                <wp:extent cx="38735" cy="175260"/>
                <wp:effectExtent l="0" t="0" r="0" b="0"/>
                <wp:wrapNone/>
                <wp:docPr id="11" name="Frame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73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05pt;height:13.8pt;mso-wrap-distance-left:0pt;mso-wrap-distance-right:0pt;mso-wrap-distance-top:0pt;mso-wrap-distance-bottom:0pt;margin-top:0pt;mso-position-vertical:top;mso-position-vertical-relative:text;margin-left:282.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9">
                <wp:simplePos x="0" y="0"/>
                <wp:positionH relativeFrom="page">
                  <wp:posOffset>3463290</wp:posOffset>
                </wp:positionH>
                <wp:positionV relativeFrom="line">
                  <wp:posOffset>635</wp:posOffset>
                </wp:positionV>
                <wp:extent cx="127000" cy="175260"/>
                <wp:effectExtent l="0" t="0" r="0" b="0"/>
                <wp:wrapNone/>
                <wp:docPr id="12" name="Frame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7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4"/>
                                <w:u w:val="none"/>
                                <w:effect w:val="none"/>
                              </w:rPr>
                              <w:t>of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0pt;height:13.8pt;mso-wrap-distance-left:0pt;mso-wrap-distance-right:0pt;mso-wrap-distance-top:0pt;mso-wrap-distance-bottom:0pt;margin-top:0pt;mso-position-vertical:top;mso-position-vertical-relative:text;margin-left:272.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4"/>
                          <w:u w:val="none"/>
                          <w:effect w:val="none"/>
                        </w:rPr>
                        <w:t>of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8">
                <wp:simplePos x="0" y="0"/>
                <wp:positionH relativeFrom="page">
                  <wp:posOffset>3425190</wp:posOffset>
                </wp:positionH>
                <wp:positionV relativeFrom="line">
                  <wp:posOffset>635</wp:posOffset>
                </wp:positionV>
                <wp:extent cx="38735" cy="175260"/>
                <wp:effectExtent l="0" t="0" r="0" b="0"/>
                <wp:wrapNone/>
                <wp:docPr id="13" name="Frame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73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05pt;height:13.8pt;mso-wrap-distance-left:0pt;mso-wrap-distance-right:0pt;mso-wrap-distance-top:0pt;mso-wrap-distance-bottom:0pt;margin-top:0pt;mso-position-vertical:top;mso-position-vertical-relative:text;margin-left:269.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6">
                <wp:simplePos x="0" y="0"/>
                <wp:positionH relativeFrom="page">
                  <wp:posOffset>5131435</wp:posOffset>
                </wp:positionH>
                <wp:positionV relativeFrom="line">
                  <wp:posOffset>635</wp:posOffset>
                </wp:positionV>
                <wp:extent cx="38735" cy="175260"/>
                <wp:effectExtent l="0" t="0" r="0" b="0"/>
                <wp:wrapNone/>
                <wp:docPr id="14" name="Frame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73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05pt;height:13.8pt;mso-wrap-distance-left:0pt;mso-wrap-distance-right:0pt;mso-wrap-distance-top:0pt;mso-wrap-distance-bottom:0pt;margin-top:0pt;mso-position-vertical:top;mso-position-vertical-relative:text;margin-left:404.0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6">
                <wp:simplePos x="0" y="0"/>
                <wp:positionH relativeFrom="page">
                  <wp:posOffset>2895600</wp:posOffset>
                </wp:positionH>
                <wp:positionV relativeFrom="line">
                  <wp:posOffset>635</wp:posOffset>
                </wp:positionV>
                <wp:extent cx="38735" cy="175260"/>
                <wp:effectExtent l="0" t="0" r="0" b="0"/>
                <wp:wrapNone/>
                <wp:docPr id="15" name="Frame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73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05pt;height:13.8pt;mso-wrap-distance-left:0pt;mso-wrap-distance-right:0pt;mso-wrap-distance-top:0pt;mso-wrap-distance-bottom:0pt;margin-top:0pt;mso-position-vertical:top;mso-position-vertical-relative:text;margin-left:22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5">
                <wp:simplePos x="0" y="0"/>
                <wp:positionH relativeFrom="page">
                  <wp:posOffset>2709545</wp:posOffset>
                </wp:positionH>
                <wp:positionV relativeFrom="line">
                  <wp:posOffset>635</wp:posOffset>
                </wp:positionV>
                <wp:extent cx="186055" cy="350520"/>
                <wp:effectExtent l="0" t="0" r="0" b="0"/>
                <wp:wrapNone/>
                <wp:docPr id="16" name="Frame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6055" cy="35052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4"/>
                                <w:u w:val="none"/>
                                <w:effect w:val="none"/>
                              </w:rPr>
                              <w:t>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4.65pt;height:27.6pt;mso-wrap-distance-left:0pt;mso-wrap-distance-right:0pt;mso-wrap-distance-top:0pt;mso-wrap-distance-bottom:0pt;margin-top:0pt;mso-position-vertical:top;mso-position-vertical-relative:text;margin-left:21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4"/>
                          <w:u w:val="none"/>
                          <w:effect w:val="none"/>
                        </w:rPr>
                        <w:t>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4">
                <wp:simplePos x="0" y="0"/>
                <wp:positionH relativeFrom="page">
                  <wp:posOffset>2671445</wp:posOffset>
                </wp:positionH>
                <wp:positionV relativeFrom="line">
                  <wp:posOffset>635</wp:posOffset>
                </wp:positionV>
                <wp:extent cx="38735" cy="175260"/>
                <wp:effectExtent l="0" t="0" r="0" b="0"/>
                <wp:wrapNone/>
                <wp:docPr id="17" name="Frame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73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05pt;height:13.8pt;mso-wrap-distance-left:0pt;mso-wrap-distance-right:0pt;mso-wrap-distance-top:0pt;mso-wrap-distance-bottom:0pt;margin-top:0pt;mso-position-vertical:top;mso-position-vertical-relative:text;margin-left:210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3">
                <wp:simplePos x="0" y="0"/>
                <wp:positionH relativeFrom="page">
                  <wp:posOffset>2552700</wp:posOffset>
                </wp:positionH>
                <wp:positionV relativeFrom="line">
                  <wp:posOffset>635</wp:posOffset>
                </wp:positionV>
                <wp:extent cx="118745" cy="175260"/>
                <wp:effectExtent l="0" t="0" r="0" b="0"/>
                <wp:wrapNone/>
                <wp:docPr id="18" name="Frame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874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4"/>
                                <w:u w:val="none"/>
                                <w:effect w:val="none"/>
                              </w:rPr>
                              <w:t>in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.35pt;height:13.8pt;mso-wrap-distance-left:0pt;mso-wrap-distance-right:0pt;mso-wrap-distance-top:0pt;mso-wrap-distance-bottom:0pt;margin-top:0pt;mso-position-vertical:top;mso-position-vertical-relative:text;margin-left:20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4"/>
                          <w:u w:val="none"/>
                          <w:effect w:val="none"/>
                        </w:rPr>
                        <w:t>in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2">
                <wp:simplePos x="0" y="0"/>
                <wp:positionH relativeFrom="page">
                  <wp:posOffset>2513965</wp:posOffset>
                </wp:positionH>
                <wp:positionV relativeFrom="line">
                  <wp:posOffset>635</wp:posOffset>
                </wp:positionV>
                <wp:extent cx="38735" cy="175260"/>
                <wp:effectExtent l="0" t="0" r="0" b="0"/>
                <wp:wrapNone/>
                <wp:docPr id="19" name="Frame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73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05pt;height:13.8pt;mso-wrap-distance-left:0pt;mso-wrap-distance-right:0pt;mso-wrap-distance-top:0pt;mso-wrap-distance-bottom:0pt;margin-top:0pt;mso-position-vertical:top;mso-position-vertical-relative:text;margin-left:197.9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1">
                <wp:simplePos x="0" y="0"/>
                <wp:positionH relativeFrom="page">
                  <wp:posOffset>1752600</wp:posOffset>
                </wp:positionH>
                <wp:positionV relativeFrom="line">
                  <wp:posOffset>635</wp:posOffset>
                </wp:positionV>
                <wp:extent cx="761365" cy="350520"/>
                <wp:effectExtent l="0" t="0" r="0" b="0"/>
                <wp:wrapNone/>
                <wp:docPr id="20" name="Frame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1365" cy="35052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4"/>
                                <w:u w:val="none"/>
                                <w:effect w:val="none"/>
                              </w:rPr>
                              <w:t>employment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.95pt;height:27.6pt;mso-wrap-distance-left:0pt;mso-wrap-distance-right:0pt;mso-wrap-distance-top:0pt;mso-wrap-distance-bottom:0pt;margin-top:0pt;mso-position-vertical:top;mso-position-vertical-relative:text;margin-left:13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4"/>
                          <w:u w:val="none"/>
                          <w:effect w:val="none"/>
                        </w:rPr>
                        <w:t>employment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0">
                <wp:simplePos x="0" y="0"/>
                <wp:positionH relativeFrom="page">
                  <wp:posOffset>1714500</wp:posOffset>
                </wp:positionH>
                <wp:positionV relativeFrom="line">
                  <wp:posOffset>635</wp:posOffset>
                </wp:positionV>
                <wp:extent cx="38735" cy="175260"/>
                <wp:effectExtent l="0" t="0" r="0" b="0"/>
                <wp:wrapNone/>
                <wp:docPr id="21" name="Frame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73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05pt;height:13.8pt;mso-wrap-distance-left:0pt;mso-wrap-distance-right:0pt;mso-wrap-distance-top:0pt;mso-wrap-distance-bottom:0pt;margin-top:0pt;mso-position-vertical:top;mso-position-vertical-relative:text;margin-left:1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4">
                <wp:simplePos x="0" y="0"/>
                <wp:positionH relativeFrom="page">
                  <wp:posOffset>6613525</wp:posOffset>
                </wp:positionH>
                <wp:positionV relativeFrom="line">
                  <wp:posOffset>635</wp:posOffset>
                </wp:positionV>
                <wp:extent cx="38100" cy="175260"/>
                <wp:effectExtent l="0" t="0" r="0" b="0"/>
                <wp:wrapNone/>
                <wp:docPr id="22" name="Frame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pt;height:13.8pt;mso-wrap-distance-left:0pt;mso-wrap-distance-right:0pt;mso-wrap-distance-top:0pt;mso-wrap-distance-bottom:0pt;margin-top:0pt;mso-position-vertical:top;mso-position-vertical-relative:text;margin-left:52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2">
                <wp:simplePos x="0" y="0"/>
                <wp:positionH relativeFrom="page">
                  <wp:posOffset>1905635</wp:posOffset>
                </wp:positionH>
                <wp:positionV relativeFrom="line">
                  <wp:posOffset>635</wp:posOffset>
                </wp:positionV>
                <wp:extent cx="566420" cy="350520"/>
                <wp:effectExtent l="0" t="0" r="0" b="0"/>
                <wp:wrapNone/>
                <wp:docPr id="23" name="Frame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6420" cy="35052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/>
                                <w:i w:val="false"/>
                                <w:caps w:val="false"/>
                                <w:smallCaps w:val="false"/>
                                <w:sz w:val="24"/>
                                <w:u w:val="singl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/>
                                <w:i w:val="false"/>
                                <w:caps w:val="false"/>
                                <w:smallCaps w:val="false"/>
                                <w:sz w:val="24"/>
                                <w:u w:val="single"/>
                              </w:rPr>
                              <w:t>Location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.6pt;height:27.6pt;mso-wrap-distance-left:0pt;mso-wrap-distance-right:0pt;mso-wrap-distance-top:0pt;mso-wrap-distance-bottom:0pt;margin-top:0pt;mso-position-vertical:top;mso-position-vertical-relative:text;margin-left:150.0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/>
                          <w:i w:val="false"/>
                          <w:caps w:val="false"/>
                          <w:smallCaps w:val="false"/>
                          <w:sz w:val="24"/>
                          <w:u w:val="single"/>
                        </w:rPr>
                      </w:pPr>
                      <w:r>
                        <w:rPr>
                          <w:rFonts w:ascii="Times New Roman;serif" w:hAnsi="Times New Roman;serif"/>
                          <w:b/>
                          <w:i w:val="false"/>
                          <w:caps w:val="false"/>
                          <w:smallCaps w:val="false"/>
                          <w:sz w:val="24"/>
                          <w:u w:val="single"/>
                        </w:rPr>
                        <w:t>Location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1">
                <wp:simplePos x="0" y="0"/>
                <wp:positionH relativeFrom="page">
                  <wp:posOffset>1868170</wp:posOffset>
                </wp:positionH>
                <wp:positionV relativeFrom="line">
                  <wp:posOffset>635</wp:posOffset>
                </wp:positionV>
                <wp:extent cx="37465" cy="175260"/>
                <wp:effectExtent l="0" t="0" r="0" b="0"/>
                <wp:wrapNone/>
                <wp:docPr id="24" name="Frame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46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95pt;height:13.8pt;mso-wrap-distance-left:0pt;mso-wrap-distance-right:0pt;mso-wrap-distance-top:0pt;mso-wrap-distance-bottom:0pt;margin-top:0pt;mso-position-vertical:top;mso-position-vertical-relative:text;margin-left:147.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0">
                <wp:simplePos x="0" y="0"/>
                <wp:positionH relativeFrom="page">
                  <wp:posOffset>1622425</wp:posOffset>
                </wp:positionH>
                <wp:positionV relativeFrom="line">
                  <wp:posOffset>635</wp:posOffset>
                </wp:positionV>
                <wp:extent cx="245745" cy="175260"/>
                <wp:effectExtent l="0" t="0" r="0" b="0"/>
                <wp:wrapNone/>
                <wp:docPr id="25" name="Frame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574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/>
                                <w:i w:val="false"/>
                                <w:caps w:val="false"/>
                                <w:smallCaps w:val="false"/>
                                <w:sz w:val="24"/>
                                <w:u w:val="singl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/>
                                <w:i w:val="false"/>
                                <w:caps w:val="false"/>
                                <w:smallCaps w:val="false"/>
                                <w:sz w:val="24"/>
                                <w:u w:val="single"/>
                              </w:rPr>
                              <w:t>and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9.35pt;height:13.8pt;mso-wrap-distance-left:0pt;mso-wrap-distance-right:0pt;mso-wrap-distance-top:0pt;mso-wrap-distance-bottom:0pt;margin-top:0pt;mso-position-vertical:top;mso-position-vertical-relative:text;margin-left:127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/>
                          <w:i w:val="false"/>
                          <w:caps w:val="false"/>
                          <w:smallCaps w:val="false"/>
                          <w:sz w:val="24"/>
                          <w:u w:val="single"/>
                        </w:rPr>
                      </w:pPr>
                      <w:r>
                        <w:rPr>
                          <w:rFonts w:ascii="Times New Roman;serif" w:hAnsi="Times New Roman;serif"/>
                          <w:b/>
                          <w:i w:val="false"/>
                          <w:caps w:val="false"/>
                          <w:smallCaps w:val="false"/>
                          <w:sz w:val="24"/>
                          <w:u w:val="single"/>
                        </w:rPr>
                        <w:t>and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9">
                <wp:simplePos x="0" y="0"/>
                <wp:positionH relativeFrom="page">
                  <wp:posOffset>1584960</wp:posOffset>
                </wp:positionH>
                <wp:positionV relativeFrom="line">
                  <wp:posOffset>635</wp:posOffset>
                </wp:positionV>
                <wp:extent cx="37465" cy="175260"/>
                <wp:effectExtent l="0" t="0" r="0" b="0"/>
                <wp:wrapNone/>
                <wp:docPr id="26" name="Frame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46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95pt;height:13.8pt;mso-wrap-distance-left:0pt;mso-wrap-distance-right:0pt;mso-wrap-distance-top:0pt;mso-wrap-distance-bottom:0pt;margin-top:0pt;mso-position-vertical:top;mso-position-vertical-relative:text;margin-left:124.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8">
                <wp:simplePos x="0" y="0"/>
                <wp:positionH relativeFrom="page">
                  <wp:posOffset>1280795</wp:posOffset>
                </wp:positionH>
                <wp:positionV relativeFrom="line">
                  <wp:posOffset>635</wp:posOffset>
                </wp:positionV>
                <wp:extent cx="304165" cy="350520"/>
                <wp:effectExtent l="0" t="0" r="0" b="0"/>
                <wp:wrapNone/>
                <wp:docPr id="27" name="Frame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4165" cy="35052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/>
                                <w:i w:val="false"/>
                                <w:caps w:val="false"/>
                                <w:smallCaps w:val="false"/>
                                <w:sz w:val="24"/>
                                <w:u w:val="singl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/>
                                <w:i w:val="false"/>
                                <w:caps w:val="false"/>
                                <w:smallCaps w:val="false"/>
                                <w:sz w:val="24"/>
                                <w:u w:val="single"/>
                              </w:rPr>
                              <w:t>Date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3.95pt;height:27.6pt;mso-wrap-distance-left:0pt;mso-wrap-distance-right:0pt;mso-wrap-distance-top:0pt;mso-wrap-distance-bottom:0pt;margin-top:0pt;mso-position-vertical:top;mso-position-vertical-relative:text;margin-left:100.8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/>
                          <w:i w:val="false"/>
                          <w:caps w:val="false"/>
                          <w:smallCaps w:val="false"/>
                          <w:sz w:val="24"/>
                          <w:u w:val="single"/>
                        </w:rPr>
                      </w:pPr>
                      <w:r>
                        <w:rPr>
                          <w:rFonts w:ascii="Times New Roman;serif" w:hAnsi="Times New Roman;serif"/>
                          <w:b/>
                          <w:i w:val="false"/>
                          <w:caps w:val="false"/>
                          <w:smallCaps w:val="false"/>
                          <w:sz w:val="24"/>
                          <w:u w:val="single"/>
                        </w:rPr>
                        <w:t>Date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7">
                <wp:simplePos x="0" y="0"/>
                <wp:positionH relativeFrom="page">
                  <wp:posOffset>1243965</wp:posOffset>
                </wp:positionH>
                <wp:positionV relativeFrom="line">
                  <wp:posOffset>635</wp:posOffset>
                </wp:positionV>
                <wp:extent cx="36195" cy="175260"/>
                <wp:effectExtent l="0" t="0" r="0" b="0"/>
                <wp:wrapNone/>
                <wp:docPr id="28" name="Frame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19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85pt;height:13.8pt;mso-wrap-distance-left:0pt;mso-wrap-distance-right:0pt;mso-wrap-distance-top:0pt;mso-wrap-distance-bottom:0pt;margin-top:0pt;mso-position-vertical:top;mso-position-vertical-relative:text;margin-left:97.9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6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329565" cy="350520"/>
                <wp:effectExtent l="0" t="0" r="0" b="0"/>
                <wp:wrapNone/>
                <wp:docPr id="29" name="Frame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9565" cy="35052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/>
                                <w:i w:val="false"/>
                                <w:caps w:val="false"/>
                                <w:smallCaps w:val="false"/>
                                <w:sz w:val="24"/>
                                <w:u w:val="singl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/>
                                <w:i w:val="false"/>
                                <w:caps w:val="false"/>
                                <w:smallCaps w:val="false"/>
                                <w:sz w:val="24"/>
                                <w:u w:val="single"/>
                              </w:rPr>
                              <w:t>Start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5.95pt;height:27.6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/>
                          <w:i w:val="false"/>
                          <w:caps w:val="false"/>
                          <w:smallCaps w:val="false"/>
                          <w:sz w:val="24"/>
                          <w:u w:val="single"/>
                        </w:rPr>
                      </w:pPr>
                      <w:r>
                        <w:rPr>
                          <w:rFonts w:ascii="Times New Roman;serif" w:hAnsi="Times New Roman;serif"/>
                          <w:b/>
                          <w:i w:val="false"/>
                          <w:caps w:val="false"/>
                          <w:smallCaps w:val="false"/>
                          <w:sz w:val="24"/>
                          <w:u w:val="single"/>
                        </w:rPr>
                        <w:t>Start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5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1306830" cy="350520"/>
                <wp:effectExtent l="0" t="0" r="0" b="0"/>
                <wp:wrapNone/>
                <wp:docPr id="30" name="Frame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06830" cy="35052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4"/>
                                <w:u w:val="none"/>
                                <w:effect w:val="none"/>
                              </w:rPr>
                              <w:t>terms and conditions.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02.9pt;height:27.6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4"/>
                          <w:u w:val="none"/>
                          <w:effect w:val="none"/>
                        </w:rPr>
                        <w:t>terms and conditions.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9">
                <wp:simplePos x="0" y="0"/>
                <wp:positionH relativeFrom="page">
                  <wp:posOffset>1181735</wp:posOffset>
                </wp:positionH>
                <wp:positionV relativeFrom="line">
                  <wp:posOffset>635</wp:posOffset>
                </wp:positionV>
                <wp:extent cx="532765" cy="350520"/>
                <wp:effectExtent l="0" t="0" r="0" b="0"/>
                <wp:wrapNone/>
                <wp:docPr id="31" name="Frame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2765" cy="35052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4"/>
                                <w:u w:val="none"/>
                                <w:effect w:val="none"/>
                              </w:rPr>
                              <w:t>full-time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1.95pt;height:27.6pt;mso-wrap-distance-left:0pt;mso-wrap-distance-right:0pt;mso-wrap-distance-top:0pt;mso-wrap-distance-bottom:0pt;margin-top:0pt;mso-position-vertical:top;mso-position-vertical-relative:text;margin-left:93.0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4"/>
                          <w:u w:val="none"/>
                          <w:effect w:val="none"/>
                        </w:rPr>
                        <w:t>full-time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3">
                <wp:simplePos x="0" y="0"/>
                <wp:positionH relativeFrom="page">
                  <wp:posOffset>6021070</wp:posOffset>
                </wp:positionH>
                <wp:positionV relativeFrom="line">
                  <wp:posOffset>635</wp:posOffset>
                </wp:positionV>
                <wp:extent cx="592455" cy="350520"/>
                <wp:effectExtent l="0" t="0" r="0" b="0"/>
                <wp:wrapNone/>
                <wp:docPr id="32" name="Frame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2455" cy="35052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4"/>
                                <w:u w:val="none"/>
                                <w:effect w:val="none"/>
                              </w:rPr>
                              <w:t>following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6.65pt;height:27.6pt;mso-wrap-distance-left:0pt;mso-wrap-distance-right:0pt;mso-wrap-distance-top:0pt;mso-wrap-distance-bottom:0pt;margin-top:0pt;mso-position-vertical:top;mso-position-vertical-relative:text;margin-left:474.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4"/>
                          <w:u w:val="none"/>
                          <w:effect w:val="none"/>
                        </w:rPr>
                        <w:t>following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2">
                <wp:simplePos x="0" y="0"/>
                <wp:positionH relativeFrom="page">
                  <wp:posOffset>5982335</wp:posOffset>
                </wp:positionH>
                <wp:positionV relativeFrom="line">
                  <wp:posOffset>635</wp:posOffset>
                </wp:positionV>
                <wp:extent cx="38735" cy="175260"/>
                <wp:effectExtent l="0" t="0" r="0" b="0"/>
                <wp:wrapNone/>
                <wp:docPr id="33" name="Frame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73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05pt;height:13.8pt;mso-wrap-distance-left:0pt;mso-wrap-distance-right:0pt;mso-wrap-distance-top:0pt;mso-wrap-distance-bottom:0pt;margin-top:0pt;mso-position-vertical:top;mso-position-vertical-relative:text;margin-left:471.0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1">
                <wp:simplePos x="0" y="0"/>
                <wp:positionH relativeFrom="page">
                  <wp:posOffset>5796280</wp:posOffset>
                </wp:positionH>
                <wp:positionV relativeFrom="line">
                  <wp:posOffset>635</wp:posOffset>
                </wp:positionV>
                <wp:extent cx="186055" cy="350520"/>
                <wp:effectExtent l="0" t="0" r="0" b="0"/>
                <wp:wrapNone/>
                <wp:docPr id="34" name="Frame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6055" cy="35052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4"/>
                                <w:u w:val="none"/>
                                <w:effect w:val="none"/>
                              </w:rPr>
                              <w:t>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4.65pt;height:27.6pt;mso-wrap-distance-left:0pt;mso-wrap-distance-right:0pt;mso-wrap-distance-top:0pt;mso-wrap-distance-bottom:0pt;margin-top:0pt;mso-position-vertical:top;mso-position-vertical-relative:text;margin-left:456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4"/>
                          <w:u w:val="none"/>
                          <w:effect w:val="none"/>
                        </w:rPr>
                        <w:t>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0">
                <wp:simplePos x="0" y="0"/>
                <wp:positionH relativeFrom="page">
                  <wp:posOffset>5758180</wp:posOffset>
                </wp:positionH>
                <wp:positionV relativeFrom="line">
                  <wp:posOffset>635</wp:posOffset>
                </wp:positionV>
                <wp:extent cx="38735" cy="175260"/>
                <wp:effectExtent l="0" t="0" r="0" b="0"/>
                <wp:wrapNone/>
                <wp:docPr id="35" name="Frame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73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05pt;height:13.8pt;mso-wrap-distance-left:0pt;mso-wrap-distance-right:0pt;mso-wrap-distance-top:0pt;mso-wrap-distance-bottom:0pt;margin-top:0pt;mso-position-vertical:top;mso-position-vertical-relative:text;margin-left:4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9">
                <wp:simplePos x="0" y="0"/>
                <wp:positionH relativeFrom="page">
                  <wp:posOffset>5639435</wp:posOffset>
                </wp:positionH>
                <wp:positionV relativeFrom="line">
                  <wp:posOffset>635</wp:posOffset>
                </wp:positionV>
                <wp:extent cx="118745" cy="175260"/>
                <wp:effectExtent l="0" t="0" r="0" b="0"/>
                <wp:wrapNone/>
                <wp:docPr id="36" name="Frame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874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4"/>
                                <w:u w:val="none"/>
                                <w:effect w:val="none"/>
                              </w:rPr>
                              <w:t>to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.35pt;height:13.8pt;mso-wrap-distance-left:0pt;mso-wrap-distance-right:0pt;mso-wrap-distance-top:0pt;mso-wrap-distance-bottom:0pt;margin-top:0pt;mso-position-vertical:top;mso-position-vertical-relative:text;margin-left:444.0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4"/>
                          <w:u w:val="none"/>
                          <w:effect w:val="none"/>
                        </w:rPr>
                        <w:t>to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8">
                <wp:simplePos x="0" y="0"/>
                <wp:positionH relativeFrom="page">
                  <wp:posOffset>5600700</wp:posOffset>
                </wp:positionH>
                <wp:positionV relativeFrom="line">
                  <wp:posOffset>635</wp:posOffset>
                </wp:positionV>
                <wp:extent cx="38735" cy="175260"/>
                <wp:effectExtent l="0" t="0" r="0" b="0"/>
                <wp:wrapNone/>
                <wp:docPr id="37" name="Frame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73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05pt;height:13.8pt;mso-wrap-distance-left:0pt;mso-wrap-distance-right:0pt;mso-wrap-distance-top:0pt;mso-wrap-distance-bottom:0pt;margin-top:0pt;mso-position-vertical:top;mso-position-vertical-relative:text;margin-left:44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7">
                <wp:simplePos x="0" y="0"/>
                <wp:positionH relativeFrom="page">
                  <wp:posOffset>5169535</wp:posOffset>
                </wp:positionH>
                <wp:positionV relativeFrom="line">
                  <wp:posOffset>635</wp:posOffset>
                </wp:positionV>
                <wp:extent cx="431165" cy="350520"/>
                <wp:effectExtent l="0" t="0" r="0" b="0"/>
                <wp:wrapNone/>
                <wp:docPr id="38" name="Frame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1165" cy="35052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4"/>
                                <w:u w:val="none"/>
                                <w:effect w:val="none"/>
                              </w:rPr>
                              <w:t>subject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3.95pt;height:27.6pt;mso-wrap-distance-left:0pt;mso-wrap-distance-right:0pt;mso-wrap-distance-top:0pt;mso-wrap-distance-bottom:0pt;margin-top:0pt;mso-position-vertical:top;mso-position-vertical-relative:text;margin-left:407.0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4"/>
                          <w:u w:val="none"/>
                          <w:effect w:val="none"/>
                        </w:rPr>
                        <w:t>subject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">
                <wp:simplePos x="0" y="0"/>
                <wp:positionH relativeFrom="page">
                  <wp:posOffset>1724025</wp:posOffset>
                </wp:positionH>
                <wp:positionV relativeFrom="line">
                  <wp:posOffset>635</wp:posOffset>
                </wp:positionV>
                <wp:extent cx="554355" cy="350520"/>
                <wp:effectExtent l="0" t="0" r="0" b="0"/>
                <wp:wrapNone/>
                <wp:docPr id="39" name="Frame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4355" cy="35052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4"/>
                                <w:u w:val="none"/>
                                <w:effect w:val="none"/>
                              </w:rPr>
                              <w:t>GoodRx,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3.65pt;height:27.6pt;mso-wrap-distance-left:0pt;mso-wrap-distance-right:0pt;mso-wrap-distance-top:0pt;mso-wrap-distance-bottom:0pt;margin-top:0pt;mso-position-vertical:top;mso-position-vertical-relative:text;margin-left:135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4"/>
                          <w:u w:val="none"/>
                          <w:effect w:val="none"/>
                        </w:rPr>
                        <w:t>GoodRx,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">
                <wp:simplePos x="0" y="0"/>
                <wp:positionH relativeFrom="page">
                  <wp:posOffset>3354070</wp:posOffset>
                </wp:positionH>
                <wp:positionV relativeFrom="line">
                  <wp:posOffset>635</wp:posOffset>
                </wp:positionV>
                <wp:extent cx="702310" cy="350520"/>
                <wp:effectExtent l="0" t="0" r="0" b="0"/>
                <wp:wrapNone/>
                <wp:docPr id="40" name="Frame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2310" cy="35052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4"/>
                                <w:u w:val="none"/>
                                <w:effect w:val="none"/>
                              </w:rPr>
                              <w:t>corporation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5.3pt;height:27.6pt;mso-wrap-distance-left:0pt;mso-wrap-distance-right:0pt;mso-wrap-distance-top:0pt;mso-wrap-distance-bottom:0pt;margin-top:0pt;mso-position-vertical:top;mso-position-vertical-relative:text;margin-left:264.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4"/>
                          <w:u w:val="none"/>
                          <w:effect w:val="none"/>
                        </w:rPr>
                        <w:t>corporation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">
                <wp:simplePos x="0" y="0"/>
                <wp:positionH relativeFrom="page">
                  <wp:posOffset>3315335</wp:posOffset>
                </wp:positionH>
                <wp:positionV relativeFrom="line">
                  <wp:posOffset>635</wp:posOffset>
                </wp:positionV>
                <wp:extent cx="38735" cy="175260"/>
                <wp:effectExtent l="0" t="0" r="0" b="0"/>
                <wp:wrapNone/>
                <wp:docPr id="41" name="Frame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73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05pt;height:13.8pt;mso-wrap-distance-left:0pt;mso-wrap-distance-right:0pt;mso-wrap-distance-top:0pt;mso-wrap-distance-bottom:0pt;margin-top:0pt;mso-position-vertical:top;mso-position-vertical-relative:text;margin-left:261.0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">
                <wp:simplePos x="0" y="0"/>
                <wp:positionH relativeFrom="page">
                  <wp:posOffset>2732405</wp:posOffset>
                </wp:positionH>
                <wp:positionV relativeFrom="line">
                  <wp:posOffset>635</wp:posOffset>
                </wp:positionV>
                <wp:extent cx="582930" cy="350520"/>
                <wp:effectExtent l="0" t="0" r="0" b="0"/>
                <wp:wrapNone/>
                <wp:docPr id="42" name="Frame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930" cy="35052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4"/>
                                <w:u w:val="none"/>
                                <w:effect w:val="none"/>
                              </w:rPr>
                              <w:t>Delaware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.9pt;height:27.6pt;mso-wrap-distance-left:0pt;mso-wrap-distance-right:0pt;mso-wrap-distance-top:0pt;mso-wrap-distance-bottom:0pt;margin-top:0pt;mso-position-vertical:top;mso-position-vertical-relative:text;margin-left:215.1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4"/>
                          <w:u w:val="none"/>
                          <w:effect w:val="none"/>
                        </w:rPr>
                        <w:t>Delaware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">
                <wp:simplePos x="0" y="0"/>
                <wp:positionH relativeFrom="page">
                  <wp:posOffset>2693670</wp:posOffset>
                </wp:positionH>
                <wp:positionV relativeFrom="line">
                  <wp:posOffset>635</wp:posOffset>
                </wp:positionV>
                <wp:extent cx="38735" cy="175260"/>
                <wp:effectExtent l="0" t="0" r="0" b="0"/>
                <wp:wrapNone/>
                <wp:docPr id="43" name="Frame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73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05pt;height:13.8pt;mso-wrap-distance-left:0pt;mso-wrap-distance-right:0pt;mso-wrap-distance-top:0pt;mso-wrap-distance-bottom:0pt;margin-top:0pt;mso-position-vertical:top;mso-position-vertical-relative:text;margin-left:212.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">
                <wp:simplePos x="0" y="0"/>
                <wp:positionH relativeFrom="page">
                  <wp:posOffset>2626360</wp:posOffset>
                </wp:positionH>
                <wp:positionV relativeFrom="line">
                  <wp:posOffset>635</wp:posOffset>
                </wp:positionV>
                <wp:extent cx="67310" cy="175260"/>
                <wp:effectExtent l="0" t="0" r="0" b="0"/>
                <wp:wrapNone/>
                <wp:docPr id="44" name="Frame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31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4"/>
                                <w:u w:val="none"/>
                                <w:effect w:val="none"/>
                              </w:rPr>
                              <w:t>a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.3pt;height:13.8pt;mso-wrap-distance-left:0pt;mso-wrap-distance-right:0pt;mso-wrap-distance-top:0pt;mso-wrap-distance-bottom:0pt;margin-top:0pt;mso-position-vertical:top;mso-position-vertical-relative:text;margin-left:206.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4"/>
                          <w:u w:val="none"/>
                          <w:effect w:val="none"/>
                        </w:rPr>
                        <w:t>a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">
                <wp:simplePos x="0" y="0"/>
                <wp:positionH relativeFrom="page">
                  <wp:posOffset>2587625</wp:posOffset>
                </wp:positionH>
                <wp:positionV relativeFrom="line">
                  <wp:posOffset>635</wp:posOffset>
                </wp:positionV>
                <wp:extent cx="38735" cy="175260"/>
                <wp:effectExtent l="0" t="0" r="0" b="0"/>
                <wp:wrapNone/>
                <wp:docPr id="45" name="Frame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73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05pt;height:13.8pt;mso-wrap-distance-left:0pt;mso-wrap-distance-right:0pt;mso-wrap-distance-top:0pt;mso-wrap-distance-bottom:0pt;margin-top:0pt;mso-position-vertical:top;mso-position-vertical-relative:text;margin-left:20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">
                <wp:simplePos x="0" y="0"/>
                <wp:positionH relativeFrom="page">
                  <wp:posOffset>2317115</wp:posOffset>
                </wp:positionH>
                <wp:positionV relativeFrom="line">
                  <wp:posOffset>635</wp:posOffset>
                </wp:positionV>
                <wp:extent cx="270510" cy="350520"/>
                <wp:effectExtent l="0" t="0" r="0" b="0"/>
                <wp:wrapNone/>
                <wp:docPr id="46" name="Frame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0510" cy="35052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4"/>
                                <w:u w:val="none"/>
                                <w:effect w:val="none"/>
                              </w:rPr>
                              <w:t>Inc.,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1.3pt;height:27.6pt;mso-wrap-distance-left:0pt;mso-wrap-distance-right:0pt;mso-wrap-distance-top:0pt;mso-wrap-distance-bottom:0pt;margin-top:0pt;mso-position-vertical:top;mso-position-vertical-relative:text;margin-left:182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4"/>
                          <w:u w:val="none"/>
                          <w:effect w:val="none"/>
                        </w:rPr>
                        <w:t>Inc.,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">
                <wp:simplePos x="0" y="0"/>
                <wp:positionH relativeFrom="page">
                  <wp:posOffset>2278380</wp:posOffset>
                </wp:positionH>
                <wp:positionV relativeFrom="line">
                  <wp:posOffset>635</wp:posOffset>
                </wp:positionV>
                <wp:extent cx="38735" cy="175260"/>
                <wp:effectExtent l="0" t="0" r="0" b="0"/>
                <wp:wrapNone/>
                <wp:docPr id="47" name="Frame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73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05pt;height:13.8pt;mso-wrap-distance-left:0pt;mso-wrap-distance-right:0pt;mso-wrap-distance-top:0pt;mso-wrap-distance-bottom:0pt;margin-top:0pt;mso-position-vertical:top;mso-position-vertical-relative:text;margin-left:179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">
                <wp:simplePos x="0" y="0"/>
                <wp:positionH relativeFrom="page">
                  <wp:posOffset>4056380</wp:posOffset>
                </wp:positionH>
                <wp:positionV relativeFrom="line">
                  <wp:posOffset>635</wp:posOffset>
                </wp:positionV>
                <wp:extent cx="38735" cy="175260"/>
                <wp:effectExtent l="0" t="0" r="0" b="0"/>
                <wp:wrapNone/>
                <wp:docPr id="48" name="Frame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73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05pt;height:13.8pt;mso-wrap-distance-left:0pt;mso-wrap-distance-right:0pt;mso-wrap-distance-top:0pt;mso-wrap-distance-bottom:0pt;margin-top:0pt;mso-position-vertical:top;mso-position-vertical-relative:text;margin-left:319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">
                <wp:simplePos x="0" y="0"/>
                <wp:positionH relativeFrom="page">
                  <wp:posOffset>1685290</wp:posOffset>
                </wp:positionH>
                <wp:positionV relativeFrom="line">
                  <wp:posOffset>635</wp:posOffset>
                </wp:positionV>
                <wp:extent cx="38735" cy="175260"/>
                <wp:effectExtent l="0" t="0" r="0" b="0"/>
                <wp:wrapNone/>
                <wp:docPr id="49" name="Frame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73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05pt;height:13.8pt;mso-wrap-distance-left:0pt;mso-wrap-distance-right:0pt;mso-wrap-distance-top:0pt;mso-wrap-distance-bottom:0pt;margin-top:0pt;mso-position-vertical:top;mso-position-vertical-relative:text;margin-left:132.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">
                <wp:simplePos x="0" y="0"/>
                <wp:positionH relativeFrom="page">
                  <wp:posOffset>1558290</wp:posOffset>
                </wp:positionH>
                <wp:positionV relativeFrom="line">
                  <wp:posOffset>635</wp:posOffset>
                </wp:positionV>
                <wp:extent cx="127000" cy="175260"/>
                <wp:effectExtent l="0" t="0" r="0" b="0"/>
                <wp:wrapNone/>
                <wp:docPr id="50" name="Frame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7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4"/>
                                <w:u w:val="none"/>
                                <w:effect w:val="none"/>
                              </w:rPr>
                              <w:t>of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0pt;height:13.8pt;mso-wrap-distance-left:0pt;mso-wrap-distance-right:0pt;mso-wrap-distance-top:0pt;mso-wrap-distance-bottom:0pt;margin-top:0pt;mso-position-vertical:top;mso-position-vertical-relative:text;margin-left:122.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4"/>
                          <w:u w:val="none"/>
                          <w:effect w:val="none"/>
                        </w:rPr>
                        <w:t>of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">
                <wp:simplePos x="0" y="0"/>
                <wp:positionH relativeFrom="page">
                  <wp:posOffset>1519555</wp:posOffset>
                </wp:positionH>
                <wp:positionV relativeFrom="line">
                  <wp:posOffset>635</wp:posOffset>
                </wp:positionV>
                <wp:extent cx="38735" cy="175260"/>
                <wp:effectExtent l="0" t="0" r="0" b="0"/>
                <wp:wrapNone/>
                <wp:docPr id="51" name="Frame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73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05pt;height:13.8pt;mso-wrap-distance-left:0pt;mso-wrap-distance-right:0pt;mso-wrap-distance-top:0pt;mso-wrap-distance-bottom:0pt;margin-top:0pt;mso-position-vertical:top;mso-position-vertical-relative:text;margin-left:119.6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">
                <wp:simplePos x="0" y="0"/>
                <wp:positionH relativeFrom="page">
                  <wp:posOffset>1139190</wp:posOffset>
                </wp:positionH>
                <wp:positionV relativeFrom="line">
                  <wp:posOffset>635</wp:posOffset>
                </wp:positionV>
                <wp:extent cx="380365" cy="350520"/>
                <wp:effectExtent l="0" t="0" r="0" b="0"/>
                <wp:wrapNone/>
                <wp:docPr id="52" name="Frame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0365" cy="35052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4"/>
                                <w:u w:val="none"/>
                                <w:effect w:val="none"/>
                              </w:rPr>
                              <w:t>behalf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9.95pt;height:27.6pt;mso-wrap-distance-left:0pt;mso-wrap-distance-right:0pt;mso-wrap-distance-top:0pt;mso-wrap-distance-bottom:0pt;margin-top:0pt;mso-position-vertical:top;mso-position-vertical-relative:text;margin-left:89.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4"/>
                          <w:u w:val="none"/>
                          <w:effect w:val="none"/>
                        </w:rPr>
                        <w:t>behalf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">
                <wp:simplePos x="0" y="0"/>
                <wp:positionH relativeFrom="page">
                  <wp:posOffset>1100455</wp:posOffset>
                </wp:positionH>
                <wp:positionV relativeFrom="line">
                  <wp:posOffset>635</wp:posOffset>
                </wp:positionV>
                <wp:extent cx="38735" cy="175260"/>
                <wp:effectExtent l="0" t="0" r="0" b="0"/>
                <wp:wrapNone/>
                <wp:docPr id="53" name="Frame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73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05pt;height:13.8pt;mso-wrap-distance-left:0pt;mso-wrap-distance-right:0pt;mso-wrap-distance-top:0pt;mso-wrap-distance-bottom:0pt;margin-top:0pt;mso-position-vertical:top;mso-position-vertical-relative:text;margin-left:86.6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186055" cy="175260"/>
                <wp:effectExtent l="0" t="0" r="0" b="0"/>
                <wp:wrapNone/>
                <wp:docPr id="54" name="Frame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605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4"/>
                                <w:u w:val="none"/>
                                <w:effect w:val="none"/>
                              </w:rPr>
                              <w:t>On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4.65pt;height:13.8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4"/>
                          <w:u w:val="none"/>
                          <w:effect w:val="none"/>
                        </w:rPr>
                        <w:t>On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">
                <wp:simplePos x="0" y="0"/>
                <wp:positionH relativeFrom="page">
                  <wp:posOffset>1248410</wp:posOffset>
                </wp:positionH>
                <wp:positionV relativeFrom="line">
                  <wp:posOffset>635</wp:posOffset>
                </wp:positionV>
                <wp:extent cx="525145" cy="350520"/>
                <wp:effectExtent l="0" t="0" r="0" b="0"/>
                <wp:wrapNone/>
                <wp:docPr id="55" name="Frame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5145" cy="35052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4"/>
                                <w:u w:val="none"/>
                                <w:effect w:val="none"/>
                              </w:rPr>
                              <w:t>Thomas: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1.35pt;height:27.6pt;mso-wrap-distance-left:0pt;mso-wrap-distance-right:0pt;mso-wrap-distance-top:0pt;mso-wrap-distance-bottom:0pt;margin-top:0pt;mso-position-vertical:top;mso-position-vertical-relative:text;margin-left:98.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4"/>
                          <w:u w:val="none"/>
                          <w:effect w:val="none"/>
                        </w:rPr>
                        <w:t>Thomas: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">
                <wp:simplePos x="0" y="0"/>
                <wp:positionH relativeFrom="page">
                  <wp:posOffset>5626100</wp:posOffset>
                </wp:positionH>
                <wp:positionV relativeFrom="line">
                  <wp:posOffset>635</wp:posOffset>
                </wp:positionV>
                <wp:extent cx="38735" cy="175260"/>
                <wp:effectExtent l="0" t="0" r="0" b="0"/>
                <wp:wrapNone/>
                <wp:docPr id="56" name="Frame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73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05pt;height:13.8pt;mso-wrap-distance-left:0pt;mso-wrap-distance-right:0pt;mso-wrap-distance-top:0pt;mso-wrap-distance-bottom:0pt;margin-top:0pt;mso-position-vertical:top;mso-position-vertical-relative:text;margin-left:44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">
                <wp:simplePos x="0" y="0"/>
                <wp:positionH relativeFrom="page">
                  <wp:posOffset>1143000</wp:posOffset>
                </wp:positionH>
                <wp:positionV relativeFrom="line">
                  <wp:posOffset>635</wp:posOffset>
                </wp:positionV>
                <wp:extent cx="38735" cy="175260"/>
                <wp:effectExtent l="0" t="0" r="0" b="0"/>
                <wp:wrapNone/>
                <wp:docPr id="57" name="Frame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73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05pt;height:13.8pt;mso-wrap-distance-left:0pt;mso-wrap-distance-right:0pt;mso-wrap-distance-top:0pt;mso-wrap-distance-bottom:0pt;margin-top:0pt;mso-position-vertical:top;mso-position-vertical-relative:text;margin-left:9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228600" cy="175260"/>
                <wp:effectExtent l="0" t="0" r="0" b="0"/>
                <wp:wrapNone/>
                <wp:docPr id="58" name="Frame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86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4"/>
                                <w:u w:val="none"/>
                                <w:effect w:val="none"/>
                              </w:rPr>
                              <w:t>you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8pt;height:13.8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4"/>
                          <w:u w:val="none"/>
                          <w:effect w:val="none"/>
                        </w:rPr>
                        <w:t>you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">
                <wp:simplePos x="0" y="0"/>
                <wp:positionH relativeFrom="page">
                  <wp:posOffset>6612890</wp:posOffset>
                </wp:positionH>
                <wp:positionV relativeFrom="line">
                  <wp:posOffset>635</wp:posOffset>
                </wp:positionV>
                <wp:extent cx="38100" cy="175260"/>
                <wp:effectExtent l="0" t="0" r="0" b="0"/>
                <wp:wrapNone/>
                <wp:docPr id="59" name="Frame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pt;height:13.8pt;mso-wrap-distance-left:0pt;mso-wrap-distance-right:0pt;mso-wrap-distance-top:0pt;mso-wrap-distance-bottom:0pt;margin-top:0pt;mso-position-vertical:top;mso-position-vertical-relative:text;margin-left:520.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">
                <wp:simplePos x="0" y="0"/>
                <wp:positionH relativeFrom="page">
                  <wp:posOffset>6316980</wp:posOffset>
                </wp:positionH>
                <wp:positionV relativeFrom="line">
                  <wp:posOffset>635</wp:posOffset>
                </wp:positionV>
                <wp:extent cx="295910" cy="350520"/>
                <wp:effectExtent l="0" t="0" r="0" b="0"/>
                <wp:wrapNone/>
                <wp:docPr id="60" name="Frame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5910" cy="35052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4"/>
                                <w:u w:val="none"/>
                                <w:effect w:val="none"/>
                              </w:rPr>
                              <w:t>offer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3.3pt;height:27.6pt;mso-wrap-distance-left:0pt;mso-wrap-distance-right:0pt;mso-wrap-distance-top:0pt;mso-wrap-distance-bottom:0pt;margin-top:0pt;mso-position-vertical:top;mso-position-vertical-relative:text;margin-left:497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4"/>
                          <w:u w:val="none"/>
                          <w:effect w:val="none"/>
                        </w:rPr>
                        <w:t>offer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">
                <wp:simplePos x="0" y="0"/>
                <wp:positionH relativeFrom="page">
                  <wp:posOffset>6278880</wp:posOffset>
                </wp:positionH>
                <wp:positionV relativeFrom="line">
                  <wp:posOffset>635</wp:posOffset>
                </wp:positionV>
                <wp:extent cx="38735" cy="175260"/>
                <wp:effectExtent l="0" t="0" r="0" b="0"/>
                <wp:wrapNone/>
                <wp:docPr id="61" name="Frame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73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05pt;height:13.8pt;mso-wrap-distance-left:0pt;mso-wrap-distance-right:0pt;mso-wrap-distance-top:0pt;mso-wrap-distance-bottom:0pt;margin-top:0pt;mso-position-vertical:top;mso-position-vertical-relative:text;margin-left:494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">
                <wp:simplePos x="0" y="0"/>
                <wp:positionH relativeFrom="page">
                  <wp:posOffset>6160135</wp:posOffset>
                </wp:positionH>
                <wp:positionV relativeFrom="line">
                  <wp:posOffset>635</wp:posOffset>
                </wp:positionV>
                <wp:extent cx="118745" cy="175260"/>
                <wp:effectExtent l="0" t="0" r="0" b="0"/>
                <wp:wrapNone/>
                <wp:docPr id="62" name="Frame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874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4"/>
                                <w:u w:val="none"/>
                                <w:effect w:val="none"/>
                              </w:rPr>
                              <w:t>to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.35pt;height:13.8pt;mso-wrap-distance-left:0pt;mso-wrap-distance-right:0pt;mso-wrap-distance-top:0pt;mso-wrap-distance-bottom:0pt;margin-top:0pt;mso-position-vertical:top;mso-position-vertical-relative:text;margin-left:485.0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4"/>
                          <w:u w:val="none"/>
                          <w:effect w:val="none"/>
                        </w:rPr>
                        <w:t>to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">
                <wp:simplePos x="0" y="0"/>
                <wp:positionH relativeFrom="page">
                  <wp:posOffset>6121400</wp:posOffset>
                </wp:positionH>
                <wp:positionV relativeFrom="line">
                  <wp:posOffset>635</wp:posOffset>
                </wp:positionV>
                <wp:extent cx="38735" cy="175260"/>
                <wp:effectExtent l="0" t="0" r="0" b="0"/>
                <wp:wrapNone/>
                <wp:docPr id="63" name="Frame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73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05pt;height:13.8pt;mso-wrap-distance-left:0pt;mso-wrap-distance-right:0pt;mso-wrap-distance-top:0pt;mso-wrap-distance-bottom:0pt;margin-top:0pt;mso-position-vertical:top;mso-position-vertical-relative:text;margin-left:48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">
                <wp:simplePos x="0" y="0"/>
                <wp:positionH relativeFrom="page">
                  <wp:posOffset>5664835</wp:posOffset>
                </wp:positionH>
                <wp:positionV relativeFrom="line">
                  <wp:posOffset>635</wp:posOffset>
                </wp:positionV>
                <wp:extent cx="456565" cy="350520"/>
                <wp:effectExtent l="0" t="0" r="0" b="0"/>
                <wp:wrapNone/>
                <wp:docPr id="64" name="Frame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6565" cy="35052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4"/>
                                <w:u w:val="none"/>
                                <w:effect w:val="none"/>
                              </w:rPr>
                              <w:t>pleased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5.95pt;height:27.6pt;mso-wrap-distance-left:0pt;mso-wrap-distance-right:0pt;mso-wrap-distance-top:0pt;mso-wrap-distance-bottom:0pt;margin-top:0pt;mso-position-vertical:top;mso-position-vertical-relative:text;margin-left:446.0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4"/>
                          <w:u w:val="none"/>
                          <w:effect w:val="none"/>
                        </w:rPr>
                        <w:t>pleased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334010" cy="175260"/>
                <wp:effectExtent l="0" t="0" r="0" b="0"/>
                <wp:wrapNone/>
                <wp:docPr id="65" name="Frame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401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4"/>
                                <w:u w:val="none"/>
                                <w:effect w:val="none"/>
                              </w:rPr>
                              <w:t xml:space="preserve">Dear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6.3pt;height:13.8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4"/>
                          <w:u w:val="none"/>
                          <w:effect w:val="none"/>
                        </w:rPr>
                        <w:t xml:space="preserve">Dear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">
                <wp:simplePos x="0" y="0"/>
                <wp:positionH relativeFrom="page">
                  <wp:posOffset>5440680</wp:posOffset>
                </wp:positionH>
                <wp:positionV relativeFrom="line">
                  <wp:posOffset>635</wp:posOffset>
                </wp:positionV>
                <wp:extent cx="186055" cy="175260"/>
                <wp:effectExtent l="0" t="0" r="0" b="0"/>
                <wp:wrapNone/>
                <wp:docPr id="66" name="Frame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605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4"/>
                                <w:u w:val="none"/>
                                <w:effect w:val="none"/>
                              </w:rPr>
                              <w:t>are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4.65pt;height:13.8pt;mso-wrap-distance-left:0pt;mso-wrap-distance-right:0pt;mso-wrap-distance-top:0pt;mso-wrap-distance-bottom:0pt;margin-top:0pt;mso-position-vertical:top;mso-position-vertical-relative:text;margin-left:428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4"/>
                          <w:u w:val="none"/>
                          <w:effect w:val="none"/>
                        </w:rPr>
                        <w:t>are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">
                <wp:simplePos x="0" y="0"/>
                <wp:positionH relativeFrom="page">
                  <wp:posOffset>5402580</wp:posOffset>
                </wp:positionH>
                <wp:positionV relativeFrom="line">
                  <wp:posOffset>635</wp:posOffset>
                </wp:positionV>
                <wp:extent cx="38100" cy="175260"/>
                <wp:effectExtent l="0" t="0" r="0" b="0"/>
                <wp:wrapNone/>
                <wp:docPr id="67" name="Frame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pt;height:13.8pt;mso-wrap-distance-left:0pt;mso-wrap-distance-right:0pt;mso-wrap-distance-top:0pt;mso-wrap-distance-bottom:0pt;margin-top:0pt;mso-position-vertical:top;mso-position-vertical-relative:text;margin-left:425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">
                <wp:simplePos x="0" y="0"/>
                <wp:positionH relativeFrom="page">
                  <wp:posOffset>5224780</wp:posOffset>
                </wp:positionH>
                <wp:positionV relativeFrom="line">
                  <wp:posOffset>635</wp:posOffset>
                </wp:positionV>
                <wp:extent cx="177800" cy="175260"/>
                <wp:effectExtent l="0" t="0" r="0" b="0"/>
                <wp:wrapNone/>
                <wp:docPr id="68" name="Frame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7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4"/>
                                <w:u w:val="none"/>
                                <w:effect w:val="none"/>
                              </w:rPr>
                              <w:t>we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4pt;height:13.8pt;mso-wrap-distance-left:0pt;mso-wrap-distance-right:0pt;mso-wrap-distance-top:0pt;mso-wrap-distance-bottom:0pt;margin-top:0pt;mso-position-vertical:top;mso-position-vertical-relative:text;margin-left:411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4"/>
                          <w:u w:val="none"/>
                          <w:effect w:val="none"/>
                        </w:rPr>
                        <w:t>we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">
                <wp:simplePos x="0" y="0"/>
                <wp:positionH relativeFrom="page">
                  <wp:posOffset>5186680</wp:posOffset>
                </wp:positionH>
                <wp:positionV relativeFrom="line">
                  <wp:posOffset>635</wp:posOffset>
                </wp:positionV>
                <wp:extent cx="38735" cy="175260"/>
                <wp:effectExtent l="0" t="0" r="0" b="0"/>
                <wp:wrapNone/>
                <wp:docPr id="69" name="Frame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73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05pt;height:13.8pt;mso-wrap-distance-left:0pt;mso-wrap-distance-right:0pt;mso-wrap-distance-top:0pt;mso-wrap-distance-bottom:0pt;margin-top:0pt;mso-position-vertical:top;mso-position-vertical-relative:text;margin-left:408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">
                <wp:simplePos x="0" y="0"/>
                <wp:positionH relativeFrom="page">
                  <wp:posOffset>4370070</wp:posOffset>
                </wp:positionH>
                <wp:positionV relativeFrom="line">
                  <wp:posOffset>635</wp:posOffset>
                </wp:positionV>
                <wp:extent cx="816610" cy="350520"/>
                <wp:effectExtent l="0" t="0" r="0" b="0"/>
                <wp:wrapNone/>
                <wp:docPr id="70" name="Frame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16610" cy="35052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  <w:t>“</w:t>
                            </w: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4"/>
                                <w:u w:val="none"/>
                                <w:effect w:val="none"/>
                              </w:rPr>
                              <w:t>Company”),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4.3pt;height:27.6pt;mso-wrap-distance-left:0pt;mso-wrap-distance-right:0pt;mso-wrap-distance-top:0pt;mso-wrap-distance-bottom:0pt;margin-top:0pt;mso-position-vertical:top;mso-position-vertical-relative:text;margin-left:344.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</w:pPr>
                      <w:r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  <w:t>“</w:t>
                      </w: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4"/>
                          <w:u w:val="none"/>
                          <w:effect w:val="none"/>
                        </w:rPr>
                        <w:t>Company”),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">
                <wp:simplePos x="0" y="0"/>
                <wp:positionH relativeFrom="page">
                  <wp:posOffset>4331335</wp:posOffset>
                </wp:positionH>
                <wp:positionV relativeFrom="line">
                  <wp:posOffset>635</wp:posOffset>
                </wp:positionV>
                <wp:extent cx="38735" cy="175260"/>
                <wp:effectExtent l="0" t="0" r="0" b="0"/>
                <wp:wrapNone/>
                <wp:docPr id="71" name="Frame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73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05pt;height:13.8pt;mso-wrap-distance-left:0pt;mso-wrap-distance-right:0pt;mso-wrap-distance-top:0pt;mso-wrap-distance-bottom:0pt;margin-top:0pt;mso-position-vertical:top;mso-position-vertical-relative:text;margin-left:341.0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">
                <wp:simplePos x="0" y="0"/>
                <wp:positionH relativeFrom="page">
                  <wp:posOffset>4094480</wp:posOffset>
                </wp:positionH>
                <wp:positionV relativeFrom="line">
                  <wp:posOffset>635</wp:posOffset>
                </wp:positionV>
                <wp:extent cx="236855" cy="350520"/>
                <wp:effectExtent l="0" t="0" r="0" b="0"/>
                <wp:wrapNone/>
                <wp:docPr id="72" name="Frame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6855" cy="35052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4"/>
                                <w:u w:val="none"/>
                                <w:effect w:val="none"/>
                              </w:rPr>
                              <w:t>(the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8.65pt;height:27.6pt;mso-wrap-distance-left:0pt;mso-wrap-distance-right:0pt;mso-wrap-distance-top:0pt;mso-wrap-distance-bottom:0pt;margin-top:0pt;mso-position-vertical:top;mso-position-vertical-relative:text;margin-left:322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4"/>
                          <w:u w:val="none"/>
                          <w:effect w:val="none"/>
                        </w:rPr>
                        <w:t>(the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location will be our office in Santa Monica, CA.</w:t>
      </w:r>
    </w:p>
    <w:p>
      <w:pPr>
        <w:pStyle w:val="TextBody"/>
        <w:bidi w:val="0"/>
        <w:spacing w:lineRule="atLeast" w:line="162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4"/>
          <w:u w:val="single"/>
          <w:shd w:fill="E4E4E4" w:val="clear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4"/>
          <w:u w:val="single"/>
          <w:shd w:fill="E4E4E4" w:val="clear"/>
        </w:rPr>
        <w:t>Base Salary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 xml:space="preserve">As a full-time exempt employee, you will initially earn a base salary of $14,583.33/month </w:t>
      </w:r>
    </w:p>
    <w:p>
      <w:pPr>
        <w:pStyle w:val="TextBody"/>
        <w:bidi w:val="0"/>
        <w:spacing w:lineRule="atLeast" w:line="166" w:before="0" w:after="0"/>
        <w:jc w:val="left"/>
        <w:rPr>
          <w:rFonts w:ascii="Arial;sans-serif" w:hAnsi="Arial;sans-serif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($175,000/annualized)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paid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twice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monthly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on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the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Company’s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normal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payroll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schedule,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subject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 xml:space="preserve">to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 xml:space="preserve">regular withholdings. Your base salary will be subject to review annually as part of the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 xml:space="preserve">Company’s normal salary review process, and any salary adjustment will be made solely in the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 xml:space="preserve">Company’s discretion based on individual and Company performance. In addition to the base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 xml:space="preserve">salary, you will be eligible for an annual discretionary performance bonus of up to 10% of your </w:t>
      </w:r>
    </w:p>
    <w:p>
      <w:pPr>
        <w:pStyle w:val="TextBody"/>
        <w:bidi w:val="0"/>
        <w:spacing w:lineRule="atLeast" w:line="166" w:before="0" w:after="0"/>
        <w:jc w:val="left"/>
        <w:rPr>
          <w:rFonts w:ascii="Arial;sans-serif" w:hAnsi="Arial;sans-serif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annual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base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salary,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prorated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for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your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first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year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of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employment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based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on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your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start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date.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 xml:space="preserve">However,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 xml:space="preserve">the final decision on the amount of the bonus that will be paid (if any) shall be defined by the </w:t>
      </w:r>
    </w:p>
    <w:p>
      <w:pPr>
        <w:pStyle w:val="TextBody"/>
        <w:bidi w:val="0"/>
        <w:spacing w:lineRule="atLeast" w:line="166" w:before="0" w:after="0"/>
        <w:jc w:val="left"/>
        <w:rPr>
          <w:rFonts w:ascii="Arial;sans-serif" w:hAnsi="Arial;sans-serif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Company in its sole discretion, also based on individual and Company performance. You must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be currently employed at the time bonuses are awarded to be eligible for a bonus.</w:t>
      </w:r>
    </w:p>
    <w:p>
      <w:pPr>
        <w:pStyle w:val="TextBody"/>
        <w:bidi w:val="0"/>
        <w:spacing w:lineRule="atLeast" w:line="162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4"/>
          <w:u w:val="single"/>
          <w:shd w:fill="E4E4E4" w:val="clear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4"/>
          <w:u w:val="single"/>
          <w:shd w:fill="E4E4E4" w:val="clear"/>
        </w:rPr>
        <w:t>Benefits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 xml:space="preserve">You shall be eligible to participate in all the employee benefits and benefit plans that the </w:t>
      </w:r>
    </w:p>
    <w:p>
      <w:pPr>
        <w:pStyle w:val="TextBody"/>
        <w:bidi w:val="0"/>
        <w:spacing w:lineRule="atLeast" w:line="166" w:before="0" w:after="0"/>
        <w:jc w:val="left"/>
        <w:rPr>
          <w:rFonts w:ascii="Arial;sans-serif" w:hAnsi="Arial;sans-serif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Company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generally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makes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available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to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its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full-time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regular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employees,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subject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to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the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terms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 xml:space="preserve">and </w:t>
      </w:r>
    </w:p>
    <w:p>
      <w:pPr>
        <w:pStyle w:val="TextBody"/>
        <w:bidi w:val="0"/>
        <w:spacing w:lineRule="atLeast" w:line="166" w:before="0" w:after="0"/>
        <w:jc w:val="left"/>
        <w:rPr>
          <w:rFonts w:ascii="Arial;sans-serif" w:hAnsi="Arial;sans-serif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conditions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of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such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benefits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and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benefit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plans.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Detailed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information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about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the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benefits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 xml:space="preserve">presently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 xml:space="preserve">available will be provided to you upon your employment. You will be eligible for vacation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 xml:space="preserve">pursuant to the Company’s Flexible Vacation policy. You will also receive separate paid sick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leave in accordance with the Company’s sick leave policy.</w:t>
      </w:r>
    </w:p>
    <w:p>
      <w:pPr>
        <w:pStyle w:val="TextBody"/>
        <w:bidi w:val="0"/>
        <w:spacing w:lineRule="atLeast" w:line="162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4"/>
          <w:u w:val="single"/>
          <w:shd w:fill="E4E4E4" w:val="clear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4"/>
          <w:u w:val="single"/>
          <w:shd w:fill="E4E4E4" w:val="clear"/>
        </w:rPr>
        <w:t>Equity</w:t>
      </w:r>
    </w:p>
    <w:p>
      <w:pPr>
        <w:pStyle w:val="TextBody"/>
        <w:bidi w:val="0"/>
        <w:spacing w:lineRule="atLeast" w:line="166" w:before="0" w:after="0"/>
        <w:jc w:val="left"/>
        <w:rPr>
          <w:rFonts w:ascii="Arial;sans-serif" w:hAnsi="Arial;sans-serif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It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will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be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recommended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to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the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Company’s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Board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of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Directors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(the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“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Board”)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that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you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be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issued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 xml:space="preserve">a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 xml:space="preserve">restricted stock unit award covering approximately 9,250 shares of Common Stock of GoodRx </w:t>
      </w:r>
    </w:p>
    <w:p>
      <w:pPr>
        <w:pStyle w:val="TextBody"/>
        <w:bidi w:val="0"/>
        <w:spacing w:lineRule="atLeast" w:line="166" w:before="0" w:after="0"/>
        <w:jc w:val="left"/>
        <w:rPr>
          <w:rFonts w:ascii="Arial;sans-serif" w:hAnsi="Arial;sans-serif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Holdings, Inc. under the applicable incentive plan (the “Plan”).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The amount of shares will be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 xml:space="preserve">determined in the sole discretion of the Board. Your award will vest over time as you provide </w:t>
      </w:r>
    </w:p>
    <w:p>
      <w:pPr>
        <w:pStyle w:val="TextBody"/>
        <w:bidi w:val="0"/>
        <w:spacing w:lineRule="atLeast" w:line="166" w:before="0" w:after="0"/>
        <w:jc w:val="left"/>
        <w:rPr>
          <w:rFonts w:ascii="Arial;sans-serif" w:hAnsi="Arial;sans-serif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services to the Company or GoodRx Holdings, Inc.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The vesting schedule shall be over a four-</w:t>
      </w:r>
    </w:p>
    <w:p>
      <w:pPr>
        <w:pStyle w:val="TextBody"/>
        <w:bidi w:val="0"/>
        <w:spacing w:lineRule="atLeast" w:line="166" w:before="0" w:after="0"/>
        <w:jc w:val="left"/>
        <w:rPr>
          <w:rFonts w:ascii="Arial;sans-serif" w:hAnsi="Arial;sans-serif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year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period,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with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25%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of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the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shares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vesting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upon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the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first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anniversary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of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your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employment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 xml:space="preserve">start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 xml:space="preserve">date with the Company, and thereafter the remainder vesting at the rate of 1/16th of the total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 xml:space="preserve">shares every 3 months over the next twelve quarters, subject to your continuous employment </w:t>
      </w:r>
    </w:p>
    <w:p>
      <w:pPr>
        <w:pStyle w:val="TextBody"/>
        <w:bidi w:val="0"/>
        <w:spacing w:lineRule="atLeast" w:line="166" w:before="0" w:after="0"/>
        <w:jc w:val="left"/>
        <w:rPr>
          <w:rFonts w:ascii="Arial;sans-serif" w:hAnsi="Arial;sans-serif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with the Company.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 xml:space="preserve">The award will be evidenced by the standard RSU Agreement of GoodRx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Holdings, Inc., and will be subject to the terms and conditions of the Plan.</w:t>
      </w:r>
    </w:p>
    <w:p>
      <w:pPr>
        <w:pStyle w:val="TextBody"/>
        <w:bidi w:val="0"/>
        <w:spacing w:lineRule="atLeast" w:line="162" w:before="0" w:after="0"/>
        <w:jc w:val="left"/>
        <w:rPr>
          <w:rFonts w:ascii="Arial;sans-serif" w:hAnsi="Arial;sans-serif"/>
          <w:shd w:fill="E4E4E4" w:val="clear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4"/>
          <w:u w:val="single"/>
          <w:shd w:fill="E4E4E4" w:val="clear"/>
        </w:rPr>
        <w:t>Name</w:t>
      </w:r>
      <w:r>
        <w:rPr>
          <w:rFonts w:ascii="Arial;sans-serif" w:hAnsi="Arial;sans-serif"/>
          <w:caps w:val="false"/>
          <w:smallCaps w:val="false"/>
          <w:u w:val="single"/>
          <w:shd w:fill="E4E4E4" w:val="clear"/>
        </w:rPr>
        <w:t xml:space="preserve"> </w:t>
      </w:r>
      <w:r>
        <w:rPr>
          <w:rFonts w:ascii="Times New Roman;serif" w:hAnsi="Times New Roman;serif"/>
          <w:b/>
          <w:i w:val="false"/>
          <w:caps w:val="false"/>
          <w:smallCaps w:val="false"/>
          <w:sz w:val="24"/>
          <w:u w:val="single"/>
          <w:shd w:fill="E4E4E4" w:val="clear"/>
        </w:rPr>
        <w:t>&amp;</w:t>
      </w:r>
      <w:r>
        <w:rPr>
          <w:rFonts w:ascii="Arial;sans-serif" w:hAnsi="Arial;sans-serif"/>
          <w:caps w:val="false"/>
          <w:smallCaps w:val="false"/>
          <w:u w:val="single"/>
          <w:shd w:fill="E4E4E4" w:val="clear"/>
        </w:rPr>
        <w:t xml:space="preserve"> </w:t>
      </w:r>
      <w:r>
        <w:rPr>
          <w:rFonts w:ascii="Times New Roman;serif" w:hAnsi="Times New Roman;serif"/>
          <w:b/>
          <w:i w:val="false"/>
          <w:caps w:val="false"/>
          <w:smallCaps w:val="false"/>
          <w:sz w:val="24"/>
          <w:u w:val="single"/>
          <w:shd w:fill="E4E4E4" w:val="clear"/>
        </w:rPr>
        <w:t>Likeness</w:t>
      </w:r>
      <w:r>
        <w:rPr>
          <w:rFonts w:ascii="Arial;sans-serif" w:hAnsi="Arial;sans-serif"/>
          <w:caps w:val="false"/>
          <w:smallCaps w:val="false"/>
          <w:u w:val="single"/>
          <w:shd w:fill="E4E4E4" w:val="clear"/>
        </w:rPr>
        <w:t xml:space="preserve"> </w:t>
      </w:r>
      <w:r>
        <w:rPr>
          <w:rFonts w:ascii="Times New Roman;serif" w:hAnsi="Times New Roman;serif"/>
          <w:b/>
          <w:i w:val="false"/>
          <w:caps w:val="false"/>
          <w:smallCaps w:val="false"/>
          <w:sz w:val="24"/>
          <w:u w:val="single"/>
          <w:shd w:fill="E4E4E4" w:val="clear"/>
        </w:rPr>
        <w:t>Rights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 xml:space="preserve">You hereby authorize the Company to use, reuse, and to grant others the right to use and reuse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 xml:space="preserve">your name, photograph, likeness, voice, and biographical information, and any reproduction or </w:t>
      </w:r>
    </w:p>
    <w:p>
      <w:pPr>
        <w:pStyle w:val="TextBody"/>
        <w:bidi w:val="0"/>
        <w:spacing w:lineRule="atLeast" w:line="166" w:before="0" w:after="0"/>
        <w:jc w:val="left"/>
        <w:rPr>
          <w:rFonts w:ascii="Arial;sans-serif" w:hAnsi="Arial;sans-serif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simulation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thereof,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in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any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media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now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known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or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hereafter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developed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(including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but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not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limited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 xml:space="preserve">to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 xml:space="preserve">film, video, and digital, or other electronic media), both during and after your employment, for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whatever purposes the Company deems necessary.</w:t>
      </w:r>
    </w:p>
    <w:p>
      <w:pPr>
        <w:pStyle w:val="TextBody"/>
        <w:bidi w:val="0"/>
        <w:spacing w:lineRule="atLeast" w:line="162" w:before="0" w:after="0"/>
        <w:jc w:val="left"/>
        <w:rPr>
          <w:rFonts w:ascii="Arial;sans-serif" w:hAnsi="Arial;sans-serif"/>
          <w:shd w:fill="E4E4E4" w:val="clear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4"/>
          <w:u w:val="single"/>
          <w:shd w:fill="E4E4E4" w:val="clear"/>
        </w:rPr>
        <w:t>No</w:t>
      </w:r>
      <w:r>
        <w:rPr>
          <w:rFonts w:ascii="Arial;sans-serif" w:hAnsi="Arial;sans-serif"/>
          <w:caps w:val="false"/>
          <w:smallCaps w:val="false"/>
          <w:u w:val="single"/>
          <w:shd w:fill="E4E4E4" w:val="clear"/>
        </w:rPr>
        <w:t xml:space="preserve"> </w:t>
      </w:r>
      <w:r>
        <w:rPr>
          <w:rFonts w:ascii="Times New Roman;serif" w:hAnsi="Times New Roman;serif"/>
          <w:b/>
          <w:i w:val="false"/>
          <w:caps w:val="false"/>
          <w:smallCaps w:val="false"/>
          <w:sz w:val="24"/>
          <w:u w:val="single"/>
          <w:shd w:fill="E4E4E4" w:val="clear"/>
        </w:rPr>
        <w:t>Expectation</w:t>
      </w:r>
      <w:r>
        <w:rPr>
          <w:rFonts w:ascii="Arial;sans-serif" w:hAnsi="Arial;sans-serif"/>
          <w:caps w:val="false"/>
          <w:smallCaps w:val="false"/>
          <w:u w:val="single"/>
          <w:shd w:fill="E4E4E4" w:val="clear"/>
        </w:rPr>
        <w:t xml:space="preserve"> </w:t>
      </w:r>
      <w:r>
        <w:rPr>
          <w:rFonts w:ascii="Times New Roman;serif" w:hAnsi="Times New Roman;serif"/>
          <w:b/>
          <w:i w:val="false"/>
          <w:caps w:val="false"/>
          <w:smallCaps w:val="false"/>
          <w:sz w:val="24"/>
          <w:u w:val="single"/>
          <w:shd w:fill="E4E4E4" w:val="clear"/>
        </w:rPr>
        <w:t>of</w:t>
      </w:r>
      <w:r>
        <w:rPr>
          <w:rFonts w:ascii="Arial;sans-serif" w:hAnsi="Arial;sans-serif"/>
          <w:caps w:val="false"/>
          <w:smallCaps w:val="false"/>
          <w:u w:val="single"/>
          <w:shd w:fill="E4E4E4" w:val="clear"/>
        </w:rPr>
        <w:t xml:space="preserve"> </w:t>
      </w:r>
      <w:r>
        <w:rPr>
          <w:rFonts w:ascii="Times New Roman;serif" w:hAnsi="Times New Roman;serif"/>
          <w:b/>
          <w:i w:val="false"/>
          <w:caps w:val="false"/>
          <w:smallCaps w:val="false"/>
          <w:sz w:val="24"/>
          <w:u w:val="single"/>
          <w:shd w:fill="E4E4E4" w:val="clear"/>
        </w:rPr>
        <w:t>Privacy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 xml:space="preserve">You recognize and agree that you have no expectation of privacy with respect to the Company’s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 xml:space="preserve">telecommunications, networking or information processing systems (including, without </w:t>
      </w:r>
    </w:p>
    <w:p>
      <w:pPr>
        <w:pStyle w:val="TextBody"/>
        <w:bidi w:val="0"/>
        <w:spacing w:lineRule="atLeast" w:line="166" w:before="0" w:after="0"/>
        <w:jc w:val="left"/>
        <w:rPr>
          <w:rFonts w:ascii="Arial;sans-serif" w:hAnsi="Arial;sans-serif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limitation,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stored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computer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files,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email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messages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and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voice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messages)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and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that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your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activity,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 xml:space="preserve">and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 xml:space="preserve">any files or messages, on or using any of those systems may be monitored at any time without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notice.</w:t>
      </w:r>
    </w:p>
    <w:p>
      <w:pPr>
        <w:pStyle w:val="TextBody"/>
        <w:bidi w:val="0"/>
        <w:spacing w:lineRule="atLeast" w:line="162" w:before="0" w:after="0"/>
        <w:jc w:val="left"/>
        <w:rPr>
          <w:shd w:fill="E4E4E4" w:val="clear"/>
        </w:rPr>
      </w:pPr>
      <w:r>
        <w:rPr>
          <w:caps w:val="false"/>
          <w:smallCaps w:val="false"/>
          <w:u w:val="single"/>
          <w:shd w:fill="E4E4E4" w:val="clear"/>
        </w:rPr>
        <w:t>“</w:t>
      </w:r>
      <w:r>
        <w:rPr>
          <w:rFonts w:ascii="Times New Roman;serif" w:hAnsi="Times New Roman;serif"/>
          <w:b/>
          <w:i w:val="false"/>
          <w:caps w:val="false"/>
          <w:smallCaps w:val="false"/>
          <w:sz w:val="24"/>
          <w:u w:val="single"/>
          <w:shd w:fill="E4E4E4" w:val="clear"/>
        </w:rPr>
        <w:t>At Will” Employment</w:t>
      </w:r>
    </w:p>
    <w:p>
      <w:pPr>
        <w:pStyle w:val="TextBody"/>
        <w:bidi w:val="0"/>
        <w:spacing w:lineRule="atLeast" w:line="166" w:before="0" w:after="0"/>
        <w:jc w:val="left"/>
        <w:rPr>
          <w:rFonts w:ascii="Arial;sans-serif" w:hAnsi="Arial;sans-serif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Employment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with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the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Company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is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“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at-will.”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This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means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that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it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is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not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for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any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specified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period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 xml:space="preserve">of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 xml:space="preserve">time and can be terminated either by you or by the Company at any time, with or without </w:t>
      </w:r>
    </w:p>
    <w:p>
      <w:pPr>
        <w:pStyle w:val="TextBody"/>
        <w:bidi w:val="0"/>
        <w:spacing w:lineRule="atLeast" w:line="166" w:before="0" w:after="0"/>
        <w:jc w:val="left"/>
        <w:rPr>
          <w:rFonts w:ascii="Arial;sans-serif" w:hAnsi="Arial;sans-serif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advance notice, and for any or no particular reason or cause.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 xml:space="preserve">It also means that your job duties,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 xml:space="preserve">title, responsibilities, reporting level, compensation and benefits, as well as the Company’s </w:t>
      </w:r>
    </w:p>
    <w:p>
      <w:pPr>
        <w:pStyle w:val="TextBody"/>
        <w:bidi w:val="0"/>
        <w:spacing w:lineRule="atLeast" w:line="166" w:before="0" w:after="0"/>
        <w:jc w:val="left"/>
        <w:rPr>
          <w:rFonts w:ascii="Arial;sans-serif" w:hAnsi="Arial;sans-serif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personnel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policies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and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procedures,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may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be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changed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with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or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without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notice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at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any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time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in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the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 xml:space="preserve">sole </w:t>
      </w:r>
    </w:p>
    <w:p>
      <w:pPr>
        <w:pStyle w:val="TextBody"/>
        <w:bidi w:val="0"/>
        <w:spacing w:lineRule="atLeast" w:line="166" w:before="0" w:after="0"/>
        <w:jc w:val="left"/>
        <w:rPr>
          <w:rFonts w:ascii="Arial;sans-serif" w:hAnsi="Arial;sans-serif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discretion of the Company.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 xml:space="preserve">This letter will reflect the final, total and complete agreement </w:t>
      </w:r>
    </w:p>
    <w:p>
      <w:pPr>
        <w:pStyle w:val="TextBody"/>
        <w:bidi w:val="0"/>
        <w:spacing w:lineRule="atLeast" w:line="166" w:before="0" w:after="0"/>
        <w:jc w:val="left"/>
        <w:rPr>
          <w:rFonts w:ascii="Arial;sans-serif" w:hAnsi="Arial;sans-serif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between you and the Company regarding how your employment may be terminated.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The “at-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 xml:space="preserve">will” nature of your employment may only be changed by way of written agreement expressly </w:t>
      </w:r>
    </w:p>
    <w:p>
      <w:pPr>
        <w:pStyle w:val="TextBody"/>
        <w:bidi w:val="0"/>
        <w:spacing w:lineRule="atLeast" w:line="166" w:before="0" w:after="0"/>
        <w:jc w:val="left"/>
        <w:rPr>
          <w:rFonts w:ascii="Arial;sans-serif" w:hAnsi="Arial;sans-serif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altering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the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at-will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employment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relationship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and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signed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by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you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and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by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the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Company’s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President.</w:t>
      </w:r>
    </w:p>
    <w:p>
      <w:pPr>
        <w:pStyle w:val="TextBody"/>
        <w:bidi w:val="0"/>
        <w:spacing w:lineRule="atLeast" w:line="162" w:before="0" w:after="0"/>
        <w:jc w:val="left"/>
        <w:rPr>
          <w:rFonts w:ascii="Arial;sans-serif" w:hAnsi="Arial;sans-serif"/>
          <w:shd w:fill="E4E4E4" w:val="clear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4"/>
          <w:u w:val="single"/>
          <w:shd w:fill="E4E4E4" w:val="clear"/>
        </w:rPr>
        <w:t>Reporting</w:t>
      </w:r>
      <w:r>
        <w:rPr>
          <w:rFonts w:ascii="Arial;sans-serif" w:hAnsi="Arial;sans-serif"/>
          <w:caps w:val="false"/>
          <w:smallCaps w:val="false"/>
          <w:u w:val="single"/>
          <w:shd w:fill="E4E4E4" w:val="clear"/>
        </w:rPr>
        <w:t xml:space="preserve"> </w:t>
      </w:r>
      <w:r>
        <w:rPr>
          <w:rFonts w:ascii="Times New Roman;serif" w:hAnsi="Times New Roman;serif"/>
          <w:b/>
          <w:i w:val="false"/>
          <w:caps w:val="false"/>
          <w:smallCaps w:val="false"/>
          <w:sz w:val="24"/>
          <w:u w:val="single"/>
          <w:shd w:fill="E4E4E4" w:val="clear"/>
        </w:rPr>
        <w:t>and</w:t>
      </w:r>
      <w:r>
        <w:rPr>
          <w:rFonts w:ascii="Arial;sans-serif" w:hAnsi="Arial;sans-serif"/>
          <w:caps w:val="false"/>
          <w:smallCaps w:val="false"/>
          <w:u w:val="single"/>
          <w:shd w:fill="E4E4E4" w:val="clear"/>
        </w:rPr>
        <w:t xml:space="preserve"> </w:t>
      </w:r>
      <w:r>
        <w:rPr>
          <w:rFonts w:ascii="Times New Roman;serif" w:hAnsi="Times New Roman;serif"/>
          <w:b/>
          <w:i w:val="false"/>
          <w:caps w:val="false"/>
          <w:smallCaps w:val="false"/>
          <w:sz w:val="24"/>
          <w:u w:val="single"/>
          <w:shd w:fill="E4E4E4" w:val="clear"/>
        </w:rPr>
        <w:t>Loyalty</w:t>
      </w:r>
    </w:p>
    <w:p>
      <w:pPr>
        <w:pStyle w:val="TextBody"/>
        <w:bidi w:val="0"/>
        <w:spacing w:lineRule="atLeast" w:line="166" w:before="0" w:after="0"/>
        <w:jc w:val="left"/>
        <w:rPr>
          <w:rFonts w:ascii="Arial;sans-serif" w:hAnsi="Arial;sans-serif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You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will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initially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report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to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the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Company’s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Director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Accounting.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Your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report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may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be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 xml:space="preserve">changed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from time to time by the Company.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 xml:space="preserve">You agree to the best of your ability and experience that you will loyally and conscientiously </w:t>
      </w:r>
    </w:p>
    <w:p>
      <w:pPr>
        <w:pStyle w:val="TextBody"/>
        <w:bidi w:val="0"/>
        <w:spacing w:lineRule="atLeast" w:line="166" w:before="0" w:after="0"/>
        <w:jc w:val="left"/>
        <w:rPr>
          <w:rFonts w:ascii="Arial;sans-serif" w:hAnsi="Arial;sans-serif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perform all of the duties and obligations required of you.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 xml:space="preserve">During your employment, you will </w:t>
      </w:r>
    </w:p>
    <w:p>
      <w:pPr>
        <w:pStyle w:val="TextBody"/>
        <w:bidi w:val="0"/>
        <w:spacing w:lineRule="atLeast" w:line="166" w:before="0" w:after="0"/>
        <w:jc w:val="left"/>
        <w:rPr>
          <w:rFonts w:ascii="Arial;sans-serif" w:hAnsi="Arial;sans-serif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devote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substantially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all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of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your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business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time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and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attention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to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the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business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of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the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Company,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 xml:space="preserve">the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 xml:space="preserve">Company will be entitled to all of the benefits and profits arising from or incident to all such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work services and advice, you will not provide general consulting or advisor services in the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 xml:space="preserve">healthcare or any related industry, whether or not for compensation, without the prior written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 xml:space="preserve">consent of the Company, and you will not directly or indirectly engage or participate in any </w:t>
      </w:r>
    </w:p>
    <w:p>
      <w:pPr>
        <w:pStyle w:val="TextBody"/>
        <w:bidi w:val="0"/>
        <w:spacing w:lineRule="atLeast" w:line="166" w:before="0" w:after="0"/>
        <w:jc w:val="left"/>
        <w:rPr>
          <w:rFonts w:ascii="Arial;sans-serif" w:hAnsi="Arial;sans-serif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business that is competitive in any manner with the business of the Company.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 xml:space="preserve">You also agree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 xml:space="preserve">that you will not engage in any outside activity or industry event as an expert, speaker,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 xml:space="preserve">contributor, consultant, advisor, or panelist that would create an actual or potential conflict with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 xml:space="preserve">your duties for the Company or may result in you divulging the Company’s nonpublic or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 xml:space="preserve">confidential information. If you would like to participate in any such external activity, you will </w:t>
      </w:r>
    </w:p>
    <w:p>
      <w:pPr>
        <w:pStyle w:val="TextBody"/>
        <w:bidi w:val="0"/>
        <w:spacing w:lineRule="atLeast" w:line="166" w:before="0" w:after="0"/>
        <w:jc w:val="left"/>
        <w:rPr>
          <w:rFonts w:ascii="Arial;sans-serif" w:hAnsi="Arial;sans-serif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get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prior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written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consent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from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the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Company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and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ensure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the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proposed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activity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does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not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present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 xml:space="preserve">an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 xml:space="preserve">actual or potential conflict and will not involve disclosure of the Company’s confidential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 xml:space="preserve">information. During your employment you may not use or disclose the Company’s confidential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 xml:space="preserve">information except as required to perform your duties. As set forth below, your employment is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 xml:space="preserve">contingent upon your compliance with the terms of the Company’s Proprietary Information and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 xml:space="preserve">Invention Assignment Agreement during and after your employment. Nothing in this letter will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 xml:space="preserve">prevent you from accepting speaking or presentation engagements in exchange for honoraria or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 xml:space="preserve">from serving on boards of charitable organizations, or from owning no more than 1% of the </w:t>
      </w:r>
    </w:p>
    <w:p>
      <w:pPr>
        <w:pStyle w:val="TextBody"/>
        <w:bidi w:val="0"/>
        <w:spacing w:lineRule="atLeast" w:line="166" w:before="0" w:after="0"/>
        <w:jc w:val="left"/>
        <w:rPr>
          <w:rFonts w:ascii="Arial;sans-serif" w:hAnsi="Arial;sans-serif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outstanding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equity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securities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of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a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corporation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whose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stock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is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listed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on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a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national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stock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exchange.</w:t>
      </w:r>
    </w:p>
    <w:p>
      <w:pPr>
        <w:pStyle w:val="TextBody"/>
        <w:bidi w:val="0"/>
        <w:spacing w:lineRule="atLeast" w:line="166" w:before="0" w:after="0"/>
        <w:jc w:val="left"/>
        <w:rPr>
          <w:rFonts w:ascii="Arial;sans-serif" w:hAnsi="Arial;sans-serif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By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signing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and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accepting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this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offer,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you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represent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and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warrant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that: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(i)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you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are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not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subject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to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 xml:space="preserve">any </w:t>
      </w:r>
    </w:p>
    <w:p>
      <w:pPr>
        <w:pStyle w:val="TextBody"/>
        <w:bidi w:val="0"/>
        <w:spacing w:lineRule="atLeast" w:line="166" w:before="0" w:after="0"/>
        <w:jc w:val="left"/>
        <w:rPr>
          <w:rFonts w:ascii="Arial;sans-serif" w:hAnsi="Arial;sans-serif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pre-existing contractual or other legal obligation with any person, company or business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 xml:space="preserve">enterprise which may be an impediment to your employment with, or your providing services to,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 xml:space="preserve">the Company as its employee or officer; and (ii) you have not and shall not bring onto Company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 xml:space="preserve">premises, or use in the course of your employment with the Company, any confidential or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 xml:space="preserve">proprietary information of another person, company or business enterprise to whom you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previously provided services.</w:t>
      </w:r>
    </w:p>
    <w:p>
      <w:pPr>
        <w:pStyle w:val="TextBody"/>
        <w:bidi w:val="0"/>
        <w:spacing w:lineRule="atLeast" w:line="162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4"/>
          <w:u w:val="single"/>
          <w:shd w:fill="E4E4E4" w:val="clear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4"/>
          <w:u w:val="single"/>
          <w:shd w:fill="E4E4E4" w:val="clear"/>
        </w:rPr>
        <w:t>Conditions</w:t>
      </w:r>
    </w:p>
    <w:p>
      <w:pPr>
        <w:pStyle w:val="TextBody"/>
        <w:bidi w:val="0"/>
        <w:spacing w:lineRule="atLeast" w:line="166" w:before="0" w:after="0"/>
        <w:jc w:val="left"/>
        <w:rPr>
          <w:rFonts w:ascii="Arial;sans-serif" w:hAnsi="Arial;sans-serif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This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offer,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and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any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employment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pursuant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to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this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offer,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is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conditioned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upon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the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following:</w:t>
      </w:r>
    </w:p>
    <w:p>
      <w:pPr>
        <w:pStyle w:val="TextBody"/>
        <w:bidi w:val="0"/>
        <w:spacing w:lineRule="atLeast" w:line="166" w:before="0" w:after="0"/>
        <w:jc w:val="left"/>
        <w:rPr>
          <w:shd w:fill="E4E4E4" w:val="clear"/>
        </w:rPr>
      </w:pPr>
      <w:r>
        <w:rPr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>•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Your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ability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to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provide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satisfactory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documentary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proof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of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your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identity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and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right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to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work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 xml:space="preserve">in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the United States of America on or before your third day of employment.</w:t>
      </w:r>
    </w:p>
    <w:p>
      <w:pPr>
        <w:pStyle w:val="TextBody"/>
        <w:bidi w:val="0"/>
        <w:spacing w:lineRule="atLeast" w:line="166" w:before="0" w:after="0"/>
        <w:jc w:val="left"/>
        <w:rPr>
          <w:shd w:fill="E4E4E4" w:val="clear"/>
        </w:rPr>
      </w:pPr>
      <w:r>
        <w:rPr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>•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Satisfactory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outcome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of pre-employment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reference check.</w:t>
      </w:r>
    </w:p>
    <w:p>
      <w:pPr>
        <w:pStyle w:val="TextBody"/>
        <w:bidi w:val="0"/>
        <w:spacing w:lineRule="atLeast" w:line="166" w:before="0" w:after="0"/>
        <w:jc w:val="left"/>
        <w:rPr>
          <w:shd w:fill="E4E4E4" w:val="clear"/>
        </w:rPr>
      </w:pPr>
      <w:r>
        <w:rPr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>•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Satisfactory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outcome of post-offer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background check.</w:t>
      </w:r>
    </w:p>
    <w:p>
      <w:pPr>
        <w:pStyle w:val="TextBody"/>
        <w:bidi w:val="0"/>
        <w:spacing w:lineRule="atLeast" w:line="166" w:before="0" w:after="0"/>
        <w:jc w:val="left"/>
        <w:rPr>
          <w:shd w:fill="E4E4E4" w:val="clear"/>
        </w:rPr>
      </w:pPr>
      <w:r>
        <w:rPr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>•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Your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signed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agreement to,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and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ongoing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compliance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with,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the terms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of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the Company’s</w:t>
      </w:r>
    </w:p>
    <w:p>
      <w:pPr>
        <w:pStyle w:val="TextBody"/>
        <w:bidi w:val="0"/>
        <w:spacing w:lineRule="atLeast" w:line="167" w:before="0" w:after="0"/>
        <w:jc w:val="left"/>
        <w:rPr>
          <w:rFonts w:ascii="Arial;sans-serif" w:hAnsi="Arial;sans-serif"/>
          <w:shd w:fill="E4E4E4" w:val="clear"/>
        </w:rPr>
      </w:pPr>
      <w:r>
        <w:rPr>
          <w:rFonts w:ascii="Times New Roman;serif" w:hAnsi="Times New Roman;serif"/>
          <w:b w:val="false"/>
          <w:i/>
          <w:sz w:val="24"/>
          <w:shd w:fill="E4E4E4" w:val="clear"/>
        </w:rPr>
        <w:t>Proprietary</w:t>
      </w:r>
      <w:r>
        <w:rPr>
          <w:rFonts w:ascii="Arial;sans-serif" w:hAnsi="Arial;sans-serif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/>
          <w:sz w:val="24"/>
          <w:shd w:fill="E4E4E4" w:val="clear"/>
        </w:rPr>
        <w:t>Information and</w:t>
      </w:r>
      <w:r>
        <w:rPr>
          <w:rFonts w:ascii="Arial;sans-serif" w:hAnsi="Arial;sans-serif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/>
          <w:sz w:val="24"/>
          <w:shd w:fill="E4E4E4" w:val="clear"/>
        </w:rPr>
        <w:t>Invention Assignment Agreement.</w:t>
      </w:r>
    </w:p>
    <w:p>
      <w:pPr>
        <w:pStyle w:val="TextBody"/>
        <w:bidi w:val="0"/>
        <w:spacing w:lineRule="atLeast" w:line="162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4"/>
          <w:u w:val="single"/>
          <w:shd w:fill="E4E4E4" w:val="clear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4"/>
          <w:u w:val="single"/>
          <w:shd w:fill="E4E4E4" w:val="clear"/>
        </w:rPr>
        <w:t>Entire Agreement</w:t>
      </w:r>
      <w:r>
        <mc:AlternateContent>
          <mc:Choice Requires="wps">
            <w:drawing>
              <wp:anchor behindDoc="0" distT="0" distB="0" distL="0" distR="0" simplePos="0" locked="0" layoutInCell="1" allowOverlap="1" relativeHeight="118">
                <wp:simplePos x="0" y="0"/>
                <wp:positionH relativeFrom="page">
                  <wp:posOffset>3581400</wp:posOffset>
                </wp:positionH>
                <wp:positionV relativeFrom="line">
                  <wp:posOffset>635</wp:posOffset>
                </wp:positionV>
                <wp:extent cx="414020" cy="350520"/>
                <wp:effectExtent l="0" t="0" r="0" b="0"/>
                <wp:wrapNone/>
                <wp:docPr id="73" name="Frame1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4020" cy="35052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4"/>
                                <w:u w:val="none"/>
                                <w:effect w:val="none"/>
                              </w:rPr>
                              <w:t>pacific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2.6pt;height:27.6pt;mso-wrap-distance-left:0pt;mso-wrap-distance-right:0pt;mso-wrap-distance-top:0pt;mso-wrap-distance-bottom:0pt;margin-top:0pt;mso-position-vertical:top;mso-position-vertical-relative:text;margin-left:28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4"/>
                          <w:u w:val="none"/>
                          <w:effect w:val="none"/>
                        </w:rPr>
                        <w:t>pacific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4">
                <wp:simplePos x="0" y="0"/>
                <wp:positionH relativeFrom="page">
                  <wp:posOffset>1143000</wp:posOffset>
                </wp:positionH>
                <wp:positionV relativeFrom="line">
                  <wp:posOffset>635</wp:posOffset>
                </wp:positionV>
                <wp:extent cx="566420" cy="350520"/>
                <wp:effectExtent l="0" t="0" r="0" b="0"/>
                <wp:wrapNone/>
                <wp:docPr id="74" name="Frame1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6420" cy="35052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4"/>
                                <w:u w:val="none"/>
                                <w:effect w:val="none"/>
                              </w:rPr>
                              <w:t>President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.6pt;height:27.6pt;mso-wrap-distance-left:0pt;mso-wrap-distance-right:0pt;mso-wrap-distance-top:0pt;mso-wrap-distance-bottom:0pt;margin-top:0pt;mso-position-vertical:top;mso-position-vertical-relative:text;margin-left:9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4"/>
                          <w:u w:val="none"/>
                          <w:effect w:val="none"/>
                        </w:rPr>
                        <w:t>President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5">
                <wp:simplePos x="0" y="0"/>
                <wp:positionH relativeFrom="page">
                  <wp:posOffset>1709420</wp:posOffset>
                </wp:positionH>
                <wp:positionV relativeFrom="line">
                  <wp:posOffset>635</wp:posOffset>
                </wp:positionV>
                <wp:extent cx="38100" cy="175260"/>
                <wp:effectExtent l="0" t="0" r="0" b="0"/>
                <wp:wrapNone/>
                <wp:docPr id="75" name="Frame1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pt;height:13.8pt;mso-wrap-distance-left:0pt;mso-wrap-distance-right:0pt;mso-wrap-distance-top:0pt;mso-wrap-distance-bottom:0pt;margin-top:0pt;mso-position-vertical:top;mso-position-vertical-relative:text;margin-left:134.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6">
                <wp:simplePos x="0" y="0"/>
                <wp:positionH relativeFrom="page">
                  <wp:posOffset>1748155</wp:posOffset>
                </wp:positionH>
                <wp:positionV relativeFrom="line">
                  <wp:posOffset>635</wp:posOffset>
                </wp:positionV>
                <wp:extent cx="452755" cy="350520"/>
                <wp:effectExtent l="0" t="0" r="0" b="0"/>
                <wp:wrapNone/>
                <wp:docPr id="76" name="Frame1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2755" cy="35052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4"/>
                                <w:u w:val="none"/>
                                <w:effect w:val="none"/>
                              </w:rPr>
                              <w:t>People,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5.65pt;height:27.6pt;mso-wrap-distance-left:0pt;mso-wrap-distance-right:0pt;mso-wrap-distance-top:0pt;mso-wrap-distance-bottom:0pt;margin-top:0pt;mso-position-vertical:top;mso-position-vertical-relative:text;margin-left:137.6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4"/>
                          <w:u w:val="none"/>
                          <w:effect w:val="none"/>
                        </w:rPr>
                        <w:t>People,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7">
                <wp:simplePos x="0" y="0"/>
                <wp:positionH relativeFrom="page">
                  <wp:posOffset>2200910</wp:posOffset>
                </wp:positionH>
                <wp:positionV relativeFrom="line">
                  <wp:posOffset>635</wp:posOffset>
                </wp:positionV>
                <wp:extent cx="38100" cy="175260"/>
                <wp:effectExtent l="0" t="0" r="0" b="0"/>
                <wp:wrapNone/>
                <wp:docPr id="77" name="Frame1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pt;height:13.8pt;mso-wrap-distance-left:0pt;mso-wrap-distance-right:0pt;mso-wrap-distance-top:0pt;mso-wrap-distance-bottom:0pt;margin-top:0pt;mso-position-vertical:top;mso-position-vertical-relative:text;margin-left:173.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8">
                <wp:simplePos x="0" y="0"/>
                <wp:positionH relativeFrom="page">
                  <wp:posOffset>2239010</wp:posOffset>
                </wp:positionH>
                <wp:positionV relativeFrom="line">
                  <wp:posOffset>635</wp:posOffset>
                </wp:positionV>
                <wp:extent cx="152400" cy="175260"/>
                <wp:effectExtent l="0" t="0" r="0" b="0"/>
                <wp:wrapNone/>
                <wp:docPr id="78" name="Frame1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24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4"/>
                                <w:u w:val="none"/>
                                <w:effect w:val="none"/>
                              </w:rPr>
                              <w:t>no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2pt;height:13.8pt;mso-wrap-distance-left:0pt;mso-wrap-distance-right:0pt;mso-wrap-distance-top:0pt;mso-wrap-distance-bottom:0pt;margin-top:0pt;mso-position-vertical:top;mso-position-vertical-relative:text;margin-left:176.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4"/>
                          <w:u w:val="none"/>
                          <w:effect w:val="none"/>
                        </w:rPr>
                        <w:t>no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9">
                <wp:simplePos x="0" y="0"/>
                <wp:positionH relativeFrom="page">
                  <wp:posOffset>2391410</wp:posOffset>
                </wp:positionH>
                <wp:positionV relativeFrom="line">
                  <wp:posOffset>635</wp:posOffset>
                </wp:positionV>
                <wp:extent cx="38100" cy="175260"/>
                <wp:effectExtent l="0" t="0" r="0" b="0"/>
                <wp:wrapNone/>
                <wp:docPr id="79" name="Frame1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pt;height:13.8pt;mso-wrap-distance-left:0pt;mso-wrap-distance-right:0pt;mso-wrap-distance-top:0pt;mso-wrap-distance-bottom:0pt;margin-top:0pt;mso-position-vertical:top;mso-position-vertical-relative:text;margin-left:188.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0">
                <wp:simplePos x="0" y="0"/>
                <wp:positionH relativeFrom="page">
                  <wp:posOffset>2429510</wp:posOffset>
                </wp:positionH>
                <wp:positionV relativeFrom="line">
                  <wp:posOffset>635</wp:posOffset>
                </wp:positionV>
                <wp:extent cx="270510" cy="350520"/>
                <wp:effectExtent l="0" t="0" r="0" b="0"/>
                <wp:wrapNone/>
                <wp:docPr id="80" name="Frame1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0510" cy="35052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4"/>
                                <w:u w:val="none"/>
                                <w:effect w:val="none"/>
                              </w:rPr>
                              <w:t>later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1.3pt;height:27.6pt;mso-wrap-distance-left:0pt;mso-wrap-distance-right:0pt;mso-wrap-distance-top:0pt;mso-wrap-distance-bottom:0pt;margin-top:0pt;mso-position-vertical:top;mso-position-vertical-relative:text;margin-left:191.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4"/>
                          <w:u w:val="none"/>
                          <w:effect w:val="none"/>
                        </w:rPr>
                        <w:t>later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1">
                <wp:simplePos x="0" y="0"/>
                <wp:positionH relativeFrom="page">
                  <wp:posOffset>2700020</wp:posOffset>
                </wp:positionH>
                <wp:positionV relativeFrom="line">
                  <wp:posOffset>635</wp:posOffset>
                </wp:positionV>
                <wp:extent cx="38100" cy="175260"/>
                <wp:effectExtent l="0" t="0" r="0" b="0"/>
                <wp:wrapNone/>
                <wp:docPr id="81" name="Frame1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pt;height:13.8pt;mso-wrap-distance-left:0pt;mso-wrap-distance-right:0pt;mso-wrap-distance-top:0pt;mso-wrap-distance-bottom:0pt;margin-top:0pt;mso-position-vertical:top;mso-position-vertical-relative:text;margin-left:212.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2">
                <wp:simplePos x="0" y="0"/>
                <wp:positionH relativeFrom="page">
                  <wp:posOffset>2738755</wp:posOffset>
                </wp:positionH>
                <wp:positionV relativeFrom="line">
                  <wp:posOffset>635</wp:posOffset>
                </wp:positionV>
                <wp:extent cx="262255" cy="350520"/>
                <wp:effectExtent l="0" t="0" r="0" b="0"/>
                <wp:wrapNone/>
                <wp:docPr id="82" name="Frame1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2255" cy="35052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4"/>
                                <w:u w:val="none"/>
                                <w:effect w:val="none"/>
                              </w:rPr>
                              <w:t>than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0.65pt;height:27.6pt;mso-wrap-distance-left:0pt;mso-wrap-distance-right:0pt;mso-wrap-distance-top:0pt;mso-wrap-distance-bottom:0pt;margin-top:0pt;mso-position-vertical:top;mso-position-vertical-relative:text;margin-left:215.6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4"/>
                          <w:u w:val="none"/>
                          <w:effect w:val="none"/>
                        </w:rPr>
                        <w:t>than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3">
                <wp:simplePos x="0" y="0"/>
                <wp:positionH relativeFrom="page">
                  <wp:posOffset>3001010</wp:posOffset>
                </wp:positionH>
                <wp:positionV relativeFrom="line">
                  <wp:posOffset>635</wp:posOffset>
                </wp:positionV>
                <wp:extent cx="38100" cy="175260"/>
                <wp:effectExtent l="0" t="0" r="0" b="0"/>
                <wp:wrapNone/>
                <wp:docPr id="83" name="Frame1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pt;height:13.8pt;mso-wrap-distance-left:0pt;mso-wrap-distance-right:0pt;mso-wrap-distance-top:0pt;mso-wrap-distance-bottom:0pt;margin-top:0pt;mso-position-vertical:top;mso-position-vertical-relative:text;margin-left:236.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4">
                <wp:simplePos x="0" y="0"/>
                <wp:positionH relativeFrom="page">
                  <wp:posOffset>3039110</wp:posOffset>
                </wp:positionH>
                <wp:positionV relativeFrom="line">
                  <wp:posOffset>635</wp:posOffset>
                </wp:positionV>
                <wp:extent cx="271145" cy="175260"/>
                <wp:effectExtent l="0" t="0" r="0" b="0"/>
                <wp:wrapNone/>
                <wp:docPr id="84" name="Frame1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114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4"/>
                                <w:u w:val="none"/>
                                <w:effect w:val="none"/>
                              </w:rPr>
                              <w:t>5:00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1.35pt;height:13.8pt;mso-wrap-distance-left:0pt;mso-wrap-distance-right:0pt;mso-wrap-distance-top:0pt;mso-wrap-distance-bottom:0pt;margin-top:0pt;mso-position-vertical:top;mso-position-vertical-relative:text;margin-left:239.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4"/>
                          <w:u w:val="none"/>
                          <w:effect w:val="none"/>
                        </w:rPr>
                        <w:t>5:00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5">
                <wp:simplePos x="0" y="0"/>
                <wp:positionH relativeFrom="page">
                  <wp:posOffset>3310255</wp:posOffset>
                </wp:positionH>
                <wp:positionV relativeFrom="line">
                  <wp:posOffset>635</wp:posOffset>
                </wp:positionV>
                <wp:extent cx="38100" cy="175260"/>
                <wp:effectExtent l="0" t="0" r="0" b="0"/>
                <wp:wrapNone/>
                <wp:docPr id="85" name="Frame1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pt;height:13.8pt;mso-wrap-distance-left:0pt;mso-wrap-distance-right:0pt;mso-wrap-distance-top:0pt;mso-wrap-distance-bottom:0pt;margin-top:0pt;mso-position-vertical:top;mso-position-vertical-relative:text;margin-left:260.6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6">
                <wp:simplePos x="0" y="0"/>
                <wp:positionH relativeFrom="page">
                  <wp:posOffset>3348355</wp:posOffset>
                </wp:positionH>
                <wp:positionV relativeFrom="line">
                  <wp:posOffset>635</wp:posOffset>
                </wp:positionV>
                <wp:extent cx="194945" cy="175260"/>
                <wp:effectExtent l="0" t="0" r="0" b="0"/>
                <wp:wrapNone/>
                <wp:docPr id="86" name="Frame1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494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4"/>
                                <w:u w:val="none"/>
                                <w:effect w:val="none"/>
                              </w:rPr>
                              <w:t>pm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5.35pt;height:13.8pt;mso-wrap-distance-left:0pt;mso-wrap-distance-right:0pt;mso-wrap-distance-top:0pt;mso-wrap-distance-bottom:0pt;margin-top:0pt;mso-position-vertical:top;mso-position-vertical-relative:text;margin-left:263.6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4"/>
                          <w:u w:val="none"/>
                          <w:effect w:val="none"/>
                        </w:rPr>
                        <w:t>pm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7">
                <wp:simplePos x="0" y="0"/>
                <wp:positionH relativeFrom="page">
                  <wp:posOffset>3543300</wp:posOffset>
                </wp:positionH>
                <wp:positionV relativeFrom="line">
                  <wp:posOffset>635</wp:posOffset>
                </wp:positionV>
                <wp:extent cx="38100" cy="175260"/>
                <wp:effectExtent l="0" t="0" r="0" b="0"/>
                <wp:wrapNone/>
                <wp:docPr id="87" name="Frame1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pt;height:13.8pt;mso-wrap-distance-left:0pt;mso-wrap-distance-right:0pt;mso-wrap-distance-top:0pt;mso-wrap-distance-bottom:0pt;margin-top:0pt;mso-position-vertical:top;mso-position-vertical-relative:text;margin-left:27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3">
                <wp:simplePos x="0" y="0"/>
                <wp:positionH relativeFrom="page">
                  <wp:posOffset>6505575</wp:posOffset>
                </wp:positionH>
                <wp:positionV relativeFrom="line">
                  <wp:posOffset>635</wp:posOffset>
                </wp:positionV>
                <wp:extent cx="38100" cy="175260"/>
                <wp:effectExtent l="0" t="0" r="0" b="0"/>
                <wp:wrapNone/>
                <wp:docPr id="88" name="Frame1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pt;height:13.8pt;mso-wrap-distance-left:0pt;mso-wrap-distance-right:0pt;mso-wrap-distance-top:0pt;mso-wrap-distance-bottom:0pt;margin-top:0pt;mso-position-vertical:top;mso-position-vertical-relative:text;margin-left:51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9">
                <wp:simplePos x="0" y="0"/>
                <wp:positionH relativeFrom="page">
                  <wp:posOffset>3995420</wp:posOffset>
                </wp:positionH>
                <wp:positionV relativeFrom="line">
                  <wp:posOffset>635</wp:posOffset>
                </wp:positionV>
                <wp:extent cx="38100" cy="175260"/>
                <wp:effectExtent l="0" t="0" r="0" b="0"/>
                <wp:wrapNone/>
                <wp:docPr id="89" name="Frame1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pt;height:13.8pt;mso-wrap-distance-left:0pt;mso-wrap-distance-right:0pt;mso-wrap-distance-top:0pt;mso-wrap-distance-bottom:0pt;margin-top:0pt;mso-position-vertical:top;mso-position-vertical-relative:text;margin-left:314.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0">
                <wp:simplePos x="0" y="0"/>
                <wp:positionH relativeFrom="page">
                  <wp:posOffset>4034155</wp:posOffset>
                </wp:positionH>
                <wp:positionV relativeFrom="line">
                  <wp:posOffset>635</wp:posOffset>
                </wp:positionV>
                <wp:extent cx="308610" cy="350520"/>
                <wp:effectExtent l="0" t="0" r="0" b="0"/>
                <wp:wrapNone/>
                <wp:docPr id="90" name="Frame1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8610" cy="35052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4"/>
                                <w:u w:val="none"/>
                                <w:effect w:val="none"/>
                              </w:rPr>
                              <w:t>time,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4.3pt;height:27.6pt;mso-wrap-distance-left:0pt;mso-wrap-distance-right:0pt;mso-wrap-distance-top:0pt;mso-wrap-distance-bottom:0pt;margin-top:0pt;mso-position-vertical:top;mso-position-vertical-relative:text;margin-left:317.6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4"/>
                          <w:u w:val="none"/>
                          <w:effect w:val="none"/>
                        </w:rPr>
                        <w:t>time,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1">
                <wp:simplePos x="0" y="0"/>
                <wp:positionH relativeFrom="page">
                  <wp:posOffset>4342765</wp:posOffset>
                </wp:positionH>
                <wp:positionV relativeFrom="line">
                  <wp:posOffset>635</wp:posOffset>
                </wp:positionV>
                <wp:extent cx="38100" cy="175260"/>
                <wp:effectExtent l="0" t="0" r="0" b="0"/>
                <wp:wrapNone/>
                <wp:docPr id="91" name="Frame1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pt;height:13.8pt;mso-wrap-distance-left:0pt;mso-wrap-distance-right:0pt;mso-wrap-distance-top:0pt;mso-wrap-distance-bottom:0pt;margin-top:0pt;mso-position-vertical:top;mso-position-vertical-relative:text;margin-left:341.9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2">
                <wp:simplePos x="0" y="0"/>
                <wp:positionH relativeFrom="page">
                  <wp:posOffset>4380865</wp:posOffset>
                </wp:positionH>
                <wp:positionV relativeFrom="line">
                  <wp:posOffset>635</wp:posOffset>
                </wp:positionV>
                <wp:extent cx="546100" cy="175260"/>
                <wp:effectExtent l="0" t="0" r="0" b="0"/>
                <wp:wrapNone/>
                <wp:docPr id="92" name="Frame1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6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4"/>
                                <w:u w:val="none"/>
                                <w:effect w:val="none"/>
                              </w:rPr>
                              <w:t>Monday,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3pt;height:13.8pt;mso-wrap-distance-left:0pt;mso-wrap-distance-right:0pt;mso-wrap-distance-top:0pt;mso-wrap-distance-bottom:0pt;margin-top:0pt;mso-position-vertical:top;mso-position-vertical-relative:text;margin-left:344.9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4"/>
                          <w:u w:val="none"/>
                          <w:effect w:val="none"/>
                        </w:rPr>
                        <w:t>Monday,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3">
                <wp:simplePos x="0" y="0"/>
                <wp:positionH relativeFrom="page">
                  <wp:posOffset>4926965</wp:posOffset>
                </wp:positionH>
                <wp:positionV relativeFrom="line">
                  <wp:posOffset>635</wp:posOffset>
                </wp:positionV>
                <wp:extent cx="38100" cy="175260"/>
                <wp:effectExtent l="0" t="0" r="0" b="0"/>
                <wp:wrapNone/>
                <wp:docPr id="93" name="Frame1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pt;height:13.8pt;mso-wrap-distance-left:0pt;mso-wrap-distance-right:0pt;mso-wrap-distance-top:0pt;mso-wrap-distance-bottom:0pt;margin-top:0pt;mso-position-vertical:top;mso-position-vertical-relative:text;margin-left:387.9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4">
                <wp:simplePos x="0" y="0"/>
                <wp:positionH relativeFrom="page">
                  <wp:posOffset>4965065</wp:posOffset>
                </wp:positionH>
                <wp:positionV relativeFrom="line">
                  <wp:posOffset>635</wp:posOffset>
                </wp:positionV>
                <wp:extent cx="651510" cy="350520"/>
                <wp:effectExtent l="0" t="0" r="0" b="0"/>
                <wp:wrapNone/>
                <wp:docPr id="94" name="Frame1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" cy="35052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4"/>
                                <w:u w:val="none"/>
                                <w:effect w:val="none"/>
                              </w:rPr>
                              <w:t>September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.3pt;height:27.6pt;mso-wrap-distance-left:0pt;mso-wrap-distance-right:0pt;mso-wrap-distance-top:0pt;mso-wrap-distance-bottom:0pt;margin-top:0pt;mso-position-vertical:top;mso-position-vertical-relative:text;margin-left:390.9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4"/>
                          <w:u w:val="none"/>
                          <w:effect w:val="none"/>
                        </w:rPr>
                        <w:t>September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5">
                <wp:simplePos x="0" y="0"/>
                <wp:positionH relativeFrom="page">
                  <wp:posOffset>5616575</wp:posOffset>
                </wp:positionH>
                <wp:positionV relativeFrom="line">
                  <wp:posOffset>635</wp:posOffset>
                </wp:positionV>
                <wp:extent cx="38100" cy="175260"/>
                <wp:effectExtent l="0" t="0" r="0" b="0"/>
                <wp:wrapNone/>
                <wp:docPr id="95" name="Frame1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pt;height:13.8pt;mso-wrap-distance-left:0pt;mso-wrap-distance-right:0pt;mso-wrap-distance-top:0pt;mso-wrap-distance-bottom:0pt;margin-top:0pt;mso-position-vertical:top;mso-position-vertical-relative:text;margin-left:44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6">
                <wp:simplePos x="0" y="0"/>
                <wp:positionH relativeFrom="page">
                  <wp:posOffset>5654675</wp:posOffset>
                </wp:positionH>
                <wp:positionV relativeFrom="line">
                  <wp:posOffset>635</wp:posOffset>
                </wp:positionV>
                <wp:extent cx="190500" cy="175260"/>
                <wp:effectExtent l="0" t="0" r="0" b="0"/>
                <wp:wrapNone/>
                <wp:docPr id="96" name="Frame1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4"/>
                                <w:u w:val="none"/>
                                <w:effect w:val="none"/>
                              </w:rPr>
                              <w:t>28,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5pt;height:13.8pt;mso-wrap-distance-left:0pt;mso-wrap-distance-right:0pt;mso-wrap-distance-top:0pt;mso-wrap-distance-bottom:0pt;margin-top:0pt;mso-position-vertical:top;mso-position-vertical-relative:text;margin-left:44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4"/>
                          <w:u w:val="none"/>
                          <w:effect w:val="none"/>
                        </w:rPr>
                        <w:t>28,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7">
                <wp:simplePos x="0" y="0"/>
                <wp:positionH relativeFrom="page">
                  <wp:posOffset>5845175</wp:posOffset>
                </wp:positionH>
                <wp:positionV relativeFrom="line">
                  <wp:posOffset>635</wp:posOffset>
                </wp:positionV>
                <wp:extent cx="38100" cy="175260"/>
                <wp:effectExtent l="0" t="0" r="0" b="0"/>
                <wp:wrapNone/>
                <wp:docPr id="97" name="Frame1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pt;height:13.8pt;mso-wrap-distance-left:0pt;mso-wrap-distance-right:0pt;mso-wrap-distance-top:0pt;mso-wrap-distance-bottom:0pt;margin-top:0pt;mso-position-vertical:top;mso-position-vertical-relative:text;margin-left:46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8">
                <wp:simplePos x="0" y="0"/>
                <wp:positionH relativeFrom="page">
                  <wp:posOffset>5883910</wp:posOffset>
                </wp:positionH>
                <wp:positionV relativeFrom="line">
                  <wp:posOffset>635</wp:posOffset>
                </wp:positionV>
                <wp:extent cx="304800" cy="175260"/>
                <wp:effectExtent l="0" t="0" r="0" b="0"/>
                <wp:wrapNone/>
                <wp:docPr id="98" name="Frame1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4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4"/>
                                <w:u w:val="none"/>
                                <w:effect w:val="none"/>
                              </w:rPr>
                              <w:t>2020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4pt;height:13.8pt;mso-wrap-distance-left:0pt;mso-wrap-distance-right:0pt;mso-wrap-distance-top:0pt;mso-wrap-distance-bottom:0pt;margin-top:0pt;mso-position-vertical:top;mso-position-vertical-relative:text;margin-left:463.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4"/>
                          <w:u w:val="none"/>
                          <w:effect w:val="none"/>
                        </w:rPr>
                        <w:t>2020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9">
                <wp:simplePos x="0" y="0"/>
                <wp:positionH relativeFrom="page">
                  <wp:posOffset>6188710</wp:posOffset>
                </wp:positionH>
                <wp:positionV relativeFrom="line">
                  <wp:posOffset>635</wp:posOffset>
                </wp:positionV>
                <wp:extent cx="38100" cy="175260"/>
                <wp:effectExtent l="0" t="0" r="0" b="0"/>
                <wp:wrapNone/>
                <wp:docPr id="99" name="Frame1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pt;height:13.8pt;mso-wrap-distance-left:0pt;mso-wrap-distance-right:0pt;mso-wrap-distance-top:0pt;mso-wrap-distance-bottom:0pt;margin-top:0pt;mso-position-vertical:top;mso-position-vertical-relative:text;margin-left:487.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0">
                <wp:simplePos x="0" y="0"/>
                <wp:positionH relativeFrom="page">
                  <wp:posOffset>6226810</wp:posOffset>
                </wp:positionH>
                <wp:positionV relativeFrom="line">
                  <wp:posOffset>635</wp:posOffset>
                </wp:positionV>
                <wp:extent cx="278765" cy="350520"/>
                <wp:effectExtent l="0" t="0" r="0" b="0"/>
                <wp:wrapNone/>
                <wp:docPr id="100" name="Frame1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8765" cy="35052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4"/>
                                <w:u w:val="none"/>
                                <w:effect w:val="none"/>
                              </w:rPr>
                              <w:t>after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1.95pt;height:27.6pt;mso-wrap-distance-left:0pt;mso-wrap-distance-right:0pt;mso-wrap-distance-top:0pt;mso-wrap-distance-bottom:0pt;margin-top:0pt;mso-position-vertical:top;mso-position-vertical-relative:text;margin-left:490.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4"/>
                          <w:u w:val="none"/>
                          <w:effect w:val="none"/>
                        </w:rPr>
                        <w:t>after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1">
                <wp:simplePos x="0" y="0"/>
                <wp:positionH relativeFrom="page">
                  <wp:posOffset>6505575</wp:posOffset>
                </wp:positionH>
                <wp:positionV relativeFrom="line">
                  <wp:posOffset>635</wp:posOffset>
                </wp:positionV>
                <wp:extent cx="38100" cy="175260"/>
                <wp:effectExtent l="0" t="0" r="0" b="0"/>
                <wp:wrapNone/>
                <wp:docPr id="101" name="Frame1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pt;height:13.8pt;mso-wrap-distance-left:0pt;mso-wrap-distance-right:0pt;mso-wrap-distance-top:0pt;mso-wrap-distance-bottom:0pt;margin-top:0pt;mso-position-vertical:top;mso-position-vertical-relative:text;margin-left:51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2">
                <wp:simplePos x="0" y="0"/>
                <wp:positionH relativeFrom="page">
                  <wp:posOffset>1143000</wp:posOffset>
                </wp:positionH>
                <wp:positionV relativeFrom="line">
                  <wp:posOffset>635</wp:posOffset>
                </wp:positionV>
                <wp:extent cx="2004695" cy="350520"/>
                <wp:effectExtent l="0" t="0" r="0" b="0"/>
                <wp:wrapNone/>
                <wp:docPr id="102" name="Frame1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04695" cy="35052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4"/>
                                <w:u w:val="none"/>
                                <w:effect w:val="none"/>
                              </w:rPr>
                              <w:t>which time this offer will expire.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57.85pt;height:27.6pt;mso-wrap-distance-left:0pt;mso-wrap-distance-right:0pt;mso-wrap-distance-top:0pt;mso-wrap-distance-bottom:0pt;margin-top:0pt;mso-position-vertical:top;mso-position-vertical-relative:text;margin-left:9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4"/>
                          <w:u w:val="none"/>
                          <w:effect w:val="none"/>
                        </w:rPr>
                        <w:t>which time this offer will expire.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8">
                <wp:simplePos x="0" y="0"/>
                <wp:positionH relativeFrom="page">
                  <wp:posOffset>3754120</wp:posOffset>
                </wp:positionH>
                <wp:positionV relativeFrom="line">
                  <wp:posOffset>635</wp:posOffset>
                </wp:positionV>
                <wp:extent cx="295910" cy="350520"/>
                <wp:effectExtent l="0" t="0" r="0" b="0"/>
                <wp:wrapNone/>
                <wp:docPr id="103" name="Frame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5910" cy="35052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4"/>
                                <w:u w:val="none"/>
                                <w:effect w:val="none"/>
                              </w:rPr>
                              <w:t>copy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3.3pt;height:27.6pt;mso-wrap-distance-left:0pt;mso-wrap-distance-right:0pt;mso-wrap-distance-top:0pt;mso-wrap-distance-bottom:0pt;margin-top:0pt;mso-position-vertical:top;mso-position-vertical-relative:text;margin-left:295.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4"/>
                          <w:u w:val="none"/>
                          <w:effect w:val="none"/>
                        </w:rPr>
                        <w:t>copy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4">
                <wp:simplePos x="0" y="0"/>
                <wp:positionH relativeFrom="page">
                  <wp:posOffset>1143000</wp:posOffset>
                </wp:positionH>
                <wp:positionV relativeFrom="line">
                  <wp:posOffset>635</wp:posOffset>
                </wp:positionV>
                <wp:extent cx="313055" cy="350520"/>
                <wp:effectExtent l="0" t="0" r="0" b="0"/>
                <wp:wrapNone/>
                <wp:docPr id="104" name="Frame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3055" cy="35052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4"/>
                                <w:u w:val="none"/>
                                <w:effect w:val="none"/>
                              </w:rPr>
                              <w:t>Your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4.65pt;height:27.6pt;mso-wrap-distance-left:0pt;mso-wrap-distance-right:0pt;mso-wrap-distance-top:0pt;mso-wrap-distance-bottom:0pt;margin-top:0pt;mso-position-vertical:top;mso-position-vertical-relative:text;margin-left:9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4"/>
                          <w:u w:val="none"/>
                          <w:effect w:val="none"/>
                        </w:rPr>
                        <w:t>Your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5">
                <wp:simplePos x="0" y="0"/>
                <wp:positionH relativeFrom="page">
                  <wp:posOffset>1456055</wp:posOffset>
                </wp:positionH>
                <wp:positionV relativeFrom="line">
                  <wp:posOffset>635</wp:posOffset>
                </wp:positionV>
                <wp:extent cx="39370" cy="175260"/>
                <wp:effectExtent l="0" t="0" r="0" b="0"/>
                <wp:wrapNone/>
                <wp:docPr id="105" name="Frame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37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1pt;height:13.8pt;mso-wrap-distance-left:0pt;mso-wrap-distance-right:0pt;mso-wrap-distance-top:0pt;mso-wrap-distance-bottom:0pt;margin-top:0pt;mso-position-vertical:top;mso-position-vertical-relative:text;margin-left:114.6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6">
                <wp:simplePos x="0" y="0"/>
                <wp:positionH relativeFrom="page">
                  <wp:posOffset>1495425</wp:posOffset>
                </wp:positionH>
                <wp:positionV relativeFrom="line">
                  <wp:posOffset>635</wp:posOffset>
                </wp:positionV>
                <wp:extent cx="591820" cy="350520"/>
                <wp:effectExtent l="0" t="0" r="0" b="0"/>
                <wp:wrapNone/>
                <wp:docPr id="106" name="Frame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1820" cy="35052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4"/>
                                <w:u w:val="none"/>
                                <w:effect w:val="none"/>
                              </w:rPr>
                              <w:t>execution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6.6pt;height:27.6pt;mso-wrap-distance-left:0pt;mso-wrap-distance-right:0pt;mso-wrap-distance-top:0pt;mso-wrap-distance-bottom:0pt;margin-top:0pt;mso-position-vertical:top;mso-position-vertical-relative:text;margin-left:117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4"/>
                          <w:u w:val="none"/>
                          <w:effect w:val="none"/>
                        </w:rPr>
                        <w:t>execution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7">
                <wp:simplePos x="0" y="0"/>
                <wp:positionH relativeFrom="page">
                  <wp:posOffset>2087880</wp:posOffset>
                </wp:positionH>
                <wp:positionV relativeFrom="line">
                  <wp:posOffset>635</wp:posOffset>
                </wp:positionV>
                <wp:extent cx="39370" cy="175260"/>
                <wp:effectExtent l="0" t="0" r="0" b="0"/>
                <wp:wrapNone/>
                <wp:docPr id="107" name="Frame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37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1pt;height:13.8pt;mso-wrap-distance-left:0pt;mso-wrap-distance-right:0pt;mso-wrap-distance-top:0pt;mso-wrap-distance-bottom:0pt;margin-top:0pt;mso-position-vertical:top;mso-position-vertical-relative:text;margin-left:164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8">
                <wp:simplePos x="0" y="0"/>
                <wp:positionH relativeFrom="page">
                  <wp:posOffset>2127250</wp:posOffset>
                </wp:positionH>
                <wp:positionV relativeFrom="line">
                  <wp:posOffset>635</wp:posOffset>
                </wp:positionV>
                <wp:extent cx="219710" cy="350520"/>
                <wp:effectExtent l="0" t="0" r="0" b="0"/>
                <wp:wrapNone/>
                <wp:docPr id="108" name="Frame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9710" cy="35052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4"/>
                                <w:u w:val="none"/>
                                <w:effect w:val="none"/>
                              </w:rPr>
                              <w:t>and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7.3pt;height:27.6pt;mso-wrap-distance-left:0pt;mso-wrap-distance-right:0pt;mso-wrap-distance-top:0pt;mso-wrap-distance-bottom:0pt;margin-top:0pt;mso-position-vertical:top;mso-position-vertical-relative:text;margin-left:167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4"/>
                          <w:u w:val="none"/>
                          <w:effect w:val="none"/>
                        </w:rPr>
                        <w:t>and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9">
                <wp:simplePos x="0" y="0"/>
                <wp:positionH relativeFrom="page">
                  <wp:posOffset>2347595</wp:posOffset>
                </wp:positionH>
                <wp:positionV relativeFrom="line">
                  <wp:posOffset>635</wp:posOffset>
                </wp:positionV>
                <wp:extent cx="39370" cy="175260"/>
                <wp:effectExtent l="0" t="0" r="0" b="0"/>
                <wp:wrapNone/>
                <wp:docPr id="109" name="Frame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37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1pt;height:13.8pt;mso-wrap-distance-left:0pt;mso-wrap-distance-right:0pt;mso-wrap-distance-top:0pt;mso-wrap-distance-bottom:0pt;margin-top:0pt;mso-position-vertical:top;mso-position-vertical-relative:text;margin-left:184.8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0">
                <wp:simplePos x="0" y="0"/>
                <wp:positionH relativeFrom="page">
                  <wp:posOffset>2386965</wp:posOffset>
                </wp:positionH>
                <wp:positionV relativeFrom="line">
                  <wp:posOffset>635</wp:posOffset>
                </wp:positionV>
                <wp:extent cx="363855" cy="350520"/>
                <wp:effectExtent l="0" t="0" r="0" b="0"/>
                <wp:wrapNone/>
                <wp:docPr id="110" name="Frame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3855" cy="35052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4"/>
                                <w:u w:val="none"/>
                                <w:effect w:val="none"/>
                              </w:rPr>
                              <w:t>return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8.65pt;height:27.6pt;mso-wrap-distance-left:0pt;mso-wrap-distance-right:0pt;mso-wrap-distance-top:0pt;mso-wrap-distance-bottom:0pt;margin-top:0pt;mso-position-vertical:top;mso-position-vertical-relative:text;margin-left:187.9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4"/>
                          <w:u w:val="none"/>
                          <w:effect w:val="none"/>
                        </w:rPr>
                        <w:t>return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1">
                <wp:simplePos x="0" y="0"/>
                <wp:positionH relativeFrom="page">
                  <wp:posOffset>2750820</wp:posOffset>
                </wp:positionH>
                <wp:positionV relativeFrom="line">
                  <wp:posOffset>635</wp:posOffset>
                </wp:positionV>
                <wp:extent cx="39370" cy="175260"/>
                <wp:effectExtent l="0" t="0" r="0" b="0"/>
                <wp:wrapNone/>
                <wp:docPr id="111" name="Frame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37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1pt;height:13.8pt;mso-wrap-distance-left:0pt;mso-wrap-distance-right:0pt;mso-wrap-distance-top:0pt;mso-wrap-distance-bottom:0pt;margin-top:0pt;mso-position-vertical:top;mso-position-vertical-relative:text;margin-left:216.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2">
                <wp:simplePos x="0" y="0"/>
                <wp:positionH relativeFrom="page">
                  <wp:posOffset>2790190</wp:posOffset>
                </wp:positionH>
                <wp:positionV relativeFrom="line">
                  <wp:posOffset>635</wp:posOffset>
                </wp:positionV>
                <wp:extent cx="127000" cy="175260"/>
                <wp:effectExtent l="0" t="0" r="0" b="0"/>
                <wp:wrapNone/>
                <wp:docPr id="112" name="Frame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7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4"/>
                                <w:u w:val="none"/>
                                <w:effect w:val="none"/>
                              </w:rPr>
                              <w:t>of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0pt;height:13.8pt;mso-wrap-distance-left:0pt;mso-wrap-distance-right:0pt;mso-wrap-distance-top:0pt;mso-wrap-distance-bottom:0pt;margin-top:0pt;mso-position-vertical:top;mso-position-vertical-relative:text;margin-left:219.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4"/>
                          <w:u w:val="none"/>
                          <w:effect w:val="none"/>
                        </w:rPr>
                        <w:t>of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3">
                <wp:simplePos x="0" y="0"/>
                <wp:positionH relativeFrom="page">
                  <wp:posOffset>2917190</wp:posOffset>
                </wp:positionH>
                <wp:positionV relativeFrom="line">
                  <wp:posOffset>635</wp:posOffset>
                </wp:positionV>
                <wp:extent cx="39370" cy="175260"/>
                <wp:effectExtent l="0" t="0" r="0" b="0"/>
                <wp:wrapNone/>
                <wp:docPr id="113" name="Frame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37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1pt;height:13.8pt;mso-wrap-distance-left:0pt;mso-wrap-distance-right:0pt;mso-wrap-distance-top:0pt;mso-wrap-distance-bottom:0pt;margin-top:0pt;mso-position-vertical:top;mso-position-vertical-relative:text;margin-left:229.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4">
                <wp:simplePos x="0" y="0"/>
                <wp:positionH relativeFrom="page">
                  <wp:posOffset>2956560</wp:posOffset>
                </wp:positionH>
                <wp:positionV relativeFrom="line">
                  <wp:posOffset>635</wp:posOffset>
                </wp:positionV>
                <wp:extent cx="186055" cy="350520"/>
                <wp:effectExtent l="0" t="0" r="0" b="0"/>
                <wp:wrapNone/>
                <wp:docPr id="114" name="Frame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6055" cy="35052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4"/>
                                <w:u w:val="none"/>
                                <w:effect w:val="none"/>
                              </w:rPr>
                              <w:t>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4.65pt;height:27.6pt;mso-wrap-distance-left:0pt;mso-wrap-distance-right:0pt;mso-wrap-distance-top:0pt;mso-wrap-distance-bottom:0pt;margin-top:0pt;mso-position-vertical:top;mso-position-vertical-relative:text;margin-left:232.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4"/>
                          <w:u w:val="none"/>
                          <w:effect w:val="none"/>
                        </w:rPr>
                        <w:t>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5">
                <wp:simplePos x="0" y="0"/>
                <wp:positionH relativeFrom="page">
                  <wp:posOffset>3142615</wp:posOffset>
                </wp:positionH>
                <wp:positionV relativeFrom="line">
                  <wp:posOffset>635</wp:posOffset>
                </wp:positionV>
                <wp:extent cx="38735" cy="175260"/>
                <wp:effectExtent l="0" t="0" r="0" b="0"/>
                <wp:wrapNone/>
                <wp:docPr id="115" name="Frame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73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05pt;height:13.8pt;mso-wrap-distance-left:0pt;mso-wrap-distance-right:0pt;mso-wrap-distance-top:0pt;mso-wrap-distance-bottom:0pt;margin-top:0pt;mso-position-vertical:top;mso-position-vertical-relative:text;margin-left:247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6">
                <wp:simplePos x="0" y="0"/>
                <wp:positionH relativeFrom="page">
                  <wp:posOffset>3181985</wp:posOffset>
                </wp:positionH>
                <wp:positionV relativeFrom="line">
                  <wp:posOffset>635</wp:posOffset>
                </wp:positionV>
                <wp:extent cx="532765" cy="350520"/>
                <wp:effectExtent l="0" t="0" r="0" b="0"/>
                <wp:wrapNone/>
                <wp:docPr id="116" name="Frame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2765" cy="35052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4"/>
                                <w:u w:val="none"/>
                                <w:effect w:val="none"/>
                              </w:rPr>
                              <w:t>enclosed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1.95pt;height:27.6pt;mso-wrap-distance-left:0pt;mso-wrap-distance-right:0pt;mso-wrap-distance-top:0pt;mso-wrap-distance-bottom:0pt;margin-top:0pt;mso-position-vertical:top;mso-position-vertical-relative:text;margin-left:250.5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4"/>
                          <w:u w:val="none"/>
                          <w:effect w:val="none"/>
                        </w:rPr>
                        <w:t>enclosed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7">
                <wp:simplePos x="0" y="0"/>
                <wp:positionH relativeFrom="page">
                  <wp:posOffset>3714750</wp:posOffset>
                </wp:positionH>
                <wp:positionV relativeFrom="line">
                  <wp:posOffset>635</wp:posOffset>
                </wp:positionV>
                <wp:extent cx="39370" cy="175260"/>
                <wp:effectExtent l="0" t="0" r="0" b="0"/>
                <wp:wrapNone/>
                <wp:docPr id="117" name="Frame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37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1pt;height:13.8pt;mso-wrap-distance-left:0pt;mso-wrap-distance-right:0pt;mso-wrap-distance-top:0pt;mso-wrap-distance-bottom:0pt;margin-top:0pt;mso-position-vertical:top;mso-position-vertical-relative:text;margin-left:29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3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53340" cy="175260"/>
                <wp:effectExtent l="0" t="0" r="0" b="0"/>
                <wp:wrapNone/>
                <wp:docPr id="118" name="Frame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34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  <w:t>•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2pt;height:13.8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</w:pPr>
                      <w:r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  <w:t>•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9">
                <wp:simplePos x="0" y="0"/>
                <wp:positionH relativeFrom="page">
                  <wp:posOffset>4050030</wp:posOffset>
                </wp:positionH>
                <wp:positionV relativeFrom="line">
                  <wp:posOffset>635</wp:posOffset>
                </wp:positionV>
                <wp:extent cx="39370" cy="175260"/>
                <wp:effectExtent l="0" t="0" r="0" b="0"/>
                <wp:wrapNone/>
                <wp:docPr id="119" name="Frame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37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1pt;height:13.8pt;mso-wrap-distance-left:0pt;mso-wrap-distance-right:0pt;mso-wrap-distance-top:0pt;mso-wrap-distance-bottom:0pt;margin-top:0pt;mso-position-vertical:top;mso-position-vertical-relative:text;margin-left:318.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0">
                <wp:simplePos x="0" y="0"/>
                <wp:positionH relativeFrom="page">
                  <wp:posOffset>4090035</wp:posOffset>
                </wp:positionH>
                <wp:positionV relativeFrom="line">
                  <wp:posOffset>635</wp:posOffset>
                </wp:positionV>
                <wp:extent cx="127000" cy="175260"/>
                <wp:effectExtent l="0" t="0" r="0" b="0"/>
                <wp:wrapNone/>
                <wp:docPr id="120" name="Frame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7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4"/>
                                <w:u w:val="none"/>
                                <w:effect w:val="none"/>
                              </w:rPr>
                              <w:t>of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0pt;height:13.8pt;mso-wrap-distance-left:0pt;mso-wrap-distance-right:0pt;mso-wrap-distance-top:0pt;mso-wrap-distance-bottom:0pt;margin-top:0pt;mso-position-vertical:top;mso-position-vertical-relative:text;margin-left:322.0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4"/>
                          <w:u w:val="none"/>
                          <w:effect w:val="none"/>
                        </w:rPr>
                        <w:t>of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1">
                <wp:simplePos x="0" y="0"/>
                <wp:positionH relativeFrom="page">
                  <wp:posOffset>4217035</wp:posOffset>
                </wp:positionH>
                <wp:positionV relativeFrom="line">
                  <wp:posOffset>635</wp:posOffset>
                </wp:positionV>
                <wp:extent cx="39370" cy="175260"/>
                <wp:effectExtent l="0" t="0" r="0" b="0"/>
                <wp:wrapNone/>
                <wp:docPr id="121" name="Frame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37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1pt;height:13.8pt;mso-wrap-distance-left:0pt;mso-wrap-distance-right:0pt;mso-wrap-distance-top:0pt;mso-wrap-distance-bottom:0pt;margin-top:0pt;mso-position-vertical:top;mso-position-vertical-relative:text;margin-left:332.0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2">
                <wp:simplePos x="0" y="0"/>
                <wp:positionH relativeFrom="page">
                  <wp:posOffset>4256405</wp:posOffset>
                </wp:positionH>
                <wp:positionV relativeFrom="line">
                  <wp:posOffset>635</wp:posOffset>
                </wp:positionV>
                <wp:extent cx="219710" cy="350520"/>
                <wp:effectExtent l="0" t="0" r="0" b="0"/>
                <wp:wrapNone/>
                <wp:docPr id="122" name="Frame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9710" cy="35052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4"/>
                                <w:u w:val="none"/>
                                <w:effect w:val="none"/>
                              </w:rPr>
                              <w:t>this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7.3pt;height:27.6pt;mso-wrap-distance-left:0pt;mso-wrap-distance-right:0pt;mso-wrap-distance-top:0pt;mso-wrap-distance-bottom:0pt;margin-top:0pt;mso-position-vertical:top;mso-position-vertical-relative:text;margin-left:335.1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4"/>
                          <w:u w:val="none"/>
                          <w:effect w:val="none"/>
                        </w:rPr>
                        <w:t>this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3">
                <wp:simplePos x="0" y="0"/>
                <wp:positionH relativeFrom="page">
                  <wp:posOffset>4476115</wp:posOffset>
                </wp:positionH>
                <wp:positionV relativeFrom="line">
                  <wp:posOffset>635</wp:posOffset>
                </wp:positionV>
                <wp:extent cx="39370" cy="175260"/>
                <wp:effectExtent l="0" t="0" r="0" b="0"/>
                <wp:wrapNone/>
                <wp:docPr id="123" name="Frame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37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1pt;height:13.8pt;mso-wrap-distance-left:0pt;mso-wrap-distance-right:0pt;mso-wrap-distance-top:0pt;mso-wrap-distance-bottom:0pt;margin-top:0pt;mso-position-vertical:top;mso-position-vertical-relative:text;margin-left:352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4">
                <wp:simplePos x="0" y="0"/>
                <wp:positionH relativeFrom="page">
                  <wp:posOffset>4516120</wp:posOffset>
                </wp:positionH>
                <wp:positionV relativeFrom="line">
                  <wp:posOffset>635</wp:posOffset>
                </wp:positionV>
                <wp:extent cx="312420" cy="350520"/>
                <wp:effectExtent l="0" t="0" r="0" b="0"/>
                <wp:wrapNone/>
                <wp:docPr id="124" name="Frame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2420" cy="35052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4"/>
                                <w:u w:val="none"/>
                                <w:effect w:val="none"/>
                              </w:rPr>
                              <w:t>letter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4.6pt;height:27.6pt;mso-wrap-distance-left:0pt;mso-wrap-distance-right:0pt;mso-wrap-distance-top:0pt;mso-wrap-distance-bottom:0pt;margin-top:0pt;mso-position-vertical:top;mso-position-vertical-relative:text;margin-left:355.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4"/>
                          <w:u w:val="none"/>
                          <w:effect w:val="none"/>
                        </w:rPr>
                        <w:t>letter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5">
                <wp:simplePos x="0" y="0"/>
                <wp:positionH relativeFrom="page">
                  <wp:posOffset>4828540</wp:posOffset>
                </wp:positionH>
                <wp:positionV relativeFrom="line">
                  <wp:posOffset>635</wp:posOffset>
                </wp:positionV>
                <wp:extent cx="39370" cy="175260"/>
                <wp:effectExtent l="0" t="0" r="0" b="0"/>
                <wp:wrapNone/>
                <wp:docPr id="125" name="Frame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37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1pt;height:13.8pt;mso-wrap-distance-left:0pt;mso-wrap-distance-right:0pt;mso-wrap-distance-top:0pt;mso-wrap-distance-bottom:0pt;margin-top:0pt;mso-position-vertical:top;mso-position-vertical-relative:text;margin-left:380.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6">
                <wp:simplePos x="0" y="0"/>
                <wp:positionH relativeFrom="page">
                  <wp:posOffset>4868545</wp:posOffset>
                </wp:positionH>
                <wp:positionV relativeFrom="line">
                  <wp:posOffset>635</wp:posOffset>
                </wp:positionV>
                <wp:extent cx="118745" cy="175260"/>
                <wp:effectExtent l="0" t="0" r="0" b="0"/>
                <wp:wrapNone/>
                <wp:docPr id="126" name="Frame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874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4"/>
                                <w:u w:val="none"/>
                                <w:effect w:val="none"/>
                              </w:rPr>
                              <w:t>to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.35pt;height:13.8pt;mso-wrap-distance-left:0pt;mso-wrap-distance-right:0pt;mso-wrap-distance-top:0pt;mso-wrap-distance-bottom:0pt;margin-top:0pt;mso-position-vertical:top;mso-position-vertical-relative:text;margin-left:38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4"/>
                          <w:u w:val="none"/>
                          <w:effect w:val="none"/>
                        </w:rPr>
                        <w:t>to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7">
                <wp:simplePos x="0" y="0"/>
                <wp:positionH relativeFrom="page">
                  <wp:posOffset>4986655</wp:posOffset>
                </wp:positionH>
                <wp:positionV relativeFrom="line">
                  <wp:posOffset>635</wp:posOffset>
                </wp:positionV>
                <wp:extent cx="39370" cy="175260"/>
                <wp:effectExtent l="0" t="0" r="0" b="0"/>
                <wp:wrapNone/>
                <wp:docPr id="127" name="Frame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37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1pt;height:13.8pt;mso-wrap-distance-left:0pt;mso-wrap-distance-right:0pt;mso-wrap-distance-top:0pt;mso-wrap-distance-bottom:0pt;margin-top:0pt;mso-position-vertical:top;mso-position-vertical-relative:text;margin-left:392.6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8">
                <wp:simplePos x="0" y="0"/>
                <wp:positionH relativeFrom="page">
                  <wp:posOffset>5026660</wp:posOffset>
                </wp:positionH>
                <wp:positionV relativeFrom="line">
                  <wp:posOffset>635</wp:posOffset>
                </wp:positionV>
                <wp:extent cx="380365" cy="350520"/>
                <wp:effectExtent l="0" t="0" r="0" b="0"/>
                <wp:wrapNone/>
                <wp:docPr id="128" name="Frame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0365" cy="35052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4"/>
                                <w:u w:val="none"/>
                                <w:effect w:val="none"/>
                              </w:rPr>
                              <w:t>Reena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9.95pt;height:27.6pt;mso-wrap-distance-left:0pt;mso-wrap-distance-right:0pt;mso-wrap-distance-top:0pt;mso-wrap-distance-bottom:0pt;margin-top:0pt;mso-position-vertical:top;mso-position-vertical-relative:text;margin-left:395.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4"/>
                          <w:u w:val="none"/>
                          <w:effect w:val="none"/>
                        </w:rPr>
                        <w:t>Reena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9">
                <wp:simplePos x="0" y="0"/>
                <wp:positionH relativeFrom="page">
                  <wp:posOffset>5407025</wp:posOffset>
                </wp:positionH>
                <wp:positionV relativeFrom="line">
                  <wp:posOffset>635</wp:posOffset>
                </wp:positionV>
                <wp:extent cx="39370" cy="175260"/>
                <wp:effectExtent l="0" t="0" r="0" b="0"/>
                <wp:wrapNone/>
                <wp:docPr id="129" name="Frame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37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1pt;height:13.8pt;mso-wrap-distance-left:0pt;mso-wrap-distance-right:0pt;mso-wrap-distance-top:0pt;mso-wrap-distance-bottom:0pt;margin-top:0pt;mso-position-vertical:top;mso-position-vertical-relative:text;margin-left:425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0">
                <wp:simplePos x="0" y="0"/>
                <wp:positionH relativeFrom="page">
                  <wp:posOffset>5446395</wp:posOffset>
                </wp:positionH>
                <wp:positionV relativeFrom="line">
                  <wp:posOffset>635</wp:posOffset>
                </wp:positionV>
                <wp:extent cx="732155" cy="350520"/>
                <wp:effectExtent l="0" t="0" r="0" b="0"/>
                <wp:wrapNone/>
                <wp:docPr id="130" name="Frame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2155" cy="35052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4"/>
                                <w:u w:val="none"/>
                                <w:effect w:val="none"/>
                              </w:rPr>
                              <w:t>Scoblionko,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7.65pt;height:27.6pt;mso-wrap-distance-left:0pt;mso-wrap-distance-right:0pt;mso-wrap-distance-top:0pt;mso-wrap-distance-bottom:0pt;margin-top:0pt;mso-position-vertical:top;mso-position-vertical-relative:text;margin-left:428.8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4"/>
                          <w:u w:val="none"/>
                          <w:effect w:val="none"/>
                        </w:rPr>
                        <w:t>Scoblionko,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1">
                <wp:simplePos x="0" y="0"/>
                <wp:positionH relativeFrom="page">
                  <wp:posOffset>6178550</wp:posOffset>
                </wp:positionH>
                <wp:positionV relativeFrom="line">
                  <wp:posOffset>635</wp:posOffset>
                </wp:positionV>
                <wp:extent cx="39370" cy="175260"/>
                <wp:effectExtent l="0" t="0" r="0" b="0"/>
                <wp:wrapNone/>
                <wp:docPr id="131" name="Frame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37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1pt;height:13.8pt;mso-wrap-distance-left:0pt;mso-wrap-distance-right:0pt;mso-wrap-distance-top:0pt;mso-wrap-distance-bottom:0pt;margin-top:0pt;mso-position-vertical:top;mso-position-vertical-relative:text;margin-left:48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2">
                <wp:simplePos x="0" y="0"/>
                <wp:positionH relativeFrom="page">
                  <wp:posOffset>6218555</wp:posOffset>
                </wp:positionH>
                <wp:positionV relativeFrom="line">
                  <wp:posOffset>635</wp:posOffset>
                </wp:positionV>
                <wp:extent cx="287655" cy="175260"/>
                <wp:effectExtent l="0" t="0" r="0" b="0"/>
                <wp:wrapNone/>
                <wp:docPr id="132" name="Frame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765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4"/>
                                <w:u w:val="none"/>
                                <w:effect w:val="none"/>
                              </w:rPr>
                              <w:t>Vice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.65pt;height:13.8pt;mso-wrap-distance-left:0pt;mso-wrap-distance-right:0pt;mso-wrap-distance-top:0pt;mso-wrap-distance-bottom:0pt;margin-top:0pt;mso-position-vertical:top;mso-position-vertical-relative:text;margin-left:489.6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4"/>
                          <w:u w:val="none"/>
                          <w:effect w:val="none"/>
                        </w:rPr>
                        <w:t>Vice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 xml:space="preserve">If you accept this offer, and the conditions of this offer are satisfied, this letter and the written </w:t>
      </w:r>
    </w:p>
    <w:p>
      <w:pPr>
        <w:pStyle w:val="TextBody"/>
        <w:bidi w:val="0"/>
        <w:spacing w:lineRule="atLeast" w:line="166" w:before="0" w:after="0"/>
        <w:jc w:val="left"/>
        <w:rPr>
          <w:rFonts w:ascii="Arial;sans-serif" w:hAnsi="Arial;sans-serif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agreements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referenced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in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this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letter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shall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constitute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the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complete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agreement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between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you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and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 xml:space="preserve">the </w:t>
      </w:r>
    </w:p>
    <w:p>
      <w:pPr>
        <w:pStyle w:val="TextBody"/>
        <w:bidi w:val="0"/>
        <w:spacing w:lineRule="atLeast" w:line="166" w:before="0" w:after="0"/>
        <w:jc w:val="left"/>
        <w:rPr>
          <w:rFonts w:ascii="Arial;sans-serif" w:hAnsi="Arial;sans-serif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Company with respect to the subject matter hereof.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 xml:space="preserve">This letter agreement shall supersede any </w:t>
      </w:r>
    </w:p>
    <w:p>
      <w:pPr>
        <w:pStyle w:val="TextBody"/>
        <w:bidi w:val="0"/>
        <w:spacing w:lineRule="atLeast" w:line="166" w:before="0" w:after="0"/>
        <w:jc w:val="left"/>
        <w:rPr>
          <w:rFonts w:ascii="Arial;sans-serif" w:hAnsi="Arial;sans-serif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existing employment arrangement or agreement with the Company.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 xml:space="preserve">Any representations,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 xml:space="preserve">whether written or oral, not contained in this letter or contrary to those contained in this letter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that may have been made to you are expressly cancelled and superseded by this offer.</w:t>
      </w:r>
    </w:p>
    <w:p>
      <w:pPr>
        <w:pStyle w:val="TextBody"/>
        <w:bidi w:val="0"/>
        <w:spacing w:lineRule="atLeast" w:line="166" w:before="0" w:after="0"/>
        <w:jc w:val="left"/>
        <w:rPr>
          <w:rFonts w:ascii="Arial;sans-serif" w:hAnsi="Arial;sans-serif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California law shall govern this agreement.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 xml:space="preserve">If any provision of this letter agreement is held </w:t>
      </w:r>
    </w:p>
    <w:p>
      <w:pPr>
        <w:pStyle w:val="TextBody"/>
        <w:bidi w:val="0"/>
        <w:spacing w:lineRule="atLeast" w:line="166" w:before="0" w:after="0"/>
        <w:jc w:val="left"/>
        <w:rPr>
          <w:rFonts w:ascii="Arial;sans-serif" w:hAnsi="Arial;sans-serif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invalid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or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unenforceable,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such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provision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shall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be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severed,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and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the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remaining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provisions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 xml:space="preserve">shall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continue to be valid and enforceable.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Sincerely,</w:t>
      </w:r>
    </w:p>
    <w:p>
      <w:pPr>
        <w:pStyle w:val="TextBody"/>
        <w:bidi w:val="0"/>
        <w:spacing w:lineRule="atLeast" w:line="166" w:before="0" w:after="0"/>
        <w:jc w:val="left"/>
        <w:rPr>
          <w:rFonts w:ascii="Arial;sans-serif" w:hAnsi="Arial;sans-serif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GOODRX,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INC.</w:t>
      </w:r>
    </w:p>
    <w:p>
      <w:pPr>
        <w:pStyle w:val="TextBody"/>
        <w:bidi w:val="0"/>
        <w:spacing w:lineRule="atLeast" w:line="162" w:before="0" w:after="0"/>
        <w:jc w:val="left"/>
        <w:rPr>
          <w:rFonts w:ascii="Arial;sans-serif" w:hAnsi="Arial;sans-serif"/>
          <w:shd w:fill="E4E4E4" w:val="clear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I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accept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the above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offer,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and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will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begin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employment on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the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date set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forth below:</w:t>
      </w:r>
      <w:r>
        <mc:AlternateContent>
          <mc:Choice Requires="wps">
            <w:drawing>
              <wp:anchor behindDoc="0" distT="0" distB="0" distL="0" distR="0" simplePos="0" locked="0" layoutInCell="1" allowOverlap="1" relativeHeight="133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3181350" cy="921385"/>
                <wp:effectExtent l="0" t="0" r="0" b="0"/>
                <wp:wrapNone/>
                <wp:docPr id="133" name="Frame1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81350" cy="9213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tbl>
                            <w:tblPr>
                              <w:tblW w:w="5242" w:type="dxa"/>
                              <w:jc w:val="left"/>
                              <w:tblInd w:w="0" w:type="dxa"/>
                              <w:tblLayout w:type="fixed"/>
                              <w:tblCellMar>
                                <w:top w:w="28" w:type="dxa"/>
                                <w:left w:w="28" w:type="dxa"/>
                                <w:bottom w:w="28" w:type="dxa"/>
                                <w:right w:w="28" w:type="dxa"/>
                              </w:tblCellMar>
                            </w:tblPr>
                            <w:tblGrid>
                              <w:gridCol w:w="686"/>
                              <w:gridCol w:w="4556"/>
                            </w:tblGrid>
                            <w:tr>
                              <w:trPr/>
                              <w:tc>
                                <w:tcPr>
                                  <w:tcW w:w="68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55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68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556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68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556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50.5pt;height:72.55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tbl>
                      <w:tblPr>
                        <w:tblW w:w="5242" w:type="dxa"/>
                        <w:jc w:val="left"/>
                        <w:tblInd w:w="0" w:type="dxa"/>
                        <w:tblLayout w:type="fixed"/>
                        <w:tblCellMar>
                          <w:top w:w="28" w:type="dxa"/>
                          <w:left w:w="28" w:type="dxa"/>
                          <w:bottom w:w="28" w:type="dxa"/>
                          <w:right w:w="28" w:type="dxa"/>
                        </w:tblCellMar>
                      </w:tblPr>
                      <w:tblGrid>
                        <w:gridCol w:w="686"/>
                        <w:gridCol w:w="4556"/>
                      </w:tblGrid>
                      <w:tr>
                        <w:trPr/>
                        <w:tc>
                          <w:tcPr>
                            <w:tcW w:w="68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55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68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556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68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556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</w:tbl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4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371475" cy="175260"/>
                <wp:effectExtent l="0" t="0" r="0" b="0"/>
                <wp:wrapNone/>
                <wp:docPr id="134" name="Frame1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14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tLeast" w:line="166" w:before="0" w:after="0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  <w:t>By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9.25pt;height:13.8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lineRule="atLeast" w:line="166" w:before="0" w:after="0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  <w:t>By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5">
                <wp:simplePos x="0" y="0"/>
                <wp:positionH relativeFrom="page">
                  <wp:posOffset>371475</wp:posOffset>
                </wp:positionH>
                <wp:positionV relativeFrom="line">
                  <wp:posOffset>635</wp:posOffset>
                </wp:positionV>
                <wp:extent cx="2809875" cy="175260"/>
                <wp:effectExtent l="0" t="0" r="0" b="0"/>
                <wp:wrapNone/>
                <wp:docPr id="135" name="Frame1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09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tLeast" w:line="166" w:before="0" w:after="0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  <w:t>/s/ Reena Scoblionko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1.25pt;height:13.8pt;mso-wrap-distance-left:0pt;mso-wrap-distance-right:0pt;mso-wrap-distance-top:0pt;mso-wrap-distance-bottom:0pt;margin-top:0pt;mso-position-vertical:top;mso-position-vertical-relative:text;margin-left:2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lineRule="atLeast" w:line="166" w:before="0" w:after="0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  <w:t>/s/ Reena Scoblionko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lineRule="atLeast" w:line="162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4"/>
          <w:shd w:fill="E4E4E4" w:val="clear"/>
        </w:rPr>
      </w:pPr>
      <w:bookmarkStart w:id="4" w:name="ex102-pfsixthamendmenttoof.htm"/>
      <w:bookmarkStart w:id="5" w:name="ksex102pfsixthamendmenttoof"/>
      <w:bookmarkEnd w:id="4"/>
      <w:bookmarkEnd w:id="5"/>
      <w:r>
        <w:rPr>
          <w:rFonts w:ascii="Times New Roman;serif" w:hAnsi="Times New Roman;serif"/>
          <w:b/>
          <w:i w:val="false"/>
          <w:caps w:val="false"/>
          <w:smallCaps w:val="false"/>
          <w:sz w:val="24"/>
          <w:shd w:fill="E4E4E4" w:val="clear"/>
        </w:rPr>
        <w:t>Exhibit 10.2</w:t>
      </w:r>
      <w:r>
        <mc:AlternateContent>
          <mc:Choice Requires="wps">
            <w:drawing>
              <wp:anchor behindDoc="0" distT="0" distB="0" distL="0" distR="0" simplePos="0" locked="0" layoutInCell="1" allowOverlap="1" relativeHeight="137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5429250" cy="2889885"/>
                <wp:effectExtent l="0" t="0" r="0" b="0"/>
                <wp:wrapNone/>
                <wp:docPr id="136" name="Frame1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29250" cy="28898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tbl>
                            <w:tblPr>
                              <w:tblW w:w="7042" w:type="dxa"/>
                              <w:jc w:val="left"/>
                              <w:tblInd w:w="0" w:type="dxa"/>
                              <w:tblLayout w:type="fixed"/>
                              <w:tblCellMar>
                                <w:top w:w="28" w:type="dxa"/>
                                <w:left w:w="28" w:type="dxa"/>
                                <w:bottom w:w="28" w:type="dxa"/>
                                <w:right w:w="28" w:type="dxa"/>
                              </w:tblCellMar>
                            </w:tblPr>
                            <w:tblGrid>
                              <w:gridCol w:w="1226"/>
                              <w:gridCol w:w="2531"/>
                              <w:gridCol w:w="109"/>
                              <w:gridCol w:w="3176"/>
                            </w:tblGrid>
                            <w:tr>
                              <w:trPr/>
                              <w:tc>
                                <w:tcPr>
                                  <w:tcW w:w="122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  <w:r>
                                    <w:br w:type="page"/>
                                  </w:r>
                                </w:p>
                              </w:tc>
                              <w:tc>
                                <w:tcPr>
                                  <w:tcW w:w="253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317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2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531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3176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2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531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3176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2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66" w:before="0" w:after="0"/>
                                    <w:jc w:val="left"/>
                                    <w:rPr>
                                      <w:rFonts w:ascii="Times New Roman;serif" w:hAnsi="Times New Roman;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4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Times New Roman;serif" w:hAnsi="Times New Roman;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4"/>
                                      <w:u w:val="none"/>
                                      <w:effect w:val="none"/>
                                    </w:rPr>
                                    <w:t>Start date:</w:t>
                                  </w:r>
                                </w:p>
                              </w:tc>
                              <w:tc>
                                <w:tcPr>
                                  <w:tcW w:w="2531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317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2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531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317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2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53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317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2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53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317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2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53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317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2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53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317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2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53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317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2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53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317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27.5pt;height:227.55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tbl>
                      <w:tblPr>
                        <w:tblW w:w="7042" w:type="dxa"/>
                        <w:jc w:val="left"/>
                        <w:tblInd w:w="0" w:type="dxa"/>
                        <w:tblLayout w:type="fixed"/>
                        <w:tblCellMar>
                          <w:top w:w="28" w:type="dxa"/>
                          <w:left w:w="28" w:type="dxa"/>
                          <w:bottom w:w="28" w:type="dxa"/>
                          <w:right w:w="28" w:type="dxa"/>
                        </w:tblCellMar>
                      </w:tblPr>
                      <w:tblGrid>
                        <w:gridCol w:w="1226"/>
                        <w:gridCol w:w="2531"/>
                        <w:gridCol w:w="109"/>
                        <w:gridCol w:w="3176"/>
                      </w:tblGrid>
                      <w:tr>
                        <w:trPr/>
                        <w:tc>
                          <w:tcPr>
                            <w:tcW w:w="122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253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317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2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2531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3176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2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2531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3176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2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66" w:before="0" w:after="0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  <w:t>Start date:</w:t>
                            </w:r>
                          </w:p>
                        </w:tc>
                        <w:tc>
                          <w:tcPr>
                            <w:tcW w:w="2531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317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2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2531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317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2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253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317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2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253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317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2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253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317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2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253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317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2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253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317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2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253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317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</w:tbl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8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714375" cy="175260"/>
                <wp:effectExtent l="0" t="0" r="0" b="0"/>
                <wp:wrapNone/>
                <wp:docPr id="137" name="Frame1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tLeast" w:line="166" w:before="0" w:after="0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  <w:t>Dated: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lineRule="atLeast" w:line="166" w:before="0" w:after="0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  <w:t>Dated: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9">
                <wp:simplePos x="0" y="0"/>
                <wp:positionH relativeFrom="page">
                  <wp:posOffset>714375</wp:posOffset>
                </wp:positionH>
                <wp:positionV relativeFrom="line">
                  <wp:posOffset>635</wp:posOffset>
                </wp:positionV>
                <wp:extent cx="1552575" cy="175260"/>
                <wp:effectExtent l="0" t="0" r="0" b="0"/>
                <wp:wrapNone/>
                <wp:docPr id="138" name="Frame1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tLeast" w:line="166" w:before="0" w:after="0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  <w:t>09/27/2020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22.25pt;height:13.8pt;mso-wrap-distance-left:0pt;mso-wrap-distance-right:0pt;mso-wrap-distance-top:0pt;mso-wrap-distance-bottom:0pt;margin-top:0pt;mso-position-vertical:top;mso-position-vertical-relative:text;margin-left:56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lineRule="atLeast" w:line="166" w:before="0" w:after="0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  <w:t>09/27/2020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0">
                <wp:simplePos x="0" y="0"/>
                <wp:positionH relativeFrom="page">
                  <wp:posOffset>3495675</wp:posOffset>
                </wp:positionH>
                <wp:positionV relativeFrom="line">
                  <wp:posOffset>635</wp:posOffset>
                </wp:positionV>
                <wp:extent cx="1933575" cy="175260"/>
                <wp:effectExtent l="0" t="0" r="0" b="0"/>
                <wp:wrapNone/>
                <wp:docPr id="139" name="Frame1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33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tLeast" w:line="166" w:before="0" w:after="0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  <w:t>/s/ Thomas Chan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52.25pt;height:13.8pt;mso-wrap-distance-left:0pt;mso-wrap-distance-right:0pt;mso-wrap-distance-top:0pt;mso-wrap-distance-bottom:0pt;margin-top:0pt;mso-position-vertical:top;mso-position-vertical-relative:text;margin-left:27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lineRule="atLeast" w:line="166" w:before="0" w:after="0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  <w:t>/s/ Thomas Chan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62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4"/>
          <w:u w:val="single"/>
          <w:shd w:fill="E4E4E4" w:val="clear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4"/>
          <w:u w:val="single"/>
          <w:shd w:fill="E4E4E4" w:val="clear"/>
        </w:rPr>
        <w:t>SIXTH AMENDMENT TO OFFICE LEASE</w:t>
      </w:r>
    </w:p>
    <w:p>
      <w:pPr>
        <w:pStyle w:val="TextBody"/>
        <w:bidi w:val="0"/>
        <w:spacing w:lineRule="atLeast" w:line="166" w:before="0" w:after="0"/>
        <w:jc w:val="left"/>
        <w:rPr>
          <w:rFonts w:ascii="Arial;sans-serif" w:hAnsi="Arial;sans-serif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u w:val="single"/>
          <w:shd w:fill="E4E4E4" w:val="clear"/>
        </w:rPr>
        <w:t xml:space="preserve">R E C I T A L S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:</w:t>
      </w:r>
      <w:r>
        <mc:AlternateContent>
          <mc:Choice Requires="wps">
            <w:drawing>
              <wp:anchor behindDoc="0" distT="0" distB="0" distL="0" distR="0" simplePos="0" locked="0" layoutInCell="1" allowOverlap="1" relativeHeight="143">
                <wp:simplePos x="0" y="0"/>
                <wp:positionH relativeFrom="page">
                  <wp:posOffset>1371600</wp:posOffset>
                </wp:positionH>
                <wp:positionV relativeFrom="line">
                  <wp:posOffset>635</wp:posOffset>
                </wp:positionV>
                <wp:extent cx="3234055" cy="175260"/>
                <wp:effectExtent l="0" t="0" r="0" b="0"/>
                <wp:wrapNone/>
                <wp:docPr id="140" name="Frame1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3405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4"/>
                                <w:u w:val="none"/>
                                <w:effect w:val="none"/>
                              </w:rPr>
                              <w:t>This SIXTH AMENDMENT TO LEASE (this “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54.65pt;height:13.8pt;mso-wrap-distance-left:0pt;mso-wrap-distance-right:0pt;mso-wrap-distance-top:0pt;mso-wrap-distance-bottom:0pt;margin-top:0pt;mso-position-vertical:top;mso-position-vertical-relative:text;margin-left:10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4"/>
                          <w:u w:val="none"/>
                          <w:effect w:val="none"/>
                        </w:rPr>
                        <w:t>This SIXTH AMENDMENT TO LEASE (this “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4">
                <wp:simplePos x="0" y="0"/>
                <wp:positionH relativeFrom="page">
                  <wp:posOffset>4605655</wp:posOffset>
                </wp:positionH>
                <wp:positionV relativeFrom="line">
                  <wp:posOffset>635</wp:posOffset>
                </wp:positionV>
                <wp:extent cx="1227455" cy="175260"/>
                <wp:effectExtent l="0" t="0" r="0" b="0"/>
                <wp:wrapNone/>
                <wp:docPr id="141" name="Frame1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745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4"/>
                                <w:u w:val="none"/>
                                <w:effect w:val="none"/>
                              </w:rPr>
                              <w:t>Sixth Amendment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6.65pt;height:13.8pt;mso-wrap-distance-left:0pt;mso-wrap-distance-right:0pt;mso-wrap-distance-top:0pt;mso-wrap-distance-bottom:0pt;margin-top:0pt;mso-position-vertical:top;mso-position-vertical-relative:text;margin-left:362.6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4"/>
                          <w:u w:val="none"/>
                          <w:effect w:val="none"/>
                        </w:rPr>
                        <w:t>Sixth Amendment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5">
                <wp:simplePos x="0" y="0"/>
                <wp:positionH relativeFrom="page">
                  <wp:posOffset>5833110</wp:posOffset>
                </wp:positionH>
                <wp:positionV relativeFrom="line">
                  <wp:posOffset>635</wp:posOffset>
                </wp:positionV>
                <wp:extent cx="1024255" cy="175260"/>
                <wp:effectExtent l="0" t="0" r="0" b="0"/>
                <wp:wrapNone/>
                <wp:docPr id="142" name="Frame1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425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  <w:t>”</w:t>
                            </w: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4"/>
                                <w:u w:val="none"/>
                                <w:effect w:val="none"/>
                              </w:rPr>
                              <w:t>) is made and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65pt;height:13.8pt;mso-wrap-distance-left:0pt;mso-wrap-distance-right:0pt;mso-wrap-distance-top:0pt;mso-wrap-distance-bottom:0pt;margin-top:0pt;mso-position-vertical:top;mso-position-vertical-relative:text;margin-left:459.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</w:pPr>
                      <w:r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  <w:t>”</w:t>
                      </w: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4"/>
                          <w:u w:val="none"/>
                          <w:effect w:val="none"/>
                        </w:rPr>
                        <w:t>) is made and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6">
                <wp:simplePos x="0" y="0"/>
                <wp:positionH relativeFrom="page">
                  <wp:posOffset>6857365</wp:posOffset>
                </wp:positionH>
                <wp:positionV relativeFrom="line">
                  <wp:posOffset>635</wp:posOffset>
                </wp:positionV>
                <wp:extent cx="38100" cy="175260"/>
                <wp:effectExtent l="0" t="0" r="0" b="0"/>
                <wp:wrapNone/>
                <wp:docPr id="143" name="Frame1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pt;height:13.8pt;mso-wrap-distance-left:0pt;mso-wrap-distance-right:0pt;mso-wrap-distance-top:0pt;mso-wrap-distance-bottom:0pt;margin-top:0pt;mso-position-vertical:top;mso-position-vertical-relative:text;margin-left:539.9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7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1109345" cy="175260"/>
                <wp:effectExtent l="0" t="0" r="0" b="0"/>
                <wp:wrapNone/>
                <wp:docPr id="144" name="Frame1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0934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4"/>
                                <w:u w:val="none"/>
                                <w:effect w:val="none"/>
                              </w:rPr>
                              <w:t xml:space="preserve">entered into as of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7.35pt;height:13.8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4"/>
                          <w:u w:val="none"/>
                          <w:effect w:val="none"/>
                        </w:rPr>
                        <w:t xml:space="preserve">entered into as of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8">
                <wp:simplePos x="0" y="0"/>
                <wp:positionH relativeFrom="page">
                  <wp:posOffset>2023745</wp:posOffset>
                </wp:positionH>
                <wp:positionV relativeFrom="line">
                  <wp:posOffset>635</wp:posOffset>
                </wp:positionV>
                <wp:extent cx="873760" cy="175260"/>
                <wp:effectExtent l="0" t="0" r="0" b="0"/>
                <wp:wrapNone/>
                <wp:docPr id="145" name="Frame1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376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caps w:val="false"/>
                                <w:smallCaps w:val="false"/>
                                <w:u w:val="single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u w:val="single"/>
                              </w:rPr>
                              <w:t xml:space="preserve">  </w:t>
                            </w: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  <w:u w:val="single"/>
                              </w:rPr>
                              <w:t xml:space="preserve">2/23/2026 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8.8pt;height:13.8pt;mso-wrap-distance-left:0pt;mso-wrap-distance-right:0pt;mso-wrap-distance-top:0pt;mso-wrap-distance-bottom:0pt;margin-top:0pt;mso-position-vertical:top;mso-position-vertical-relative:text;margin-left:159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caps w:val="false"/>
                          <w:smallCaps w:val="false"/>
                          <w:u w:val="single"/>
                        </w:rPr>
                      </w:pPr>
                      <w:r>
                        <w:rPr>
                          <w:caps w:val="false"/>
                          <w:smallCaps w:val="false"/>
                          <w:u w:val="single"/>
                        </w:rPr>
                        <w:t xml:space="preserve">  </w:t>
                      </w: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4"/>
                          <w:u w:val="single"/>
                        </w:rPr>
                        <w:t xml:space="preserve">2/23/2026 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9">
                <wp:simplePos x="0" y="0"/>
                <wp:positionH relativeFrom="page">
                  <wp:posOffset>2897505</wp:posOffset>
                </wp:positionH>
                <wp:positionV relativeFrom="line">
                  <wp:posOffset>635</wp:posOffset>
                </wp:positionV>
                <wp:extent cx="3959225" cy="175260"/>
                <wp:effectExtent l="0" t="0" r="0" b="0"/>
                <wp:wrapNone/>
                <wp:docPr id="146" name="Frame1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592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4"/>
                                <w:u w:val="none"/>
                                <w:effect w:val="none"/>
                              </w:rPr>
                              <w:t>, by and between PEN FACTORY PROPERTY OWNER, LLC,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11.75pt;height:13.8pt;mso-wrap-distance-left:0pt;mso-wrap-distance-right:0pt;mso-wrap-distance-top:0pt;mso-wrap-distance-bottom:0pt;margin-top:0pt;mso-position-vertical:top;mso-position-vertical-relative:text;margin-left:228.1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4"/>
                          <w:u w:val="none"/>
                          <w:effect w:val="none"/>
                        </w:rPr>
                        <w:t>, by and between PEN FACTORY PROPERTY OWNER, LLC,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0">
                <wp:simplePos x="0" y="0"/>
                <wp:positionH relativeFrom="page">
                  <wp:posOffset>6856730</wp:posOffset>
                </wp:positionH>
                <wp:positionV relativeFrom="line">
                  <wp:posOffset>635</wp:posOffset>
                </wp:positionV>
                <wp:extent cx="38100" cy="175260"/>
                <wp:effectExtent l="0" t="0" r="0" b="0"/>
                <wp:wrapNone/>
                <wp:docPr id="147" name="Frame1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pt;height:13.8pt;mso-wrap-distance-left:0pt;mso-wrap-distance-right:0pt;mso-wrap-distance-top:0pt;mso-wrap-distance-bottom:0pt;margin-top:0pt;mso-position-vertical:top;mso-position-vertical-relative:text;margin-left:539.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1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2751455" cy="175260"/>
                <wp:effectExtent l="0" t="0" r="0" b="0"/>
                <wp:wrapNone/>
                <wp:docPr id="148" name="Frame1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5145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4"/>
                                <w:u w:val="none"/>
                                <w:effect w:val="none"/>
                              </w:rPr>
                              <w:t>a Delaware limited liability company (“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16.65pt;height:13.8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4"/>
                          <w:u w:val="none"/>
                          <w:effect w:val="none"/>
                        </w:rPr>
                        <w:t>a Delaware limited liability company (“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2">
                <wp:simplePos x="0" y="0"/>
                <wp:positionH relativeFrom="page">
                  <wp:posOffset>3665855</wp:posOffset>
                </wp:positionH>
                <wp:positionV relativeFrom="line">
                  <wp:posOffset>635</wp:posOffset>
                </wp:positionV>
                <wp:extent cx="617855" cy="350520"/>
                <wp:effectExtent l="0" t="0" r="0" b="0"/>
                <wp:wrapNone/>
                <wp:docPr id="149" name="Frame1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7855" cy="35052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4"/>
                                <w:u w:val="none"/>
                                <w:effect w:val="none"/>
                              </w:rPr>
                              <w:t>Landlord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8.65pt;height:27.6pt;mso-wrap-distance-left:0pt;mso-wrap-distance-right:0pt;mso-wrap-distance-top:0pt;mso-wrap-distance-bottom:0pt;margin-top:0pt;mso-position-vertical:top;mso-position-vertical-relative:text;margin-left:288.6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4"/>
                          <w:u w:val="none"/>
                          <w:effect w:val="none"/>
                        </w:rPr>
                        <w:t>Landlord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3">
                <wp:simplePos x="0" y="0"/>
                <wp:positionH relativeFrom="page">
                  <wp:posOffset>4283710</wp:posOffset>
                </wp:positionH>
                <wp:positionV relativeFrom="line">
                  <wp:posOffset>635</wp:posOffset>
                </wp:positionV>
                <wp:extent cx="2573655" cy="175260"/>
                <wp:effectExtent l="0" t="0" r="0" b="0"/>
                <wp:wrapNone/>
                <wp:docPr id="150" name="Frame1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7365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  <w:t>”</w:t>
                            </w: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4"/>
                                <w:u w:val="none"/>
                                <w:effect w:val="none"/>
                              </w:rPr>
                              <w:t>), and GOODRX, INC., a Delaware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02.65pt;height:13.8pt;mso-wrap-distance-left:0pt;mso-wrap-distance-right:0pt;mso-wrap-distance-top:0pt;mso-wrap-distance-bottom:0pt;margin-top:0pt;mso-position-vertical:top;mso-position-vertical-relative:text;margin-left:337.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</w:pPr>
                      <w:r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  <w:t>”</w:t>
                      </w: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4"/>
                          <w:u w:val="none"/>
                          <w:effect w:val="none"/>
                        </w:rPr>
                        <w:t>), and GOODRX, INC., a Delaware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4">
                <wp:simplePos x="0" y="0"/>
                <wp:positionH relativeFrom="page">
                  <wp:posOffset>6857365</wp:posOffset>
                </wp:positionH>
                <wp:positionV relativeFrom="line">
                  <wp:posOffset>635</wp:posOffset>
                </wp:positionV>
                <wp:extent cx="38100" cy="175260"/>
                <wp:effectExtent l="0" t="0" r="0" b="0"/>
                <wp:wrapNone/>
                <wp:docPr id="151" name="Frame1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pt;height:13.8pt;mso-wrap-distance-left:0pt;mso-wrap-distance-right:0pt;mso-wrap-distance-top:0pt;mso-wrap-distance-bottom:0pt;margin-top:0pt;mso-position-vertical:top;mso-position-vertical-relative:text;margin-left:539.9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5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858520" cy="350520"/>
                <wp:effectExtent l="0" t="0" r="0" b="0"/>
                <wp:wrapNone/>
                <wp:docPr id="152" name="Frame1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8520" cy="35052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4"/>
                                <w:u w:val="none"/>
                                <w:effect w:val="none"/>
                              </w:rPr>
                              <w:t>corporation (“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7.6pt;height:27.6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4"/>
                          <w:u w:val="none"/>
                          <w:effect w:val="none"/>
                        </w:rPr>
                        <w:t>corporation (“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6">
                <wp:simplePos x="0" y="0"/>
                <wp:positionH relativeFrom="page">
                  <wp:posOffset>1772920</wp:posOffset>
                </wp:positionH>
                <wp:positionV relativeFrom="line">
                  <wp:posOffset>635</wp:posOffset>
                </wp:positionV>
                <wp:extent cx="465455" cy="350520"/>
                <wp:effectExtent l="0" t="0" r="0" b="0"/>
                <wp:wrapNone/>
                <wp:docPr id="153" name="Frame1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5455" cy="35052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4"/>
                                <w:u w:val="none"/>
                                <w:effect w:val="none"/>
                              </w:rPr>
                              <w:t>Tenant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6.65pt;height:27.6pt;mso-wrap-distance-left:0pt;mso-wrap-distance-right:0pt;mso-wrap-distance-top:0pt;mso-wrap-distance-bottom:0pt;margin-top:0pt;mso-position-vertical:top;mso-position-vertical-relative:text;margin-left:139.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4"/>
                          <w:u w:val="none"/>
                          <w:effect w:val="none"/>
                        </w:rPr>
                        <w:t>Tenant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7">
                <wp:simplePos x="0" y="0"/>
                <wp:positionH relativeFrom="page">
                  <wp:posOffset>2238375</wp:posOffset>
                </wp:positionH>
                <wp:positionV relativeFrom="line">
                  <wp:posOffset>635</wp:posOffset>
                </wp:positionV>
                <wp:extent cx="156210" cy="350520"/>
                <wp:effectExtent l="0" t="0" r="0" b="0"/>
                <wp:wrapNone/>
                <wp:docPr id="154" name="Frame1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6210" cy="35052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  <w:t>”</w:t>
                            </w: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4"/>
                                <w:u w:val="none"/>
                                <w:effect w:val="none"/>
                              </w:rPr>
                              <w:t>).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2.3pt;height:27.6pt;mso-wrap-distance-left:0pt;mso-wrap-distance-right:0pt;mso-wrap-distance-top:0pt;mso-wrap-distance-bottom:0pt;margin-top:0pt;mso-position-vertical:top;mso-position-vertical-relative:text;margin-left:176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</w:pPr>
                      <w:r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  <w:t>”</w:t>
                      </w: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4"/>
                          <w:u w:val="none"/>
                          <w:effect w:val="none"/>
                        </w:rPr>
                        <w:t>).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lineRule="atLeast" w:line="166" w:before="0" w:after="0"/>
        <w:jc w:val="left"/>
        <w:rPr>
          <w:rFonts w:ascii="Arial;sans-serif" w:hAnsi="Arial;sans-serif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u w:val="single"/>
          <w:shd w:fill="E4E4E4" w:val="clear"/>
        </w:rPr>
        <w:t xml:space="preserve">A G R E E M E N T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:</w:t>
      </w:r>
      <w:r>
        <mc:AlternateContent>
          <mc:Choice Requires="wps">
            <w:drawing>
              <wp:anchor behindDoc="0" distT="0" distB="0" distL="0" distR="0" simplePos="0" locked="0" layoutInCell="1" allowOverlap="1" relativeHeight="196">
                <wp:simplePos x="0" y="0"/>
                <wp:positionH relativeFrom="page">
                  <wp:posOffset>2832735</wp:posOffset>
                </wp:positionH>
                <wp:positionV relativeFrom="line">
                  <wp:posOffset>635</wp:posOffset>
                </wp:positionV>
                <wp:extent cx="287655" cy="350520"/>
                <wp:effectExtent l="0" t="0" r="0" b="0"/>
                <wp:wrapNone/>
                <wp:docPr id="155" name="Frame1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7655" cy="35052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4"/>
                                <w:u w:val="none"/>
                                <w:effect w:val="none"/>
                              </w:rPr>
                              <w:t>RSF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.65pt;height:27.6pt;mso-wrap-distance-left:0pt;mso-wrap-distance-right:0pt;mso-wrap-distance-top:0pt;mso-wrap-distance-bottom:0pt;margin-top:0pt;mso-position-vertical:top;mso-position-vertical-relative:text;margin-left:223.0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4"/>
                          <w:u w:val="none"/>
                          <w:effect w:val="none"/>
                        </w:rPr>
                        <w:t>RSF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4">
                <wp:simplePos x="0" y="0"/>
                <wp:positionH relativeFrom="page">
                  <wp:posOffset>6536055</wp:posOffset>
                </wp:positionH>
                <wp:positionV relativeFrom="line">
                  <wp:posOffset>635</wp:posOffset>
                </wp:positionV>
                <wp:extent cx="321310" cy="350520"/>
                <wp:effectExtent l="0" t="0" r="0" b="0"/>
                <wp:wrapNone/>
                <wp:docPr id="156" name="Frame1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1310" cy="35052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4"/>
                                <w:u w:val="none"/>
                                <w:effect w:val="none"/>
                              </w:rPr>
                              <w:t>Fifth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5.3pt;height:27.6pt;mso-wrap-distance-left:0pt;mso-wrap-distance-right:0pt;mso-wrap-distance-top:0pt;mso-wrap-distance-bottom:0pt;margin-top:0pt;mso-position-vertical:top;mso-position-vertical-relative:text;margin-left:514.6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4"/>
                          <w:u w:val="none"/>
                          <w:effect w:val="none"/>
                        </w:rPr>
                        <w:t>Fifth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5">
                <wp:simplePos x="0" y="0"/>
                <wp:positionH relativeFrom="page">
                  <wp:posOffset>6857365</wp:posOffset>
                </wp:positionH>
                <wp:positionV relativeFrom="line">
                  <wp:posOffset>635</wp:posOffset>
                </wp:positionV>
                <wp:extent cx="38100" cy="175260"/>
                <wp:effectExtent l="0" t="0" r="0" b="0"/>
                <wp:wrapNone/>
                <wp:docPr id="157" name="Frame1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pt;height:13.8pt;mso-wrap-distance-left:0pt;mso-wrap-distance-right:0pt;mso-wrap-distance-top:0pt;mso-wrap-distance-bottom:0pt;margin-top:0pt;mso-position-vertical:top;mso-position-vertical-relative:text;margin-left:539.9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6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803910" cy="350520"/>
                <wp:effectExtent l="0" t="0" r="0" b="0"/>
                <wp:wrapNone/>
                <wp:docPr id="158" name="Frame1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3910" cy="35052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4"/>
                                <w:u w:val="none"/>
                                <w:effect w:val="none"/>
                              </w:rPr>
                              <w:t>Amendment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3pt;height:27.6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4"/>
                          <w:u w:val="none"/>
                          <w:effect w:val="none"/>
                        </w:rPr>
                        <w:t>Amendment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7">
                <wp:simplePos x="0" y="0"/>
                <wp:positionH relativeFrom="page">
                  <wp:posOffset>1718310</wp:posOffset>
                </wp:positionH>
                <wp:positionV relativeFrom="line">
                  <wp:posOffset>635</wp:posOffset>
                </wp:positionV>
                <wp:extent cx="3562350" cy="175260"/>
                <wp:effectExtent l="0" t="0" r="0" b="0"/>
                <wp:wrapNone/>
                <wp:docPr id="159" name="Frame1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62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  <w:t>”</w:t>
                            </w: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4"/>
                                <w:u w:val="none"/>
                                <w:effect w:val="none"/>
                              </w:rPr>
                              <w:t>) (the Original Lease, as so amended, collectively, the “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80.5pt;height:13.8pt;mso-wrap-distance-left:0pt;mso-wrap-distance-right:0pt;mso-wrap-distance-top:0pt;mso-wrap-distance-bottom:0pt;margin-top:0pt;mso-position-vertical:top;mso-position-vertical-relative:text;margin-left:135.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</w:pPr>
                      <w:r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  <w:t>”</w:t>
                      </w: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4"/>
                          <w:u w:val="none"/>
                          <w:effect w:val="none"/>
                        </w:rPr>
                        <w:t>) (the Original Lease, as so amended, collectively, the “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8">
                <wp:simplePos x="0" y="0"/>
                <wp:positionH relativeFrom="page">
                  <wp:posOffset>5280660</wp:posOffset>
                </wp:positionH>
                <wp:positionV relativeFrom="line">
                  <wp:posOffset>635</wp:posOffset>
                </wp:positionV>
                <wp:extent cx="372110" cy="350520"/>
                <wp:effectExtent l="0" t="0" r="0" b="0"/>
                <wp:wrapNone/>
                <wp:docPr id="160" name="Frame1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2110" cy="35052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4"/>
                                <w:u w:val="none"/>
                                <w:effect w:val="none"/>
                              </w:rPr>
                              <w:t>Lease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9.3pt;height:27.6pt;mso-wrap-distance-left:0pt;mso-wrap-distance-right:0pt;mso-wrap-distance-top:0pt;mso-wrap-distance-bottom:0pt;margin-top:0pt;mso-position-vertical:top;mso-position-vertical-relative:text;margin-left:415.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4"/>
                          <w:u w:val="none"/>
                          <w:effect w:val="none"/>
                        </w:rPr>
                        <w:t>Lease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9">
                <wp:simplePos x="0" y="0"/>
                <wp:positionH relativeFrom="page">
                  <wp:posOffset>5652770</wp:posOffset>
                </wp:positionH>
                <wp:positionV relativeFrom="line">
                  <wp:posOffset>635</wp:posOffset>
                </wp:positionV>
                <wp:extent cx="1204595" cy="175260"/>
                <wp:effectExtent l="0" t="0" r="0" b="0"/>
                <wp:wrapNone/>
                <wp:docPr id="161" name="Frame1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0459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  <w:t>”</w:t>
                            </w: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4"/>
                                <w:u w:val="none"/>
                                <w:effect w:val="none"/>
                              </w:rPr>
                              <w:t>), whereby Tenant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4.85pt;height:13.8pt;mso-wrap-distance-left:0pt;mso-wrap-distance-right:0pt;mso-wrap-distance-top:0pt;mso-wrap-distance-bottom:0pt;margin-top:0pt;mso-position-vertical:top;mso-position-vertical-relative:text;margin-left:445.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</w:pPr>
                      <w:r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  <w:t>”</w:t>
                      </w: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4"/>
                          <w:u w:val="none"/>
                          <w:effect w:val="none"/>
                        </w:rPr>
                        <w:t>), whereby Tenant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0">
                <wp:simplePos x="0" y="0"/>
                <wp:positionH relativeFrom="page">
                  <wp:posOffset>6857365</wp:posOffset>
                </wp:positionH>
                <wp:positionV relativeFrom="line">
                  <wp:posOffset>635</wp:posOffset>
                </wp:positionV>
                <wp:extent cx="38100" cy="175260"/>
                <wp:effectExtent l="0" t="0" r="0" b="0"/>
                <wp:wrapNone/>
                <wp:docPr id="162" name="Frame1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pt;height:13.8pt;mso-wrap-distance-left:0pt;mso-wrap-distance-right:0pt;mso-wrap-distance-top:0pt;mso-wrap-distance-bottom:0pt;margin-top:0pt;mso-position-vertical:top;mso-position-vertical-relative:text;margin-left:539.9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1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3086100" cy="175260"/>
                <wp:effectExtent l="0" t="0" r="0" b="0"/>
                <wp:wrapNone/>
                <wp:docPr id="163" name="Frame1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86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4"/>
                                <w:u w:val="none"/>
                                <w:effect w:val="none"/>
                              </w:rPr>
                              <w:t>leases Suite 200 and Suite 300 (collectively, the “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43pt;height:13.8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4"/>
                          <w:u w:val="none"/>
                          <w:effect w:val="none"/>
                        </w:rPr>
                        <w:t>leases Suite 200 and Suite 300 (collectively, the “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2">
                <wp:simplePos x="0" y="0"/>
                <wp:positionH relativeFrom="page">
                  <wp:posOffset>4000500</wp:posOffset>
                </wp:positionH>
                <wp:positionV relativeFrom="line">
                  <wp:posOffset>635</wp:posOffset>
                </wp:positionV>
                <wp:extent cx="583565" cy="350520"/>
                <wp:effectExtent l="0" t="0" r="0" b="0"/>
                <wp:wrapNone/>
                <wp:docPr id="164" name="Frame1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3565" cy="35052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4"/>
                                <w:u w:val="none"/>
                                <w:effect w:val="none"/>
                              </w:rPr>
                              <w:t>Premises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.95pt;height:27.6pt;mso-wrap-distance-left:0pt;mso-wrap-distance-right:0pt;mso-wrap-distance-top:0pt;mso-wrap-distance-bottom:0pt;margin-top:0pt;mso-position-vertical:top;mso-position-vertical-relative:text;margin-left:31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4"/>
                          <w:u w:val="none"/>
                          <w:effect w:val="none"/>
                        </w:rPr>
                        <w:t>Premises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3">
                <wp:simplePos x="0" y="0"/>
                <wp:positionH relativeFrom="page">
                  <wp:posOffset>4584065</wp:posOffset>
                </wp:positionH>
                <wp:positionV relativeFrom="line">
                  <wp:posOffset>635</wp:posOffset>
                </wp:positionV>
                <wp:extent cx="2273935" cy="175260"/>
                <wp:effectExtent l="0" t="0" r="0" b="0"/>
                <wp:wrapNone/>
                <wp:docPr id="165" name="Frame1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7393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  <w:t>”</w:t>
                            </w: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4"/>
                                <w:u w:val="none"/>
                                <w:effect w:val="none"/>
                              </w:rPr>
                              <w:t>) containing approximately 131,749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79.05pt;height:13.8pt;mso-wrap-distance-left:0pt;mso-wrap-distance-right:0pt;mso-wrap-distance-top:0pt;mso-wrap-distance-bottom:0pt;margin-top:0pt;mso-position-vertical:top;mso-position-vertical-relative:text;margin-left:360.9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</w:pPr>
                      <w:r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  <w:t>”</w:t>
                      </w: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4"/>
                          <w:u w:val="none"/>
                          <w:effect w:val="none"/>
                        </w:rPr>
                        <w:t>) containing approximately 131,749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4">
                <wp:simplePos x="0" y="0"/>
                <wp:positionH relativeFrom="page">
                  <wp:posOffset>6857365</wp:posOffset>
                </wp:positionH>
                <wp:positionV relativeFrom="line">
                  <wp:posOffset>635</wp:posOffset>
                </wp:positionV>
                <wp:extent cx="38100" cy="175260"/>
                <wp:effectExtent l="0" t="0" r="0" b="0"/>
                <wp:wrapNone/>
                <wp:docPr id="166" name="Frame1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pt;height:13.8pt;mso-wrap-distance-left:0pt;mso-wrap-distance-right:0pt;mso-wrap-distance-top:0pt;mso-wrap-distance-bottom:0pt;margin-top:0pt;mso-position-vertical:top;mso-position-vertical-relative:text;margin-left:539.9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5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1918335" cy="175260"/>
                <wp:effectExtent l="0" t="0" r="0" b="0"/>
                <wp:wrapNone/>
                <wp:docPr id="167" name="Frame1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1833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4"/>
                                <w:u w:val="none"/>
                                <w:effect w:val="none"/>
                              </w:rPr>
                              <w:t>rentable square feet of space (“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51.05pt;height:13.8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4"/>
                          <w:u w:val="none"/>
                          <w:effect w:val="none"/>
                        </w:rPr>
                        <w:t>rentable square feet of space (“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3">
                <wp:simplePos x="0" y="0"/>
                <wp:positionH relativeFrom="page">
                  <wp:posOffset>1718310</wp:posOffset>
                </wp:positionH>
                <wp:positionV relativeFrom="line">
                  <wp:posOffset>635</wp:posOffset>
                </wp:positionV>
                <wp:extent cx="4817745" cy="175260"/>
                <wp:effectExtent l="0" t="0" r="0" b="0"/>
                <wp:wrapNone/>
                <wp:docPr id="168" name="Frame1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1774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  <w:t>”</w:t>
                            </w: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4"/>
                                <w:u w:val="none"/>
                                <w:effect w:val="none"/>
                              </w:rPr>
                              <w:t>), and the Fifth Amendment to Office Lease dated January 2, 2025 (the “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79.35pt;height:13.8pt;mso-wrap-distance-left:0pt;mso-wrap-distance-right:0pt;mso-wrap-distance-top:0pt;mso-wrap-distance-bottom:0pt;margin-top:0pt;mso-position-vertical:top;mso-position-vertical-relative:text;margin-left:135.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</w:pPr>
                      <w:r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  <w:t>”</w:t>
                      </w: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4"/>
                          <w:u w:val="none"/>
                          <w:effect w:val="none"/>
                        </w:rPr>
                        <w:t>), and the Fifth Amendment to Office Lease dated January 2, 2025 (the “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7">
                <wp:simplePos x="0" y="0"/>
                <wp:positionH relativeFrom="page">
                  <wp:posOffset>3120390</wp:posOffset>
                </wp:positionH>
                <wp:positionV relativeFrom="line">
                  <wp:posOffset>635</wp:posOffset>
                </wp:positionV>
                <wp:extent cx="3736340" cy="175260"/>
                <wp:effectExtent l="0" t="0" r="0" b="0"/>
                <wp:wrapNone/>
                <wp:docPr id="169" name="Frame1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3634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  <w:t>”</w:t>
                            </w: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4"/>
                                <w:u w:val="none"/>
                                <w:effect w:val="none"/>
                              </w:rPr>
                              <w:t>) in the West Building/Building A located at 2710 Olympic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94.2pt;height:13.8pt;mso-wrap-distance-left:0pt;mso-wrap-distance-right:0pt;mso-wrap-distance-top:0pt;mso-wrap-distance-bottom:0pt;margin-top:0pt;mso-position-vertical:top;mso-position-vertical-relative:text;margin-left:245.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</w:pPr>
                      <w:r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  <w:t>”</w:t>
                      </w: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4"/>
                          <w:u w:val="none"/>
                          <w:effect w:val="none"/>
                        </w:rPr>
                        <w:t>) in the West Building/Building A located at 2710 Olympic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8">
                <wp:simplePos x="0" y="0"/>
                <wp:positionH relativeFrom="page">
                  <wp:posOffset>6856095</wp:posOffset>
                </wp:positionH>
                <wp:positionV relativeFrom="line">
                  <wp:posOffset>635</wp:posOffset>
                </wp:positionV>
                <wp:extent cx="38100" cy="175260"/>
                <wp:effectExtent l="0" t="0" r="0" b="0"/>
                <wp:wrapNone/>
                <wp:docPr id="170" name="Frame1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pt;height:13.8pt;mso-wrap-distance-left:0pt;mso-wrap-distance-right:0pt;mso-wrap-distance-top:0pt;mso-wrap-distance-bottom:0pt;margin-top:0pt;mso-position-vertical:top;mso-position-vertical-relative:text;margin-left:539.8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9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2626360" cy="350520"/>
                <wp:effectExtent l="0" t="0" r="0" b="0"/>
                <wp:wrapNone/>
                <wp:docPr id="171" name="Frame1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26360" cy="35052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4"/>
                                <w:u w:val="none"/>
                                <w:effect w:val="none"/>
                              </w:rPr>
                              <w:t>Boulevard, Santa Monica, California (the “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06.8pt;height:27.6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4"/>
                          <w:u w:val="none"/>
                          <w:effect w:val="none"/>
                        </w:rPr>
                        <w:t>Boulevard, Santa Monica, California (the “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0">
                <wp:simplePos x="0" y="0"/>
                <wp:positionH relativeFrom="page">
                  <wp:posOffset>3540760</wp:posOffset>
                </wp:positionH>
                <wp:positionV relativeFrom="line">
                  <wp:posOffset>635</wp:posOffset>
                </wp:positionV>
                <wp:extent cx="558800" cy="350520"/>
                <wp:effectExtent l="0" t="0" r="0" b="0"/>
                <wp:wrapNone/>
                <wp:docPr id="172" name="Frame1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8800" cy="35052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4"/>
                                <w:u w:val="none"/>
                                <w:effect w:val="none"/>
                              </w:rPr>
                              <w:t>Building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pt;height:27.6pt;mso-wrap-distance-left:0pt;mso-wrap-distance-right:0pt;mso-wrap-distance-top:0pt;mso-wrap-distance-bottom:0pt;margin-top:0pt;mso-position-vertical:top;mso-position-vertical-relative:text;margin-left:278.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4"/>
                          <w:u w:val="none"/>
                          <w:effect w:val="none"/>
                        </w:rPr>
                        <w:t>Building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1">
                <wp:simplePos x="0" y="0"/>
                <wp:positionH relativeFrom="page">
                  <wp:posOffset>4099560</wp:posOffset>
                </wp:positionH>
                <wp:positionV relativeFrom="line">
                  <wp:posOffset>635</wp:posOffset>
                </wp:positionV>
                <wp:extent cx="156210" cy="350520"/>
                <wp:effectExtent l="0" t="0" r="0" b="0"/>
                <wp:wrapNone/>
                <wp:docPr id="173" name="Frame1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6210" cy="35052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  <w:t>”</w:t>
                            </w: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4"/>
                                <w:u w:val="none"/>
                                <w:effect w:val="none"/>
                              </w:rPr>
                              <w:t>).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2.3pt;height:27.6pt;mso-wrap-distance-left:0pt;mso-wrap-distance-right:0pt;mso-wrap-distance-top:0pt;mso-wrap-distance-bottom:0pt;margin-top:0pt;mso-position-vertical:top;mso-position-vertical-relative:text;margin-left:322.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</w:pPr>
                      <w:r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  <w:t>”</w:t>
                      </w: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4"/>
                          <w:u w:val="none"/>
                          <w:effect w:val="none"/>
                        </w:rPr>
                        <w:t>).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2">
                <wp:simplePos x="0" y="0"/>
                <wp:positionH relativeFrom="page">
                  <wp:posOffset>1371600</wp:posOffset>
                </wp:positionH>
                <wp:positionV relativeFrom="line">
                  <wp:posOffset>635</wp:posOffset>
                </wp:positionV>
                <wp:extent cx="139700" cy="175260"/>
                <wp:effectExtent l="0" t="0" r="0" b="0"/>
                <wp:wrapNone/>
                <wp:docPr id="174" name="Frame1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97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B.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pt;height:13.8pt;mso-wrap-distance-left:0pt;mso-wrap-distance-right:0pt;mso-wrap-distance-top:0pt;mso-wrap-distance-bottom:0pt;margin-top:0pt;mso-position-vertical:top;mso-position-vertical-relative:text;margin-left:10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B.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3">
                <wp:simplePos x="0" y="0"/>
                <wp:positionH relativeFrom="page">
                  <wp:posOffset>1828800</wp:posOffset>
                </wp:positionH>
                <wp:positionV relativeFrom="line">
                  <wp:posOffset>635</wp:posOffset>
                </wp:positionV>
                <wp:extent cx="5028565" cy="175260"/>
                <wp:effectExtent l="0" t="0" r="0" b="0"/>
                <wp:wrapNone/>
                <wp:docPr id="175" name="Frame2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2856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Landlord and Tenant desire to amend the Lease to modify certain terms relating to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5.95pt;height:13.8pt;mso-wrap-distance-left:0pt;mso-wrap-distance-right:0pt;mso-wrap-distance-top:0pt;mso-wrap-distance-bottom:0pt;margin-top:0pt;mso-position-vertical:top;mso-position-vertical-relative:text;margin-left:14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Landlord and Tenant desire to amend the Lease to modify certain terms relating to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4">
                <wp:simplePos x="0" y="0"/>
                <wp:positionH relativeFrom="page">
                  <wp:posOffset>6857365</wp:posOffset>
                </wp:positionH>
                <wp:positionV relativeFrom="line">
                  <wp:posOffset>635</wp:posOffset>
                </wp:positionV>
                <wp:extent cx="38100" cy="175260"/>
                <wp:effectExtent l="0" t="0" r="0" b="0"/>
                <wp:wrapNone/>
                <wp:docPr id="176" name="Frame2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pt;height:13.8pt;mso-wrap-distance-left:0pt;mso-wrap-distance-right:0pt;mso-wrap-distance-top:0pt;mso-wrap-distance-bottom:0pt;margin-top:0pt;mso-position-vertical:top;mso-position-vertical-relative:text;margin-left:539.9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5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5942965" cy="175260"/>
                <wp:effectExtent l="0" t="0" r="0" b="0"/>
                <wp:wrapNone/>
                <wp:docPr id="177" name="Frame2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4296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4"/>
                                <w:u w:val="none"/>
                                <w:effect w:val="none"/>
                              </w:rPr>
                              <w:t>the disbursement of the “Second Amendment Tenant Improvement Allowance” as defined in 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67.95pt;height:13.8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4"/>
                          <w:u w:val="none"/>
                          <w:effect w:val="none"/>
                        </w:rPr>
                        <w:t>the disbursement of the “Second Amendment Tenant Improvement Allowance” as defined in 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6">
                <wp:simplePos x="0" y="0"/>
                <wp:positionH relativeFrom="page">
                  <wp:posOffset>6857365</wp:posOffset>
                </wp:positionH>
                <wp:positionV relativeFrom="line">
                  <wp:posOffset>635</wp:posOffset>
                </wp:positionV>
                <wp:extent cx="38100" cy="175260"/>
                <wp:effectExtent l="0" t="0" r="0" b="0"/>
                <wp:wrapNone/>
                <wp:docPr id="178" name="Frame2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pt;height:13.8pt;mso-wrap-distance-left:0pt;mso-wrap-distance-right:0pt;mso-wrap-distance-top:0pt;mso-wrap-distance-bottom:0pt;margin-top:0pt;mso-position-vertical:top;mso-position-vertical-relative:text;margin-left:539.9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7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1277620" cy="350520"/>
                <wp:effectExtent l="0" t="0" r="0" b="0"/>
                <wp:wrapNone/>
                <wp:docPr id="179" name="Frame2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77620" cy="35052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4"/>
                                <w:u w:val="none"/>
                                <w:effect w:val="none"/>
                              </w:rPr>
                              <w:t>Second Amendment.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00.6pt;height:27.6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4"/>
                          <w:u w:val="none"/>
                          <w:effect w:val="none"/>
                        </w:rPr>
                        <w:t>Second Amendment.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1">
                <wp:simplePos x="0" y="0"/>
                <wp:positionH relativeFrom="page">
                  <wp:posOffset>1718310</wp:posOffset>
                </wp:positionH>
                <wp:positionV relativeFrom="line">
                  <wp:posOffset>635</wp:posOffset>
                </wp:positionV>
                <wp:extent cx="4674235" cy="175260"/>
                <wp:effectExtent l="0" t="0" r="0" b="0"/>
                <wp:wrapNone/>
                <wp:docPr id="180" name="Frame1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7423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  <w:t>”</w:t>
                            </w: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4"/>
                                <w:u w:val="none"/>
                                <w:effect w:val="none"/>
                              </w:rPr>
                              <w:t>), the Second Amendment to Office Lease, dated May 27, 2021 (the “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68.05pt;height:13.8pt;mso-wrap-distance-left:0pt;mso-wrap-distance-right:0pt;mso-wrap-distance-top:0pt;mso-wrap-distance-bottom:0pt;margin-top:0pt;mso-position-vertical:top;mso-position-vertical-relative:text;margin-left:135.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</w:pPr>
                      <w:r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  <w:t>”</w:t>
                      </w: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4"/>
                          <w:u w:val="none"/>
                          <w:effect w:val="none"/>
                        </w:rPr>
                        <w:t>), the Second Amendment to Office Lease, dated May 27, 2021 (the “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9">
                <wp:simplePos x="0" y="0"/>
                <wp:positionH relativeFrom="page">
                  <wp:posOffset>1828800</wp:posOffset>
                </wp:positionH>
                <wp:positionV relativeFrom="line">
                  <wp:posOffset>635</wp:posOffset>
                </wp:positionV>
                <wp:extent cx="5029200" cy="175260"/>
                <wp:effectExtent l="0" t="0" r="0" b="0"/>
                <wp:wrapNone/>
                <wp:docPr id="181" name="Frame1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292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Landlord (as successor-in-interest to CSHV Pen Factory, LLC) and Tenant are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6pt;height:13.8pt;mso-wrap-distance-left:0pt;mso-wrap-distance-right:0pt;mso-wrap-distance-top:0pt;mso-wrap-distance-bottom:0pt;margin-top:0pt;mso-position-vertical:top;mso-position-vertical-relative:text;margin-left:14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Landlord (as successor-in-interest to CSHV Pen Factory, LLC) and Tenant are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0">
                <wp:simplePos x="0" y="0"/>
                <wp:positionH relativeFrom="page">
                  <wp:posOffset>6858000</wp:posOffset>
                </wp:positionH>
                <wp:positionV relativeFrom="line">
                  <wp:posOffset>635</wp:posOffset>
                </wp:positionV>
                <wp:extent cx="38100" cy="175260"/>
                <wp:effectExtent l="0" t="0" r="0" b="0"/>
                <wp:wrapNone/>
                <wp:docPr id="182" name="Frame1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pt;height:13.8pt;mso-wrap-distance-left:0pt;mso-wrap-distance-right:0pt;mso-wrap-distance-top:0pt;mso-wrap-distance-bottom:0pt;margin-top:0pt;mso-position-vertical:top;mso-position-vertical-relative:text;margin-left:54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1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4643120" cy="175260"/>
                <wp:effectExtent l="0" t="0" r="0" b="0"/>
                <wp:wrapNone/>
                <wp:docPr id="183" name="Frame1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4312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4"/>
                                <w:u w:val="none"/>
                                <w:effect w:val="none"/>
                              </w:rPr>
                              <w:t>parties to that certain Office Lease dated September [undated], 2019 (the “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65.6pt;height:13.8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4"/>
                          <w:u w:val="none"/>
                          <w:effect w:val="none"/>
                        </w:rPr>
                        <w:t>parties to that certain Office Lease dated September [undated], 2019 (the “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2">
                <wp:simplePos x="0" y="0"/>
                <wp:positionH relativeFrom="page">
                  <wp:posOffset>5557520</wp:posOffset>
                </wp:positionH>
                <wp:positionV relativeFrom="line">
                  <wp:posOffset>635</wp:posOffset>
                </wp:positionV>
                <wp:extent cx="549910" cy="350520"/>
                <wp:effectExtent l="0" t="0" r="0" b="0"/>
                <wp:wrapNone/>
                <wp:docPr id="184" name="Frame1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9910" cy="35052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4"/>
                                <w:u w:val="none"/>
                                <w:effect w:val="none"/>
                              </w:rPr>
                              <w:t>Original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3.3pt;height:27.6pt;mso-wrap-distance-left:0pt;mso-wrap-distance-right:0pt;mso-wrap-distance-top:0pt;mso-wrap-distance-bottom:0pt;margin-top:0pt;mso-position-vertical:top;mso-position-vertical-relative:text;margin-left:437.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4"/>
                          <w:u w:val="none"/>
                          <w:effect w:val="none"/>
                        </w:rPr>
                        <w:t>Original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3">
                <wp:simplePos x="0" y="0"/>
                <wp:positionH relativeFrom="page">
                  <wp:posOffset>6108065</wp:posOffset>
                </wp:positionH>
                <wp:positionV relativeFrom="line">
                  <wp:posOffset>635</wp:posOffset>
                </wp:positionV>
                <wp:extent cx="47625" cy="175260"/>
                <wp:effectExtent l="0" t="0" r="0" b="0"/>
                <wp:wrapNone/>
                <wp:docPr id="185" name="Frame1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0pt;mso-position-vertical:top;mso-position-vertical-relative:text;margin-left:480.9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4">
                <wp:simplePos x="0" y="0"/>
                <wp:positionH relativeFrom="page">
                  <wp:posOffset>6155055</wp:posOffset>
                </wp:positionH>
                <wp:positionV relativeFrom="line">
                  <wp:posOffset>635</wp:posOffset>
                </wp:positionV>
                <wp:extent cx="372110" cy="350520"/>
                <wp:effectExtent l="0" t="0" r="0" b="0"/>
                <wp:wrapNone/>
                <wp:docPr id="186" name="Frame1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2110" cy="35052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4"/>
                                <w:u w:val="none"/>
                                <w:effect w:val="none"/>
                              </w:rPr>
                              <w:t>Lease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9.3pt;height:27.6pt;mso-wrap-distance-left:0pt;mso-wrap-distance-right:0pt;mso-wrap-distance-top:0pt;mso-wrap-distance-bottom:0pt;margin-top:0pt;mso-position-vertical:top;mso-position-vertical-relative:text;margin-left:484.6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4"/>
                          <w:u w:val="none"/>
                          <w:effect w:val="none"/>
                        </w:rPr>
                        <w:t>Lease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5">
                <wp:simplePos x="0" y="0"/>
                <wp:positionH relativeFrom="page">
                  <wp:posOffset>6527165</wp:posOffset>
                </wp:positionH>
                <wp:positionV relativeFrom="line">
                  <wp:posOffset>635</wp:posOffset>
                </wp:positionV>
                <wp:extent cx="330200" cy="175260"/>
                <wp:effectExtent l="0" t="0" r="0" b="0"/>
                <wp:wrapNone/>
                <wp:docPr id="187" name="Frame1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02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  <w:t>”</w:t>
                            </w: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4"/>
                                <w:u w:val="none"/>
                                <w:effect w:val="none"/>
                              </w:rPr>
                              <w:t>), as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6pt;height:13.8pt;mso-wrap-distance-left:0pt;mso-wrap-distance-right:0pt;mso-wrap-distance-top:0pt;mso-wrap-distance-bottom:0pt;margin-top:0pt;mso-position-vertical:top;mso-position-vertical-relative:text;margin-left:513.9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</w:pPr>
                      <w:r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  <w:t>”</w:t>
                      </w: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4"/>
                          <w:u w:val="none"/>
                          <w:effect w:val="none"/>
                        </w:rPr>
                        <w:t>), as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6">
                <wp:simplePos x="0" y="0"/>
                <wp:positionH relativeFrom="page">
                  <wp:posOffset>6858000</wp:posOffset>
                </wp:positionH>
                <wp:positionV relativeFrom="line">
                  <wp:posOffset>635</wp:posOffset>
                </wp:positionV>
                <wp:extent cx="38100" cy="175260"/>
                <wp:effectExtent l="0" t="0" r="0" b="0"/>
                <wp:wrapNone/>
                <wp:docPr id="188" name="Frame1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pt;height:13.8pt;mso-wrap-distance-left:0pt;mso-wrap-distance-right:0pt;mso-wrap-distance-top:0pt;mso-wrap-distance-bottom:0pt;margin-top:0pt;mso-position-vertical:top;mso-position-vertical-relative:text;margin-left:54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7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5629910" cy="175260"/>
                <wp:effectExtent l="0" t="0" r="0" b="0"/>
                <wp:wrapNone/>
                <wp:docPr id="189" name="Frame1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2991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4"/>
                                <w:u w:val="none"/>
                                <w:effect w:val="none"/>
                              </w:rPr>
                              <w:t>amended by the First Amendment to Office Lease, dated August 14, 2020 (the “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3.3pt;height:13.8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4"/>
                          <w:u w:val="none"/>
                          <w:effect w:val="none"/>
                        </w:rPr>
                        <w:t>amended by the First Amendment to Office Lease, dated August 14, 2020 (the “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8">
                <wp:simplePos x="0" y="0"/>
                <wp:positionH relativeFrom="page">
                  <wp:posOffset>6544310</wp:posOffset>
                </wp:positionH>
                <wp:positionV relativeFrom="line">
                  <wp:posOffset>635</wp:posOffset>
                </wp:positionV>
                <wp:extent cx="313055" cy="350520"/>
                <wp:effectExtent l="0" t="0" r="0" b="0"/>
                <wp:wrapNone/>
                <wp:docPr id="190" name="Frame1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3055" cy="35052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4"/>
                                <w:u w:val="none"/>
                                <w:effect w:val="none"/>
                              </w:rPr>
                              <w:t>First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4.65pt;height:27.6pt;mso-wrap-distance-left:0pt;mso-wrap-distance-right:0pt;mso-wrap-distance-top:0pt;mso-wrap-distance-bottom:0pt;margin-top:0pt;mso-position-vertical:top;mso-position-vertical-relative:text;margin-left:515.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4"/>
                          <w:u w:val="none"/>
                          <w:effect w:val="none"/>
                        </w:rPr>
                        <w:t>First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9">
                <wp:simplePos x="0" y="0"/>
                <wp:positionH relativeFrom="page">
                  <wp:posOffset>6857365</wp:posOffset>
                </wp:positionH>
                <wp:positionV relativeFrom="line">
                  <wp:posOffset>635</wp:posOffset>
                </wp:positionV>
                <wp:extent cx="38100" cy="175260"/>
                <wp:effectExtent l="0" t="0" r="0" b="0"/>
                <wp:wrapNone/>
                <wp:docPr id="191" name="Frame1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pt;height:13.8pt;mso-wrap-distance-left:0pt;mso-wrap-distance-right:0pt;mso-wrap-distance-top:0pt;mso-wrap-distance-bottom:0pt;margin-top:0pt;mso-position-vertical:top;mso-position-vertical-relative:text;margin-left:539.9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0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803910" cy="350520"/>
                <wp:effectExtent l="0" t="0" r="0" b="0"/>
                <wp:wrapNone/>
                <wp:docPr id="192" name="Frame1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3910" cy="35052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4"/>
                                <w:u w:val="none"/>
                                <w:effect w:val="none"/>
                              </w:rPr>
                              <w:t>Amendment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3pt;height:27.6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4"/>
                          <w:u w:val="none"/>
                          <w:effect w:val="none"/>
                        </w:rPr>
                        <w:t>Amendment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8">
                <wp:simplePos x="0" y="0"/>
                <wp:positionH relativeFrom="page">
                  <wp:posOffset>1371600</wp:posOffset>
                </wp:positionH>
                <wp:positionV relativeFrom="line">
                  <wp:posOffset>635</wp:posOffset>
                </wp:positionV>
                <wp:extent cx="147955" cy="350520"/>
                <wp:effectExtent l="0" t="0" r="0" b="0"/>
                <wp:wrapNone/>
                <wp:docPr id="193" name="Frame1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7955" cy="35052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A.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.65pt;height:27.6pt;mso-wrap-distance-left:0pt;mso-wrap-distance-right:0pt;mso-wrap-distance-top:0pt;mso-wrap-distance-bottom:0pt;margin-top:0pt;mso-position-vertical:top;mso-position-vertical-relative:text;margin-left:10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A.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2">
                <wp:simplePos x="0" y="0"/>
                <wp:positionH relativeFrom="page">
                  <wp:posOffset>6391910</wp:posOffset>
                </wp:positionH>
                <wp:positionV relativeFrom="line">
                  <wp:posOffset>635</wp:posOffset>
                </wp:positionV>
                <wp:extent cx="465455" cy="350520"/>
                <wp:effectExtent l="0" t="0" r="0" b="0"/>
                <wp:wrapNone/>
                <wp:docPr id="194" name="Frame1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5455" cy="35052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4"/>
                                <w:u w:val="none"/>
                                <w:effect w:val="none"/>
                              </w:rPr>
                              <w:t>Second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6.65pt;height:27.6pt;mso-wrap-distance-left:0pt;mso-wrap-distance-right:0pt;mso-wrap-distance-top:0pt;mso-wrap-distance-bottom:0pt;margin-top:0pt;mso-position-vertical:top;mso-position-vertical-relative:text;margin-left:503.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4"/>
                          <w:u w:val="none"/>
                          <w:effect w:val="none"/>
                        </w:rPr>
                        <w:t>Second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3">
                <wp:simplePos x="0" y="0"/>
                <wp:positionH relativeFrom="page">
                  <wp:posOffset>6857365</wp:posOffset>
                </wp:positionH>
                <wp:positionV relativeFrom="line">
                  <wp:posOffset>635</wp:posOffset>
                </wp:positionV>
                <wp:extent cx="38100" cy="175260"/>
                <wp:effectExtent l="0" t="0" r="0" b="0"/>
                <wp:wrapNone/>
                <wp:docPr id="195" name="Frame1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pt;height:13.8pt;mso-wrap-distance-left:0pt;mso-wrap-distance-right:0pt;mso-wrap-distance-top:0pt;mso-wrap-distance-bottom:0pt;margin-top:0pt;mso-position-vertical:top;mso-position-vertical-relative:text;margin-left:539.9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4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803910" cy="350520"/>
                <wp:effectExtent l="0" t="0" r="0" b="0"/>
                <wp:wrapNone/>
                <wp:docPr id="196" name="Frame1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3910" cy="35052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4"/>
                                <w:u w:val="none"/>
                                <w:effect w:val="none"/>
                              </w:rPr>
                              <w:t>Amendment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3pt;height:27.6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4"/>
                          <w:u w:val="none"/>
                          <w:effect w:val="none"/>
                        </w:rPr>
                        <w:t>Amendment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5">
                <wp:simplePos x="0" y="0"/>
                <wp:positionH relativeFrom="page">
                  <wp:posOffset>1718310</wp:posOffset>
                </wp:positionH>
                <wp:positionV relativeFrom="line">
                  <wp:posOffset>635</wp:posOffset>
                </wp:positionV>
                <wp:extent cx="4758690" cy="175260"/>
                <wp:effectExtent l="0" t="0" r="0" b="0"/>
                <wp:wrapNone/>
                <wp:docPr id="197" name="Frame1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5869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  <w:t>”</w:t>
                            </w: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4"/>
                                <w:u w:val="none"/>
                                <w:effect w:val="none"/>
                              </w:rPr>
                              <w:t>), the Third Amendment to Office Lease, dated January 1, 2022 (the “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74.7pt;height:13.8pt;mso-wrap-distance-left:0pt;mso-wrap-distance-right:0pt;mso-wrap-distance-top:0pt;mso-wrap-distance-bottom:0pt;margin-top:0pt;mso-position-vertical:top;mso-position-vertical-relative:text;margin-left:135.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</w:pPr>
                      <w:r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  <w:t>”</w:t>
                      </w: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4"/>
                          <w:u w:val="none"/>
                          <w:effect w:val="none"/>
                        </w:rPr>
                        <w:t>), the Third Amendment to Office Lease, dated January 1, 2022 (the “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6">
                <wp:simplePos x="0" y="0"/>
                <wp:positionH relativeFrom="page">
                  <wp:posOffset>6476365</wp:posOffset>
                </wp:positionH>
                <wp:positionV relativeFrom="line">
                  <wp:posOffset>635</wp:posOffset>
                </wp:positionV>
                <wp:extent cx="381000" cy="350520"/>
                <wp:effectExtent l="0" t="0" r="0" b="0"/>
                <wp:wrapNone/>
                <wp:docPr id="198" name="Frame1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1000" cy="35052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4"/>
                                <w:u w:val="none"/>
                                <w:effect w:val="none"/>
                              </w:rPr>
                              <w:t>Third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0pt;height:27.6pt;mso-wrap-distance-left:0pt;mso-wrap-distance-right:0pt;mso-wrap-distance-top:0pt;mso-wrap-distance-bottom:0pt;margin-top:0pt;mso-position-vertical:top;mso-position-vertical-relative:text;margin-left:509.9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4"/>
                          <w:u w:val="none"/>
                          <w:effect w:val="none"/>
                        </w:rPr>
                        <w:t>Third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7">
                <wp:simplePos x="0" y="0"/>
                <wp:positionH relativeFrom="page">
                  <wp:posOffset>6857365</wp:posOffset>
                </wp:positionH>
                <wp:positionV relativeFrom="line">
                  <wp:posOffset>635</wp:posOffset>
                </wp:positionV>
                <wp:extent cx="38100" cy="175260"/>
                <wp:effectExtent l="0" t="0" r="0" b="0"/>
                <wp:wrapNone/>
                <wp:docPr id="199" name="Frame1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pt;height:13.8pt;mso-wrap-distance-left:0pt;mso-wrap-distance-right:0pt;mso-wrap-distance-top:0pt;mso-wrap-distance-bottom:0pt;margin-top:0pt;mso-position-vertical:top;mso-position-vertical-relative:text;margin-left:539.9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8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803910" cy="350520"/>
                <wp:effectExtent l="0" t="0" r="0" b="0"/>
                <wp:wrapNone/>
                <wp:docPr id="200" name="Frame1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3910" cy="35052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4"/>
                                <w:u w:val="none"/>
                                <w:effect w:val="none"/>
                              </w:rPr>
                              <w:t>Amendment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3pt;height:27.6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4"/>
                          <w:u w:val="none"/>
                          <w:effect w:val="none"/>
                        </w:rPr>
                        <w:t>Amendment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9">
                <wp:simplePos x="0" y="0"/>
                <wp:positionH relativeFrom="page">
                  <wp:posOffset>1718310</wp:posOffset>
                </wp:positionH>
                <wp:positionV relativeFrom="line">
                  <wp:posOffset>635</wp:posOffset>
                </wp:positionV>
                <wp:extent cx="4681855" cy="175260"/>
                <wp:effectExtent l="0" t="0" r="0" b="0"/>
                <wp:wrapNone/>
                <wp:docPr id="201" name="Frame1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8185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  <w:t>”</w:t>
                            </w: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4"/>
                                <w:u w:val="none"/>
                                <w:effect w:val="none"/>
                              </w:rPr>
                              <w:t>), the Fourth Amendment to Office Lease, dated February 7, 2024 (the “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68.65pt;height:13.8pt;mso-wrap-distance-left:0pt;mso-wrap-distance-right:0pt;mso-wrap-distance-top:0pt;mso-wrap-distance-bottom:0pt;margin-top:0pt;mso-position-vertical:top;mso-position-vertical-relative:text;margin-left:135.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</w:pPr>
                      <w:r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  <w:t>”</w:t>
                      </w: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4"/>
                          <w:u w:val="none"/>
                          <w:effect w:val="none"/>
                        </w:rPr>
                        <w:t>), the Fourth Amendment to Office Lease, dated February 7, 2024 (the “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0">
                <wp:simplePos x="0" y="0"/>
                <wp:positionH relativeFrom="page">
                  <wp:posOffset>6399530</wp:posOffset>
                </wp:positionH>
                <wp:positionV relativeFrom="line">
                  <wp:posOffset>635</wp:posOffset>
                </wp:positionV>
                <wp:extent cx="457200" cy="350520"/>
                <wp:effectExtent l="0" t="0" r="0" b="0"/>
                <wp:wrapNone/>
                <wp:docPr id="202" name="Frame1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7200" cy="35052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4"/>
                                <w:u w:val="none"/>
                                <w:effect w:val="none"/>
                              </w:rPr>
                              <w:t>Fourth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6pt;height:27.6pt;mso-wrap-distance-left:0pt;mso-wrap-distance-right:0pt;mso-wrap-distance-top:0pt;mso-wrap-distance-bottom:0pt;margin-top:0pt;mso-position-vertical:top;mso-position-vertical-relative:text;margin-left:503.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4"/>
                          <w:u w:val="none"/>
                          <w:effect w:val="none"/>
                        </w:rPr>
                        <w:t>Fourth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1">
                <wp:simplePos x="0" y="0"/>
                <wp:positionH relativeFrom="page">
                  <wp:posOffset>6856730</wp:posOffset>
                </wp:positionH>
                <wp:positionV relativeFrom="line">
                  <wp:posOffset>635</wp:posOffset>
                </wp:positionV>
                <wp:extent cx="38100" cy="175260"/>
                <wp:effectExtent l="0" t="0" r="0" b="0"/>
                <wp:wrapNone/>
                <wp:docPr id="203" name="Frame1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pt;height:13.8pt;mso-wrap-distance-left:0pt;mso-wrap-distance-right:0pt;mso-wrap-distance-top:0pt;mso-wrap-distance-bottom:0pt;margin-top:0pt;mso-position-vertical:top;mso-position-vertical-relative:text;margin-left:539.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2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803910" cy="350520"/>
                <wp:effectExtent l="0" t="0" r="0" b="0"/>
                <wp:wrapNone/>
                <wp:docPr id="204" name="Frame1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3910" cy="35052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4"/>
                                <w:u w:val="none"/>
                                <w:effect w:val="none"/>
                              </w:rPr>
                              <w:t>Amendment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3pt;height:27.6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4"/>
                          <w:u w:val="none"/>
                          <w:effect w:val="none"/>
                        </w:rPr>
                        <w:t>Amendment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[SIGNATURES APPEAR ON FOLLOWING PAGE]</w:t>
      </w:r>
      <w:r>
        <mc:AlternateContent>
          <mc:Choice Requires="wps">
            <w:drawing>
              <wp:anchor behindDoc="0" distT="0" distB="0" distL="0" distR="0" simplePos="0" locked="0" layoutInCell="1" allowOverlap="1" relativeHeight="248">
                <wp:simplePos x="0" y="0"/>
                <wp:positionH relativeFrom="page">
                  <wp:posOffset>6858000</wp:posOffset>
                </wp:positionH>
                <wp:positionV relativeFrom="line">
                  <wp:posOffset>635</wp:posOffset>
                </wp:positionV>
                <wp:extent cx="38100" cy="175260"/>
                <wp:effectExtent l="0" t="0" r="0" b="0"/>
                <wp:wrapNone/>
                <wp:docPr id="205" name="Frame2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pt;height:13.8pt;mso-wrap-distance-left:0pt;mso-wrap-distance-right:0pt;mso-wrap-distance-top:0pt;mso-wrap-distance-bottom:0pt;margin-top:0pt;mso-position-vertical:top;mso-position-vertical-relative:text;margin-left:54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6">
                <wp:simplePos x="0" y="0"/>
                <wp:positionH relativeFrom="page">
                  <wp:posOffset>2522855</wp:posOffset>
                </wp:positionH>
                <wp:positionV relativeFrom="line">
                  <wp:posOffset>635</wp:posOffset>
                </wp:positionV>
                <wp:extent cx="4335145" cy="175260"/>
                <wp:effectExtent l="0" t="0" r="0" b="0"/>
                <wp:wrapNone/>
                <wp:docPr id="206" name="Frame2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3514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4"/>
                                <w:u w:val="none"/>
                                <w:effect w:val="none"/>
                              </w:rPr>
                              <w:t>.  The parties hereto consent and agree that this Sixth Amendment may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1.35pt;height:13.8pt;mso-wrap-distance-left:0pt;mso-wrap-distance-right:0pt;mso-wrap-distance-top:0pt;mso-wrap-distance-bottom:0pt;margin-top:0pt;mso-position-vertical:top;mso-position-vertical-relative:text;margin-left:198.6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4"/>
                          <w:u w:val="none"/>
                          <w:effect w:val="none"/>
                        </w:rPr>
                        <w:t>.  The parties hereto consent and agree that this Sixth Amendment may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5">
                <wp:simplePos x="0" y="0"/>
                <wp:positionH relativeFrom="page">
                  <wp:posOffset>1828800</wp:posOffset>
                </wp:positionH>
                <wp:positionV relativeFrom="line">
                  <wp:posOffset>635</wp:posOffset>
                </wp:positionV>
                <wp:extent cx="694055" cy="350520"/>
                <wp:effectExtent l="0" t="0" r="0" b="0"/>
                <wp:wrapNone/>
                <wp:docPr id="207" name="Frame2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4055" cy="35052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/>
                                <w:i w:val="false"/>
                                <w:caps w:val="false"/>
                                <w:smallCaps w:val="false"/>
                                <w:sz w:val="24"/>
                                <w:u w:val="singl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/>
                                <w:i w:val="false"/>
                                <w:caps w:val="false"/>
                                <w:smallCaps w:val="false"/>
                                <w:sz w:val="24"/>
                                <w:u w:val="single"/>
                              </w:rPr>
                              <w:t>Signatures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.65pt;height:27.6pt;mso-wrap-distance-left:0pt;mso-wrap-distance-right:0pt;mso-wrap-distance-top:0pt;mso-wrap-distance-bottom:0pt;margin-top:0pt;mso-position-vertical:top;mso-position-vertical-relative:text;margin-left:14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/>
                          <w:i w:val="false"/>
                          <w:caps w:val="false"/>
                          <w:smallCaps w:val="false"/>
                          <w:sz w:val="24"/>
                          <w:u w:val="single"/>
                        </w:rPr>
                      </w:pPr>
                      <w:r>
                        <w:rPr>
                          <w:rFonts w:ascii="Times New Roman;serif" w:hAnsi="Times New Roman;serif"/>
                          <w:b/>
                          <w:i w:val="false"/>
                          <w:caps w:val="false"/>
                          <w:smallCaps w:val="false"/>
                          <w:sz w:val="24"/>
                          <w:u w:val="single"/>
                        </w:rPr>
                        <w:t>Signatures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4">
                <wp:simplePos x="0" y="0"/>
                <wp:positionH relativeFrom="page">
                  <wp:posOffset>1371600</wp:posOffset>
                </wp:positionH>
                <wp:positionV relativeFrom="line">
                  <wp:posOffset>635</wp:posOffset>
                </wp:positionV>
                <wp:extent cx="114300" cy="175260"/>
                <wp:effectExtent l="0" t="0" r="0" b="0"/>
                <wp:wrapNone/>
                <wp:docPr id="208" name="Frame2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4"/>
                                <w:u w:val="none"/>
                                <w:effect w:val="none"/>
                              </w:rPr>
                              <w:t>5.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0pt;mso-position-vertical:top;mso-position-vertical-relative:text;margin-left:10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4"/>
                          <w:u w:val="none"/>
                          <w:effect w:val="none"/>
                        </w:rPr>
                        <w:t>5.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3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3790315" cy="350520"/>
                <wp:effectExtent l="0" t="0" r="0" b="0"/>
                <wp:wrapNone/>
                <wp:docPr id="209" name="Frame2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90315" cy="35052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4"/>
                                <w:u w:val="none"/>
                                <w:effect w:val="none"/>
                              </w:rPr>
                              <w:t>Amendment, the terms of this Sixth Amendment shall prevail.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98.45pt;height:27.6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4"/>
                          <w:u w:val="none"/>
                          <w:effect w:val="none"/>
                        </w:rPr>
                        <w:t>Amendment, the terms of this Sixth Amendment shall prevail.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2">
                <wp:simplePos x="0" y="0"/>
                <wp:positionH relativeFrom="page">
                  <wp:posOffset>6856730</wp:posOffset>
                </wp:positionH>
                <wp:positionV relativeFrom="line">
                  <wp:posOffset>635</wp:posOffset>
                </wp:positionV>
                <wp:extent cx="38100" cy="175260"/>
                <wp:effectExtent l="0" t="0" r="0" b="0"/>
                <wp:wrapNone/>
                <wp:docPr id="210" name="Frame2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pt;height:13.8pt;mso-wrap-distance-left:0pt;mso-wrap-distance-right:0pt;mso-wrap-distance-top:0pt;mso-wrap-distance-bottom:0pt;margin-top:0pt;mso-position-vertical:top;mso-position-vertical-relative:text;margin-left:539.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1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5942330" cy="175260"/>
                <wp:effectExtent l="0" t="0" r="0" b="0"/>
                <wp:wrapNone/>
                <wp:docPr id="211" name="Frame2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4233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4"/>
                                <w:u w:val="none"/>
                                <w:effect w:val="none"/>
                              </w:rPr>
                              <w:t>force and effect.  In the event of a conflict between the terms of the Lease and this Sixth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67.9pt;height:13.8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4"/>
                          <w:u w:val="none"/>
                          <w:effect w:val="none"/>
                        </w:rPr>
                        <w:t>force and effect.  In the event of a conflict between the terms of the Lease and this Sixth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0">
                <wp:simplePos x="0" y="0"/>
                <wp:positionH relativeFrom="page">
                  <wp:posOffset>6856730</wp:posOffset>
                </wp:positionH>
                <wp:positionV relativeFrom="line">
                  <wp:posOffset>635</wp:posOffset>
                </wp:positionV>
                <wp:extent cx="38100" cy="175260"/>
                <wp:effectExtent l="0" t="0" r="0" b="0"/>
                <wp:wrapNone/>
                <wp:docPr id="212" name="Frame2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pt;height:13.8pt;mso-wrap-distance-left:0pt;mso-wrap-distance-right:0pt;mso-wrap-distance-top:0pt;mso-wrap-distance-bottom:0pt;margin-top:0pt;mso-position-vertical:top;mso-position-vertical-relative:text;margin-left:539.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9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5942330" cy="175260"/>
                <wp:effectExtent l="0" t="0" r="0" b="0"/>
                <wp:wrapNone/>
                <wp:docPr id="213" name="Frame2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4233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4"/>
                                <w:u w:val="none"/>
                                <w:effect w:val="none"/>
                              </w:rPr>
                              <w:t>Amendment, all of the terms and provisions of the Lease shall remain unmodified and in full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67.9pt;height:13.8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4"/>
                          <w:u w:val="none"/>
                          <w:effect w:val="none"/>
                        </w:rPr>
                        <w:t>Amendment, all of the terms and provisions of the Lease shall remain unmodified and in full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7">
                <wp:simplePos x="0" y="0"/>
                <wp:positionH relativeFrom="page">
                  <wp:posOffset>6858000</wp:posOffset>
                </wp:positionH>
                <wp:positionV relativeFrom="line">
                  <wp:posOffset>635</wp:posOffset>
                </wp:positionV>
                <wp:extent cx="38100" cy="175260"/>
                <wp:effectExtent l="0" t="0" r="0" b="0"/>
                <wp:wrapNone/>
                <wp:docPr id="214" name="Frame2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pt;height:13.8pt;mso-wrap-distance-left:0pt;mso-wrap-distance-right:0pt;mso-wrap-distance-top:0pt;mso-wrap-distance-bottom:0pt;margin-top:0pt;mso-position-vertical:top;mso-position-vertical-relative:text;margin-left:54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7">
                <wp:simplePos x="0" y="0"/>
                <wp:positionH relativeFrom="page">
                  <wp:posOffset>4304030</wp:posOffset>
                </wp:positionH>
                <wp:positionV relativeFrom="line">
                  <wp:posOffset>635</wp:posOffset>
                </wp:positionV>
                <wp:extent cx="2553970" cy="175260"/>
                <wp:effectExtent l="0" t="0" r="0" b="0"/>
                <wp:wrapNone/>
                <wp:docPr id="215" name="Frame2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5397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4"/>
                                <w:u w:val="none"/>
                                <w:effect w:val="none"/>
                              </w:rPr>
                              <w:t>. Except as set forth in this Sixth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01.1pt;height:13.8pt;mso-wrap-distance-left:0pt;mso-wrap-distance-right:0pt;mso-wrap-distance-top:0pt;mso-wrap-distance-bottom:0pt;margin-top:0pt;mso-position-vertical:top;mso-position-vertical-relative:text;margin-left:338.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4"/>
                          <w:u w:val="none"/>
                          <w:effect w:val="none"/>
                        </w:rPr>
                        <w:t>. Except as set forth in this Sixth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6">
                <wp:simplePos x="0" y="0"/>
                <wp:positionH relativeFrom="page">
                  <wp:posOffset>1828800</wp:posOffset>
                </wp:positionH>
                <wp:positionV relativeFrom="line">
                  <wp:posOffset>635</wp:posOffset>
                </wp:positionV>
                <wp:extent cx="2475230" cy="175260"/>
                <wp:effectExtent l="0" t="0" r="0" b="0"/>
                <wp:wrapNone/>
                <wp:docPr id="216" name="Frame2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7523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/>
                                <w:i w:val="false"/>
                                <w:caps w:val="false"/>
                                <w:smallCaps w:val="false"/>
                                <w:sz w:val="24"/>
                                <w:u w:val="singl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/>
                                <w:i w:val="false"/>
                                <w:caps w:val="false"/>
                                <w:smallCaps w:val="false"/>
                                <w:sz w:val="24"/>
                                <w:u w:val="single"/>
                              </w:rPr>
                              <w:t>No Further Modification; Conflict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94.9pt;height:13.8pt;mso-wrap-distance-left:0pt;mso-wrap-distance-right:0pt;mso-wrap-distance-top:0pt;mso-wrap-distance-bottom:0pt;margin-top:0pt;mso-position-vertical:top;mso-position-vertical-relative:text;margin-left:14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/>
                          <w:i w:val="false"/>
                          <w:caps w:val="false"/>
                          <w:smallCaps w:val="false"/>
                          <w:sz w:val="24"/>
                          <w:u w:val="single"/>
                        </w:rPr>
                      </w:pPr>
                      <w:r>
                        <w:rPr>
                          <w:rFonts w:ascii="Times New Roman;serif" w:hAnsi="Times New Roman;serif"/>
                          <w:b/>
                          <w:i w:val="false"/>
                          <w:caps w:val="false"/>
                          <w:smallCaps w:val="false"/>
                          <w:sz w:val="24"/>
                          <w:u w:val="single"/>
                        </w:rPr>
                        <w:t>No Further Modification; Conflict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5">
                <wp:simplePos x="0" y="0"/>
                <wp:positionH relativeFrom="page">
                  <wp:posOffset>1371600</wp:posOffset>
                </wp:positionH>
                <wp:positionV relativeFrom="line">
                  <wp:posOffset>635</wp:posOffset>
                </wp:positionV>
                <wp:extent cx="114300" cy="175260"/>
                <wp:effectExtent l="0" t="0" r="0" b="0"/>
                <wp:wrapNone/>
                <wp:docPr id="217" name="Frame2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4"/>
                                <w:u w:val="none"/>
                                <w:effect w:val="none"/>
                              </w:rPr>
                              <w:t>4.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0pt;mso-position-vertical:top;mso-position-vertical-relative:text;margin-left:10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4"/>
                          <w:u w:val="none"/>
                          <w:effect w:val="none"/>
                        </w:rPr>
                        <w:t>4.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4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2605405" cy="350520"/>
                <wp:effectExtent l="0" t="0" r="0" b="0"/>
                <wp:wrapNone/>
                <wp:docPr id="218" name="Frame2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05405" cy="35052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4"/>
                                <w:u w:val="none"/>
                                <w:effect w:val="none"/>
                              </w:rPr>
                              <w:t>requested by Landlord regarding the same.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05.15pt;height:27.6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4"/>
                          <w:u w:val="none"/>
                          <w:effect w:val="none"/>
                        </w:rPr>
                        <w:t>requested by Landlord regarding the same.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3">
                <wp:simplePos x="0" y="0"/>
                <wp:positionH relativeFrom="page">
                  <wp:posOffset>6857365</wp:posOffset>
                </wp:positionH>
                <wp:positionV relativeFrom="line">
                  <wp:posOffset>635</wp:posOffset>
                </wp:positionV>
                <wp:extent cx="38100" cy="175260"/>
                <wp:effectExtent l="0" t="0" r="0" b="0"/>
                <wp:wrapNone/>
                <wp:docPr id="219" name="Frame2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pt;height:13.8pt;mso-wrap-distance-left:0pt;mso-wrap-distance-right:0pt;mso-wrap-distance-top:0pt;mso-wrap-distance-bottom:0pt;margin-top:0pt;mso-position-vertical:top;mso-position-vertical-relative:text;margin-left:539.9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2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5942965" cy="175260"/>
                <wp:effectExtent l="0" t="0" r="0" b="0"/>
                <wp:wrapNone/>
                <wp:docPr id="220" name="Frame2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4296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4"/>
                                <w:u w:val="none"/>
                                <w:effect w:val="none"/>
                              </w:rPr>
                              <w:t>such subleasing activity on a monthly basis, including having phone calls with Landlord as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67.95pt;height:13.8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4"/>
                          <w:u w:val="none"/>
                          <w:effect w:val="none"/>
                        </w:rPr>
                        <w:t>such subleasing activity on a monthly basis, including having phone calls with Landlord as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1">
                <wp:simplePos x="0" y="0"/>
                <wp:positionH relativeFrom="page">
                  <wp:posOffset>6857365</wp:posOffset>
                </wp:positionH>
                <wp:positionV relativeFrom="line">
                  <wp:posOffset>635</wp:posOffset>
                </wp:positionV>
                <wp:extent cx="38100" cy="175260"/>
                <wp:effectExtent l="0" t="0" r="0" b="0"/>
                <wp:wrapNone/>
                <wp:docPr id="221" name="Frame2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pt;height:13.8pt;mso-wrap-distance-left:0pt;mso-wrap-distance-right:0pt;mso-wrap-distance-top:0pt;mso-wrap-distance-bottom:0pt;margin-top:0pt;mso-position-vertical:top;mso-position-vertical-relative:text;margin-left:539.9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0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5942965" cy="175260"/>
                <wp:effectExtent l="0" t="0" r="0" b="0"/>
                <wp:wrapNone/>
                <wp:docPr id="222" name="Frame2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4296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4"/>
                                <w:u w:val="none"/>
                                <w:effect w:val="none"/>
                              </w:rPr>
                              <w:t>the Premises, Tenant agrees to use commercially reasonable efforts to keep Landlord updated on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67.95pt;height:13.8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4"/>
                          <w:u w:val="none"/>
                          <w:effect w:val="none"/>
                        </w:rPr>
                        <w:t>the Premises, Tenant agrees to use commercially reasonable efforts to keep Landlord updated on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8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5942965" cy="175260"/>
                <wp:effectExtent l="0" t="0" r="0" b="0"/>
                <wp:wrapNone/>
                <wp:docPr id="223" name="Frame2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4296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4"/>
                                <w:u w:val="none"/>
                                <w:effect w:val="none"/>
                              </w:rPr>
                              <w:t>be signed and/or transmitted by e-mail of a .pdf document or using electronic signature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67.95pt;height:13.8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4"/>
                          <w:u w:val="none"/>
                          <w:effect w:val="none"/>
                        </w:rPr>
                        <w:t>be signed and/or transmitted by e-mail of a .pdf document or using electronic signature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9">
                <wp:simplePos x="0" y="0"/>
                <wp:positionH relativeFrom="page">
                  <wp:posOffset>6857365</wp:posOffset>
                </wp:positionH>
                <wp:positionV relativeFrom="line">
                  <wp:posOffset>635</wp:posOffset>
                </wp:positionV>
                <wp:extent cx="38100" cy="175260"/>
                <wp:effectExtent l="0" t="0" r="0" b="0"/>
                <wp:wrapNone/>
                <wp:docPr id="224" name="Frame2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pt;height:13.8pt;mso-wrap-distance-left:0pt;mso-wrap-distance-right:0pt;mso-wrap-distance-top:0pt;mso-wrap-distance-bottom:0pt;margin-top:0pt;mso-position-vertical:top;mso-position-vertical-relative:text;margin-left:539.9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0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5942330" cy="175260"/>
                <wp:effectExtent l="0" t="0" r="0" b="0"/>
                <wp:wrapNone/>
                <wp:docPr id="225" name="Frame2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4233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4"/>
                                <w:u w:val="none"/>
                                <w:effect w:val="none"/>
                              </w:rPr>
                              <w:t>technology (e.g., via DocuSign or similar electronic signature technology), and that such signed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67.9pt;height:13.8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4"/>
                          <w:u w:val="none"/>
                          <w:effect w:val="none"/>
                        </w:rPr>
                        <w:t>technology (e.g., via DocuSign or similar electronic signature technology), and that such signed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1">
                <wp:simplePos x="0" y="0"/>
                <wp:positionH relativeFrom="page">
                  <wp:posOffset>6856730</wp:posOffset>
                </wp:positionH>
                <wp:positionV relativeFrom="line">
                  <wp:posOffset>635</wp:posOffset>
                </wp:positionV>
                <wp:extent cx="38100" cy="175260"/>
                <wp:effectExtent l="0" t="0" r="0" b="0"/>
                <wp:wrapNone/>
                <wp:docPr id="226" name="Frame2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pt;height:13.8pt;mso-wrap-distance-left:0pt;mso-wrap-distance-right:0pt;mso-wrap-distance-top:0pt;mso-wrap-distance-bottom:0pt;margin-top:0pt;mso-position-vertical:top;mso-position-vertical-relative:text;margin-left:539.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2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5943600" cy="175260"/>
                <wp:effectExtent l="0" t="0" r="0" b="0"/>
                <wp:wrapNone/>
                <wp:docPr id="227" name="Frame2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436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4"/>
                                <w:u w:val="none"/>
                                <w:effect w:val="none"/>
                              </w:rPr>
                              <w:t>electronic record shall be valid and as effective to bind the party so signing as a paper copy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68pt;height:13.8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4"/>
                          <w:u w:val="none"/>
                          <w:effect w:val="none"/>
                        </w:rPr>
                        <w:t>electronic record shall be valid and as effective to bind the party so signing as a paper copy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3">
                <wp:simplePos x="0" y="0"/>
                <wp:positionH relativeFrom="page">
                  <wp:posOffset>6858000</wp:posOffset>
                </wp:positionH>
                <wp:positionV relativeFrom="line">
                  <wp:posOffset>635</wp:posOffset>
                </wp:positionV>
                <wp:extent cx="38100" cy="175260"/>
                <wp:effectExtent l="0" t="0" r="0" b="0"/>
                <wp:wrapNone/>
                <wp:docPr id="228" name="Frame2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pt;height:13.8pt;mso-wrap-distance-left:0pt;mso-wrap-distance-right:0pt;mso-wrap-distance-top:0pt;mso-wrap-distance-bottom:0pt;margin-top:0pt;mso-position-vertical:top;mso-position-vertical-relative:text;margin-left:54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4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5942330" cy="175260"/>
                <wp:effectExtent l="0" t="0" r="0" b="0"/>
                <wp:wrapNone/>
                <wp:docPr id="229" name="Frame2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4233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4"/>
                                <w:u w:val="none"/>
                                <w:effect w:val="none"/>
                              </w:rPr>
                              <w:t>bearing such party’s handwritten signature. The parties further consent and agree that (a) to 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67.9pt;height:13.8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4"/>
                          <w:u w:val="none"/>
                          <w:effect w:val="none"/>
                        </w:rPr>
                        <w:t>bearing such party’s handwritten signature. The parties further consent and agree that (a) to 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5">
                <wp:simplePos x="0" y="0"/>
                <wp:positionH relativeFrom="page">
                  <wp:posOffset>6856730</wp:posOffset>
                </wp:positionH>
                <wp:positionV relativeFrom="line">
                  <wp:posOffset>635</wp:posOffset>
                </wp:positionV>
                <wp:extent cx="38100" cy="175260"/>
                <wp:effectExtent l="0" t="0" r="0" b="0"/>
                <wp:wrapNone/>
                <wp:docPr id="230" name="Frame2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pt;height:13.8pt;mso-wrap-distance-left:0pt;mso-wrap-distance-right:0pt;mso-wrap-distance-top:0pt;mso-wrap-distance-bottom:0pt;margin-top:0pt;mso-position-vertical:top;mso-position-vertical-relative:text;margin-left:539.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6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5942965" cy="175260"/>
                <wp:effectExtent l="0" t="0" r="0" b="0"/>
                <wp:wrapNone/>
                <wp:docPr id="231" name="Frame2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4296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4"/>
                                <w:u w:val="none"/>
                                <w:effect w:val="none"/>
                              </w:rPr>
                              <w:t>extent a party signs this Sixth Amendment using electronic signature technology, by clicking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67.95pt;height:13.8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4"/>
                          <w:u w:val="none"/>
                          <w:effect w:val="none"/>
                        </w:rPr>
                        <w:t>extent a party signs this Sixth Amendment using electronic signature technology, by clicking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7">
                <wp:simplePos x="0" y="0"/>
                <wp:positionH relativeFrom="page">
                  <wp:posOffset>6857365</wp:posOffset>
                </wp:positionH>
                <wp:positionV relativeFrom="line">
                  <wp:posOffset>635</wp:posOffset>
                </wp:positionV>
                <wp:extent cx="38100" cy="175260"/>
                <wp:effectExtent l="0" t="0" r="0" b="0"/>
                <wp:wrapNone/>
                <wp:docPr id="232" name="Frame2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pt;height:13.8pt;mso-wrap-distance-left:0pt;mso-wrap-distance-right:0pt;mso-wrap-distance-top:0pt;mso-wrap-distance-bottom:0pt;margin-top:0pt;mso-position-vertical:top;mso-position-vertical-relative:text;margin-left:539.9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8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5942330" cy="175260"/>
                <wp:effectExtent l="0" t="0" r="0" b="0"/>
                <wp:wrapNone/>
                <wp:docPr id="233" name="Frame2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4233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  <w:t>“</w:t>
                            </w: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4"/>
                                <w:u w:val="none"/>
                                <w:effect w:val="none"/>
                              </w:rPr>
                              <w:t>SIGN”, such party is signing this Sixth Amendment electronically, and (b) the electronic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67.9pt;height:13.8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</w:pPr>
                      <w:r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  <w:t>“</w:t>
                      </w: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4"/>
                          <w:u w:val="none"/>
                          <w:effect w:val="none"/>
                        </w:rPr>
                        <w:t>SIGN”, such party is signing this Sixth Amendment electronically, and (b) the electronic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9">
                <wp:simplePos x="0" y="0"/>
                <wp:positionH relativeFrom="page">
                  <wp:posOffset>6856730</wp:posOffset>
                </wp:positionH>
                <wp:positionV relativeFrom="line">
                  <wp:posOffset>635</wp:posOffset>
                </wp:positionV>
                <wp:extent cx="38100" cy="175260"/>
                <wp:effectExtent l="0" t="0" r="0" b="0"/>
                <wp:wrapNone/>
                <wp:docPr id="234" name="Frame2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pt;height:13.8pt;mso-wrap-distance-left:0pt;mso-wrap-distance-right:0pt;mso-wrap-distance-top:0pt;mso-wrap-distance-bottom:0pt;margin-top:0pt;mso-position-vertical:top;mso-position-vertical-relative:text;margin-left:539.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0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5942965" cy="175260"/>
                <wp:effectExtent l="0" t="0" r="0" b="0"/>
                <wp:wrapNone/>
                <wp:docPr id="235" name="Frame2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4296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4"/>
                                <w:u w:val="none"/>
                                <w:effect w:val="none"/>
                              </w:rPr>
                              <w:t>signatures appearing on this Sixth Amendment shall be treated, for purposes of validity,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67.95pt;height:13.8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4"/>
                          <w:u w:val="none"/>
                          <w:effect w:val="none"/>
                        </w:rPr>
                        <w:t>signatures appearing on this Sixth Amendment shall be treated, for purposes of validity,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1">
                <wp:simplePos x="0" y="0"/>
                <wp:positionH relativeFrom="page">
                  <wp:posOffset>6857365</wp:posOffset>
                </wp:positionH>
                <wp:positionV relativeFrom="line">
                  <wp:posOffset>635</wp:posOffset>
                </wp:positionV>
                <wp:extent cx="38100" cy="175260"/>
                <wp:effectExtent l="0" t="0" r="0" b="0"/>
                <wp:wrapNone/>
                <wp:docPr id="236" name="Frame2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pt;height:13.8pt;mso-wrap-distance-left:0pt;mso-wrap-distance-right:0pt;mso-wrap-distance-top:0pt;mso-wrap-distance-bottom:0pt;margin-top:0pt;mso-position-vertical:top;mso-position-vertical-relative:text;margin-left:539.9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2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4165600" cy="350520"/>
                <wp:effectExtent l="0" t="0" r="0" b="0"/>
                <wp:wrapNone/>
                <wp:docPr id="237" name="Frame2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65600" cy="35052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4"/>
                                <w:u w:val="none"/>
                                <w:effect w:val="none"/>
                              </w:rPr>
                              <w:t>enforceability and admissibility, the same as handwritten signatures.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28pt;height:27.6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4"/>
                          <w:u w:val="none"/>
                          <w:effect w:val="none"/>
                        </w:rPr>
                        <w:t>enforceability and admissibility, the same as handwritten signatures.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4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184150" cy="175260"/>
                <wp:effectExtent l="0" t="0" r="0" b="0"/>
                <wp:wrapNone/>
                <wp:docPr id="238" name="Frame2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4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4"/>
                                <w:u w:val="none"/>
                                <w:effect w:val="none"/>
                              </w:rPr>
                              <w:t xml:space="preserve">of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4.5pt;height:13.8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4"/>
                          <w:u w:val="none"/>
                          <w:effect w:val="none"/>
                        </w:rPr>
                        <w:t xml:space="preserve">of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9">
                <wp:simplePos x="0" y="0"/>
                <wp:positionH relativeFrom="page">
                  <wp:posOffset>6857365</wp:posOffset>
                </wp:positionH>
                <wp:positionV relativeFrom="line">
                  <wp:posOffset>635</wp:posOffset>
                </wp:positionV>
                <wp:extent cx="38100" cy="175260"/>
                <wp:effectExtent l="0" t="0" r="0" b="0"/>
                <wp:wrapNone/>
                <wp:docPr id="239" name="Frame2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pt;height:13.8pt;mso-wrap-distance-left:0pt;mso-wrap-distance-right:0pt;mso-wrap-distance-top:0pt;mso-wrap-distance-bottom:0pt;margin-top:0pt;mso-position-vertical:top;mso-position-vertical-relative:text;margin-left:539.9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0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5942330" cy="175260"/>
                <wp:effectExtent l="0" t="0" r="0" b="0"/>
                <wp:wrapNone/>
                <wp:docPr id="240" name="Frame2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4233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4"/>
                                <w:u w:val="none"/>
                                <w:effect w:val="none"/>
                              </w:rPr>
                              <w:t>contained herein, and for other good and valuable consideration, the receipt and sufficiency of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67.9pt;height:13.8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4"/>
                          <w:u w:val="none"/>
                          <w:effect w:val="none"/>
                        </w:rPr>
                        <w:t>contained herein, and for other good and valuable consideration, the receipt and sufficiency of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1">
                <wp:simplePos x="0" y="0"/>
                <wp:positionH relativeFrom="page">
                  <wp:posOffset>6856730</wp:posOffset>
                </wp:positionH>
                <wp:positionV relativeFrom="line">
                  <wp:posOffset>635</wp:posOffset>
                </wp:positionV>
                <wp:extent cx="38100" cy="175260"/>
                <wp:effectExtent l="0" t="0" r="0" b="0"/>
                <wp:wrapNone/>
                <wp:docPr id="241" name="Frame2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pt;height:13.8pt;mso-wrap-distance-left:0pt;mso-wrap-distance-right:0pt;mso-wrap-distance-top:0pt;mso-wrap-distance-bottom:0pt;margin-top:0pt;mso-position-vertical:top;mso-position-vertical-relative:text;margin-left:539.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2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4609465" cy="350520"/>
                <wp:effectExtent l="0" t="0" r="0" b="0"/>
                <wp:wrapNone/>
                <wp:docPr id="242" name="Frame2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09465" cy="35052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4"/>
                                <w:u w:val="none"/>
                                <w:effect w:val="none"/>
                              </w:rPr>
                              <w:t>which are hereby acknowledged, the parties hereto hereby agree as follows.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62.95pt;height:27.6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4"/>
                          <w:u w:val="none"/>
                          <w:effect w:val="none"/>
                        </w:rPr>
                        <w:t>which are hereby acknowledged, the parties hereto hereby agree as follows.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3">
                <wp:simplePos x="0" y="0"/>
                <wp:positionH relativeFrom="page">
                  <wp:posOffset>1371600</wp:posOffset>
                </wp:positionH>
                <wp:positionV relativeFrom="line">
                  <wp:posOffset>635</wp:posOffset>
                </wp:positionV>
                <wp:extent cx="114300" cy="175260"/>
                <wp:effectExtent l="0" t="0" r="0" b="0"/>
                <wp:wrapNone/>
                <wp:docPr id="243" name="Frame2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4"/>
                                <w:u w:val="none"/>
                                <w:effect w:val="none"/>
                              </w:rPr>
                              <w:t>1.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0pt;mso-position-vertical:top;mso-position-vertical-relative:text;margin-left:10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4"/>
                          <w:u w:val="none"/>
                          <w:effect w:val="none"/>
                        </w:rPr>
                        <w:t>1.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4">
                <wp:simplePos x="0" y="0"/>
                <wp:positionH relativeFrom="page">
                  <wp:posOffset>1828800</wp:posOffset>
                </wp:positionH>
                <wp:positionV relativeFrom="line">
                  <wp:posOffset>635</wp:posOffset>
                </wp:positionV>
                <wp:extent cx="1214755" cy="175260"/>
                <wp:effectExtent l="0" t="0" r="0" b="0"/>
                <wp:wrapNone/>
                <wp:docPr id="244" name="Frame2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1475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/>
                                <w:i w:val="false"/>
                                <w:caps w:val="false"/>
                                <w:smallCaps w:val="false"/>
                                <w:sz w:val="24"/>
                                <w:u w:val="singl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/>
                                <w:i w:val="false"/>
                                <w:caps w:val="false"/>
                                <w:smallCaps w:val="false"/>
                                <w:sz w:val="24"/>
                                <w:u w:val="single"/>
                              </w:rPr>
                              <w:t>Capitalized Terms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5.65pt;height:13.8pt;mso-wrap-distance-left:0pt;mso-wrap-distance-right:0pt;mso-wrap-distance-top:0pt;mso-wrap-distance-bottom:0pt;margin-top:0pt;mso-position-vertical:top;mso-position-vertical-relative:text;margin-left:14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/>
                          <w:i w:val="false"/>
                          <w:caps w:val="false"/>
                          <w:smallCaps w:val="false"/>
                          <w:sz w:val="24"/>
                          <w:u w:val="single"/>
                        </w:rPr>
                      </w:pPr>
                      <w:r>
                        <w:rPr>
                          <w:rFonts w:ascii="Times New Roman;serif" w:hAnsi="Times New Roman;serif"/>
                          <w:b/>
                          <w:i w:val="false"/>
                          <w:caps w:val="false"/>
                          <w:smallCaps w:val="false"/>
                          <w:sz w:val="24"/>
                          <w:u w:val="single"/>
                        </w:rPr>
                        <w:t>Capitalized Terms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5">
                <wp:simplePos x="0" y="0"/>
                <wp:positionH relativeFrom="page">
                  <wp:posOffset>3043555</wp:posOffset>
                </wp:positionH>
                <wp:positionV relativeFrom="line">
                  <wp:posOffset>635</wp:posOffset>
                </wp:positionV>
                <wp:extent cx="3813175" cy="175260"/>
                <wp:effectExtent l="0" t="0" r="0" b="0"/>
                <wp:wrapNone/>
                <wp:docPr id="245" name="Frame2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13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4"/>
                                <w:u w:val="none"/>
                                <w:effect w:val="none"/>
                              </w:rPr>
                              <w:t>.  All capitalized terms when used herein shall have the same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00.25pt;height:13.8pt;mso-wrap-distance-left:0pt;mso-wrap-distance-right:0pt;mso-wrap-distance-top:0pt;mso-wrap-distance-bottom:0pt;margin-top:0pt;mso-position-vertical:top;mso-position-vertical-relative:text;margin-left:239.6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4"/>
                          <w:u w:val="none"/>
                          <w:effect w:val="none"/>
                        </w:rPr>
                        <w:t>.  All capitalized terms when used herein shall have the same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6">
                <wp:simplePos x="0" y="0"/>
                <wp:positionH relativeFrom="page">
                  <wp:posOffset>6856730</wp:posOffset>
                </wp:positionH>
                <wp:positionV relativeFrom="line">
                  <wp:posOffset>635</wp:posOffset>
                </wp:positionV>
                <wp:extent cx="38100" cy="175260"/>
                <wp:effectExtent l="0" t="0" r="0" b="0"/>
                <wp:wrapNone/>
                <wp:docPr id="246" name="Frame2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pt;height:13.8pt;mso-wrap-distance-left:0pt;mso-wrap-distance-right:0pt;mso-wrap-distance-top:0pt;mso-wrap-distance-bottom:0pt;margin-top:0pt;mso-position-vertical:top;mso-position-vertical-relative:text;margin-left:539.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7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5942330" cy="175260"/>
                <wp:effectExtent l="0" t="0" r="0" b="0"/>
                <wp:wrapNone/>
                <wp:docPr id="247" name="Frame2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4233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4"/>
                                <w:u w:val="none"/>
                                <w:effect w:val="none"/>
                              </w:rPr>
                              <w:t>meaning as is given such terms in the Lease unless expressly superseded by the terms of this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67.9pt;height:13.8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4"/>
                          <w:u w:val="none"/>
                          <w:effect w:val="none"/>
                        </w:rPr>
                        <w:t>meaning as is given such terms in the Lease unless expressly superseded by the terms of this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8">
                <wp:simplePos x="0" y="0"/>
                <wp:positionH relativeFrom="page">
                  <wp:posOffset>6856730</wp:posOffset>
                </wp:positionH>
                <wp:positionV relativeFrom="line">
                  <wp:posOffset>635</wp:posOffset>
                </wp:positionV>
                <wp:extent cx="38100" cy="175260"/>
                <wp:effectExtent l="0" t="0" r="0" b="0"/>
                <wp:wrapNone/>
                <wp:docPr id="248" name="Frame2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pt;height:13.8pt;mso-wrap-distance-left:0pt;mso-wrap-distance-right:0pt;mso-wrap-distance-top:0pt;mso-wrap-distance-bottom:0pt;margin-top:0pt;mso-position-vertical:top;mso-position-vertical-relative:text;margin-left:539.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9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1150620" cy="350520"/>
                <wp:effectExtent l="0" t="0" r="0" b="0"/>
                <wp:wrapNone/>
                <wp:docPr id="249" name="Frame2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50620" cy="35052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4"/>
                                <w:u w:val="none"/>
                                <w:effect w:val="none"/>
                              </w:rPr>
                              <w:t>Sixth Amendment.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0.6pt;height:27.6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4"/>
                          <w:u w:val="none"/>
                          <w:effect w:val="none"/>
                        </w:rPr>
                        <w:t>Sixth Amendment.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0">
                <wp:simplePos x="0" y="0"/>
                <wp:positionH relativeFrom="page">
                  <wp:posOffset>1371600</wp:posOffset>
                </wp:positionH>
                <wp:positionV relativeFrom="line">
                  <wp:posOffset>635</wp:posOffset>
                </wp:positionV>
                <wp:extent cx="114300" cy="175260"/>
                <wp:effectExtent l="0" t="0" r="0" b="0"/>
                <wp:wrapNone/>
                <wp:docPr id="250" name="Frame2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4"/>
                                <w:u w:val="none"/>
                                <w:effect w:val="none"/>
                              </w:rPr>
                              <w:t>2.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0pt;mso-position-vertical:top;mso-position-vertical-relative:text;margin-left:10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4"/>
                          <w:u w:val="none"/>
                          <w:effect w:val="none"/>
                        </w:rPr>
                        <w:t>2.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1">
                <wp:simplePos x="0" y="0"/>
                <wp:positionH relativeFrom="page">
                  <wp:posOffset>1828800</wp:posOffset>
                </wp:positionH>
                <wp:positionV relativeFrom="line">
                  <wp:posOffset>635</wp:posOffset>
                </wp:positionV>
                <wp:extent cx="3633470" cy="175260"/>
                <wp:effectExtent l="0" t="0" r="0" b="0"/>
                <wp:wrapNone/>
                <wp:docPr id="251" name="Frame2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3347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/>
                                <w:i w:val="false"/>
                                <w:caps w:val="false"/>
                                <w:smallCaps w:val="false"/>
                                <w:sz w:val="24"/>
                                <w:u w:val="singl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/>
                                <w:i w:val="false"/>
                                <w:caps w:val="false"/>
                                <w:smallCaps w:val="false"/>
                                <w:sz w:val="24"/>
                                <w:u w:val="single"/>
                              </w:rPr>
                              <w:t>Outside Tenant Improvement Allowance Payment Date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86.1pt;height:13.8pt;mso-wrap-distance-left:0pt;mso-wrap-distance-right:0pt;mso-wrap-distance-top:0pt;mso-wrap-distance-bottom:0pt;margin-top:0pt;mso-position-vertical:top;mso-position-vertical-relative:text;margin-left:14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/>
                          <w:i w:val="false"/>
                          <w:caps w:val="false"/>
                          <w:smallCaps w:val="false"/>
                          <w:sz w:val="24"/>
                          <w:u w:val="single"/>
                        </w:rPr>
                      </w:pPr>
                      <w:r>
                        <w:rPr>
                          <w:rFonts w:ascii="Times New Roman;serif" w:hAnsi="Times New Roman;serif"/>
                          <w:b/>
                          <w:i w:val="false"/>
                          <w:caps w:val="false"/>
                          <w:smallCaps w:val="false"/>
                          <w:sz w:val="24"/>
                          <w:u w:val="single"/>
                        </w:rPr>
                        <w:t>Outside Tenant Improvement Allowance Payment Date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2">
                <wp:simplePos x="0" y="0"/>
                <wp:positionH relativeFrom="page">
                  <wp:posOffset>5462270</wp:posOffset>
                </wp:positionH>
                <wp:positionV relativeFrom="line">
                  <wp:posOffset>635</wp:posOffset>
                </wp:positionV>
                <wp:extent cx="1394460" cy="175260"/>
                <wp:effectExtent l="0" t="0" r="0" b="0"/>
                <wp:wrapNone/>
                <wp:docPr id="252" name="Frame2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9446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4"/>
                                <w:u w:val="none"/>
                                <w:effect w:val="none"/>
                              </w:rPr>
                              <w:t>.  The second sentence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09.8pt;height:13.8pt;mso-wrap-distance-left:0pt;mso-wrap-distance-right:0pt;mso-wrap-distance-top:0pt;mso-wrap-distance-bottom:0pt;margin-top:0pt;mso-position-vertical:top;mso-position-vertical-relative:text;margin-left:430.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4"/>
                          <w:u w:val="none"/>
                          <w:effect w:val="none"/>
                        </w:rPr>
                        <w:t>.  The second sentence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3">
                <wp:simplePos x="0" y="0"/>
                <wp:positionH relativeFrom="page">
                  <wp:posOffset>6857365</wp:posOffset>
                </wp:positionH>
                <wp:positionV relativeFrom="line">
                  <wp:posOffset>635</wp:posOffset>
                </wp:positionV>
                <wp:extent cx="38100" cy="175260"/>
                <wp:effectExtent l="0" t="0" r="0" b="0"/>
                <wp:wrapNone/>
                <wp:docPr id="253" name="Frame2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pt;height:13.8pt;mso-wrap-distance-left:0pt;mso-wrap-distance-right:0pt;mso-wrap-distance-top:0pt;mso-wrap-distance-bottom:0pt;margin-top:0pt;mso-position-vertical:top;mso-position-vertical-relative:text;margin-left:539.9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8">
                <wp:simplePos x="0" y="0"/>
                <wp:positionH relativeFrom="page">
                  <wp:posOffset>1371600</wp:posOffset>
                </wp:positionH>
                <wp:positionV relativeFrom="line">
                  <wp:posOffset>635</wp:posOffset>
                </wp:positionV>
                <wp:extent cx="5485765" cy="175260"/>
                <wp:effectExtent l="0" t="0" r="0" b="0"/>
                <wp:wrapNone/>
                <wp:docPr id="254" name="Frame2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8576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4"/>
                                <w:u w:val="none"/>
                                <w:effect w:val="none"/>
                              </w:rPr>
                              <w:t>NOW, THEREFORE, in consideration of the foregoing recitals and the mutual covenants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31.95pt;height:13.8pt;mso-wrap-distance-left:0pt;mso-wrap-distance-right:0pt;mso-wrap-distance-top:0pt;mso-wrap-distance-bottom:0pt;margin-top:0pt;mso-position-vertical:top;mso-position-vertical-relative:text;margin-left:10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4"/>
                          <w:u w:val="none"/>
                          <w:effect w:val="none"/>
                        </w:rPr>
                        <w:t>NOW, THEREFORE, in consideration of the foregoing recitals and the mutual covenants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5">
                <wp:simplePos x="0" y="0"/>
                <wp:positionH relativeFrom="page">
                  <wp:posOffset>1098550</wp:posOffset>
                </wp:positionH>
                <wp:positionV relativeFrom="line">
                  <wp:posOffset>635</wp:posOffset>
                </wp:positionV>
                <wp:extent cx="704850" cy="175260"/>
                <wp:effectExtent l="0" t="0" r="0" b="0"/>
                <wp:wrapNone/>
                <wp:docPr id="255" name="Frame2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48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  <w:u w:val="singl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  <w:u w:val="single"/>
                              </w:rPr>
                              <w:t>Section 1.1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5.5pt;height:13.8pt;mso-wrap-distance-left:0pt;mso-wrap-distance-right:0pt;mso-wrap-distance-top:0pt;mso-wrap-distance-bottom:0pt;margin-top:0pt;mso-position-vertical:top;mso-position-vertical-relative:text;margin-left:8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4"/>
                          <w:u w:val="singl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4"/>
                          <w:u w:val="single"/>
                        </w:rPr>
                        <w:t>Section 1.1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6">
                <wp:simplePos x="0" y="0"/>
                <wp:positionH relativeFrom="page">
                  <wp:posOffset>1803400</wp:posOffset>
                </wp:positionH>
                <wp:positionV relativeFrom="line">
                  <wp:posOffset>635</wp:posOffset>
                </wp:positionV>
                <wp:extent cx="5053330" cy="175260"/>
                <wp:effectExtent l="0" t="0" r="0" b="0"/>
                <wp:wrapNone/>
                <wp:docPr id="256" name="Frame2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5333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4"/>
                                <w:u w:val="none"/>
                                <w:effect w:val="none"/>
                              </w:rPr>
                              <w:t>of the Second Amendment Work Letter attached to the Second Amendment as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7.9pt;height:13.8pt;mso-wrap-distance-left:0pt;mso-wrap-distance-right:0pt;mso-wrap-distance-top:0pt;mso-wrap-distance-bottom:0pt;margin-top:0pt;mso-position-vertical:top;mso-position-vertical-relative:text;margin-left:14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4"/>
                          <w:u w:val="none"/>
                          <w:effect w:val="none"/>
                        </w:rPr>
                        <w:t>of the Second Amendment Work Letter attached to the Second Amendment as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7">
                <wp:simplePos x="0" y="0"/>
                <wp:positionH relativeFrom="page">
                  <wp:posOffset>6856730</wp:posOffset>
                </wp:positionH>
                <wp:positionV relativeFrom="line">
                  <wp:posOffset>635</wp:posOffset>
                </wp:positionV>
                <wp:extent cx="38100" cy="175260"/>
                <wp:effectExtent l="0" t="0" r="0" b="0"/>
                <wp:wrapNone/>
                <wp:docPr id="257" name="Frame2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pt;height:13.8pt;mso-wrap-distance-left:0pt;mso-wrap-distance-right:0pt;mso-wrap-distance-top:0pt;mso-wrap-distance-bottom:0pt;margin-top:0pt;mso-position-vertical:top;mso-position-vertical-relative:text;margin-left:539.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8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637540" cy="175260"/>
                <wp:effectExtent l="0" t="0" r="0" b="0"/>
                <wp:wrapNone/>
                <wp:docPr id="258" name="Frame2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754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/>
                                <w:i w:val="false"/>
                                <w:caps w:val="false"/>
                                <w:smallCaps w:val="false"/>
                                <w:sz w:val="24"/>
                                <w:u w:val="singl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/>
                                <w:i w:val="false"/>
                                <w:caps w:val="false"/>
                                <w:smallCaps w:val="false"/>
                                <w:sz w:val="24"/>
                                <w:u w:val="single"/>
                              </w:rPr>
                              <w:t>Exhibit B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0.2pt;height:13.8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/>
                          <w:i w:val="false"/>
                          <w:caps w:val="false"/>
                          <w:smallCaps w:val="false"/>
                          <w:sz w:val="24"/>
                          <w:u w:val="single"/>
                        </w:rPr>
                      </w:pPr>
                      <w:r>
                        <w:rPr>
                          <w:rFonts w:ascii="Times New Roman;serif" w:hAnsi="Times New Roman;serif"/>
                          <w:b/>
                          <w:i w:val="false"/>
                          <w:caps w:val="false"/>
                          <w:smallCaps w:val="false"/>
                          <w:sz w:val="24"/>
                          <w:u w:val="single"/>
                        </w:rPr>
                        <w:t>Exhibit B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9">
                <wp:simplePos x="0" y="0"/>
                <wp:positionH relativeFrom="page">
                  <wp:posOffset>1551940</wp:posOffset>
                </wp:positionH>
                <wp:positionV relativeFrom="line">
                  <wp:posOffset>635</wp:posOffset>
                </wp:positionV>
                <wp:extent cx="5304790" cy="175260"/>
                <wp:effectExtent l="0" t="0" r="0" b="0"/>
                <wp:wrapNone/>
                <wp:docPr id="259" name="Frame2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0479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4"/>
                                <w:u w:val="none"/>
                                <w:effect w:val="none"/>
                              </w:rPr>
                              <w:t>(as the same has previously been amended) is hereby deleted and replaced with 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17.7pt;height:13.8pt;mso-wrap-distance-left:0pt;mso-wrap-distance-right:0pt;mso-wrap-distance-top:0pt;mso-wrap-distance-bottom:0pt;margin-top:0pt;mso-position-vertical:top;mso-position-vertical-relative:text;margin-left:122.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4"/>
                          <w:u w:val="none"/>
                          <w:effect w:val="none"/>
                        </w:rPr>
                        <w:t>(as the same has previously been amended) is hereby deleted and replaced with 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0">
                <wp:simplePos x="0" y="0"/>
                <wp:positionH relativeFrom="page">
                  <wp:posOffset>6856730</wp:posOffset>
                </wp:positionH>
                <wp:positionV relativeFrom="line">
                  <wp:posOffset>635</wp:posOffset>
                </wp:positionV>
                <wp:extent cx="38100" cy="175260"/>
                <wp:effectExtent l="0" t="0" r="0" b="0"/>
                <wp:wrapNone/>
                <wp:docPr id="260" name="Frame2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pt;height:13.8pt;mso-wrap-distance-left:0pt;mso-wrap-distance-right:0pt;mso-wrap-distance-top:0pt;mso-wrap-distance-bottom:0pt;margin-top:0pt;mso-position-vertical:top;mso-position-vertical-relative:text;margin-left:539.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1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5942965" cy="175260"/>
                <wp:effectExtent l="0" t="0" r="0" b="0"/>
                <wp:wrapNone/>
                <wp:docPr id="261" name="Frame2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4296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4"/>
                                <w:u w:val="none"/>
                                <w:effect w:val="none"/>
                              </w:rPr>
                              <w:t>following:  “Notwithstanding anything to the contrary contained herein, if any portion of 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67.95pt;height:13.8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4"/>
                          <w:u w:val="none"/>
                          <w:effect w:val="none"/>
                        </w:rPr>
                        <w:t>following:  “Notwithstanding anything to the contrary contained herein, if any portion of 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2">
                <wp:simplePos x="0" y="0"/>
                <wp:positionH relativeFrom="page">
                  <wp:posOffset>6857365</wp:posOffset>
                </wp:positionH>
                <wp:positionV relativeFrom="line">
                  <wp:posOffset>635</wp:posOffset>
                </wp:positionV>
                <wp:extent cx="38100" cy="175260"/>
                <wp:effectExtent l="0" t="0" r="0" b="0"/>
                <wp:wrapNone/>
                <wp:docPr id="262" name="Frame2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pt;height:13.8pt;mso-wrap-distance-left:0pt;mso-wrap-distance-right:0pt;mso-wrap-distance-top:0pt;mso-wrap-distance-bottom:0pt;margin-top:0pt;mso-position-vertical:top;mso-position-vertical-relative:text;margin-left:539.9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3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5942965" cy="175260"/>
                <wp:effectExtent l="0" t="0" r="0" b="0"/>
                <wp:wrapNone/>
                <wp:docPr id="263" name="Frame2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4296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4"/>
                                <w:u w:val="none"/>
                                <w:effect w:val="none"/>
                              </w:rPr>
                              <w:t>Second Amendment Tenant Improvement Allowance is not used by March 31, 2027, such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67.95pt;height:13.8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4"/>
                          <w:u w:val="none"/>
                          <w:effect w:val="none"/>
                        </w:rPr>
                        <w:t>Second Amendment Tenant Improvement Allowance is not used by March 31, 2027, such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4">
                <wp:simplePos x="0" y="0"/>
                <wp:positionH relativeFrom="page">
                  <wp:posOffset>6857365</wp:posOffset>
                </wp:positionH>
                <wp:positionV relativeFrom="line">
                  <wp:posOffset>635</wp:posOffset>
                </wp:positionV>
                <wp:extent cx="38100" cy="175260"/>
                <wp:effectExtent l="0" t="0" r="0" b="0"/>
                <wp:wrapNone/>
                <wp:docPr id="264" name="Frame2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pt;height:13.8pt;mso-wrap-distance-left:0pt;mso-wrap-distance-right:0pt;mso-wrap-distance-top:0pt;mso-wrap-distance-bottom:0pt;margin-top:0pt;mso-position-vertical:top;mso-position-vertical-relative:text;margin-left:539.9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5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5833110" cy="350520"/>
                <wp:effectExtent l="0" t="0" r="0" b="0"/>
                <wp:wrapNone/>
                <wp:docPr id="265" name="Frame2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33110" cy="35052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4"/>
                                <w:u w:val="none"/>
                                <w:effect w:val="none"/>
                              </w:rPr>
                              <w:t>portion shall be deemed waived with no further obligation by Landlord with respect to thereto.”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9.3pt;height:27.6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4"/>
                          <w:u w:val="none"/>
                          <w:effect w:val="none"/>
                        </w:rPr>
                        <w:t>portion shall be deemed waived with no further obligation by Landlord with respect to thereto.”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6">
                <wp:simplePos x="0" y="0"/>
                <wp:positionH relativeFrom="page">
                  <wp:posOffset>1371600</wp:posOffset>
                </wp:positionH>
                <wp:positionV relativeFrom="line">
                  <wp:posOffset>635</wp:posOffset>
                </wp:positionV>
                <wp:extent cx="114300" cy="175260"/>
                <wp:effectExtent l="0" t="0" r="0" b="0"/>
                <wp:wrapNone/>
                <wp:docPr id="266" name="Frame2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4"/>
                                <w:u w:val="none"/>
                                <w:effect w:val="none"/>
                              </w:rPr>
                              <w:t>3.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0pt;mso-position-vertical:top;mso-position-vertical-relative:text;margin-left:10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4"/>
                          <w:u w:val="none"/>
                          <w:effect w:val="none"/>
                        </w:rPr>
                        <w:t>3.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7">
                <wp:simplePos x="0" y="0"/>
                <wp:positionH relativeFrom="page">
                  <wp:posOffset>1828800</wp:posOffset>
                </wp:positionH>
                <wp:positionV relativeFrom="line">
                  <wp:posOffset>635</wp:posOffset>
                </wp:positionV>
                <wp:extent cx="1144905" cy="175260"/>
                <wp:effectExtent l="0" t="0" r="0" b="0"/>
                <wp:wrapNone/>
                <wp:docPr id="267" name="Frame2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49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/>
                                <w:i w:val="false"/>
                                <w:caps w:val="false"/>
                                <w:smallCaps w:val="false"/>
                                <w:sz w:val="24"/>
                                <w:u w:val="singl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/>
                                <w:i w:val="false"/>
                                <w:caps w:val="false"/>
                                <w:smallCaps w:val="false"/>
                                <w:sz w:val="24"/>
                                <w:u w:val="single"/>
                              </w:rPr>
                              <w:t>Sublease Updates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0.15pt;height:13.8pt;mso-wrap-distance-left:0pt;mso-wrap-distance-right:0pt;mso-wrap-distance-top:0pt;mso-wrap-distance-bottom:0pt;margin-top:0pt;mso-position-vertical:top;mso-position-vertical-relative:text;margin-left:14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/>
                          <w:i w:val="false"/>
                          <w:caps w:val="false"/>
                          <w:smallCaps w:val="false"/>
                          <w:sz w:val="24"/>
                          <w:u w:val="single"/>
                        </w:rPr>
                      </w:pPr>
                      <w:r>
                        <w:rPr>
                          <w:rFonts w:ascii="Times New Roman;serif" w:hAnsi="Times New Roman;serif"/>
                          <w:b/>
                          <w:i w:val="false"/>
                          <w:caps w:val="false"/>
                          <w:smallCaps w:val="false"/>
                          <w:sz w:val="24"/>
                          <w:u w:val="single"/>
                        </w:rPr>
                        <w:t>Sublease Updates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8">
                <wp:simplePos x="0" y="0"/>
                <wp:positionH relativeFrom="page">
                  <wp:posOffset>2973705</wp:posOffset>
                </wp:positionH>
                <wp:positionV relativeFrom="line">
                  <wp:posOffset>635</wp:posOffset>
                </wp:positionV>
                <wp:extent cx="3883660" cy="175260"/>
                <wp:effectExtent l="0" t="0" r="0" b="0"/>
                <wp:wrapNone/>
                <wp:docPr id="268" name="Frame2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8366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4"/>
                                <w:u w:val="none"/>
                                <w:effect w:val="none"/>
                              </w:rPr>
                              <w:t>.  In connection with the Lease and any potential subleasing of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05.8pt;height:13.8pt;mso-wrap-distance-left:0pt;mso-wrap-distance-right:0pt;mso-wrap-distance-top:0pt;mso-wrap-distance-bottom:0pt;margin-top:0pt;mso-position-vertical:top;mso-position-vertical-relative:text;margin-left:234.1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4"/>
                          <w:u w:val="none"/>
                          <w:effect w:val="none"/>
                        </w:rPr>
                        <w:t>.  In connection with the Lease and any potential subleasing of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9">
                <wp:simplePos x="0" y="0"/>
                <wp:positionH relativeFrom="page">
                  <wp:posOffset>6857365</wp:posOffset>
                </wp:positionH>
                <wp:positionV relativeFrom="line">
                  <wp:posOffset>635</wp:posOffset>
                </wp:positionV>
                <wp:extent cx="38100" cy="175260"/>
                <wp:effectExtent l="0" t="0" r="0" b="0"/>
                <wp:wrapNone/>
                <wp:docPr id="269" name="Frame2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pt;height:13.8pt;mso-wrap-distance-left:0pt;mso-wrap-distance-right:0pt;mso-wrap-distance-top:0pt;mso-wrap-distance-bottom:0pt;margin-top:0pt;mso-position-vertical:top;mso-position-vertical-relative:text;margin-left:539.9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jc w:val="left"/>
        <w:rPr/>
      </w:pPr>
      <w:r>
        <w:rPr/>
      </w:r>
      <w:r>
        <w:br w:type="page"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z w:val="18"/>
          <w:shd w:fill="E4E4E4" w:val="clear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18"/>
          <w:shd w:fill="E4E4E4" w:val="clear"/>
        </w:rPr>
        <w:t>Exhibit 31.1</w:t>
      </w:r>
      <w:r>
        <mc:AlternateContent>
          <mc:Choice Requires="wps">
            <w:drawing>
              <wp:anchor behindDoc="0" distT="0" distB="0" distL="0" distR="0" simplePos="0" locked="0" layoutInCell="1" allowOverlap="1" relativeHeight="273">
                <wp:simplePos x="0" y="0"/>
                <wp:positionH relativeFrom="page">
                  <wp:posOffset>1371600</wp:posOffset>
                </wp:positionH>
                <wp:positionV relativeFrom="line">
                  <wp:posOffset>635</wp:posOffset>
                </wp:positionV>
                <wp:extent cx="5485765" cy="175260"/>
                <wp:effectExtent l="0" t="0" r="0" b="0"/>
                <wp:wrapNone/>
                <wp:docPr id="270" name="Frame2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8576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4"/>
                                <w:u w:val="none"/>
                                <w:effect w:val="none"/>
                              </w:rPr>
                              <w:t>IN WITNESS WHEREOF, this Sixth Amendment has been executed as of the day and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31.95pt;height:13.8pt;mso-wrap-distance-left:0pt;mso-wrap-distance-right:0pt;mso-wrap-distance-top:0pt;mso-wrap-distance-bottom:0pt;margin-top:0pt;mso-position-vertical:top;mso-position-vertical-relative:text;margin-left:10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4"/>
                          <w:u w:val="none"/>
                          <w:effect w:val="none"/>
                        </w:rPr>
                        <w:t>IN WITNESS WHEREOF, this Sixth Amendment has been executed as of the day and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4">
                <wp:simplePos x="0" y="0"/>
                <wp:positionH relativeFrom="page">
                  <wp:posOffset>6857365</wp:posOffset>
                </wp:positionH>
                <wp:positionV relativeFrom="line">
                  <wp:posOffset>635</wp:posOffset>
                </wp:positionV>
                <wp:extent cx="38100" cy="175260"/>
                <wp:effectExtent l="0" t="0" r="0" b="0"/>
                <wp:wrapNone/>
                <wp:docPr id="271" name="Frame2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pt;height:13.8pt;mso-wrap-distance-left:0pt;mso-wrap-distance-right:0pt;mso-wrap-distance-top:0pt;mso-wrap-distance-bottom:0pt;margin-top:0pt;mso-position-vertical:top;mso-position-vertical-relative:text;margin-left:539.9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5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1454785" cy="350520"/>
                <wp:effectExtent l="0" t="0" r="0" b="0"/>
                <wp:wrapNone/>
                <wp:docPr id="272" name="Frame2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54785" cy="35052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4"/>
                                <w:u w:val="none"/>
                                <w:effect w:val="none"/>
                              </w:rPr>
                              <w:t>year first above written.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4.55pt;height:27.6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4"/>
                          <w:u w:val="none"/>
                          <w:effect w:val="none"/>
                        </w:rPr>
                        <w:t>year first above written.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6">
                <wp:simplePos x="0" y="0"/>
                <wp:positionH relativeFrom="page">
                  <wp:posOffset>2369185</wp:posOffset>
                </wp:positionH>
                <wp:positionV relativeFrom="line">
                  <wp:posOffset>635</wp:posOffset>
                </wp:positionV>
                <wp:extent cx="76200" cy="175260"/>
                <wp:effectExtent l="0" t="0" r="0" b="0"/>
                <wp:wrapNone/>
                <wp:docPr id="273" name="Frame2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  <w:t xml:space="preserve"> 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pt;height:13.8pt;mso-wrap-distance-left:0pt;mso-wrap-distance-right:0pt;mso-wrap-distance-top:0pt;mso-wrap-distance-bottom:0pt;margin-top:0pt;mso-position-vertical:top;mso-position-vertical-relative:text;margin-left:186.5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</w:pPr>
                      <w:r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  <w:t xml:space="preserve"> 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7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6134100" cy="664210"/>
                <wp:effectExtent l="0" t="0" r="0" b="0"/>
                <wp:wrapNone/>
                <wp:docPr id="274" name="Frame2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34100" cy="6642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tbl>
                            <w:tblPr>
                              <w:tblW w:w="9716" w:type="dxa"/>
                              <w:jc w:val="left"/>
                              <w:tblInd w:w="0" w:type="dxa"/>
                              <w:tblLayout w:type="fixed"/>
                              <w:tblCellMar>
                                <w:top w:w="28" w:type="dxa"/>
                                <w:left w:w="28" w:type="dxa"/>
                                <w:bottom w:w="28" w:type="dxa"/>
                                <w:right w:w="28" w:type="dxa"/>
                              </w:tblCellMar>
                            </w:tblPr>
                            <w:tblGrid>
                              <w:gridCol w:w="4796"/>
                              <w:gridCol w:w="109"/>
                              <w:gridCol w:w="4811"/>
                            </w:tblGrid>
                            <w:tr>
                              <w:trPr/>
                              <w:tc>
                                <w:tcPr>
                                  <w:tcW w:w="479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81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479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81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83pt;height:52.3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tbl>
                      <w:tblPr>
                        <w:tblW w:w="9716" w:type="dxa"/>
                        <w:jc w:val="left"/>
                        <w:tblInd w:w="0" w:type="dxa"/>
                        <w:tblLayout w:type="fixed"/>
                        <w:tblCellMar>
                          <w:top w:w="28" w:type="dxa"/>
                          <w:left w:w="28" w:type="dxa"/>
                          <w:bottom w:w="28" w:type="dxa"/>
                          <w:right w:w="28" w:type="dxa"/>
                        </w:tblCellMar>
                      </w:tblPr>
                      <w:tblGrid>
                        <w:gridCol w:w="4796"/>
                        <w:gridCol w:w="109"/>
                        <w:gridCol w:w="4811"/>
                      </w:tblGrid>
                      <w:tr>
                        <w:trPr/>
                        <w:tc>
                          <w:tcPr>
                            <w:tcW w:w="479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81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479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81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</w:tbl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0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5619750" cy="2131060"/>
                <wp:effectExtent l="0" t="0" r="0" b="0"/>
                <wp:wrapNone/>
                <wp:docPr id="275" name="Frame2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19750" cy="21310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tbl>
                            <w:tblPr>
                              <w:tblW w:w="8096" w:type="dxa"/>
                              <w:jc w:val="left"/>
                              <w:tblInd w:w="0" w:type="dxa"/>
                              <w:tblLayout w:type="fixed"/>
                              <w:tblCellMar>
                                <w:top w:w="28" w:type="dxa"/>
                                <w:left w:w="28" w:type="dxa"/>
                                <w:bottom w:w="28" w:type="dxa"/>
                                <w:right w:w="28" w:type="dxa"/>
                              </w:tblCellMar>
                            </w:tblPr>
                            <w:tblGrid>
                              <w:gridCol w:w="3881"/>
                              <w:gridCol w:w="109"/>
                              <w:gridCol w:w="4106"/>
                            </w:tblGrid>
                            <w:tr>
                              <w:trPr/>
                              <w:tc>
                                <w:tcPr>
                                  <w:tcW w:w="388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10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388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10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388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66" w:before="0" w:after="0"/>
                                    <w:jc w:val="left"/>
                                    <w:rPr>
                                      <w:rFonts w:ascii="Times New Roman;serif" w:hAnsi="Times New Roman;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4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Times New Roman;serif" w:hAnsi="Times New Roman;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4"/>
                                      <w:u w:val="none"/>
                                      <w:effect w:val="none"/>
                                    </w:rPr>
                                    <w:t>a Delaware limited liability company</w:t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10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388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10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388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66" w:before="0" w:after="0"/>
                                    <w:jc w:val="left"/>
                                    <w:rPr/>
                                  </w:pPr>
                                  <w:r>
                                    <w:rPr>
                                      <w:rFonts w:ascii="Times New Roman;serif" w:hAnsi="Times New Roman;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z w:val="24"/>
                                    </w:rPr>
                                    <w:t>By:</w:t>
                                  </w:r>
                                  <w:r>
                                    <w:rPr>
                                      <w:caps w:val="false"/>
                                      <w:smallCaps w:val="false"/>
                                      <w:u w:val="singl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;serif" w:hAnsi="Times New Roman;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z w:val="24"/>
                                      <w:u w:val="single"/>
                                    </w:rPr>
                                    <w:t xml:space="preserve">/s/ Lauren Graham              </w:t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10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388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66" w:before="0" w:after="0"/>
                                    <w:jc w:val="left"/>
                                    <w:rPr/>
                                  </w:pPr>
                                  <w:r>
                                    <w:rPr>
                                      <w:rFonts w:ascii="Times New Roman;serif" w:hAnsi="Times New Roman;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z w:val="24"/>
                                    </w:rPr>
                                    <w:t>Name:</w:t>
                                  </w:r>
                                  <w:r>
                                    <w:rPr>
                                      <w:caps w:val="false"/>
                                      <w:smallCaps w:val="false"/>
                                      <w:u w:val="singl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;serif" w:hAnsi="Times New Roman;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z w:val="24"/>
                                      <w:u w:val="single"/>
                                    </w:rPr>
                                    <w:t xml:space="preserve">Lauren Graham              </w:t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10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388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66" w:before="0" w:after="0"/>
                                    <w:jc w:val="left"/>
                                    <w:rPr/>
                                  </w:pPr>
                                  <w:r>
                                    <w:rPr>
                                      <w:rFonts w:ascii="Times New Roman;serif" w:hAnsi="Times New Roman;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z w:val="24"/>
                                    </w:rPr>
                                    <w:t>Its:</w:t>
                                  </w:r>
                                  <w:r>
                                    <w:rPr>
                                      <w:caps w:val="false"/>
                                      <w:smallCaps w:val="false"/>
                                      <w:u w:val="singl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;serif" w:hAnsi="Times New Roman;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z w:val="24"/>
                                      <w:u w:val="single"/>
                                    </w:rPr>
                                    <w:t xml:space="preserve">Authorized Signatory          </w:t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10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388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10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2.5pt;height:167.8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tbl>
                      <w:tblPr>
                        <w:tblW w:w="8096" w:type="dxa"/>
                        <w:jc w:val="left"/>
                        <w:tblInd w:w="0" w:type="dxa"/>
                        <w:tblLayout w:type="fixed"/>
                        <w:tblCellMar>
                          <w:top w:w="28" w:type="dxa"/>
                          <w:left w:w="28" w:type="dxa"/>
                          <w:bottom w:w="28" w:type="dxa"/>
                          <w:right w:w="28" w:type="dxa"/>
                        </w:tblCellMar>
                      </w:tblPr>
                      <w:tblGrid>
                        <w:gridCol w:w="3881"/>
                        <w:gridCol w:w="109"/>
                        <w:gridCol w:w="4106"/>
                      </w:tblGrid>
                      <w:tr>
                        <w:trPr/>
                        <w:tc>
                          <w:tcPr>
                            <w:tcW w:w="388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10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388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10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388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66" w:before="0" w:after="0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  <w:t>a Delaware limited liability company</w:t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10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388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10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388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66" w:before="0" w:after="0"/>
                              <w:jc w:val="left"/>
                              <w:rPr/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  <w:t>By:</w:t>
                            </w:r>
                            <w:r>
                              <w:rPr>
                                <w:caps w:val="false"/>
                                <w:smallCaps w:val="false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  <w:u w:val="single"/>
                              </w:rPr>
                              <w:t xml:space="preserve">/s/ Lauren Graham              </w:t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10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388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66" w:before="0" w:after="0"/>
                              <w:jc w:val="left"/>
                              <w:rPr/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  <w:t>Name:</w:t>
                            </w:r>
                            <w:r>
                              <w:rPr>
                                <w:caps w:val="false"/>
                                <w:smallCaps w:val="false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  <w:u w:val="single"/>
                              </w:rPr>
                              <w:t xml:space="preserve">Lauren Graham              </w:t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10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388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66" w:before="0" w:after="0"/>
                              <w:jc w:val="left"/>
                              <w:rPr/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  <w:t>Its:</w:t>
                            </w:r>
                            <w:r>
                              <w:rPr>
                                <w:caps w:val="false"/>
                                <w:smallCaps w:val="false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  <w:u w:val="single"/>
                              </w:rPr>
                              <w:t xml:space="preserve">Authorized Signatory          </w:t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10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388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10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</w:tbl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8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2981325" cy="175260"/>
                <wp:effectExtent l="0" t="0" r="0" b="0"/>
                <wp:wrapNone/>
                <wp:docPr id="276" name="Frame2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813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tLeast" w:line="166" w:before="0" w:after="0"/>
                              <w:jc w:val="left"/>
                              <w:rPr/>
                            </w:pPr>
                            <w:r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  <w:t>“</w:t>
                            </w:r>
                            <w:r>
                              <w:rPr>
                                <w:rFonts w:ascii="Times New Roman;serif" w:hAnsi="Times New Roman;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4"/>
                                <w:u w:val="none"/>
                                <w:effect w:val="none"/>
                              </w:rPr>
                              <w:t>LANDLORD</w:t>
                            </w:r>
                            <w:r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  <w:t>”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34.75pt;height:13.8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lineRule="atLeast" w:line="166" w:before="0" w:after="0"/>
                        <w:jc w:val="left"/>
                        <w:rPr/>
                      </w:pPr>
                      <w:r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  <w:t>“</w:t>
                      </w:r>
                      <w:r>
                        <w:rPr>
                          <w:rFonts w:ascii="Times New Roman;serif" w:hAnsi="Times New Roman;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4"/>
                          <w:u w:val="none"/>
                          <w:effect w:val="none"/>
                        </w:rPr>
                        <w:t>LANDLORD</w:t>
                      </w:r>
                      <w:r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  <w:t>”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9">
                <wp:simplePos x="0" y="0"/>
                <wp:positionH relativeFrom="page">
                  <wp:posOffset>3162300</wp:posOffset>
                </wp:positionH>
                <wp:positionV relativeFrom="line">
                  <wp:posOffset>635</wp:posOffset>
                </wp:positionV>
                <wp:extent cx="2971800" cy="175260"/>
                <wp:effectExtent l="0" t="0" r="0" b="0"/>
                <wp:wrapNone/>
                <wp:docPr id="277" name="Frame2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71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tLeast" w:line="166" w:before="0" w:after="0"/>
                              <w:jc w:val="left"/>
                              <w:rPr/>
                            </w:pPr>
                            <w:r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  <w:t>“</w:t>
                            </w:r>
                            <w:r>
                              <w:rPr>
                                <w:rFonts w:ascii="Times New Roman;serif" w:hAnsi="Times New Roman;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4"/>
                                <w:u w:val="none"/>
                                <w:effect w:val="none"/>
                              </w:rPr>
                              <w:t>TENANT</w:t>
                            </w:r>
                            <w:r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  <w:t>”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34pt;height:13.8pt;mso-wrap-distance-left:0pt;mso-wrap-distance-right:0pt;mso-wrap-distance-top:0pt;mso-wrap-distance-bottom:0pt;margin-top:0pt;mso-position-vertical:top;mso-position-vertical-relative:text;margin-left:24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lineRule="atLeast" w:line="166" w:before="0" w:after="0"/>
                        <w:jc w:val="left"/>
                        <w:rPr/>
                      </w:pPr>
                      <w:r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  <w:t>“</w:t>
                      </w:r>
                      <w:r>
                        <w:rPr>
                          <w:rFonts w:ascii="Times New Roman;serif" w:hAnsi="Times New Roman;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4"/>
                          <w:u w:val="none"/>
                          <w:effect w:val="none"/>
                        </w:rPr>
                        <w:t>TENANT</w:t>
                      </w:r>
                      <w:r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  <w:t>”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1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2400300" cy="350520"/>
                <wp:effectExtent l="0" t="0" r="0" b="0"/>
                <wp:wrapNone/>
                <wp:docPr id="278" name="Frame2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00300" cy="35052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tLeast" w:line="166" w:before="0" w:after="0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  <w:t xml:space="preserve">PEN FACTORY PROPERTY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tLeast" w:line="166" w:before="0" w:after="0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  <w:t>OWNER, LLC,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89pt;height:27.6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lineRule="atLeast" w:line="166" w:before="0" w:after="0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  <w:t xml:space="preserve">PEN FACTORY PROPERTY </w:t>
                      </w:r>
                    </w:p>
                    <w:p>
                      <w:pPr>
                        <w:pStyle w:val="TextBody"/>
                        <w:bidi w:val="0"/>
                        <w:spacing w:lineRule="atLeast" w:line="166" w:before="0" w:after="0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  <w:t>OWNER, LLC,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2">
                <wp:simplePos x="0" y="0"/>
                <wp:positionH relativeFrom="page">
                  <wp:posOffset>3095625</wp:posOffset>
                </wp:positionH>
                <wp:positionV relativeFrom="line">
                  <wp:posOffset>635</wp:posOffset>
                </wp:positionV>
                <wp:extent cx="2524125" cy="175260"/>
                <wp:effectExtent l="0" t="0" r="0" b="0"/>
                <wp:wrapNone/>
                <wp:docPr id="279" name="Frame2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241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tLeast" w:line="166" w:before="0" w:after="0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  <w:t>GOODRX, INC.,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98.75pt;height:13.8pt;mso-wrap-distance-left:0pt;mso-wrap-distance-right:0pt;mso-wrap-distance-top:0pt;mso-wrap-distance-bottom:0pt;margin-top:0pt;mso-position-vertical:top;mso-position-vertical-relative:text;margin-left:24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lineRule="atLeast" w:line="166" w:before="0" w:after="0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  <w:t>GOODRX, INC.,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z w:val="18"/>
          <w:shd w:fill="E4E4E4" w:val="clear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18"/>
          <w:shd w:fill="E4E4E4" w:val="clear"/>
        </w:rPr>
        <w:t xml:space="preserve">CERTIFICATION </w:t>
      </w:r>
    </w:p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shd w:fill="E4E4E4" w:val="clear"/>
        </w:rPr>
        <w:t>I, Wendy Barnes, certify that:</w:t>
      </w:r>
    </w:p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shd w:fill="E4E4E4" w:val="clear"/>
        </w:rPr>
        <w:t>1.I have reviewed this Quarterly Report on Form 10-Q of GoodRx Holdings, Inc.;</w:t>
      </w:r>
    </w:p>
    <w:p>
      <w:pPr>
        <w:pStyle w:val="TextBody"/>
        <w:bidi w:val="0"/>
        <w:jc w:val="left"/>
        <w:rPr/>
      </w:pPr>
      <w:r>
        <w:rPr/>
      </w:r>
      <w:r>
        <w:br w:type="page"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z w:val="18"/>
          <w:shd w:fill="E4E4E4" w:val="clear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18"/>
          <w:shd w:fill="E4E4E4" w:val="clear"/>
        </w:rPr>
        <w:t>Exhibit 31.2</w:t>
      </w:r>
      <w:r>
        <mc:AlternateContent>
          <mc:Choice Requires="wps">
            <w:drawing>
              <wp:anchor behindDoc="0" distT="0" distB="0" distL="0" distR="0" simplePos="0" locked="0" layoutInCell="1" allowOverlap="1" relativeHeight="330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139700" cy="262890"/>
                <wp:effectExtent l="0" t="0" r="0" b="0"/>
                <wp:wrapNone/>
                <wp:docPr id="280" name="Frame3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9700" cy="26289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(d)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pt;height:20.7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(d)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8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95250" cy="262890"/>
                <wp:effectExtent l="0" t="0" r="0" b="0"/>
                <wp:wrapNone/>
                <wp:docPr id="281" name="Frame3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26289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5.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20.7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5.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7">
                <wp:simplePos x="0" y="0"/>
                <wp:positionH relativeFrom="page">
                  <wp:posOffset>1657350</wp:posOffset>
                </wp:positionH>
                <wp:positionV relativeFrom="line">
                  <wp:posOffset>635</wp:posOffset>
                </wp:positionV>
                <wp:extent cx="2189480" cy="262890"/>
                <wp:effectExtent l="0" t="0" r="0" b="0"/>
                <wp:wrapNone/>
                <wp:docPr id="282" name="Frame3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89480" cy="26289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internal control over financial reporting; and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72.4pt;height:20.7pt;mso-wrap-distance-left:0pt;mso-wrap-distance-right:0pt;mso-wrap-distance-top:0pt;mso-wrap-distance-bottom:0pt;margin-top:0pt;mso-position-vertical:top;mso-position-vertical-relative:text;margin-left:13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internal control over financial reporting; and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6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83" name="Frame3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5">
                <wp:simplePos x="0" y="0"/>
                <wp:positionH relativeFrom="page">
                  <wp:posOffset>1657350</wp:posOffset>
                </wp:positionH>
                <wp:positionV relativeFrom="line">
                  <wp:posOffset>635</wp:posOffset>
                </wp:positionV>
                <wp:extent cx="5371465" cy="131445"/>
                <wp:effectExtent l="0" t="0" r="0" b="0"/>
                <wp:wrapNone/>
                <wp:docPr id="284" name="Frame3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71465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annual report) that has materially affected, or is reasonably likely to materially affect, the registrant’s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22.95pt;height:10.35pt;mso-wrap-distance-left:0pt;mso-wrap-distance-right:0pt;mso-wrap-distance-top:0pt;mso-wrap-distance-bottom:0pt;margin-top:0pt;mso-position-vertical:top;mso-position-vertical-relative:text;margin-left:13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annual report) that has materially affected, or is reasonably likely to materially affect, the registrant’s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4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85" name="Frame3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3">
                <wp:simplePos x="0" y="0"/>
                <wp:positionH relativeFrom="page">
                  <wp:posOffset>1657350</wp:posOffset>
                </wp:positionH>
                <wp:positionV relativeFrom="line">
                  <wp:posOffset>635</wp:posOffset>
                </wp:positionV>
                <wp:extent cx="5370830" cy="131445"/>
                <wp:effectExtent l="0" t="0" r="0" b="0"/>
                <wp:wrapNone/>
                <wp:docPr id="286" name="Frame3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7083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during the registrant’s most recent fiscal quarter (the registrant’s fourth fiscal quarter in the case of an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22.9pt;height:10.35pt;mso-wrap-distance-left:0pt;mso-wrap-distance-right:0pt;mso-wrap-distance-top:0pt;mso-wrap-distance-bottom:0pt;margin-top:0pt;mso-position-vertical:top;mso-position-vertical-relative:text;margin-left:13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during the registrant’s most recent fiscal quarter (the registrant’s fourth fiscal quarter in the case of an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2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87" name="Frame3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1">
                <wp:simplePos x="0" y="0"/>
                <wp:positionH relativeFrom="page">
                  <wp:posOffset>1657350</wp:posOffset>
                </wp:positionH>
                <wp:positionV relativeFrom="line">
                  <wp:posOffset>635</wp:posOffset>
                </wp:positionV>
                <wp:extent cx="5372100" cy="131445"/>
                <wp:effectExtent l="0" t="0" r="0" b="0"/>
                <wp:wrapNone/>
                <wp:docPr id="288" name="Frame3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7210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Disclosed in this report any change in the registrant’s internal control over financial reporting that occurred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23pt;height:10.35pt;mso-wrap-distance-left:0pt;mso-wrap-distance-right:0pt;mso-wrap-distance-top:0pt;mso-wrap-distance-bottom:0pt;margin-top:0pt;mso-position-vertical:top;mso-position-vertical-relative:text;margin-left:13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Disclosed in this report any change in the registrant’s internal control over financial reporting that occurred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9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9300" cy="131445"/>
                <wp:effectExtent l="0" t="0" r="0" b="0"/>
                <wp:wrapNone/>
                <wp:docPr id="289" name="Frame3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930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The registrant’s other certifying officer and I have disclosed, based on our most recent evaluation of internal control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9pt;height:10.3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The registrant’s other certifying officer and I have disclosed, based on our most recent evaluation of internal control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9">
                <wp:simplePos x="0" y="0"/>
                <wp:positionH relativeFrom="page">
                  <wp:posOffset>1657350</wp:posOffset>
                </wp:positionH>
                <wp:positionV relativeFrom="line">
                  <wp:posOffset>635</wp:posOffset>
                </wp:positionV>
                <wp:extent cx="3218180" cy="262890"/>
                <wp:effectExtent l="0" t="0" r="0" b="0"/>
                <wp:wrapNone/>
                <wp:docPr id="290" name="Frame3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18180" cy="26289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the period covered by this report based on such evaluation; and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53.4pt;height:20.7pt;mso-wrap-distance-left:0pt;mso-wrap-distance-right:0pt;mso-wrap-distance-top:0pt;mso-wrap-distance-bottom:0pt;margin-top:0pt;mso-position-vertical:top;mso-position-vertical-relative:text;margin-left:13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the period covered by this report based on such evaluation; and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8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91" name="Frame3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7">
                <wp:simplePos x="0" y="0"/>
                <wp:positionH relativeFrom="page">
                  <wp:posOffset>1657350</wp:posOffset>
                </wp:positionH>
                <wp:positionV relativeFrom="line">
                  <wp:posOffset>635</wp:posOffset>
                </wp:positionV>
                <wp:extent cx="5371465" cy="131445"/>
                <wp:effectExtent l="0" t="0" r="0" b="0"/>
                <wp:wrapNone/>
                <wp:docPr id="292" name="Frame3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71465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report our conclusions about the effectiveness of the disclosure controls and procedures, as of the end of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22.95pt;height:10.35pt;mso-wrap-distance-left:0pt;mso-wrap-distance-right:0pt;mso-wrap-distance-top:0pt;mso-wrap-distance-bottom:0pt;margin-top:0pt;mso-position-vertical:top;mso-position-vertical-relative:text;margin-left:13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report our conclusions about the effectiveness of the disclosure controls and procedures, as of the end of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6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93" name="Frame3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5">
                <wp:simplePos x="0" y="0"/>
                <wp:positionH relativeFrom="page">
                  <wp:posOffset>1657350</wp:posOffset>
                </wp:positionH>
                <wp:positionV relativeFrom="line">
                  <wp:posOffset>635</wp:posOffset>
                </wp:positionV>
                <wp:extent cx="5371465" cy="131445"/>
                <wp:effectExtent l="0" t="0" r="0" b="0"/>
                <wp:wrapNone/>
                <wp:docPr id="294" name="Frame3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71465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Evaluated the effectiveness of the registrant’s disclosure controls and procedures and presented in this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22.95pt;height:10.35pt;mso-wrap-distance-left:0pt;mso-wrap-distance-right:0pt;mso-wrap-distance-top:0pt;mso-wrap-distance-bottom:0pt;margin-top:0pt;mso-position-vertical:top;mso-position-vertical-relative:text;margin-left:13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Evaluated the effectiveness of the registrant’s disclosure controls and procedures and presented in this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4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133350" cy="131445"/>
                <wp:effectExtent l="0" t="0" r="0" b="0"/>
                <wp:wrapNone/>
                <wp:docPr id="295" name="Frame3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335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(c)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0.5pt;height:10.3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(c)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3">
                <wp:simplePos x="0" y="0"/>
                <wp:positionH relativeFrom="page">
                  <wp:posOffset>1657350</wp:posOffset>
                </wp:positionH>
                <wp:positionV relativeFrom="line">
                  <wp:posOffset>635</wp:posOffset>
                </wp:positionV>
                <wp:extent cx="2087880" cy="262890"/>
                <wp:effectExtent l="0" t="0" r="0" b="0"/>
                <wp:wrapNone/>
                <wp:docPr id="296" name="Frame3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87880" cy="26289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generally accepted accounting principles;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64.4pt;height:20.7pt;mso-wrap-distance-left:0pt;mso-wrap-distance-right:0pt;mso-wrap-distance-top:0pt;mso-wrap-distance-bottom:0pt;margin-top:0pt;mso-position-vertical:top;mso-position-vertical-relative:text;margin-left:13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generally accepted accounting principles;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2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97" name="Frame3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0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98" name="Frame3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1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9300" cy="131445"/>
                <wp:effectExtent l="0" t="0" r="0" b="0"/>
                <wp:wrapNone/>
                <wp:docPr id="299" name="Frame3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930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over financial reporting, to the registrant’s auditors and the audit committee of the registrant’s board of directors (or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9pt;height:10.3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over financial reporting, to the registrant’s auditors and the audit committee of the registrant’s board of directors (or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2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300" name="Frame3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3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2284730" cy="262890"/>
                <wp:effectExtent l="0" t="0" r="0" b="0"/>
                <wp:wrapNone/>
                <wp:docPr id="301" name="Frame3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84730" cy="26289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persons performing the equivalent functions):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79.9pt;height:20.7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persons performing the equivalent functions):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4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139700" cy="262890"/>
                <wp:effectExtent l="0" t="0" r="0" b="0"/>
                <wp:wrapNone/>
                <wp:docPr id="302" name="Frame3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9700" cy="26289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(a)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pt;height:20.7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(a)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5">
                <wp:simplePos x="0" y="0"/>
                <wp:positionH relativeFrom="page">
                  <wp:posOffset>1657350</wp:posOffset>
                </wp:positionH>
                <wp:positionV relativeFrom="line">
                  <wp:posOffset>635</wp:posOffset>
                </wp:positionV>
                <wp:extent cx="5371465" cy="131445"/>
                <wp:effectExtent l="0" t="0" r="0" b="0"/>
                <wp:wrapNone/>
                <wp:docPr id="303" name="Frame3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71465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All significant deficiencies and material weaknesses in the design or operation of internal control over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22.95pt;height:10.35pt;mso-wrap-distance-left:0pt;mso-wrap-distance-right:0pt;mso-wrap-distance-top:0pt;mso-wrap-distance-bottom:0pt;margin-top:0pt;mso-position-vertical:top;mso-position-vertical-relative:text;margin-left:13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All significant deficiencies and material weaknesses in the design or operation of internal control over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6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304" name="Frame3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7">
                <wp:simplePos x="0" y="0"/>
                <wp:positionH relativeFrom="page">
                  <wp:posOffset>1657350</wp:posOffset>
                </wp:positionH>
                <wp:positionV relativeFrom="line">
                  <wp:posOffset>635</wp:posOffset>
                </wp:positionV>
                <wp:extent cx="5372100" cy="131445"/>
                <wp:effectExtent l="0" t="0" r="0" b="0"/>
                <wp:wrapNone/>
                <wp:docPr id="305" name="Frame3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7210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financial reporting which are reasonably likely to adversely affect the registrant’s ability to record, process,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23pt;height:10.35pt;mso-wrap-distance-left:0pt;mso-wrap-distance-right:0pt;mso-wrap-distance-top:0pt;mso-wrap-distance-bottom:0pt;margin-top:0pt;mso-position-vertical:top;mso-position-vertical-relative:text;margin-left:13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financial reporting which are reasonably likely to adversely affect the registrant’s ability to record, process,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8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306" name="Frame3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9">
                <wp:simplePos x="0" y="0"/>
                <wp:positionH relativeFrom="page">
                  <wp:posOffset>1657350</wp:posOffset>
                </wp:positionH>
                <wp:positionV relativeFrom="line">
                  <wp:posOffset>635</wp:posOffset>
                </wp:positionV>
                <wp:extent cx="2411095" cy="262890"/>
                <wp:effectExtent l="0" t="0" r="0" b="0"/>
                <wp:wrapNone/>
                <wp:docPr id="307" name="Frame3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11095" cy="26289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summarize and report financial information; and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89.85pt;height:20.7pt;mso-wrap-distance-left:0pt;mso-wrap-distance-right:0pt;mso-wrap-distance-top:0pt;mso-wrap-distance-bottom:0pt;margin-top:0pt;mso-position-vertical:top;mso-position-vertical-relative:text;margin-left:13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summarize and report financial information; and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0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139700" cy="262890"/>
                <wp:effectExtent l="0" t="0" r="0" b="0"/>
                <wp:wrapNone/>
                <wp:docPr id="308" name="Frame3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9700" cy="26289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(b)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pt;height:20.7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(b)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1">
                <wp:simplePos x="0" y="0"/>
                <wp:positionH relativeFrom="page">
                  <wp:posOffset>1657350</wp:posOffset>
                </wp:positionH>
                <wp:positionV relativeFrom="line">
                  <wp:posOffset>635</wp:posOffset>
                </wp:positionV>
                <wp:extent cx="5372100" cy="131445"/>
                <wp:effectExtent l="0" t="0" r="0" b="0"/>
                <wp:wrapNone/>
                <wp:docPr id="309" name="Frame3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7210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Any fraud, whether or not material, that involves management or other employees who have a significant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23pt;height:10.35pt;mso-wrap-distance-left:0pt;mso-wrap-distance-right:0pt;mso-wrap-distance-top:0pt;mso-wrap-distance-bottom:0pt;margin-top:0pt;mso-position-vertical:top;mso-position-vertical-relative:text;margin-left:13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Any fraud, whether or not material, that involves management or other employees who have a significant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2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310" name="Frame3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3">
                <wp:simplePos x="0" y="0"/>
                <wp:positionH relativeFrom="page">
                  <wp:posOffset>1657350</wp:posOffset>
                </wp:positionH>
                <wp:positionV relativeFrom="line">
                  <wp:posOffset>635</wp:posOffset>
                </wp:positionV>
                <wp:extent cx="3088005" cy="262890"/>
                <wp:effectExtent l="0" t="0" r="0" b="0"/>
                <wp:wrapNone/>
                <wp:docPr id="311" name="Frame3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88005" cy="26289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role in the registrant’s internal control over financial reporting.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43.15pt;height:20.7pt;mso-wrap-distance-left:0pt;mso-wrap-distance-right:0pt;mso-wrap-distance-top:0pt;mso-wrap-distance-bottom:0pt;margin-top:0pt;mso-position-vertical:top;mso-position-vertical-relative:text;margin-left:13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role in the registrant’s internal control over financial reporting.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4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165860"/>
                <wp:effectExtent l="0" t="0" r="0" b="0"/>
                <wp:wrapNone/>
                <wp:docPr id="312" name="Frame3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1658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tbl>
                            <w:tblPr>
                              <w:tblW w:w="10218" w:type="dxa"/>
                              <w:jc w:val="left"/>
                              <w:tblInd w:w="0" w:type="dxa"/>
                              <w:tblLayout w:type="fixed"/>
                              <w:tblCellMar>
                                <w:top w:w="28" w:type="dxa"/>
                                <w:left w:w="28" w:type="dxa"/>
                                <w:bottom w:w="28" w:type="dxa"/>
                                <w:right w:w="28" w:type="dxa"/>
                              </w:tblCellMar>
                            </w:tblPr>
                            <w:tblGrid>
                              <w:gridCol w:w="4811"/>
                              <w:gridCol w:w="581"/>
                              <w:gridCol w:w="4826"/>
                            </w:tblGrid>
                            <w:tr>
                              <w:trPr/>
                              <w:tc>
                                <w:tcPr>
                                  <w:tcW w:w="481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82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481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826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481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826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481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82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91.8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tbl>
                      <w:tblPr>
                        <w:tblW w:w="10218" w:type="dxa"/>
                        <w:jc w:val="left"/>
                        <w:tblInd w:w="0" w:type="dxa"/>
                        <w:tblLayout w:type="fixed"/>
                        <w:tblCellMar>
                          <w:top w:w="28" w:type="dxa"/>
                          <w:left w:w="28" w:type="dxa"/>
                          <w:bottom w:w="28" w:type="dxa"/>
                          <w:right w:w="28" w:type="dxa"/>
                        </w:tblCellMar>
                      </w:tblPr>
                      <w:tblGrid>
                        <w:gridCol w:w="4811"/>
                        <w:gridCol w:w="581"/>
                        <w:gridCol w:w="4826"/>
                      </w:tblGrid>
                      <w:tr>
                        <w:trPr/>
                        <w:tc>
                          <w:tcPr>
                            <w:tcW w:w="481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8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82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481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8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826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481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8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826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481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8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82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</w:tbl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6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313" name="Frame3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1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7395" cy="131445"/>
                <wp:effectExtent l="0" t="0" r="0" b="0"/>
                <wp:wrapNone/>
                <wp:docPr id="314" name="Frame2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7395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Based on my knowledge, this report does not contain any untrue statement of a material fact or omit to state a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8.85pt;height:10.3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Based on my knowledge, this report does not contain any untrue statement of a material fact or omit to state a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2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315" name="Frame2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3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8030" cy="131445"/>
                <wp:effectExtent l="0" t="0" r="0" b="0"/>
                <wp:wrapNone/>
                <wp:docPr id="316" name="Frame2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803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material fact necessary to make the statements made, in light of the circumstances under which such statements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8.9pt;height:10.3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material fact necessary to make the statements made, in light of the circumstances under which such statements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4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317" name="Frame2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5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3833495" cy="262890"/>
                <wp:effectExtent l="0" t="0" r="0" b="0"/>
                <wp:wrapNone/>
                <wp:docPr id="318" name="Frame2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33495" cy="26289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were made, not misleading with respect to the period covered by this report;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01.85pt;height:20.7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were made, not misleading with respect to the period covered by this report;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6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95250" cy="262890"/>
                <wp:effectExtent l="0" t="0" r="0" b="0"/>
                <wp:wrapNone/>
                <wp:docPr id="319" name="Frame2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26289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3.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20.7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3.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7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8030" cy="131445"/>
                <wp:effectExtent l="0" t="0" r="0" b="0"/>
                <wp:wrapNone/>
                <wp:docPr id="320" name="Frame2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803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Based on my knowledge, the financial statements, and other financial information included in this report, fairly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8.9pt;height:10.3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Based on my knowledge, the financial statements, and other financial information included in this report, fairly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8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321" name="Frame2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9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8030" cy="131445"/>
                <wp:effectExtent l="0" t="0" r="0" b="0"/>
                <wp:wrapNone/>
                <wp:docPr id="322" name="Frame2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803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present in all material respects the financial condition, results of operations and cash flows of the registrant as of,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8.9pt;height:10.3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present in all material respects the financial condition, results of operations and cash flows of the registrant as of,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0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323" name="Frame2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1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2209165" cy="262890"/>
                <wp:effectExtent l="0" t="0" r="0" b="0"/>
                <wp:wrapNone/>
                <wp:docPr id="324" name="Frame2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09165" cy="26289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and for, the periods presented in this report;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73.95pt;height:20.7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and for, the periods presented in this report;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2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95250" cy="262890"/>
                <wp:effectExtent l="0" t="0" r="0" b="0"/>
                <wp:wrapNone/>
                <wp:docPr id="325" name="Frame2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26289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4.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20.7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4.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3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8030" cy="131445"/>
                <wp:effectExtent l="0" t="0" r="0" b="0"/>
                <wp:wrapNone/>
                <wp:docPr id="326" name="Frame3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803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The registrant’s other certifying officer and I are responsible for establishing and maintaining disclosure controls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8.9pt;height:10.3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The registrant’s other certifying officer and I are responsible for establishing and maintaining disclosure controls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4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327" name="Frame3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5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9300" cy="131445"/>
                <wp:effectExtent l="0" t="0" r="0" b="0"/>
                <wp:wrapNone/>
                <wp:docPr id="328" name="Frame3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930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and procedures (as defined in Exchange Act Rules 13a-15(e) and 15d-15(e)) and internal control over financial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9pt;height:10.3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and procedures (as defined in Exchange Act Rules 13a-15(e) and 15d-15(e)) and internal control over financial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0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95250" cy="262890"/>
                <wp:effectExtent l="0" t="0" r="0" b="0"/>
                <wp:wrapNone/>
                <wp:docPr id="329" name="Frame2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26289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2.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20.7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2.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7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4867910" cy="262890"/>
                <wp:effectExtent l="0" t="0" r="0" b="0"/>
                <wp:wrapNone/>
                <wp:docPr id="330" name="Frame3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67910" cy="26289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reporting (as defined in Exchange Act Rules 13a-15(f) and 15d-15(f)) for the registrant and have: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83.3pt;height:20.7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reporting (as defined in Exchange Act Rules 13a-15(f) and 15d-15(f)) for the registrant and have: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8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139700" cy="262890"/>
                <wp:effectExtent l="0" t="0" r="0" b="0"/>
                <wp:wrapNone/>
                <wp:docPr id="331" name="Frame3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9700" cy="26289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(a)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pt;height:20.7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(a)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9">
                <wp:simplePos x="0" y="0"/>
                <wp:positionH relativeFrom="page">
                  <wp:posOffset>1657350</wp:posOffset>
                </wp:positionH>
                <wp:positionV relativeFrom="line">
                  <wp:posOffset>635</wp:posOffset>
                </wp:positionV>
                <wp:extent cx="5371465" cy="131445"/>
                <wp:effectExtent l="0" t="0" r="0" b="0"/>
                <wp:wrapNone/>
                <wp:docPr id="332" name="Frame3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71465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Designed such disclosure controls and procedures, or caused such disclosure controls and procedures to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22.95pt;height:10.35pt;mso-wrap-distance-left:0pt;mso-wrap-distance-right:0pt;mso-wrap-distance-top:0pt;mso-wrap-distance-bottom:0pt;margin-top:0pt;mso-position-vertical:top;mso-position-vertical-relative:text;margin-left:13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Designed such disclosure controls and procedures, or caused such disclosure controls and procedures to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0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333" name="Frame3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1">
                <wp:simplePos x="0" y="0"/>
                <wp:positionH relativeFrom="page">
                  <wp:posOffset>1657350</wp:posOffset>
                </wp:positionH>
                <wp:positionV relativeFrom="line">
                  <wp:posOffset>635</wp:posOffset>
                </wp:positionV>
                <wp:extent cx="5370830" cy="131445"/>
                <wp:effectExtent l="0" t="0" r="0" b="0"/>
                <wp:wrapNone/>
                <wp:docPr id="334" name="Frame3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7083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be designed under our supervision, to ensure that material information relating to the registrant, including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22.9pt;height:10.35pt;mso-wrap-distance-left:0pt;mso-wrap-distance-right:0pt;mso-wrap-distance-top:0pt;mso-wrap-distance-bottom:0pt;margin-top:0pt;mso-position-vertical:top;mso-position-vertical-relative:text;margin-left:13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be designed under our supervision, to ensure that material information relating to the registrant, including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2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335" name="Frame3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3">
                <wp:simplePos x="0" y="0"/>
                <wp:positionH relativeFrom="page">
                  <wp:posOffset>1657350</wp:posOffset>
                </wp:positionH>
                <wp:positionV relativeFrom="line">
                  <wp:posOffset>635</wp:posOffset>
                </wp:positionV>
                <wp:extent cx="5370195" cy="131445"/>
                <wp:effectExtent l="0" t="0" r="0" b="0"/>
                <wp:wrapNone/>
                <wp:docPr id="336" name="Frame3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70195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its consolidated subsidiaries, is made known to us by others within those entities, particularly during 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22.85pt;height:10.35pt;mso-wrap-distance-left:0pt;mso-wrap-distance-right:0pt;mso-wrap-distance-top:0pt;mso-wrap-distance-bottom:0pt;margin-top:0pt;mso-position-vertical:top;mso-position-vertical-relative:text;margin-left:13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its consolidated subsidiaries, is made known to us by others within those entities, particularly during 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4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337" name="Frame3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5">
                <wp:simplePos x="0" y="0"/>
                <wp:positionH relativeFrom="page">
                  <wp:posOffset>1657350</wp:posOffset>
                </wp:positionH>
                <wp:positionV relativeFrom="line">
                  <wp:posOffset>635</wp:posOffset>
                </wp:positionV>
                <wp:extent cx="2246630" cy="262890"/>
                <wp:effectExtent l="0" t="0" r="0" b="0"/>
                <wp:wrapNone/>
                <wp:docPr id="338" name="Frame3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46630" cy="26289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period in which this report is being prepared;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76.9pt;height:20.7pt;mso-wrap-distance-left:0pt;mso-wrap-distance-right:0pt;mso-wrap-distance-top:0pt;mso-wrap-distance-bottom:0pt;margin-top:0pt;mso-position-vertical:top;mso-position-vertical-relative:text;margin-left:13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period in which this report is being prepared;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6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139700" cy="262890"/>
                <wp:effectExtent l="0" t="0" r="0" b="0"/>
                <wp:wrapNone/>
                <wp:docPr id="339" name="Frame3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9700" cy="26289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(b)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pt;height:20.7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(b)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7">
                <wp:simplePos x="0" y="0"/>
                <wp:positionH relativeFrom="page">
                  <wp:posOffset>1657350</wp:posOffset>
                </wp:positionH>
                <wp:positionV relativeFrom="line">
                  <wp:posOffset>635</wp:posOffset>
                </wp:positionV>
                <wp:extent cx="5372100" cy="131445"/>
                <wp:effectExtent l="0" t="0" r="0" b="0"/>
                <wp:wrapNone/>
                <wp:docPr id="340" name="Frame3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7210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Designed such internal control over financial reporting, or caused such internal control over financial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23pt;height:10.35pt;mso-wrap-distance-left:0pt;mso-wrap-distance-right:0pt;mso-wrap-distance-top:0pt;mso-wrap-distance-bottom:0pt;margin-top:0pt;mso-position-vertical:top;mso-position-vertical-relative:text;margin-left:13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Designed such internal control over financial reporting, or caused such internal control over financial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8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341" name="Frame3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9">
                <wp:simplePos x="0" y="0"/>
                <wp:positionH relativeFrom="page">
                  <wp:posOffset>1657350</wp:posOffset>
                </wp:positionH>
                <wp:positionV relativeFrom="line">
                  <wp:posOffset>635</wp:posOffset>
                </wp:positionV>
                <wp:extent cx="5372100" cy="131445"/>
                <wp:effectExtent l="0" t="0" r="0" b="0"/>
                <wp:wrapNone/>
                <wp:docPr id="342" name="Frame3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7210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reporting to be designed under our supervision, to provide reasonable assurance regarding the reliability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23pt;height:10.35pt;mso-wrap-distance-left:0pt;mso-wrap-distance-right:0pt;mso-wrap-distance-top:0pt;mso-wrap-distance-bottom:0pt;margin-top:0pt;mso-position-vertical:top;mso-position-vertical-relative:text;margin-left:13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reporting to be designed under our supervision, to provide reasonable assurance regarding the reliability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0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343" name="Frame3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1">
                <wp:simplePos x="0" y="0"/>
                <wp:positionH relativeFrom="page">
                  <wp:posOffset>1657350</wp:posOffset>
                </wp:positionH>
                <wp:positionV relativeFrom="line">
                  <wp:posOffset>635</wp:posOffset>
                </wp:positionV>
                <wp:extent cx="5370830" cy="131445"/>
                <wp:effectExtent l="0" t="0" r="0" b="0"/>
                <wp:wrapNone/>
                <wp:docPr id="344" name="Frame3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7083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of financial reporting and the preparation of financial statements for external purposes in accordance with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22.9pt;height:10.35pt;mso-wrap-distance-left:0pt;mso-wrap-distance-right:0pt;mso-wrap-distance-top:0pt;mso-wrap-distance-bottom:0pt;margin-top:0pt;mso-position-vertical:top;mso-position-vertical-relative:text;margin-left:13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of financial reporting and the preparation of financial statements for external purposes in accordance with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5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2990850" cy="131445"/>
                <wp:effectExtent l="0" t="0" r="0" b="0"/>
                <wp:wrapNone/>
                <wp:docPr id="345" name="Frame3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9085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sz w:val="24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 xml:space="preserve">Date: </w:t>
                            </w: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  <w:t>May 6, 2026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35.5pt;height:10.35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lineRule="atLeast" w:line="142" w:before="0" w:after="0"/>
                        <w:jc w:val="left"/>
                        <w:rPr>
                          <w:sz w:val="24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 xml:space="preserve">Date: </w:t>
                      </w: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  <w:t>May 6, 2026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6">
                <wp:simplePos x="0" y="0"/>
                <wp:positionH relativeFrom="page">
                  <wp:posOffset>2990850</wp:posOffset>
                </wp:positionH>
                <wp:positionV relativeFrom="line">
                  <wp:posOffset>635</wp:posOffset>
                </wp:positionV>
                <wp:extent cx="314325" cy="131445"/>
                <wp:effectExtent l="0" t="0" r="0" b="0"/>
                <wp:wrapNone/>
                <wp:docPr id="346" name="Frame3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4325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  <w:t>By: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4.75pt;height:10.35pt;mso-wrap-distance-left:0pt;mso-wrap-distance-right:0pt;mso-wrap-distance-top:0pt;mso-wrap-distance-bottom:0pt;margin-top:0pt;mso-position-vertical:top;mso-position-vertical-relative:text;margin-left:235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lineRule="atLeast" w:line="142" w:before="0" w:after="0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18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18"/>
                          <w:u w:val="none"/>
                          <w:effect w:val="none"/>
                        </w:rPr>
                        <w:t>By: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7">
                <wp:simplePos x="0" y="0"/>
                <wp:positionH relativeFrom="page">
                  <wp:posOffset>3305175</wp:posOffset>
                </wp:positionH>
                <wp:positionV relativeFrom="line">
                  <wp:posOffset>635</wp:posOffset>
                </wp:positionV>
                <wp:extent cx="2981325" cy="131445"/>
                <wp:effectExtent l="0" t="0" r="0" b="0"/>
                <wp:wrapNone/>
                <wp:docPr id="347" name="Frame3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81325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/s/ Wendy Barnes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34.75pt;height:10.35pt;mso-wrap-distance-left:0pt;mso-wrap-distance-right:0pt;mso-wrap-distance-top:0pt;mso-wrap-distance-bottom:0pt;margin-top:0pt;mso-position-vertical:top;mso-position-vertical-relative:text;margin-left:26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lineRule="atLeast" w:line="142" w:before="0" w:after="0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/s/ Wendy Barnes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z w:val="18"/>
          <w:shd w:fill="E4E4E4" w:val="clear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18"/>
          <w:shd w:fill="E4E4E4" w:val="clear"/>
        </w:rPr>
        <w:t xml:space="preserve">CERTIFICATION </w:t>
      </w:r>
    </w:p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shd w:fill="E4E4E4" w:val="clear"/>
        </w:rPr>
        <w:t>I, Christopher McGinnis, certify that:</w:t>
      </w:r>
    </w:p>
    <w:p>
      <w:pPr>
        <w:pStyle w:val="TextBody"/>
        <w:bidi w:val="0"/>
        <w:jc w:val="left"/>
        <w:rPr/>
      </w:pPr>
      <w:r>
        <w:rPr/>
      </w:r>
      <w:r>
        <w:br w:type="page"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z w:val="18"/>
          <w:shd w:fill="E4E4E4" w:val="clear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18"/>
          <w:shd w:fill="E4E4E4" w:val="clear"/>
        </w:rPr>
        <w:t>Exhibit 32.1</w:t>
      </w:r>
      <w:r>
        <mc:AlternateContent>
          <mc:Choice Requires="wps">
            <w:drawing>
              <wp:anchor behindDoc="0" distT="0" distB="0" distL="0" distR="0" simplePos="0" locked="0" layoutInCell="1" allowOverlap="1" relativeHeight="401">
                <wp:simplePos x="0" y="0"/>
                <wp:positionH relativeFrom="page">
                  <wp:posOffset>1657350</wp:posOffset>
                </wp:positionH>
                <wp:positionV relativeFrom="line">
                  <wp:posOffset>635</wp:posOffset>
                </wp:positionV>
                <wp:extent cx="3218180" cy="262890"/>
                <wp:effectExtent l="0" t="0" r="0" b="0"/>
                <wp:wrapNone/>
                <wp:docPr id="348" name="Frame3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18180" cy="26289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the period covered by this report based on such evaluation; and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53.4pt;height:20.7pt;mso-wrap-distance-left:0pt;mso-wrap-distance-right:0pt;mso-wrap-distance-top:0pt;mso-wrap-distance-bottom:0pt;margin-top:0pt;mso-position-vertical:top;mso-position-vertical-relative:text;margin-left:13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the period covered by this report based on such evaluation; and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09">
                <wp:simplePos x="0" y="0"/>
                <wp:positionH relativeFrom="page">
                  <wp:posOffset>1657350</wp:posOffset>
                </wp:positionH>
                <wp:positionV relativeFrom="line">
                  <wp:posOffset>635</wp:posOffset>
                </wp:positionV>
                <wp:extent cx="2189480" cy="262890"/>
                <wp:effectExtent l="0" t="0" r="0" b="0"/>
                <wp:wrapNone/>
                <wp:docPr id="349" name="Frame4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89480" cy="26289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internal control over financial reporting; and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72.4pt;height:20.7pt;mso-wrap-distance-left:0pt;mso-wrap-distance-right:0pt;mso-wrap-distance-top:0pt;mso-wrap-distance-bottom:0pt;margin-top:0pt;mso-position-vertical:top;mso-position-vertical-relative:text;margin-left:13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internal control over financial reporting; and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08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350" name="Frame4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07">
                <wp:simplePos x="0" y="0"/>
                <wp:positionH relativeFrom="page">
                  <wp:posOffset>1657350</wp:posOffset>
                </wp:positionH>
                <wp:positionV relativeFrom="line">
                  <wp:posOffset>635</wp:posOffset>
                </wp:positionV>
                <wp:extent cx="5371465" cy="131445"/>
                <wp:effectExtent l="0" t="0" r="0" b="0"/>
                <wp:wrapNone/>
                <wp:docPr id="351" name="Frame4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71465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annual report) that has materially affected, or is reasonably likely to materially affect, the registrant’s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22.95pt;height:10.35pt;mso-wrap-distance-left:0pt;mso-wrap-distance-right:0pt;mso-wrap-distance-top:0pt;mso-wrap-distance-bottom:0pt;margin-top:0pt;mso-position-vertical:top;mso-position-vertical-relative:text;margin-left:13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annual report) that has materially affected, or is reasonably likely to materially affect, the registrant’s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06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352" name="Frame4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05">
                <wp:simplePos x="0" y="0"/>
                <wp:positionH relativeFrom="page">
                  <wp:posOffset>1657350</wp:posOffset>
                </wp:positionH>
                <wp:positionV relativeFrom="line">
                  <wp:posOffset>635</wp:posOffset>
                </wp:positionV>
                <wp:extent cx="5370830" cy="131445"/>
                <wp:effectExtent l="0" t="0" r="0" b="0"/>
                <wp:wrapNone/>
                <wp:docPr id="353" name="Frame4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7083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during the registrant’s most recent fiscal quarter (the registrant’s fourth fiscal quarter in the case of an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22.9pt;height:10.35pt;mso-wrap-distance-left:0pt;mso-wrap-distance-right:0pt;mso-wrap-distance-top:0pt;mso-wrap-distance-bottom:0pt;margin-top:0pt;mso-position-vertical:top;mso-position-vertical-relative:text;margin-left:13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during the registrant’s most recent fiscal quarter (the registrant’s fourth fiscal quarter in the case of an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04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354" name="Frame4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03">
                <wp:simplePos x="0" y="0"/>
                <wp:positionH relativeFrom="page">
                  <wp:posOffset>1657350</wp:posOffset>
                </wp:positionH>
                <wp:positionV relativeFrom="line">
                  <wp:posOffset>635</wp:posOffset>
                </wp:positionV>
                <wp:extent cx="5372100" cy="131445"/>
                <wp:effectExtent l="0" t="0" r="0" b="0"/>
                <wp:wrapNone/>
                <wp:docPr id="355" name="Frame4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7210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Disclosed in this report any change in the registrant’s internal control over financial reporting that occurred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23pt;height:10.35pt;mso-wrap-distance-left:0pt;mso-wrap-distance-right:0pt;mso-wrap-distance-top:0pt;mso-wrap-distance-bottom:0pt;margin-top:0pt;mso-position-vertical:top;mso-position-vertical-relative:text;margin-left:13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Disclosed in this report any change in the registrant’s internal control over financial reporting that occurred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02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139700" cy="262890"/>
                <wp:effectExtent l="0" t="0" r="0" b="0"/>
                <wp:wrapNone/>
                <wp:docPr id="356" name="Frame3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9700" cy="26289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(d)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pt;height:20.7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(d)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10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95250" cy="262890"/>
                <wp:effectExtent l="0" t="0" r="0" b="0"/>
                <wp:wrapNone/>
                <wp:docPr id="357" name="Frame4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26289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5.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20.7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5.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00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358" name="Frame3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99">
                <wp:simplePos x="0" y="0"/>
                <wp:positionH relativeFrom="page">
                  <wp:posOffset>1657350</wp:posOffset>
                </wp:positionH>
                <wp:positionV relativeFrom="line">
                  <wp:posOffset>635</wp:posOffset>
                </wp:positionV>
                <wp:extent cx="5371465" cy="131445"/>
                <wp:effectExtent l="0" t="0" r="0" b="0"/>
                <wp:wrapNone/>
                <wp:docPr id="359" name="Frame3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71465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report our conclusions about the effectiveness of the disclosure controls and procedures, as of the end of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22.95pt;height:10.35pt;mso-wrap-distance-left:0pt;mso-wrap-distance-right:0pt;mso-wrap-distance-top:0pt;mso-wrap-distance-bottom:0pt;margin-top:0pt;mso-position-vertical:top;mso-position-vertical-relative:text;margin-left:13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report our conclusions about the effectiveness of the disclosure controls and procedures, as of the end of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98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360" name="Frame3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97">
                <wp:simplePos x="0" y="0"/>
                <wp:positionH relativeFrom="page">
                  <wp:posOffset>1657350</wp:posOffset>
                </wp:positionH>
                <wp:positionV relativeFrom="line">
                  <wp:posOffset>635</wp:posOffset>
                </wp:positionV>
                <wp:extent cx="5371465" cy="131445"/>
                <wp:effectExtent l="0" t="0" r="0" b="0"/>
                <wp:wrapNone/>
                <wp:docPr id="361" name="Frame3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71465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Evaluated the effectiveness of the registrant’s disclosure controls and procedures and presented in this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22.95pt;height:10.35pt;mso-wrap-distance-left:0pt;mso-wrap-distance-right:0pt;mso-wrap-distance-top:0pt;mso-wrap-distance-bottom:0pt;margin-top:0pt;mso-position-vertical:top;mso-position-vertical-relative:text;margin-left:13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Evaluated the effectiveness of the registrant’s disclosure controls and procedures and presented in this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96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133350" cy="131445"/>
                <wp:effectExtent l="0" t="0" r="0" b="0"/>
                <wp:wrapNone/>
                <wp:docPr id="362" name="Frame3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335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(c)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0.5pt;height:10.3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(c)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95">
                <wp:simplePos x="0" y="0"/>
                <wp:positionH relativeFrom="page">
                  <wp:posOffset>1657350</wp:posOffset>
                </wp:positionH>
                <wp:positionV relativeFrom="line">
                  <wp:posOffset>635</wp:posOffset>
                </wp:positionV>
                <wp:extent cx="2087880" cy="262890"/>
                <wp:effectExtent l="0" t="0" r="0" b="0"/>
                <wp:wrapNone/>
                <wp:docPr id="363" name="Frame3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87880" cy="26289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generally accepted accounting principles;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64.4pt;height:20.7pt;mso-wrap-distance-left:0pt;mso-wrap-distance-right:0pt;mso-wrap-distance-top:0pt;mso-wrap-distance-bottom:0pt;margin-top:0pt;mso-position-vertical:top;mso-position-vertical-relative:text;margin-left:13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generally accepted accounting principles;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94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364" name="Frame3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18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365" name="Frame4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26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76975" cy="1165860"/>
                <wp:effectExtent l="0" t="0" r="0" b="0"/>
                <wp:wrapNone/>
                <wp:docPr id="366" name="Frame4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76975" cy="11658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tbl>
                            <w:tblPr>
                              <w:tblW w:w="10203" w:type="dxa"/>
                              <w:jc w:val="left"/>
                              <w:tblInd w:w="0" w:type="dxa"/>
                              <w:tblLayout w:type="fixed"/>
                              <w:tblCellMar>
                                <w:top w:w="28" w:type="dxa"/>
                                <w:left w:w="28" w:type="dxa"/>
                                <w:bottom w:w="28" w:type="dxa"/>
                                <w:right w:w="28" w:type="dxa"/>
                              </w:tblCellMar>
                            </w:tblPr>
                            <w:tblGrid>
                              <w:gridCol w:w="4796"/>
                              <w:gridCol w:w="581"/>
                              <w:gridCol w:w="4826"/>
                            </w:tblGrid>
                            <w:tr>
                              <w:trPr/>
                              <w:tc>
                                <w:tcPr>
                                  <w:tcW w:w="479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82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479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826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479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826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479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82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25pt;height:91.8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tbl>
                      <w:tblPr>
                        <w:tblW w:w="10203" w:type="dxa"/>
                        <w:jc w:val="left"/>
                        <w:tblInd w:w="0" w:type="dxa"/>
                        <w:tblLayout w:type="fixed"/>
                        <w:tblCellMar>
                          <w:top w:w="28" w:type="dxa"/>
                          <w:left w:w="28" w:type="dxa"/>
                          <w:bottom w:w="28" w:type="dxa"/>
                          <w:right w:w="28" w:type="dxa"/>
                        </w:tblCellMar>
                      </w:tblPr>
                      <w:tblGrid>
                        <w:gridCol w:w="4796"/>
                        <w:gridCol w:w="581"/>
                        <w:gridCol w:w="4826"/>
                      </w:tblGrid>
                      <w:tr>
                        <w:trPr/>
                        <w:tc>
                          <w:tcPr>
                            <w:tcW w:w="479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8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82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479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8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826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479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8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826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479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8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82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</w:tbl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25">
                <wp:simplePos x="0" y="0"/>
                <wp:positionH relativeFrom="page">
                  <wp:posOffset>1657350</wp:posOffset>
                </wp:positionH>
                <wp:positionV relativeFrom="line">
                  <wp:posOffset>635</wp:posOffset>
                </wp:positionV>
                <wp:extent cx="3088005" cy="262890"/>
                <wp:effectExtent l="0" t="0" r="0" b="0"/>
                <wp:wrapNone/>
                <wp:docPr id="367" name="Frame4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88005" cy="26289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role in the registrant’s internal control over financial reporting.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43.15pt;height:20.7pt;mso-wrap-distance-left:0pt;mso-wrap-distance-right:0pt;mso-wrap-distance-top:0pt;mso-wrap-distance-bottom:0pt;margin-top:0pt;mso-position-vertical:top;mso-position-vertical-relative:text;margin-left:13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role in the registrant’s internal control over financial reporting.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24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368" name="Frame4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23">
                <wp:simplePos x="0" y="0"/>
                <wp:positionH relativeFrom="page">
                  <wp:posOffset>1657350</wp:posOffset>
                </wp:positionH>
                <wp:positionV relativeFrom="line">
                  <wp:posOffset>635</wp:posOffset>
                </wp:positionV>
                <wp:extent cx="5372100" cy="131445"/>
                <wp:effectExtent l="0" t="0" r="0" b="0"/>
                <wp:wrapNone/>
                <wp:docPr id="369" name="Frame4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7210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Any fraud, whether or not material, that involves management or other employees who have a significant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23pt;height:10.35pt;mso-wrap-distance-left:0pt;mso-wrap-distance-right:0pt;mso-wrap-distance-top:0pt;mso-wrap-distance-bottom:0pt;margin-top:0pt;mso-position-vertical:top;mso-position-vertical-relative:text;margin-left:13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Any fraud, whether or not material, that involves management or other employees who have a significant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22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139700" cy="262890"/>
                <wp:effectExtent l="0" t="0" r="0" b="0"/>
                <wp:wrapNone/>
                <wp:docPr id="370" name="Frame4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9700" cy="26289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(b)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pt;height:20.7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(b)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21">
                <wp:simplePos x="0" y="0"/>
                <wp:positionH relativeFrom="page">
                  <wp:posOffset>1657350</wp:posOffset>
                </wp:positionH>
                <wp:positionV relativeFrom="line">
                  <wp:posOffset>635</wp:posOffset>
                </wp:positionV>
                <wp:extent cx="2411095" cy="262890"/>
                <wp:effectExtent l="0" t="0" r="0" b="0"/>
                <wp:wrapNone/>
                <wp:docPr id="371" name="Frame4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11095" cy="26289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summarize and report financial information; and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89.85pt;height:20.7pt;mso-wrap-distance-left:0pt;mso-wrap-distance-right:0pt;mso-wrap-distance-top:0pt;mso-wrap-distance-bottom:0pt;margin-top:0pt;mso-position-vertical:top;mso-position-vertical-relative:text;margin-left:13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summarize and report financial information; and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20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372" name="Frame4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19">
                <wp:simplePos x="0" y="0"/>
                <wp:positionH relativeFrom="page">
                  <wp:posOffset>1657350</wp:posOffset>
                </wp:positionH>
                <wp:positionV relativeFrom="line">
                  <wp:posOffset>635</wp:posOffset>
                </wp:positionV>
                <wp:extent cx="5372100" cy="131445"/>
                <wp:effectExtent l="0" t="0" r="0" b="0"/>
                <wp:wrapNone/>
                <wp:docPr id="373" name="Frame4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7210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financial reporting which are reasonably likely to adversely affect the registrant’s ability to record, process,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23pt;height:10.35pt;mso-wrap-distance-left:0pt;mso-wrap-distance-right:0pt;mso-wrap-distance-top:0pt;mso-wrap-distance-bottom:0pt;margin-top:0pt;mso-position-vertical:top;mso-position-vertical-relative:text;margin-left:13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financial reporting which are reasonably likely to adversely affect the registrant’s ability to record, process,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93">
                <wp:simplePos x="0" y="0"/>
                <wp:positionH relativeFrom="page">
                  <wp:posOffset>1657350</wp:posOffset>
                </wp:positionH>
                <wp:positionV relativeFrom="line">
                  <wp:posOffset>635</wp:posOffset>
                </wp:positionV>
                <wp:extent cx="5370830" cy="131445"/>
                <wp:effectExtent l="0" t="0" r="0" b="0"/>
                <wp:wrapNone/>
                <wp:docPr id="374" name="Frame3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7083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of financial reporting and the preparation of financial statements for external purposes in accordance with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22.9pt;height:10.35pt;mso-wrap-distance-left:0pt;mso-wrap-distance-right:0pt;mso-wrap-distance-top:0pt;mso-wrap-distance-bottom:0pt;margin-top:0pt;mso-position-vertical:top;mso-position-vertical-relative:text;margin-left:13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of financial reporting and the preparation of financial statements for external purposes in accordance with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17">
                <wp:simplePos x="0" y="0"/>
                <wp:positionH relativeFrom="page">
                  <wp:posOffset>1657350</wp:posOffset>
                </wp:positionH>
                <wp:positionV relativeFrom="line">
                  <wp:posOffset>635</wp:posOffset>
                </wp:positionV>
                <wp:extent cx="5371465" cy="131445"/>
                <wp:effectExtent l="0" t="0" r="0" b="0"/>
                <wp:wrapNone/>
                <wp:docPr id="375" name="Frame4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71465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All significant deficiencies and material weaknesses in the design or operation of internal control over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22.95pt;height:10.35pt;mso-wrap-distance-left:0pt;mso-wrap-distance-right:0pt;mso-wrap-distance-top:0pt;mso-wrap-distance-bottom:0pt;margin-top:0pt;mso-position-vertical:top;mso-position-vertical-relative:text;margin-left:13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All significant deficiencies and material weaknesses in the design or operation of internal control over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16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139700" cy="262890"/>
                <wp:effectExtent l="0" t="0" r="0" b="0"/>
                <wp:wrapNone/>
                <wp:docPr id="376" name="Frame4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9700" cy="26289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(a)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pt;height:20.7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(a)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15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2284730" cy="262890"/>
                <wp:effectExtent l="0" t="0" r="0" b="0"/>
                <wp:wrapNone/>
                <wp:docPr id="377" name="Frame4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84730" cy="26289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persons performing the equivalent functions):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79.9pt;height:20.7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persons performing the equivalent functions):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14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378" name="Frame4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13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9300" cy="131445"/>
                <wp:effectExtent l="0" t="0" r="0" b="0"/>
                <wp:wrapNone/>
                <wp:docPr id="379" name="Frame4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930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over financial reporting, to the registrant’s auditors and the audit committee of the registrant’s board of directors (or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9pt;height:10.3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over financial reporting, to the registrant’s auditors and the audit committee of the registrant’s board of directors (or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12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380" name="Frame4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11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9300" cy="131445"/>
                <wp:effectExtent l="0" t="0" r="0" b="0"/>
                <wp:wrapNone/>
                <wp:docPr id="381" name="Frame4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930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The registrant’s other certifying officer and I have disclosed, based on our most recent evaluation of internal control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9pt;height:10.3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The registrant’s other certifying officer and I have disclosed, based on our most recent evaluation of internal control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8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95250" cy="262890"/>
                <wp:effectExtent l="0" t="0" r="0" b="0"/>
                <wp:wrapNone/>
                <wp:docPr id="382" name="Frame3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26289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3.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20.7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3.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6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383" name="Frame3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5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8030" cy="131445"/>
                <wp:effectExtent l="0" t="0" r="0" b="0"/>
                <wp:wrapNone/>
                <wp:docPr id="384" name="Frame3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803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The registrant’s other certifying officer and I are responsible for establishing and maintaining disclosure controls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8.9pt;height:10.3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The registrant’s other certifying officer and I are responsible for establishing and maintaining disclosure controls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4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95250" cy="262890"/>
                <wp:effectExtent l="0" t="0" r="0" b="0"/>
                <wp:wrapNone/>
                <wp:docPr id="385" name="Frame3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26289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4.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20.7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4.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3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2209165" cy="262890"/>
                <wp:effectExtent l="0" t="0" r="0" b="0"/>
                <wp:wrapNone/>
                <wp:docPr id="386" name="Frame3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09165" cy="26289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and for, the periods presented in this report;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73.95pt;height:20.7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and for, the periods presented in this report;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2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387" name="Frame3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1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8030" cy="131445"/>
                <wp:effectExtent l="0" t="0" r="0" b="0"/>
                <wp:wrapNone/>
                <wp:docPr id="388" name="Frame3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803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present in all material respects the financial condition, results of operations and cash flows of the registrant as of,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8.9pt;height:10.3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present in all material respects the financial condition, results of operations and cash flows of the registrant as of,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0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389" name="Frame3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9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8030" cy="131445"/>
                <wp:effectExtent l="0" t="0" r="0" b="0"/>
                <wp:wrapNone/>
                <wp:docPr id="390" name="Frame3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803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Based on my knowledge, the financial statements, and other financial information included in this report, fairly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8.9pt;height:10.3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Based on my knowledge, the financial statements, and other financial information included in this report, fairly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7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9300" cy="131445"/>
                <wp:effectExtent l="0" t="0" r="0" b="0"/>
                <wp:wrapNone/>
                <wp:docPr id="391" name="Frame3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930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and procedures (as defined in Exchange Act Rules 13a-15(e) and 15d-15(e)) and internal control over financial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9pt;height:10.3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and procedures (as defined in Exchange Act Rules 13a-15(e) and 15d-15(e)) and internal control over financial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7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3833495" cy="262890"/>
                <wp:effectExtent l="0" t="0" r="0" b="0"/>
                <wp:wrapNone/>
                <wp:docPr id="392" name="Frame3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33495" cy="26289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were made, not misleading with respect to the period covered by this report;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01.85pt;height:20.7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were made, not misleading with respect to the period covered by this report;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6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393" name="Frame3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5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8030" cy="131445"/>
                <wp:effectExtent l="0" t="0" r="0" b="0"/>
                <wp:wrapNone/>
                <wp:docPr id="394" name="Frame3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803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material fact necessary to make the statements made, in light of the circumstances under which such statements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8.9pt;height:10.3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material fact necessary to make the statements made, in light of the circumstances under which such statements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4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395" name="Frame3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3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7395" cy="131445"/>
                <wp:effectExtent l="0" t="0" r="0" b="0"/>
                <wp:wrapNone/>
                <wp:docPr id="396" name="Frame3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7395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Based on my knowledge, this report does not contain any untrue statement of a material fact or omit to state a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8.85pt;height:10.3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Based on my knowledge, this report does not contain any untrue statement of a material fact or omit to state a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2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95250" cy="262890"/>
                <wp:effectExtent l="0" t="0" r="0" b="0"/>
                <wp:wrapNone/>
                <wp:docPr id="397" name="Frame3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26289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2.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20.7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2.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1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3960495" cy="262890"/>
                <wp:effectExtent l="0" t="0" r="0" b="0"/>
                <wp:wrapNone/>
                <wp:docPr id="398" name="Frame3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60495" cy="26289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I have reviewed this Quarterly Report on Form 10-Q of GoodRx Holdings, Inc.;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11.85pt;height:20.7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I have reviewed this Quarterly Report on Form 10-Q of GoodRx Holdings, Inc.;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0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95250" cy="262890"/>
                <wp:effectExtent l="0" t="0" r="0" b="0"/>
                <wp:wrapNone/>
                <wp:docPr id="399" name="Frame3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26289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1.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20.7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1.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8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400" name="Frame3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9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4867910" cy="262890"/>
                <wp:effectExtent l="0" t="0" r="0" b="0"/>
                <wp:wrapNone/>
                <wp:docPr id="401" name="Frame3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67910" cy="26289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reporting (as defined in Exchange Act Rules 13a-15(f) and 15d-15(f)) for the registrant and have: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83.3pt;height:20.7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reporting (as defined in Exchange Act Rules 13a-15(f) and 15d-15(f)) for the registrant and have: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0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139700" cy="262890"/>
                <wp:effectExtent l="0" t="0" r="0" b="0"/>
                <wp:wrapNone/>
                <wp:docPr id="402" name="Frame3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9700" cy="26289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(a)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pt;height:20.7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(a)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1">
                <wp:simplePos x="0" y="0"/>
                <wp:positionH relativeFrom="page">
                  <wp:posOffset>1657350</wp:posOffset>
                </wp:positionH>
                <wp:positionV relativeFrom="line">
                  <wp:posOffset>635</wp:posOffset>
                </wp:positionV>
                <wp:extent cx="5371465" cy="131445"/>
                <wp:effectExtent l="0" t="0" r="0" b="0"/>
                <wp:wrapNone/>
                <wp:docPr id="403" name="Frame3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71465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Designed such disclosure controls and procedures, or caused such disclosure controls and procedures to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22.95pt;height:10.35pt;mso-wrap-distance-left:0pt;mso-wrap-distance-right:0pt;mso-wrap-distance-top:0pt;mso-wrap-distance-bottom:0pt;margin-top:0pt;mso-position-vertical:top;mso-position-vertical-relative:text;margin-left:13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Designed such disclosure controls and procedures, or caused such disclosure controls and procedures to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2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404" name="Frame3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3">
                <wp:simplePos x="0" y="0"/>
                <wp:positionH relativeFrom="page">
                  <wp:posOffset>1657350</wp:posOffset>
                </wp:positionH>
                <wp:positionV relativeFrom="line">
                  <wp:posOffset>635</wp:posOffset>
                </wp:positionV>
                <wp:extent cx="5370830" cy="131445"/>
                <wp:effectExtent l="0" t="0" r="0" b="0"/>
                <wp:wrapNone/>
                <wp:docPr id="405" name="Frame3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7083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be designed under our supervision, to ensure that material information relating to the registrant, including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22.9pt;height:10.35pt;mso-wrap-distance-left:0pt;mso-wrap-distance-right:0pt;mso-wrap-distance-top:0pt;mso-wrap-distance-bottom:0pt;margin-top:0pt;mso-position-vertical:top;mso-position-vertical-relative:text;margin-left:13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be designed under our supervision, to ensure that material information relating to the registrant, including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4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406" name="Frame3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5">
                <wp:simplePos x="0" y="0"/>
                <wp:positionH relativeFrom="page">
                  <wp:posOffset>1657350</wp:posOffset>
                </wp:positionH>
                <wp:positionV relativeFrom="line">
                  <wp:posOffset>635</wp:posOffset>
                </wp:positionV>
                <wp:extent cx="5370195" cy="131445"/>
                <wp:effectExtent l="0" t="0" r="0" b="0"/>
                <wp:wrapNone/>
                <wp:docPr id="407" name="Frame3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70195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its consolidated subsidiaries, is made known to us by others within those entities, particularly during 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22.85pt;height:10.35pt;mso-wrap-distance-left:0pt;mso-wrap-distance-right:0pt;mso-wrap-distance-top:0pt;mso-wrap-distance-bottom:0pt;margin-top:0pt;mso-position-vertical:top;mso-position-vertical-relative:text;margin-left:13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its consolidated subsidiaries, is made known to us by others within those entities, particularly during 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6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408" name="Frame3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7">
                <wp:simplePos x="0" y="0"/>
                <wp:positionH relativeFrom="page">
                  <wp:posOffset>1657350</wp:posOffset>
                </wp:positionH>
                <wp:positionV relativeFrom="line">
                  <wp:posOffset>635</wp:posOffset>
                </wp:positionV>
                <wp:extent cx="2246630" cy="262890"/>
                <wp:effectExtent l="0" t="0" r="0" b="0"/>
                <wp:wrapNone/>
                <wp:docPr id="409" name="Frame3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46630" cy="26289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period in which this report is being prepared;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76.9pt;height:20.7pt;mso-wrap-distance-left:0pt;mso-wrap-distance-right:0pt;mso-wrap-distance-top:0pt;mso-wrap-distance-bottom:0pt;margin-top:0pt;mso-position-vertical:top;mso-position-vertical-relative:text;margin-left:13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period in which this report is being prepared;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8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139700" cy="262890"/>
                <wp:effectExtent l="0" t="0" r="0" b="0"/>
                <wp:wrapNone/>
                <wp:docPr id="410" name="Frame3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9700" cy="26289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(b)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pt;height:20.7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(b)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9">
                <wp:simplePos x="0" y="0"/>
                <wp:positionH relativeFrom="page">
                  <wp:posOffset>1657350</wp:posOffset>
                </wp:positionH>
                <wp:positionV relativeFrom="line">
                  <wp:posOffset>635</wp:posOffset>
                </wp:positionV>
                <wp:extent cx="5372100" cy="131445"/>
                <wp:effectExtent l="0" t="0" r="0" b="0"/>
                <wp:wrapNone/>
                <wp:docPr id="411" name="Frame3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7210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Designed such internal control over financial reporting, or caused such internal control over financial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23pt;height:10.35pt;mso-wrap-distance-left:0pt;mso-wrap-distance-right:0pt;mso-wrap-distance-top:0pt;mso-wrap-distance-bottom:0pt;margin-top:0pt;mso-position-vertical:top;mso-position-vertical-relative:text;margin-left:13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Designed such internal control over financial reporting, or caused such internal control over financial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90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412" name="Frame3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91">
                <wp:simplePos x="0" y="0"/>
                <wp:positionH relativeFrom="page">
                  <wp:posOffset>1657350</wp:posOffset>
                </wp:positionH>
                <wp:positionV relativeFrom="line">
                  <wp:posOffset>635</wp:posOffset>
                </wp:positionV>
                <wp:extent cx="5372100" cy="131445"/>
                <wp:effectExtent l="0" t="0" r="0" b="0"/>
                <wp:wrapNone/>
                <wp:docPr id="413" name="Frame3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7210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reporting to be designed under our supervision, to provide reasonable assurance regarding the reliability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23pt;height:10.35pt;mso-wrap-distance-left:0pt;mso-wrap-distance-right:0pt;mso-wrap-distance-top:0pt;mso-wrap-distance-bottom:0pt;margin-top:0pt;mso-position-vertical:top;mso-position-vertical-relative:text;margin-left:13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reporting to be designed under our supervision, to provide reasonable assurance regarding the reliability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92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414" name="Frame3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27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2981325" cy="131445"/>
                <wp:effectExtent l="0" t="0" r="0" b="0"/>
                <wp:wrapNone/>
                <wp:docPr id="415" name="Frame4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81325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sz w:val="24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 xml:space="preserve">Date: </w:t>
                            </w: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  <w:t>May 6, 2026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34.75pt;height:10.35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lineRule="atLeast" w:line="142" w:before="0" w:after="0"/>
                        <w:jc w:val="left"/>
                        <w:rPr>
                          <w:sz w:val="24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 xml:space="preserve">Date: </w:t>
                      </w: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  <w:t>May 6, 2026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28">
                <wp:simplePos x="0" y="0"/>
                <wp:positionH relativeFrom="page">
                  <wp:posOffset>2981325</wp:posOffset>
                </wp:positionH>
                <wp:positionV relativeFrom="line">
                  <wp:posOffset>635</wp:posOffset>
                </wp:positionV>
                <wp:extent cx="314325" cy="131445"/>
                <wp:effectExtent l="0" t="0" r="0" b="0"/>
                <wp:wrapNone/>
                <wp:docPr id="416" name="Frame4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4325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  <w:t>By: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4.75pt;height:10.35pt;mso-wrap-distance-left:0pt;mso-wrap-distance-right:0pt;mso-wrap-distance-top:0pt;mso-wrap-distance-bottom:0pt;margin-top:0pt;mso-position-vertical:top;mso-position-vertical-relative:text;margin-left:23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lineRule="atLeast" w:line="142" w:before="0" w:after="0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18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18"/>
                          <w:u w:val="none"/>
                          <w:effect w:val="none"/>
                        </w:rPr>
                        <w:t>By: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29">
                <wp:simplePos x="0" y="0"/>
                <wp:positionH relativeFrom="page">
                  <wp:posOffset>3295650</wp:posOffset>
                </wp:positionH>
                <wp:positionV relativeFrom="line">
                  <wp:posOffset>635</wp:posOffset>
                </wp:positionV>
                <wp:extent cx="2981325" cy="131445"/>
                <wp:effectExtent l="0" t="0" r="0" b="0"/>
                <wp:wrapNone/>
                <wp:docPr id="417" name="Frame4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81325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/s/ Christopher McGinnis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34.75pt;height:10.35pt;mso-wrap-distance-left:0pt;mso-wrap-distance-right:0pt;mso-wrap-distance-top:0pt;mso-wrap-distance-bottom:0pt;margin-top:0pt;mso-position-vertical:top;mso-position-vertical-relative:text;margin-left:25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lineRule="atLeast" w:line="142" w:before="0" w:after="0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/s/ Christopher McGinnis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z w:val="18"/>
          <w:shd w:fill="E4E4E4" w:val="clear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18"/>
          <w:shd w:fill="E4E4E4" w:val="clear"/>
        </w:rPr>
        <w:t>CERTIFICATION PURSUANT TO</w:t>
      </w:r>
    </w:p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z w:val="18"/>
          <w:shd w:fill="E4E4E4" w:val="clear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18"/>
          <w:shd w:fill="E4E4E4" w:val="clear"/>
        </w:rPr>
        <w:t>18 U.S.C. SECTION 1350, AS ADOPTED PURSUANT TO</w:t>
      </w:r>
    </w:p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z w:val="18"/>
          <w:shd w:fill="E4E4E4" w:val="clear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18"/>
          <w:shd w:fill="E4E4E4" w:val="clear"/>
        </w:rPr>
        <w:t>SECTION 906 OF THE SARBANES-OXLEY ACT OF 2002</w:t>
      </w:r>
    </w:p>
    <w:p>
      <w:pPr>
        <w:pStyle w:val="TextBody"/>
        <w:bidi w:val="0"/>
        <w:jc w:val="left"/>
        <w:rPr/>
      </w:pPr>
      <w:r>
        <w:rPr/>
      </w:r>
      <w:r>
        <w:br w:type="page"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z w:val="18"/>
          <w:shd w:fill="E4E4E4" w:val="clear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18"/>
          <w:shd w:fill="E4E4E4" w:val="clear"/>
        </w:rPr>
        <w:t>Exhibit 32.2</w:t>
      </w:r>
      <w:r>
        <mc:AlternateContent>
          <mc:Choice Requires="wps">
            <w:drawing>
              <wp:anchor behindDoc="0" distT="0" distB="0" distL="0" distR="0" simplePos="0" locked="0" layoutInCell="1" allowOverlap="1" relativeHeight="434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31445"/>
                <wp:effectExtent l="0" t="0" r="0" b="0"/>
                <wp:wrapNone/>
                <wp:docPr id="418" name="Frame4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In connection with the Quarterly Report on Form 10-Q of GoodRx Holdings, Inc. (the “Company”) for the period ended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0.3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In connection with the Quarterly Report on Form 10-Q of GoodRx Holdings, Inc. (the “Company”) for the period ended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35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419" name="Frame4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36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805180" cy="131445"/>
                <wp:effectExtent l="0" t="0" r="0" b="0"/>
                <wp:wrapNone/>
                <wp:docPr id="420" name="Frame4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518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  <w:t>March 31, 2026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4pt;height:10.3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  <w:t>March 31, 2026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37">
                <wp:simplePos x="0" y="0"/>
                <wp:positionH relativeFrom="page">
                  <wp:posOffset>1548130</wp:posOffset>
                </wp:positionH>
                <wp:positionV relativeFrom="line">
                  <wp:posOffset>635</wp:posOffset>
                </wp:positionV>
                <wp:extent cx="5479415" cy="131445"/>
                <wp:effectExtent l="0" t="0" r="0" b="0"/>
                <wp:wrapNone/>
                <wp:docPr id="421" name="Frame4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79415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as filed with the Securities and Exchange Commission on the date hereof (the “Report”), I certify, pursuant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31.45pt;height:10.35pt;mso-wrap-distance-left:0pt;mso-wrap-distance-right:0pt;mso-wrap-distance-top:0pt;mso-wrap-distance-bottom:0pt;margin-top:0pt;mso-position-vertical:top;mso-position-vertical-relative:text;margin-left:121.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as filed with the Securities and Exchange Commission on the date hereof (the “Report”), I certify, pursuant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38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422" name="Frame4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39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094730" cy="262890"/>
                <wp:effectExtent l="0" t="0" r="0" b="0"/>
                <wp:wrapNone/>
                <wp:docPr id="423" name="Frame4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94730" cy="26289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to 18 U.S.C. § 1350, as adopted pursuant to § 906 of the Sarbanes-Oxley Act of 2002, that, to the best of my knowledge: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79.9pt;height:20.7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to 18 U.S.C. § 1350, as adopted pursuant to § 906 of the Sarbanes-Oxley Act of 2002, that, to the best of my knowledge: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40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139700" cy="262890"/>
                <wp:effectExtent l="0" t="0" r="0" b="0"/>
                <wp:wrapNone/>
                <wp:docPr id="424" name="Frame4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9700" cy="26289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(1)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pt;height:20.7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(1)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41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8665" cy="131445"/>
                <wp:effectExtent l="0" t="0" r="0" b="0"/>
                <wp:wrapNone/>
                <wp:docPr id="425" name="Frame4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8665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The Report fully complies with the requirements of section 13(a) or 15(d) of the Securities Exchange Act of 1934;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8.95pt;height:10.3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The Report fully complies with the requirements of section 13(a) or 15(d) of the Securities Exchange Act of 1934;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42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426" name="Frame4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43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190500" cy="262890"/>
                <wp:effectExtent l="0" t="0" r="0" b="0"/>
                <wp:wrapNone/>
                <wp:docPr id="427" name="Frame4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0" cy="26289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and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5pt;height:20.7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and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44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139700" cy="262890"/>
                <wp:effectExtent l="0" t="0" r="0" b="0"/>
                <wp:wrapNone/>
                <wp:docPr id="428" name="Frame4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9700" cy="26289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(2)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pt;height:20.7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(2)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45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8030" cy="262890"/>
                <wp:effectExtent l="0" t="0" r="0" b="0"/>
                <wp:wrapNone/>
                <wp:docPr id="429" name="Frame4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8030" cy="26289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The information contained in the Report fairly presents, in all material respects, the financial condition and results of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8.9pt;height:20.7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The information contained in the Report fairly presents, in all material respects, the financial condition and results of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46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430" name="Frame4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47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1394460" cy="262890"/>
                <wp:effectExtent l="0" t="0" r="0" b="0"/>
                <wp:wrapNone/>
                <wp:docPr id="431" name="Frame4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94460" cy="26289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operations of the Company.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09.8pt;height:20.7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operations of the Company.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48">
                <wp:simplePos x="0" y="0"/>
                <wp:positionH relativeFrom="page">
                  <wp:posOffset>819150</wp:posOffset>
                </wp:positionH>
                <wp:positionV relativeFrom="line">
                  <wp:posOffset>635</wp:posOffset>
                </wp:positionV>
                <wp:extent cx="6210300" cy="1165860"/>
                <wp:effectExtent l="0" t="0" r="0" b="0"/>
                <wp:wrapNone/>
                <wp:docPr id="432" name="Frame4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10300" cy="11658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tbl>
                            <w:tblPr>
                              <w:tblW w:w="10098" w:type="dxa"/>
                              <w:jc w:val="left"/>
                              <w:tblInd w:w="0" w:type="dxa"/>
                              <w:tblLayout w:type="fixed"/>
                              <w:tblCellMar>
                                <w:top w:w="28" w:type="dxa"/>
                                <w:left w:w="28" w:type="dxa"/>
                                <w:bottom w:w="28" w:type="dxa"/>
                                <w:right w:w="28" w:type="dxa"/>
                              </w:tblCellMar>
                            </w:tblPr>
                            <w:tblGrid>
                              <w:gridCol w:w="4691"/>
                              <w:gridCol w:w="581"/>
                              <w:gridCol w:w="4826"/>
                            </w:tblGrid>
                            <w:tr>
                              <w:trPr/>
                              <w:tc>
                                <w:tcPr>
                                  <w:tcW w:w="469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82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469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826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469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826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469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82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89pt;height:91.8pt;mso-wrap-distance-left:0pt;mso-wrap-distance-right:0pt;mso-wrap-distance-top:0pt;mso-wrap-distance-bottom:0pt;margin-top:0pt;mso-position-vertical:top;mso-position-vertical-relative:text;margin-left:64.5pt;mso-position-horizontal-relative:page">
                <v:textbox>
                  <w:txbxContent>
                    <w:tbl>
                      <w:tblPr>
                        <w:tblW w:w="10098" w:type="dxa"/>
                        <w:jc w:val="left"/>
                        <w:tblInd w:w="0" w:type="dxa"/>
                        <w:tblLayout w:type="fixed"/>
                        <w:tblCellMar>
                          <w:top w:w="28" w:type="dxa"/>
                          <w:left w:w="28" w:type="dxa"/>
                          <w:bottom w:w="28" w:type="dxa"/>
                          <w:right w:w="28" w:type="dxa"/>
                        </w:tblCellMar>
                      </w:tblPr>
                      <w:tblGrid>
                        <w:gridCol w:w="4691"/>
                        <w:gridCol w:w="581"/>
                        <w:gridCol w:w="4826"/>
                      </w:tblGrid>
                      <w:tr>
                        <w:trPr/>
                        <w:tc>
                          <w:tcPr>
                            <w:tcW w:w="469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8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82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469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8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826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469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8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826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469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8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82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</w:tbl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49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2914650" cy="131445"/>
                <wp:effectExtent l="0" t="0" r="0" b="0"/>
                <wp:wrapNone/>
                <wp:docPr id="433" name="Frame4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1465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sz w:val="24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 xml:space="preserve">Date: </w:t>
                            </w: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  <w:t>May 6, 2026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9.5pt;height:10.35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lineRule="atLeast" w:line="142" w:before="0" w:after="0"/>
                        <w:jc w:val="left"/>
                        <w:rPr>
                          <w:sz w:val="24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 xml:space="preserve">Date: </w:t>
                      </w: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  <w:t>May 6, 2026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50">
                <wp:simplePos x="0" y="0"/>
                <wp:positionH relativeFrom="page">
                  <wp:posOffset>2914650</wp:posOffset>
                </wp:positionH>
                <wp:positionV relativeFrom="line">
                  <wp:posOffset>635</wp:posOffset>
                </wp:positionV>
                <wp:extent cx="314325" cy="131445"/>
                <wp:effectExtent l="0" t="0" r="0" b="0"/>
                <wp:wrapNone/>
                <wp:docPr id="434" name="Frame4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4325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  <w:t>By: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4.75pt;height:10.35pt;mso-wrap-distance-left:0pt;mso-wrap-distance-right:0pt;mso-wrap-distance-top:0pt;mso-wrap-distance-bottom:0pt;margin-top:0pt;mso-position-vertical:top;mso-position-vertical-relative:text;margin-left:22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lineRule="atLeast" w:line="142" w:before="0" w:after="0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18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18"/>
                          <w:u w:val="none"/>
                          <w:effect w:val="none"/>
                        </w:rPr>
                        <w:t>By: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51">
                <wp:simplePos x="0" y="0"/>
                <wp:positionH relativeFrom="page">
                  <wp:posOffset>3228975</wp:posOffset>
                </wp:positionH>
                <wp:positionV relativeFrom="line">
                  <wp:posOffset>635</wp:posOffset>
                </wp:positionV>
                <wp:extent cx="2981325" cy="131445"/>
                <wp:effectExtent l="0" t="0" r="0" b="0"/>
                <wp:wrapNone/>
                <wp:docPr id="435" name="Frame4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81325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/s/ Wendy Barnes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34.75pt;height:10.35pt;mso-wrap-distance-left:0pt;mso-wrap-distance-right:0pt;mso-wrap-distance-top:0pt;mso-wrap-distance-bottom:0pt;margin-top:0pt;mso-position-vertical:top;mso-position-vertical-relative:text;margin-left:25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lineRule="atLeast" w:line="142" w:before="0" w:after="0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/s/ Wendy Barnes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z w:val="18"/>
          <w:shd w:fill="E4E4E4" w:val="clear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18"/>
          <w:shd w:fill="E4E4E4" w:val="clear"/>
        </w:rPr>
        <w:t>CERTIFICATION PURSUANT TO</w:t>
      </w:r>
    </w:p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z w:val="18"/>
          <w:shd w:fill="E4E4E4" w:val="clear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18"/>
          <w:shd w:fill="E4E4E4" w:val="clear"/>
        </w:rPr>
        <w:t>18 U.S.C. SECTION 1350, AS ADOPTED PURSUANT TO</w:t>
      </w:r>
    </w:p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z w:val="18"/>
          <w:shd w:fill="E4E4E4" w:val="clear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18"/>
          <w:shd w:fill="E4E4E4" w:val="clear"/>
        </w:rPr>
        <w:t>SECTION 906 OF THE SARBANES-OXLEY ACT OF 2002</w:t>
      </w:r>
    </w:p>
    <w:p>
      <w:pPr>
        <w:pStyle w:val="TextBody"/>
        <w:bidi w:val="0"/>
        <w:spacing w:before="0" w:after="283"/>
        <w:jc w:val="left"/>
        <w:rPr/>
      </w:pP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454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31445"/>
                <wp:effectExtent l="0" t="0" r="0" b="0"/>
                <wp:wrapNone/>
                <wp:docPr id="436" name="Frame4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In connection with the Quarterly Report on Form 10-Q of GoodRx Holdings, Inc. (the “Company”) for the period ended</w:t>
                            </w:r>
                            <w:r>
                              <w:br w:type="page"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0.3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In connection with the Quarterly Report on Form 10-Q of GoodRx Holdings, Inc. (the “Company”) for the period ended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55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437" name="Frame4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56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805180" cy="131445"/>
                <wp:effectExtent l="0" t="0" r="0" b="0"/>
                <wp:wrapNone/>
                <wp:docPr id="438" name="Frame4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518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  <w:t>March 31, 2026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4pt;height:10.3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  <w:t>March 31, 2026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57">
                <wp:simplePos x="0" y="0"/>
                <wp:positionH relativeFrom="page">
                  <wp:posOffset>1548130</wp:posOffset>
                </wp:positionH>
                <wp:positionV relativeFrom="line">
                  <wp:posOffset>635</wp:posOffset>
                </wp:positionV>
                <wp:extent cx="5479415" cy="131445"/>
                <wp:effectExtent l="0" t="0" r="0" b="0"/>
                <wp:wrapNone/>
                <wp:docPr id="439" name="Frame4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79415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as filed with the Securities and Exchange Commission on the date hereof (the “Report”), I certify, pursuant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31.45pt;height:10.35pt;mso-wrap-distance-left:0pt;mso-wrap-distance-right:0pt;mso-wrap-distance-top:0pt;mso-wrap-distance-bottom:0pt;margin-top:0pt;mso-position-vertical:top;mso-position-vertical-relative:text;margin-left:121.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as filed with the Securities and Exchange Commission on the date hereof (the “Report”), I certify, pursuant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58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440" name="Frame4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59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094730" cy="262890"/>
                <wp:effectExtent l="0" t="0" r="0" b="0"/>
                <wp:wrapNone/>
                <wp:docPr id="441" name="Frame4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94730" cy="26289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to 18 U.S.C. § 1350, as adopted pursuant to § 906 of the Sarbanes-Oxley Act of 2002, that, to the best of my knowledge: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79.9pt;height:20.7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to 18 U.S.C. § 1350, as adopted pursuant to § 906 of the Sarbanes-Oxley Act of 2002, that, to the best of my knowledge: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60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139700" cy="262890"/>
                <wp:effectExtent l="0" t="0" r="0" b="0"/>
                <wp:wrapNone/>
                <wp:docPr id="442" name="Frame4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9700" cy="26289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(1)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pt;height:20.7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(1)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61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8665" cy="131445"/>
                <wp:effectExtent l="0" t="0" r="0" b="0"/>
                <wp:wrapNone/>
                <wp:docPr id="443" name="Frame4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8665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The Report fully complies with the requirements of section 13(a) or 15(d) of the Securities Exchange Act of 1934;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8.95pt;height:10.3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The Report fully complies with the requirements of section 13(a) or 15(d) of the Securities Exchange Act of 1934;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62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444" name="Frame4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63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190500" cy="262890"/>
                <wp:effectExtent l="0" t="0" r="0" b="0"/>
                <wp:wrapNone/>
                <wp:docPr id="445" name="Frame4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0" cy="26289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and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5pt;height:20.7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and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64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139700" cy="262890"/>
                <wp:effectExtent l="0" t="0" r="0" b="0"/>
                <wp:wrapNone/>
                <wp:docPr id="446" name="Frame4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9700" cy="26289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(2)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pt;height:20.7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(2)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65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8030" cy="262890"/>
                <wp:effectExtent l="0" t="0" r="0" b="0"/>
                <wp:wrapNone/>
                <wp:docPr id="447" name="Frame4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8030" cy="26289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The information contained in the Report fairly presents, in all material respects, the financial condition and results of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8.9pt;height:20.7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The information contained in the Report fairly presents, in all material respects, the financial condition and results of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66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448" name="Frame4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67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1394460" cy="262890"/>
                <wp:effectExtent l="0" t="0" r="0" b="0"/>
                <wp:wrapNone/>
                <wp:docPr id="449" name="Frame4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94460" cy="26289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operations of the Company.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09.8pt;height:20.7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operations of the Company.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68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165860"/>
                <wp:effectExtent l="0" t="0" r="0" b="0"/>
                <wp:wrapNone/>
                <wp:docPr id="450" name="Frame4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1658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tbl>
                            <w:tblPr>
                              <w:tblW w:w="10218" w:type="dxa"/>
                              <w:jc w:val="left"/>
                              <w:tblInd w:w="0" w:type="dxa"/>
                              <w:tblLayout w:type="fixed"/>
                              <w:tblCellMar>
                                <w:top w:w="28" w:type="dxa"/>
                                <w:left w:w="28" w:type="dxa"/>
                                <w:bottom w:w="28" w:type="dxa"/>
                                <w:right w:w="28" w:type="dxa"/>
                              </w:tblCellMar>
                            </w:tblPr>
                            <w:tblGrid>
                              <w:gridCol w:w="4811"/>
                              <w:gridCol w:w="581"/>
                              <w:gridCol w:w="4826"/>
                            </w:tblGrid>
                            <w:tr>
                              <w:trPr/>
                              <w:tc>
                                <w:tcPr>
                                  <w:tcW w:w="481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82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481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826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481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826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481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82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91.8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tbl>
                      <w:tblPr>
                        <w:tblW w:w="10218" w:type="dxa"/>
                        <w:jc w:val="left"/>
                        <w:tblInd w:w="0" w:type="dxa"/>
                        <w:tblLayout w:type="fixed"/>
                        <w:tblCellMar>
                          <w:top w:w="28" w:type="dxa"/>
                          <w:left w:w="28" w:type="dxa"/>
                          <w:bottom w:w="28" w:type="dxa"/>
                          <w:right w:w="28" w:type="dxa"/>
                        </w:tblCellMar>
                      </w:tblPr>
                      <w:tblGrid>
                        <w:gridCol w:w="4811"/>
                        <w:gridCol w:w="581"/>
                        <w:gridCol w:w="4826"/>
                      </w:tblGrid>
                      <w:tr>
                        <w:trPr/>
                        <w:tc>
                          <w:tcPr>
                            <w:tcW w:w="481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8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82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481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8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826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481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8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826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481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8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82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</w:tbl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69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2990850" cy="131445"/>
                <wp:effectExtent l="0" t="0" r="0" b="0"/>
                <wp:wrapNone/>
                <wp:docPr id="451" name="Frame4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9085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sz w:val="24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 xml:space="preserve">Date: </w:t>
                            </w: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  <w:t>May 6, 2026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35.5pt;height:10.35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lineRule="atLeast" w:line="142" w:before="0" w:after="0"/>
                        <w:jc w:val="left"/>
                        <w:rPr>
                          <w:sz w:val="24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 xml:space="preserve">Date: </w:t>
                      </w: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  <w:t>May 6, 2026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70">
                <wp:simplePos x="0" y="0"/>
                <wp:positionH relativeFrom="page">
                  <wp:posOffset>2990850</wp:posOffset>
                </wp:positionH>
                <wp:positionV relativeFrom="line">
                  <wp:posOffset>635</wp:posOffset>
                </wp:positionV>
                <wp:extent cx="314325" cy="131445"/>
                <wp:effectExtent l="0" t="0" r="0" b="0"/>
                <wp:wrapNone/>
                <wp:docPr id="452" name="Frame4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4325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  <w:t>By: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4.75pt;height:10.35pt;mso-wrap-distance-left:0pt;mso-wrap-distance-right:0pt;mso-wrap-distance-top:0pt;mso-wrap-distance-bottom:0pt;margin-top:0pt;mso-position-vertical:top;mso-position-vertical-relative:text;margin-left:235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lineRule="atLeast" w:line="142" w:before="0" w:after="0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18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18"/>
                          <w:u w:val="none"/>
                          <w:effect w:val="none"/>
                        </w:rPr>
                        <w:t>By: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71">
                <wp:simplePos x="0" y="0"/>
                <wp:positionH relativeFrom="page">
                  <wp:posOffset>3305175</wp:posOffset>
                </wp:positionH>
                <wp:positionV relativeFrom="line">
                  <wp:posOffset>635</wp:posOffset>
                </wp:positionV>
                <wp:extent cx="2981325" cy="131445"/>
                <wp:effectExtent l="0" t="0" r="0" b="0"/>
                <wp:wrapNone/>
                <wp:docPr id="453" name="Frame4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81325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/s/ Christopher McGinnis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34.75pt;height:10.35pt;mso-wrap-distance-left:0pt;mso-wrap-distance-right:0pt;mso-wrap-distance-top:0pt;mso-wrap-distance-bottom:0pt;margin-top:0pt;mso-position-vertical:top;mso-position-vertical-relative:text;margin-left:26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lineRule="atLeast" w:line="142" w:before="0" w:after="0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/s/ Christopher McGinnis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sectPr>
      <w:type w:val="continuous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sans-serif"/>
    <w:charset w:val="01"/>
    <w:family w:val="auto"/>
    <w:pitch w:val="default"/>
  </w:font>
  <w:font w:name="Wingdings">
    <w:altName w:val="sans-serif"/>
    <w:charset w:val="02"/>
    <w:family w:val="auto"/>
    <w:pitch w:val="default"/>
  </w:font>
  <w:font w:name="Times New Roman">
    <w:altName w:val="serif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FrameContents">
    <w:name w:val="Frame Contents"/>
    <w:basedOn w:val="Normal"/>
    <w:qFormat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image" Target="media/image1.png"/><Relationship Id="rId4" Type="http://schemas.openxmlformats.org/officeDocument/2006/relationships/hyperlink" Target="https://www.sec.gov/Archives/edgar/data/1809519/000119312520256438/d35545dex31.htm" TargetMode="External"/><Relationship Id="rId5" Type="http://schemas.openxmlformats.org/officeDocument/2006/relationships/hyperlink" Target="https://www.sec.gov/Archives/edgar/data/0001809519/000119312520256438/d35545dex32.htm" TargetMode="External"/><Relationship Id="rId6" Type="http://schemas.openxmlformats.org/officeDocument/2006/relationships/hyperlink" Target="https://www.sec.gov/Archives/edgar/data/1809519/000119312520234662/d949310dex41.htm" TargetMode="External"/><Relationship Id="rId7" Type="http://schemas.openxmlformats.org/officeDocument/2006/relationships/hyperlink" Target="https://www.sec.gov/Archives/edgar/data/1809519/000119312520254694/d62083dex44.htm" TargetMode="External"/><Relationship Id="rId8" Type="http://schemas.openxmlformats.org/officeDocument/2006/relationships/image" Target="media/image2.png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12</Pages>
  <Words>17538</Words>
  <Characters>98962</Characters>
  <CharactersWithSpaces>115070</CharactersWithSpaces>
  <Paragraphs>2290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