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3" w:lineRule="exact"/>
        <w:rPr>
          <w:sz w:val="24"/>
          <w:szCs w:val="24"/>
          <w:color w:val="auto"/>
        </w:rPr>
      </w:pPr>
    </w:p>
    <w:p>
      <w:pPr>
        <w:ind w:left="3880" w:right="3320" w:hanging="3872"/>
        <w:spacing w:after="0" w:line="253" w:lineRule="auto"/>
        <w:tabs>
          <w:tab w:leader="none" w:pos="539"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4"/>
          <w:szCs w:val="14"/>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-303530</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3"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p>
      <w:pPr>
        <w:spacing w:after="0" w:line="109" w:lineRule="exact"/>
        <w:rPr>
          <w:sz w:val="24"/>
          <w:szCs w:val="24"/>
          <w:color w:val="auto"/>
        </w:rPr>
      </w:pPr>
    </w:p>
    <w:p>
      <w:pPr>
        <w:ind w:left="34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type w:val="continuous"/>
        </w:sect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GoodRx Holdings,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jc w:val="center"/>
              <w:ind w:left="1070"/>
              <w:spacing w:after="0"/>
              <w:rPr>
                <w:sz w:val="20"/>
                <w:szCs w:val="20"/>
                <w:color w:val="auto"/>
              </w:rPr>
            </w:pPr>
            <w:r>
              <w:rPr>
                <w:rFonts w:ascii="Arial" w:cs="Arial" w:eastAsia="Arial" w:hAnsi="Arial"/>
                <w:sz w:val="14"/>
                <w:szCs w:val="14"/>
                <w:b w:val="1"/>
                <w:bCs w:val="1"/>
                <w:color w:val="auto"/>
              </w:rPr>
              <w:t>Delaware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jc w:val="right"/>
              <w:ind w:right="2352"/>
              <w:spacing w:after="0"/>
              <w:rPr>
                <w:sz w:val="20"/>
                <w:szCs w:val="20"/>
                <w:color w:val="auto"/>
              </w:rPr>
            </w:pPr>
            <w:r>
              <w:rPr>
                <w:rFonts w:ascii="Arial" w:cs="Arial" w:eastAsia="Arial" w:hAnsi="Arial"/>
                <w:sz w:val="14"/>
                <w:szCs w:val="14"/>
                <w:b w:val="1"/>
                <w:bCs w:val="1"/>
                <w:color w:val="auto"/>
              </w:rPr>
              <w:t>47-5104396</w:t>
            </w:r>
          </w:p>
        </w:tc>
        <w:tc>
          <w:tcPr>
            <w:tcW w:w="0" w:type="dxa"/>
            <w:vAlign w:val="bottom"/>
          </w:tcPr>
          <w:p>
            <w:pPr>
              <w:spacing w:after="0"/>
              <w:rPr>
                <w:sz w:val="1"/>
                <w:szCs w:val="1"/>
                <w:color w:val="auto"/>
              </w:rPr>
            </w:pPr>
          </w:p>
        </w:tc>
      </w:tr>
      <w:tr>
        <w:trPr>
          <w:trHeight w:val="135"/>
        </w:trPr>
        <w:tc>
          <w:tcPr>
            <w:tcW w:w="4500" w:type="dxa"/>
            <w:vAlign w:val="bottom"/>
          </w:tcPr>
          <w:p>
            <w:pPr>
              <w:jc w:val="center"/>
              <w:ind w:left="1070"/>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00" w:type="dxa"/>
            <w:vAlign w:val="bottom"/>
          </w:tcPr>
          <w:p>
            <w:pPr>
              <w:jc w:val="center"/>
              <w:ind w:right="1052"/>
              <w:spacing w:after="0" w:line="135"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68"/>
        </w:trPr>
        <w:tc>
          <w:tcPr>
            <w:tcW w:w="4500" w:type="dxa"/>
            <w:vAlign w:val="bottom"/>
          </w:tcPr>
          <w:p>
            <w:pPr>
              <w:jc w:val="center"/>
              <w:ind w:left="1070"/>
              <w:spacing w:after="0"/>
              <w:rPr>
                <w:sz w:val="20"/>
                <w:szCs w:val="20"/>
                <w:color w:val="auto"/>
              </w:rPr>
            </w:pPr>
            <w:r>
              <w:rPr>
                <w:rFonts w:ascii="Arial" w:cs="Arial" w:eastAsia="Arial" w:hAnsi="Arial"/>
                <w:sz w:val="13"/>
                <w:szCs w:val="13"/>
                <w:b w:val="1"/>
                <w:bCs w:val="1"/>
                <w:color w:val="auto"/>
                <w:w w:val="96"/>
              </w:rPr>
              <w:t>incorporation or organization)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jc w:val="center"/>
              <w:ind w:right="1052"/>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286"/>
        </w:trPr>
        <w:tc>
          <w:tcPr>
            <w:tcW w:w="4500" w:type="dxa"/>
            <w:vAlign w:val="bottom"/>
          </w:tcPr>
          <w:p>
            <w:pPr>
              <w:jc w:val="center"/>
              <w:ind w:left="1050"/>
              <w:spacing w:after="0"/>
              <w:rPr>
                <w:sz w:val="20"/>
                <w:szCs w:val="20"/>
                <w:color w:val="auto"/>
              </w:rPr>
            </w:pPr>
            <w:r>
              <w:rPr>
                <w:rFonts w:ascii="Arial" w:cs="Arial" w:eastAsia="Arial" w:hAnsi="Arial"/>
                <w:sz w:val="14"/>
                <w:szCs w:val="14"/>
                <w:b w:val="1"/>
                <w:bCs w:val="1"/>
                <w:color w:val="auto"/>
              </w:rPr>
              <w:t>233 Wilshire Blvd., Suite 990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500" w:type="dxa"/>
            <w:vAlign w:val="bottom"/>
          </w:tcPr>
          <w:p>
            <w:pPr>
              <w:jc w:val="center"/>
              <w:ind w:left="1050"/>
              <w:spacing w:after="0" w:line="153" w:lineRule="exact"/>
              <w:rPr>
                <w:sz w:val="20"/>
                <w:szCs w:val="20"/>
                <w:color w:val="auto"/>
              </w:rPr>
            </w:pPr>
            <w:r>
              <w:rPr>
                <w:rFonts w:ascii="Arial" w:cs="Arial" w:eastAsia="Arial" w:hAnsi="Arial"/>
                <w:sz w:val="14"/>
                <w:szCs w:val="14"/>
                <w:b w:val="1"/>
                <w:bCs w:val="1"/>
                <w:color w:val="auto"/>
              </w:rPr>
              <w:t>Santa Monica, CA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00" w:type="dxa"/>
            <w:vAlign w:val="bottom"/>
          </w:tcPr>
          <w:p>
            <w:pPr>
              <w:jc w:val="right"/>
              <w:ind w:right="2532"/>
              <w:spacing w:after="0" w:line="153" w:lineRule="exact"/>
              <w:rPr>
                <w:sz w:val="20"/>
                <w:szCs w:val="20"/>
                <w:color w:val="auto"/>
              </w:rPr>
            </w:pPr>
            <w:r>
              <w:rPr>
                <w:rFonts w:ascii="Arial" w:cs="Arial" w:eastAsia="Arial" w:hAnsi="Arial"/>
                <w:sz w:val="14"/>
                <w:szCs w:val="14"/>
                <w:b w:val="1"/>
                <w:bCs w:val="1"/>
                <w:color w:val="auto"/>
              </w:rPr>
              <w:t>90401</w:t>
            </w:r>
          </w:p>
        </w:tc>
        <w:tc>
          <w:tcPr>
            <w:tcW w:w="0" w:type="dxa"/>
            <w:vAlign w:val="bottom"/>
          </w:tcPr>
          <w:p>
            <w:pPr>
              <w:spacing w:after="0"/>
              <w:rPr>
                <w:sz w:val="1"/>
                <w:szCs w:val="1"/>
                <w:color w:val="auto"/>
              </w:rPr>
            </w:pPr>
          </w:p>
        </w:tc>
      </w:tr>
      <w:tr>
        <w:trPr>
          <w:trHeight w:val="168"/>
        </w:trPr>
        <w:tc>
          <w:tcPr>
            <w:tcW w:w="4500" w:type="dxa"/>
            <w:vAlign w:val="bottom"/>
          </w:tcPr>
          <w:p>
            <w:pPr>
              <w:jc w:val="center"/>
              <w:ind w:left="1070"/>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2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rPr>
              <w:t>(855) 268-2822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jc w:val="center"/>
              <w:ind w:right="1052"/>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138"/>
        </w:trPr>
        <w:tc>
          <w:tcPr>
            <w:tcW w:w="450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242"/>
        </w:trPr>
        <w:tc>
          <w:tcPr>
            <w:tcW w:w="4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N/A</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20"/>
        </w:trPr>
        <w:tc>
          <w:tcPr>
            <w:tcW w:w="4500" w:type="dxa"/>
            <w:vAlign w:val="bottom"/>
            <w:vMerge w:val="restart"/>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4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Trading</w:t>
            </w: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5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tcPr>
          <w:p>
            <w:pPr>
              <w:ind w:left="600"/>
              <w:spacing w:after="0"/>
              <w:rPr>
                <w:sz w:val="20"/>
                <w:szCs w:val="20"/>
                <w:color w:val="auto"/>
              </w:rPr>
            </w:pPr>
            <w:r>
              <w:rPr>
                <w:rFonts w:ascii="Arial" w:cs="Arial" w:eastAsia="Arial" w:hAnsi="Arial"/>
                <w:sz w:val="14"/>
                <w:szCs w:val="14"/>
                <w:color w:val="auto"/>
              </w:rPr>
              <w:t>Class A Common Stock, $0.0001 par value per share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3"/>
          </w:tcPr>
          <w:p>
            <w:pPr>
              <w:jc w:val="center"/>
              <w:ind w:right="220"/>
              <w:spacing w:after="0"/>
              <w:rPr>
                <w:sz w:val="20"/>
                <w:szCs w:val="20"/>
                <w:color w:val="auto"/>
              </w:rPr>
            </w:pPr>
            <w:r>
              <w:rPr>
                <w:rFonts w:ascii="Arial" w:cs="Arial" w:eastAsia="Arial" w:hAnsi="Arial"/>
                <w:sz w:val="14"/>
                <w:szCs w:val="14"/>
                <w:color w:val="auto"/>
              </w:rPr>
              <w:t>GDRX</w:t>
            </w:r>
          </w:p>
        </w:tc>
        <w:tc>
          <w:tcPr>
            <w:tcW w:w="4500" w:type="dxa"/>
            <w:vAlign w:val="bottom"/>
          </w:tcPr>
          <w:p>
            <w:pPr>
              <w:jc w:val="center"/>
              <w:ind w:right="52"/>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jc w:val="both"/>
        <w:ind w:firstLine="599"/>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61" w:lineRule="exact"/>
        <w:tabs>
          <w:tab w:leader="none" w:pos="7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firstLine="59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ind w:firstLine="59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40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1"/>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40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0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09" w:lineRule="exact"/>
        <w:rPr>
          <w:sz w:val="24"/>
          <w:szCs w:val="24"/>
          <w:color w:val="auto"/>
        </w:rPr>
      </w:pPr>
    </w:p>
    <w:p>
      <w:pPr>
        <w:ind w:firstLine="59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600"/>
        <w:spacing w:after="0" w:line="161" w:lineRule="exact"/>
        <w:tabs>
          <w:tab w:leader="none" w:pos="7940" w:val="left"/>
          <w:tab w:leader="none" w:pos="8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0" w:lineRule="exact"/>
        <w:rPr>
          <w:sz w:val="24"/>
          <w:szCs w:val="24"/>
          <w:color w:val="auto"/>
        </w:rPr>
      </w:pPr>
    </w:p>
    <w:p>
      <w:pPr>
        <w:ind w:firstLine="599"/>
        <w:spacing w:after="0" w:line="258" w:lineRule="auto"/>
        <w:rPr>
          <w:sz w:val="20"/>
          <w:szCs w:val="20"/>
          <w:color w:val="auto"/>
        </w:rPr>
      </w:pPr>
      <w:r>
        <w:rPr>
          <w:rFonts w:ascii="Arial" w:cs="Arial" w:eastAsia="Arial" w:hAnsi="Arial"/>
          <w:sz w:val="14"/>
          <w:szCs w:val="14"/>
          <w:color w:val="auto"/>
        </w:rPr>
        <w:t>As of November 9, 2020, the registrant had 43,925,062 shares of Class A common stock, $0.0001 par value per share, and 346,357,135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b w:val="1"/>
          <w:bCs w:val="1"/>
          <w:color w:val="auto"/>
        </w:rPr>
        <w:t>ORWARD</w:t>
      </w:r>
      <w:r>
        <w:rPr>
          <w:rFonts w:ascii="Arial" w:cs="Arial" w:eastAsia="Arial" w:hAnsi="Arial"/>
          <w:sz w:val="18"/>
          <w:szCs w:val="18"/>
          <w:color w:val="auto"/>
        </w:rPr>
        <w:t>-L</w:t>
      </w:r>
      <w:r>
        <w:rPr>
          <w:rFonts w:ascii="Arial" w:cs="Arial" w:eastAsia="Arial" w:hAnsi="Arial"/>
          <w:sz w:val="18"/>
          <w:szCs w:val="18"/>
          <w:b w:val="1"/>
          <w:bCs w:val="1"/>
          <w:color w:val="auto"/>
        </w:rPr>
        <w:t>OOKING</w:t>
      </w:r>
      <w:r>
        <w:rPr>
          <w:rFonts w:ascii="Arial" w:cs="Arial" w:eastAsia="Arial" w:hAnsi="Arial"/>
          <w:sz w:val="18"/>
          <w:szCs w:val="18"/>
          <w:color w:val="auto"/>
        </w:rPr>
        <w:t xml:space="preserve"> S</w:t>
      </w:r>
      <w:r>
        <w:rPr>
          <w:rFonts w:ascii="Arial" w:cs="Arial" w:eastAsia="Arial" w:hAnsi="Arial"/>
          <w:sz w:val="18"/>
          <w:szCs w:val="18"/>
          <w:b w:val="1"/>
          <w:bCs w:val="1"/>
          <w:color w:val="auto"/>
        </w:rPr>
        <w:t>TATEMENTS</w:t>
      </w:r>
    </w:p>
    <w:p>
      <w:pPr>
        <w:spacing w:after="0" w:line="23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20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September 30, 2020.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w:t>
      </w:r>
    </w:p>
    <w:p>
      <w:pPr>
        <w:spacing w:after="0" w:line="234" w:lineRule="auto"/>
        <w:rPr>
          <w:sz w:val="20"/>
          <w:szCs w:val="20"/>
          <w:color w:val="auto"/>
        </w:rPr>
      </w:pPr>
      <w:r>
        <w:rPr>
          <w:rFonts w:ascii="Arial" w:cs="Arial" w:eastAsia="Arial" w:hAnsi="Arial"/>
          <w:sz w:val="18"/>
          <w:szCs w:val="18"/>
          <w:color w:val="auto"/>
        </w:rPr>
        <w:t>Quarterly Report on Form 10-Q. You should carefully consider these risks and uncertainties when investing in our Class A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04" w:lineRule="exact"/>
        <w:rPr>
          <w:sz w:val="20"/>
          <w:szCs w:val="20"/>
          <w:color w:val="auto"/>
        </w:rPr>
      </w:pPr>
    </w:p>
    <w:p>
      <w:pPr>
        <w:ind w:left="740" w:right="2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limited operating history and early stage of growth could materially adversely impact our business, financial condition, and results of operations;</w:t>
      </w:r>
    </w:p>
    <w:p>
      <w:pPr>
        <w:spacing w:after="0" w:line="8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lower margins as HeyDoctor continues to grow as a portion of our overall business;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unsuccessful in achieving broad market education and changing consumer purchasing habits;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continue to attract, acquire and retain consumers, or may fail to do so in a cost-effective manner;</w:t>
      </w:r>
    </w:p>
    <w:p>
      <w:pPr>
        <w:spacing w:after="0" w:line="117" w:lineRule="exact"/>
        <w:rPr>
          <w:rFonts w:ascii="Arial" w:cs="Arial" w:eastAsia="Arial" w:hAnsi="Arial"/>
          <w:sz w:val="18"/>
          <w:szCs w:val="18"/>
          <w:color w:val="auto"/>
        </w:rPr>
      </w:pPr>
    </w:p>
    <w:p>
      <w:pPr>
        <w:ind w:left="74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significantly on our prescription offering and may not be successful in expanding our offerings within our markets, or to other segments of the healthcare industry;</w:t>
      </w:r>
    </w:p>
    <w:p>
      <w:pPr>
        <w:spacing w:after="0" w:line="88" w:lineRule="exact"/>
        <w:rPr>
          <w:rFonts w:ascii="Arial" w:cs="Arial" w:eastAsia="Arial" w:hAnsi="Arial"/>
          <w:sz w:val="18"/>
          <w:szCs w:val="18"/>
          <w:color w:val="auto"/>
        </w:rPr>
      </w:pPr>
    </w:p>
    <w:p>
      <w:pPr>
        <w:ind w:left="74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changes in medication pricing and is significantly impacted by pricing structures negotiated by industry participants;</w:t>
      </w:r>
    </w:p>
    <w:p>
      <w:pPr>
        <w:spacing w:after="0" w:line="8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generally do not control the categories and types of prescriptions for which we can offer savings;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a limited number of industry participants;</w:t>
      </w:r>
    </w:p>
    <w:p>
      <w:pPr>
        <w:spacing w:after="0" w:line="117" w:lineRule="exact"/>
        <w:rPr>
          <w:rFonts w:ascii="Arial" w:cs="Arial" w:eastAsia="Arial" w:hAnsi="Arial"/>
          <w:sz w:val="18"/>
          <w:szCs w:val="18"/>
          <w:color w:val="auto"/>
        </w:rPr>
      </w:pPr>
    </w:p>
    <w:p>
      <w:pPr>
        <w:ind w:left="74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effectively differentiate our offerings and services from those of our competitors, which could impair our ability to attract and acquire new consumers and retain existing consumers;</w:t>
      </w:r>
    </w:p>
    <w:p>
      <w:pPr>
        <w:spacing w:after="0" w:line="88" w:lineRule="exact"/>
        <w:rPr>
          <w:rFonts w:ascii="Arial" w:cs="Arial" w:eastAsia="Arial" w:hAnsi="Arial"/>
          <w:sz w:val="18"/>
          <w:szCs w:val="18"/>
          <w:color w:val="auto"/>
        </w:rPr>
      </w:pPr>
    </w:p>
    <w:p>
      <w:pPr>
        <w:ind w:left="74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the United States, including COVID-19, could adversely impact our business;</w:t>
      </w:r>
    </w:p>
    <w:p>
      <w:pPr>
        <w:spacing w:after="0" w:line="88" w:lineRule="exact"/>
        <w:rPr>
          <w:rFonts w:ascii="Arial" w:cs="Arial" w:eastAsia="Arial" w:hAnsi="Arial"/>
          <w:sz w:val="18"/>
          <w:szCs w:val="18"/>
          <w:color w:val="auto"/>
        </w:rPr>
      </w:pPr>
    </w:p>
    <w:p>
      <w:pPr>
        <w:ind w:left="74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have overestimated the size of our addressable market or the various markets in which we operate, our future growth opportunities may be limited;</w:t>
      </w:r>
    </w:p>
    <w:p>
      <w:pPr>
        <w:spacing w:after="0" w:line="88" w:lineRule="exact"/>
        <w:rPr>
          <w:rFonts w:ascii="Arial" w:cs="Arial" w:eastAsia="Arial" w:hAnsi="Arial"/>
          <w:sz w:val="18"/>
          <w:szCs w:val="18"/>
          <w:color w:val="auto"/>
        </w:rPr>
      </w:pPr>
    </w:p>
    <w:p>
      <w:pPr>
        <w:ind w:left="74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calculate certain operational metrics using internal systems and tools and do not independently verify such metrics, and any real or perceived inaccuracies in such metrics may harm our reputation and negatively affect our business;</w:t>
      </w:r>
    </w:p>
    <w:p>
      <w:pPr>
        <w:spacing w:after="0" w:line="88" w:lineRule="exact"/>
        <w:rPr>
          <w:rFonts w:ascii="Arial" w:cs="Arial" w:eastAsia="Arial" w:hAnsi="Arial"/>
          <w:sz w:val="18"/>
          <w:szCs w:val="18"/>
          <w:color w:val="auto"/>
        </w:rPr>
      </w:pPr>
    </w:p>
    <w:p>
      <w:pPr>
        <w:ind w:left="740" w:right="2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telehealth market is immature and volatile, and if it does not develop, or if it develops more slowly than we expect, the growth of our business will be harmed;</w:t>
      </w:r>
    </w:p>
    <w:p>
      <w:pPr>
        <w:spacing w:after="0" w:line="8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telehealth offerings depend in part on our ability to maintain and expand a network of skilled telehealth providers;</w:t>
      </w:r>
    </w:p>
    <w:p>
      <w:pPr>
        <w:spacing w:after="0" w:line="117" w:lineRule="exact"/>
        <w:rPr>
          <w:rFonts w:ascii="Arial" w:cs="Arial" w:eastAsia="Arial" w:hAnsi="Arial"/>
          <w:sz w:val="18"/>
          <w:szCs w:val="18"/>
          <w:color w:val="auto"/>
        </w:rPr>
      </w:pPr>
    </w:p>
    <w:p>
      <w:pPr>
        <w:ind w:left="740" w:right="2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respond to changes in the market for prescription pricing, and may fail to maintain and expand the use of GoodRx codes through our apps and websites;</w:t>
      </w:r>
    </w:p>
    <w:p>
      <w:pPr>
        <w:spacing w:after="0" w:line="8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maintain a positive perception regarding our platform or enhance our brand;</w:t>
      </w:r>
    </w:p>
    <w:p>
      <w:pPr>
        <w:spacing w:after="0" w:line="117" w:lineRule="exact"/>
        <w:rPr>
          <w:rFonts w:ascii="Arial" w:cs="Arial" w:eastAsia="Arial" w:hAnsi="Arial"/>
          <w:sz w:val="18"/>
          <w:szCs w:val="18"/>
          <w:color w:val="auto"/>
        </w:rPr>
      </w:pPr>
    </w:p>
    <w:p>
      <w:pPr>
        <w:jc w:val="both"/>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material weaknesses in our internal control over financial reporting, we may not be able to accurately report our financial condition or results of operations, which may adversely affect investor confidence in us and, as a result, the value of our Class A common stock;</w:t>
      </w:r>
    </w:p>
    <w:p>
      <w:pPr>
        <w:spacing w:after="0" w:line="94" w:lineRule="exact"/>
        <w:rPr>
          <w:rFonts w:ascii="Arial" w:cs="Arial" w:eastAsia="Arial" w:hAnsi="Arial"/>
          <w:sz w:val="18"/>
          <w:szCs w:val="18"/>
          <w:color w:val="auto"/>
        </w:rPr>
      </w:pPr>
    </w:p>
    <w:p>
      <w:pPr>
        <w:ind w:left="74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social media, emails and text messages may adversely impact our reputation, subject us to fines or other penalties or be an ineffective source to market our offerings;</w:t>
      </w:r>
    </w:p>
    <w:p>
      <w:pPr>
        <w:spacing w:after="0" w:line="8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accurately forecast revenue and appropriately plan our expenses in the future;</w:t>
      </w:r>
    </w:p>
    <w:p>
      <w:pPr>
        <w:spacing w:after="0" w:line="117" w:lineRule="exact"/>
        <w:rPr>
          <w:rFonts w:ascii="Arial" w:cs="Arial" w:eastAsia="Arial" w:hAnsi="Arial"/>
          <w:sz w:val="18"/>
          <w:szCs w:val="18"/>
          <w:color w:val="auto"/>
        </w:rPr>
      </w:pPr>
    </w:p>
    <w:p>
      <w:pPr>
        <w:jc w:val="both"/>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94" w:lineRule="exact"/>
        <w:rPr>
          <w:rFonts w:ascii="Arial" w:cs="Arial" w:eastAsia="Arial" w:hAnsi="Arial"/>
          <w:sz w:val="18"/>
          <w:szCs w:val="18"/>
          <w:color w:val="auto"/>
        </w:rPr>
      </w:pPr>
    </w:p>
    <w:p>
      <w:pPr>
        <w:ind w:left="740" w:right="2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the internet and e-commerce is evolving, and unfavorable changes or failure by us to comply with these laws and regulations could substantially harm our business and results of operations.</w:t>
      </w:r>
    </w:p>
    <w:p>
      <w:pPr>
        <w:spacing w:after="0" w:line="88" w:lineRule="exact"/>
        <w:rPr>
          <w:rFonts w:ascii="Arial" w:cs="Arial" w:eastAsia="Arial" w:hAnsi="Arial"/>
          <w:sz w:val="18"/>
          <w:szCs w:val="18"/>
          <w:color w:val="auto"/>
        </w:rPr>
      </w:pPr>
    </w:p>
    <w:p>
      <w:pPr>
        <w:ind w:left="740" w:hanging="368"/>
        <w:spacing w:after="0" w:line="24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the risk of litigation resulting from unauthorized text messages sent in violation of the Telephone Consumer Protection Act;</w:t>
      </w:r>
    </w:p>
    <w:p>
      <w:pPr>
        <w:spacing w:after="0" w:line="117" w:lineRule="exact"/>
        <w:rPr>
          <w:rFonts w:ascii="Arial" w:cs="Arial" w:eastAsia="Arial" w:hAnsi="Arial"/>
          <w:sz w:val="18"/>
          <w:szCs w:val="18"/>
          <w:color w:val="auto"/>
        </w:rPr>
      </w:pPr>
    </w:p>
    <w:p>
      <w:pPr>
        <w:jc w:val="both"/>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94"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and certain other tax attributes may be limited;</w:t>
      </w:r>
    </w:p>
    <w:p>
      <w:pPr>
        <w:spacing w:after="0" w:line="117" w:lineRule="exact"/>
        <w:rPr>
          <w:rFonts w:ascii="Arial" w:cs="Arial" w:eastAsia="Arial" w:hAnsi="Arial"/>
          <w:sz w:val="18"/>
          <w:szCs w:val="18"/>
          <w:color w:val="auto"/>
        </w:rPr>
      </w:pPr>
    </w:p>
    <w:p>
      <w:pPr>
        <w:ind w:left="368" w:right="20" w:hanging="368"/>
        <w:spacing w:after="0" w:line="246"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management team has limited experience managing a public company, and regulatory compliance may divert its attention from the day-to-day management of our business;</w:t>
      </w:r>
    </w:p>
    <w:p>
      <w:pPr>
        <w:spacing w:after="0" w:line="88"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attract and retain well-qualified employees, our business could be harmed;</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litigation could have a material adverse effect on our business and results of operations;</w:t>
      </w:r>
    </w:p>
    <w:p>
      <w:pPr>
        <w:spacing w:after="0" w:line="117" w:lineRule="exact"/>
        <w:rPr>
          <w:rFonts w:ascii="Arial" w:cs="Arial" w:eastAsia="Arial" w:hAnsi="Arial"/>
          <w:sz w:val="18"/>
          <w:szCs w:val="18"/>
          <w:color w:val="auto"/>
        </w:rPr>
      </w:pPr>
    </w:p>
    <w:p>
      <w:pPr>
        <w:ind w:left="368" w:right="20" w:hanging="368"/>
        <w:spacing w:after="0" w:line="246"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debt arrangements could adversely affect our operating flexibility, and failure to comply with any of these restrictions could result in acceleration of our debt;</w:t>
      </w:r>
    </w:p>
    <w:p>
      <w:pPr>
        <w:spacing w:after="0" w:line="88" w:lineRule="exact"/>
        <w:rPr>
          <w:rFonts w:ascii="Arial" w:cs="Arial" w:eastAsia="Arial" w:hAnsi="Arial"/>
          <w:sz w:val="18"/>
          <w:szCs w:val="18"/>
          <w:color w:val="auto"/>
        </w:rPr>
      </w:pPr>
    </w:p>
    <w:p>
      <w:pPr>
        <w:ind w:left="368" w:hanging="368"/>
        <w:spacing w:after="0" w:line="246"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significant interruptions or delays in service on our apps or websites or any undetected errors or design faults could result in limited capacity, reduced demand, processing delays and loss of consumers;</w:t>
      </w:r>
    </w:p>
    <w:p>
      <w:pPr>
        <w:spacing w:after="0" w:line="88" w:lineRule="exact"/>
        <w:rPr>
          <w:rFonts w:ascii="Arial" w:cs="Arial" w:eastAsia="Arial" w:hAnsi="Arial"/>
          <w:sz w:val="18"/>
          <w:szCs w:val="18"/>
          <w:color w:val="auto"/>
        </w:rPr>
      </w:pPr>
    </w:p>
    <w:p>
      <w:pPr>
        <w:ind w:left="368" w:hanging="368"/>
        <w:spacing w:after="0" w:line="246"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our relationships with third parties and would be adversely impacted by system failures or other disruptions in the operations of these parties;</w:t>
      </w:r>
    </w:p>
    <w:p>
      <w:pPr>
        <w:spacing w:after="0" w:line="88" w:lineRule="exact"/>
        <w:rPr>
          <w:rFonts w:ascii="Arial" w:cs="Arial" w:eastAsia="Arial" w:hAnsi="Arial"/>
          <w:sz w:val="18"/>
          <w:szCs w:val="18"/>
          <w:color w:val="auto"/>
        </w:rPr>
      </w:pPr>
    </w:p>
    <w:p>
      <w:pPr>
        <w:jc w:val="both"/>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94" w:lineRule="exact"/>
        <w:rPr>
          <w:rFonts w:ascii="Arial" w:cs="Arial" w:eastAsia="Arial" w:hAnsi="Arial"/>
          <w:sz w:val="18"/>
          <w:szCs w:val="18"/>
          <w:color w:val="auto"/>
        </w:rPr>
      </w:pPr>
    </w:p>
    <w:p>
      <w:pPr>
        <w:ind w:left="368" w:hanging="368"/>
        <w:spacing w:after="0" w:line="246"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intellectual property could materially adversely impact our business, competitive position, financial condition, and results of operations;</w:t>
      </w:r>
    </w:p>
    <w:p>
      <w:pPr>
        <w:spacing w:after="0" w:line="88" w:lineRule="exact"/>
        <w:rPr>
          <w:rFonts w:ascii="Arial" w:cs="Arial" w:eastAsia="Arial" w:hAnsi="Arial"/>
          <w:sz w:val="18"/>
          <w:szCs w:val="18"/>
          <w:color w:val="auto"/>
        </w:rPr>
      </w:pPr>
    </w:p>
    <w:p>
      <w:pPr>
        <w:ind w:left="368" w:right="20" w:hanging="368"/>
        <w:spacing w:after="0" w:line="246"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healthcare industry and healthcare regulation could materially adversely impact our business, financial condition, and results of operations; and</w:t>
      </w:r>
    </w:p>
    <w:p>
      <w:pPr>
        <w:spacing w:after="0" w:line="88" w:lineRule="exact"/>
        <w:rPr>
          <w:rFonts w:ascii="Arial" w:cs="Arial" w:eastAsia="Arial" w:hAnsi="Arial"/>
          <w:sz w:val="18"/>
          <w:szCs w:val="18"/>
          <w:color w:val="auto"/>
        </w:rPr>
      </w:pPr>
    </w:p>
    <w:p>
      <w:pPr>
        <w:ind w:left="368" w:hanging="368"/>
        <w:spacing w:after="0" w:line="246"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organizational structure, including agreements and relationships with significant stockholders, could materially adversely impact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57150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8"/>
          </w:cols>
          <w:pgMar w:left="692" w:top="476"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GOODRX HOLDINGS, INC.</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5"/>
                <w:szCs w:val="15"/>
                <w:color w:val="auto"/>
              </w:rPr>
            </w:pPr>
          </w:p>
        </w:tc>
      </w:tr>
      <w:tr>
        <w:trPr>
          <w:trHeight w:val="452"/>
        </w:trPr>
        <w:tc>
          <w:tcPr>
            <w:tcW w:w="7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INFORMATION</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4"/>
                <w:szCs w:val="24"/>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Statements (Unaudited)</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480" w:type="dxa"/>
            <w:vAlign w:val="bottom"/>
            <w:gridSpan w:val="7"/>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 as September 30, 2020 and December 31, 2019</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8"/>
                <w:szCs w:val="18"/>
                <w:color w:val="auto"/>
              </w:rPr>
            </w:pPr>
          </w:p>
        </w:tc>
      </w:tr>
      <w:tr>
        <w:trPr>
          <w:trHeight w:val="176"/>
        </w:trPr>
        <w:tc>
          <w:tcPr>
            <w:tcW w:w="780" w:type="dxa"/>
            <w:vAlign w:val="bottom"/>
          </w:tcPr>
          <w:p>
            <w:pPr>
              <w:spacing w:after="0"/>
              <w:rPr>
                <w:sz w:val="15"/>
                <w:szCs w:val="15"/>
                <w:color w:val="auto"/>
              </w:rPr>
            </w:pPr>
          </w:p>
        </w:tc>
        <w:tc>
          <w:tcPr>
            <w:tcW w:w="9480" w:type="dxa"/>
            <w:vAlign w:val="bottom"/>
            <w:gridSpan w:val="7"/>
          </w:tcPr>
          <w:p>
            <w:pPr>
              <w:ind w:left="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 for the Three and Nine Months Ended September 30, 2020</w:t>
              </w:r>
            </w:hyperlink>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and 2019</w:t>
              </w:r>
            </w:hyperlink>
          </w:p>
        </w:tc>
        <w:tc>
          <w:tcPr>
            <w:tcW w:w="7880" w:type="dxa"/>
            <w:vAlign w:val="bottom"/>
            <w:tcBorders>
              <w:top w:val="single" w:sz="8" w:color="0000EE"/>
            </w:tcBorders>
            <w:gridSpan w:val="2"/>
          </w:tcPr>
          <w:p>
            <w:pPr>
              <w:spacing w:after="0"/>
              <w:rPr>
                <w:sz w:val="15"/>
                <w:szCs w:val="15"/>
                <w:color w:val="auto"/>
              </w:rPr>
            </w:pPr>
          </w:p>
        </w:tc>
        <w:tc>
          <w:tcPr>
            <w:tcW w:w="540" w:type="dxa"/>
            <w:vAlign w:val="bottom"/>
            <w:gridSpan w:val="2"/>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5"/>
                <w:szCs w:val="15"/>
                <w:color w:val="auto"/>
              </w:rPr>
            </w:pPr>
          </w:p>
        </w:tc>
      </w:tr>
      <w:tr>
        <w:trPr>
          <w:trHeight w:val="196"/>
        </w:trPr>
        <w:tc>
          <w:tcPr>
            <w:tcW w:w="780" w:type="dxa"/>
            <w:vAlign w:val="bottom"/>
          </w:tcPr>
          <w:p>
            <w:pPr>
              <w:spacing w:after="0"/>
              <w:rPr>
                <w:sz w:val="17"/>
                <w:szCs w:val="17"/>
                <w:color w:val="auto"/>
              </w:rPr>
            </w:pPr>
          </w:p>
        </w:tc>
        <w:tc>
          <w:tcPr>
            <w:tcW w:w="9480" w:type="dxa"/>
            <w:vAlign w:val="bottom"/>
            <w:gridSpan w:val="7"/>
          </w:tcPr>
          <w:p>
            <w:pPr>
              <w:ind w:left="8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Changes in Redeemable Convertible Preferred Stock and Stockholders’</w:t>
              </w:r>
            </w:hyperlink>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74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Equity (Deficit) for the Nine Months Ended September 30, 2020 and 2019</w:t>
              </w:r>
            </w:hyperlink>
          </w:p>
        </w:tc>
        <w:tc>
          <w:tcPr>
            <w:tcW w:w="440" w:type="dxa"/>
            <w:vAlign w:val="bottom"/>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40" w:type="dxa"/>
            <w:vAlign w:val="bottom"/>
            <w:gridSpan w:val="2"/>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780" w:type="dxa"/>
            <w:vAlign w:val="bottom"/>
          </w:tcPr>
          <w:p>
            <w:pPr>
              <w:spacing w:after="0"/>
              <w:rPr>
                <w:sz w:val="20"/>
                <w:szCs w:val="20"/>
                <w:color w:val="auto"/>
              </w:rPr>
            </w:pPr>
          </w:p>
        </w:tc>
        <w:tc>
          <w:tcPr>
            <w:tcW w:w="9480" w:type="dxa"/>
            <w:vAlign w:val="bottom"/>
            <w:gridSpan w:val="7"/>
          </w:tcPr>
          <w:p>
            <w:pPr>
              <w:ind w:left="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9480" w:type="dxa"/>
            <w:vAlign w:val="bottom"/>
            <w:gridSpan w:val="7"/>
          </w:tcPr>
          <w:p>
            <w:pPr>
              <w:ind w:left="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20" w:type="dxa"/>
            <w:vAlign w:val="bottom"/>
          </w:tcPr>
          <w:p>
            <w:pPr>
              <w:spacing w:after="0"/>
              <w:rPr>
                <w:sz w:val="18"/>
                <w:szCs w:val="18"/>
                <w:color w:val="auto"/>
              </w:rPr>
            </w:pP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20" w:type="dxa"/>
            <w:vAlign w:val="bottom"/>
          </w:tcPr>
          <w:p>
            <w:pPr>
              <w:spacing w:after="0"/>
              <w:rPr>
                <w:sz w:val="18"/>
                <w:szCs w:val="18"/>
                <w:color w:val="auto"/>
              </w:rPr>
            </w:pPr>
          </w:p>
        </w:tc>
      </w:tr>
      <w:tr>
        <w:trPr>
          <w:trHeight w:val="445"/>
        </w:trPr>
        <w:tc>
          <w:tcPr>
            <w:tcW w:w="7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OTHER INFORMATION</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20" w:type="dxa"/>
            <w:vAlign w:val="bottom"/>
          </w:tcPr>
          <w:p>
            <w:pPr>
              <w:spacing w:after="0"/>
              <w:rPr>
                <w:sz w:val="24"/>
                <w:szCs w:val="24"/>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Unregistered Sales of Equity Securities and Use of Proceeds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78</w:t>
            </w: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Defaults Upon Senior Securities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78</w:t>
            </w: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Mine Safety Disclosures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78</w:t>
            </w: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Other Information</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78</w:t>
            </w: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480" w:type="dxa"/>
            <w:vAlign w:val="bottom"/>
            <w:gridSpan w:val="7"/>
          </w:tcPr>
          <w:p>
            <w:pPr>
              <w:ind w:left="8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Exhibits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79</w:t>
            </w:r>
          </w:p>
        </w:tc>
        <w:tc>
          <w:tcPr>
            <w:tcW w:w="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9480" w:type="dxa"/>
            <w:vAlign w:val="bottom"/>
            <w:gridSpan w:val="7"/>
          </w:tcPr>
          <w:p>
            <w:pPr>
              <w:ind w:left="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Signatures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20" w:type="dxa"/>
            <w:vAlign w:val="bottom"/>
          </w:tcPr>
          <w:p>
            <w:pPr>
              <w:spacing w:after="0"/>
              <w:rPr>
                <w:sz w:val="20"/>
                <w:szCs w:val="20"/>
                <w:color w:val="auto"/>
              </w:rPr>
            </w:pPr>
          </w:p>
        </w:tc>
      </w:tr>
      <w:tr>
        <w:trPr>
          <w:trHeight w:val="533"/>
        </w:trPr>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GoodRx Holdings,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7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par values)</w:t>
            </w:r>
          </w:p>
        </w:tc>
        <w:tc>
          <w:tcPr>
            <w:tcW w:w="6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169"/>
        </w:trPr>
        <w:tc>
          <w:tcPr>
            <w:tcW w:w="67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Assets</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780" w:type="dxa"/>
            <w:vAlign w:val="bottom"/>
          </w:tcPr>
          <w:p>
            <w:pPr>
              <w:spacing w:after="0"/>
              <w:rPr>
                <w:sz w:val="20"/>
                <w:szCs w:val="20"/>
                <w:color w:val="auto"/>
              </w:rPr>
            </w:pPr>
            <w:r>
              <w:rPr>
                <w:rFonts w:ascii="Arial" w:cs="Arial" w:eastAsia="Arial" w:hAnsi="Arial"/>
                <w:sz w:val="15"/>
                <w:szCs w:val="15"/>
                <w:color w:val="auto"/>
              </w:rPr>
              <w:t>Current assets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1,075,024</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26,050</w:t>
            </w:r>
          </w:p>
        </w:tc>
        <w:tc>
          <w:tcPr>
            <w:tcW w:w="100" w:type="dxa"/>
            <w:vAlign w:val="bottom"/>
            <w:shd w:val="clear" w:color="auto" w:fill="CFF0FC"/>
          </w:tcPr>
          <w:p>
            <w:pPr>
              <w:spacing w:after="0"/>
              <w:rPr>
                <w:sz w:val="15"/>
                <w:szCs w:val="15"/>
                <w:color w:val="auto"/>
              </w:rPr>
            </w:pPr>
          </w:p>
        </w:tc>
      </w:tr>
      <w:tr>
        <w:trPr>
          <w:trHeight w:val="176"/>
        </w:trPr>
        <w:tc>
          <w:tcPr>
            <w:tcW w:w="678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2,900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5"/>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receivable, net</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63,518</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48,129</w:t>
            </w:r>
          </w:p>
        </w:tc>
        <w:tc>
          <w:tcPr>
            <w:tcW w:w="100" w:type="dxa"/>
            <w:vAlign w:val="bottom"/>
            <w:shd w:val="clear" w:color="auto" w:fill="CFF0FC"/>
          </w:tcPr>
          <w:p>
            <w:pPr>
              <w:spacing w:after="0"/>
              <w:rPr>
                <w:sz w:val="15"/>
                <w:szCs w:val="15"/>
                <w:color w:val="auto"/>
              </w:rPr>
            </w:pPr>
          </w:p>
        </w:tc>
      </w:tr>
      <w:tr>
        <w:trPr>
          <w:trHeight w:val="176"/>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6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39,630</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12,403</w:t>
            </w:r>
          </w:p>
        </w:tc>
        <w:tc>
          <w:tcPr>
            <w:tcW w:w="100" w:type="dxa"/>
            <w:vAlign w:val="bottom"/>
            <w:tcBorders>
              <w:bottom w:val="single" w:sz="8" w:color="CFF0FC"/>
            </w:tcBorders>
          </w:tcPr>
          <w:p>
            <w:pPr>
              <w:spacing w:after="0"/>
              <w:rPr>
                <w:sz w:val="15"/>
                <w:szCs w:val="15"/>
                <w:color w:val="auto"/>
              </w:rPr>
            </w:pPr>
          </w:p>
        </w:tc>
      </w:tr>
      <w:tr>
        <w:trPr>
          <w:trHeight w:val="169"/>
        </w:trPr>
        <w:tc>
          <w:tcPr>
            <w:tcW w:w="67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1,181,072</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86,582</w:t>
            </w:r>
          </w:p>
        </w:tc>
        <w:tc>
          <w:tcPr>
            <w:tcW w:w="100" w:type="dxa"/>
            <w:vAlign w:val="bottom"/>
            <w:shd w:val="clear" w:color="auto" w:fill="CFF0FC"/>
          </w:tcPr>
          <w:p>
            <w:pPr>
              <w:spacing w:after="0"/>
              <w:rPr>
                <w:sz w:val="14"/>
                <w:szCs w:val="14"/>
                <w:color w:val="auto"/>
              </w:rPr>
            </w:pPr>
          </w:p>
        </w:tc>
      </w:tr>
      <w:tr>
        <w:trPr>
          <w:trHeight w:val="175"/>
        </w:trPr>
        <w:tc>
          <w:tcPr>
            <w:tcW w:w="6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78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 net</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16,757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1,860</w:t>
            </w:r>
          </w:p>
        </w:tc>
        <w:tc>
          <w:tcPr>
            <w:tcW w:w="100" w:type="dxa"/>
            <w:vAlign w:val="bottom"/>
            <w:shd w:val="clear" w:color="auto" w:fill="CFF0FC"/>
          </w:tcPr>
          <w:p>
            <w:pPr>
              <w:spacing w:after="0"/>
              <w:rPr>
                <w:sz w:val="15"/>
                <w:szCs w:val="15"/>
                <w:color w:val="auto"/>
              </w:rPr>
            </w:pPr>
          </w:p>
        </w:tc>
      </w:tr>
      <w:tr>
        <w:trPr>
          <w:trHeight w:val="175"/>
        </w:trPr>
        <w:tc>
          <w:tcPr>
            <w:tcW w:w="6780" w:type="dxa"/>
            <w:vAlign w:val="bottom"/>
          </w:tcPr>
          <w:p>
            <w:pPr>
              <w:spacing w:after="0"/>
              <w:rPr>
                <w:sz w:val="20"/>
                <w:szCs w:val="20"/>
                <w:color w:val="auto"/>
              </w:rPr>
            </w:pPr>
            <w:r>
              <w:rPr>
                <w:rFonts w:ascii="Arial" w:cs="Arial" w:eastAsia="Arial" w:hAnsi="Arial"/>
                <w:sz w:val="15"/>
                <w:szCs w:val="15"/>
                <w:color w:val="auto"/>
              </w:rPr>
              <w:t>Goodwill</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261,116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236,225</w:t>
            </w:r>
          </w:p>
        </w:tc>
        <w:tc>
          <w:tcPr>
            <w:tcW w:w="100" w:type="dxa"/>
            <w:vAlign w:val="bottom"/>
          </w:tcPr>
          <w:p>
            <w:pPr>
              <w:spacing w:after="0"/>
              <w:rPr>
                <w:sz w:val="15"/>
                <w:szCs w:val="15"/>
                <w:color w:val="auto"/>
              </w:rPr>
            </w:pPr>
          </w:p>
        </w:tc>
      </w:tr>
      <w:tr>
        <w:trPr>
          <w:trHeight w:val="176"/>
        </w:trPr>
        <w:tc>
          <w:tcPr>
            <w:tcW w:w="678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 net</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39,225</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21,267</w:t>
            </w:r>
          </w:p>
        </w:tc>
        <w:tc>
          <w:tcPr>
            <w:tcW w:w="100" w:type="dxa"/>
            <w:vAlign w:val="bottom"/>
            <w:shd w:val="clear" w:color="auto" w:fill="CFF0FC"/>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Arial" w:cs="Arial" w:eastAsia="Arial" w:hAnsi="Arial"/>
                <w:sz w:val="15"/>
                <w:szCs w:val="15"/>
                <w:color w:val="auto"/>
              </w:rPr>
              <w:t>Capitalized software, net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15,400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5,178</w:t>
            </w:r>
          </w:p>
        </w:tc>
        <w:tc>
          <w:tcPr>
            <w:tcW w:w="100" w:type="dxa"/>
            <w:vAlign w:val="bottom"/>
          </w:tcPr>
          <w:p>
            <w:pPr>
              <w:spacing w:after="0"/>
              <w:rPr>
                <w:sz w:val="15"/>
                <w:szCs w:val="15"/>
                <w:color w:val="auto"/>
              </w:rPr>
            </w:pPr>
          </w:p>
        </w:tc>
      </w:tr>
      <w:tr>
        <w:trPr>
          <w:trHeight w:val="175"/>
        </w:trPr>
        <w:tc>
          <w:tcPr>
            <w:tcW w:w="678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right-of-use assets</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29,318</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32,315</w:t>
            </w:r>
          </w:p>
        </w:tc>
        <w:tc>
          <w:tcPr>
            <w:tcW w:w="100" w:type="dxa"/>
            <w:vAlign w:val="bottom"/>
            <w:shd w:val="clear" w:color="auto" w:fill="CFF0FC"/>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Arial" w:cs="Arial" w:eastAsia="Arial" w:hAnsi="Arial"/>
                <w:sz w:val="15"/>
                <w:szCs w:val="15"/>
                <w:color w:val="auto"/>
              </w:rPr>
              <w:t>Deferred tax assets, net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1,687</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2,207</w:t>
            </w:r>
          </w:p>
        </w:tc>
        <w:tc>
          <w:tcPr>
            <w:tcW w:w="100" w:type="dxa"/>
            <w:vAlign w:val="bottom"/>
          </w:tcPr>
          <w:p>
            <w:pPr>
              <w:spacing w:after="0"/>
              <w:rPr>
                <w:sz w:val="15"/>
                <w:szCs w:val="15"/>
                <w:color w:val="auto"/>
              </w:rPr>
            </w:pPr>
          </w:p>
        </w:tc>
      </w:tr>
      <w:tr>
        <w:trPr>
          <w:trHeight w:val="175"/>
        </w:trPr>
        <w:tc>
          <w:tcPr>
            <w:tcW w:w="678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6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2,230</w:t>
            </w:r>
          </w:p>
        </w:tc>
        <w:tc>
          <w:tcPr>
            <w:tcW w:w="3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1,162</w:t>
            </w:r>
          </w:p>
        </w:tc>
        <w:tc>
          <w:tcPr>
            <w:tcW w:w="100" w:type="dxa"/>
            <w:vAlign w:val="bottom"/>
            <w:shd w:val="clear" w:color="auto" w:fill="CFF0FC"/>
          </w:tcPr>
          <w:p>
            <w:pPr>
              <w:spacing w:after="0"/>
              <w:rPr>
                <w:sz w:val="15"/>
                <w:szCs w:val="15"/>
                <w:color w:val="auto"/>
              </w:rPr>
            </w:pPr>
          </w:p>
        </w:tc>
      </w:tr>
      <w:tr>
        <w:trPr>
          <w:trHeight w:val="209"/>
        </w:trPr>
        <w:tc>
          <w:tcPr>
            <w:tcW w:w="6780" w:type="dxa"/>
            <w:vAlign w:val="bottom"/>
          </w:tcPr>
          <w:p>
            <w:pPr>
              <w:ind w:left="500"/>
              <w:spacing w:after="0" w:line="169" w:lineRule="exact"/>
              <w:rPr>
                <w:sz w:val="20"/>
                <w:szCs w:val="20"/>
                <w:color w:val="auto"/>
              </w:rPr>
            </w:pPr>
            <w:r>
              <w:rPr>
                <w:rFonts w:ascii="Arial" w:cs="Arial" w:eastAsia="Arial" w:hAnsi="Arial"/>
                <w:sz w:val="15"/>
                <w:szCs w:val="15"/>
                <w:color w:val="auto"/>
              </w:rPr>
              <w:t>Total assets</w:t>
            </w:r>
          </w:p>
        </w:tc>
        <w:tc>
          <w:tcPr>
            <w:tcW w:w="8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1,546,805</w:t>
            </w:r>
          </w:p>
        </w:tc>
        <w:tc>
          <w:tcPr>
            <w:tcW w:w="300" w:type="dxa"/>
            <w:vAlign w:val="bottom"/>
          </w:tcPr>
          <w:p>
            <w:pPr>
              <w:spacing w:after="0"/>
              <w:rPr>
                <w:sz w:val="18"/>
                <w:szCs w:val="18"/>
                <w:color w:val="auto"/>
              </w:rPr>
            </w:pP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386,796</w:t>
            </w:r>
          </w:p>
        </w:tc>
        <w:tc>
          <w:tcPr>
            <w:tcW w:w="100" w:type="dxa"/>
            <w:vAlign w:val="bottom"/>
          </w:tcPr>
          <w:p>
            <w:pPr>
              <w:spacing w:after="0"/>
              <w:rPr>
                <w:sz w:val="18"/>
                <w:szCs w:val="18"/>
                <w:color w:val="auto"/>
              </w:rPr>
            </w:pPr>
          </w:p>
        </w:tc>
      </w:tr>
      <w:tr>
        <w:trPr>
          <w:trHeight w:val="156"/>
        </w:trPr>
        <w:tc>
          <w:tcPr>
            <w:tcW w:w="67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Liabilities, redeemable convertible preferred stock and stockholders' equity (deficit)</w:t>
            </w:r>
          </w:p>
        </w:tc>
        <w:tc>
          <w:tcPr>
            <w:tcW w:w="6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76"/>
        </w:trPr>
        <w:tc>
          <w:tcPr>
            <w:tcW w:w="6780" w:type="dxa"/>
            <w:vAlign w:val="bottom"/>
          </w:tcPr>
          <w:p>
            <w:pPr>
              <w:spacing w:after="0"/>
              <w:rPr>
                <w:sz w:val="20"/>
                <w:szCs w:val="20"/>
                <w:color w:val="auto"/>
              </w:rPr>
            </w:pPr>
            <w:r>
              <w:rPr>
                <w:rFonts w:ascii="Arial" w:cs="Arial" w:eastAsia="Arial" w:hAnsi="Arial"/>
                <w:sz w:val="15"/>
                <w:szCs w:val="15"/>
                <w:color w:val="auto"/>
              </w:rPr>
              <w:t>Current liabilities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14,014</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7,851</w:t>
            </w:r>
          </w:p>
        </w:tc>
        <w:tc>
          <w:tcPr>
            <w:tcW w:w="100" w:type="dxa"/>
            <w:vAlign w:val="bottom"/>
            <w:shd w:val="clear" w:color="auto" w:fill="CFF0FC"/>
          </w:tcPr>
          <w:p>
            <w:pPr>
              <w:spacing w:after="0"/>
              <w:rPr>
                <w:sz w:val="15"/>
                <w:szCs w:val="15"/>
                <w:color w:val="auto"/>
              </w:rPr>
            </w:pPr>
          </w:p>
        </w:tc>
      </w:tr>
      <w:tr>
        <w:trPr>
          <w:trHeight w:val="176"/>
        </w:trPr>
        <w:tc>
          <w:tcPr>
            <w:tcW w:w="6780" w:type="dxa"/>
            <w:vAlign w:val="bottom"/>
          </w:tcPr>
          <w:p>
            <w:pPr>
              <w:ind w:left="260"/>
              <w:spacing w:after="0"/>
              <w:rPr>
                <w:sz w:val="20"/>
                <w:szCs w:val="20"/>
                <w:color w:val="auto"/>
              </w:rPr>
            </w:pPr>
            <w:r>
              <w:rPr>
                <w:rFonts w:ascii="Arial" w:cs="Arial" w:eastAsia="Arial" w:hAnsi="Arial"/>
                <w:sz w:val="15"/>
                <w:szCs w:val="15"/>
                <w:color w:val="auto"/>
              </w:rPr>
              <w:t>Accrued expenses and other current liabilities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36,093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15,556</w:t>
            </w:r>
          </w:p>
        </w:tc>
        <w:tc>
          <w:tcPr>
            <w:tcW w:w="100" w:type="dxa"/>
            <w:vAlign w:val="bottom"/>
          </w:tcPr>
          <w:p>
            <w:pPr>
              <w:spacing w:after="0"/>
              <w:rPr>
                <w:sz w:val="15"/>
                <w:szCs w:val="15"/>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Current portion of debt</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7,029</w:t>
            </w:r>
          </w:p>
        </w:tc>
        <w:tc>
          <w:tcPr>
            <w:tcW w:w="100" w:type="dxa"/>
            <w:vAlign w:val="bottom"/>
            <w:shd w:val="clear" w:color="auto" w:fill="CFF0FC"/>
          </w:tcPr>
          <w:p>
            <w:pPr>
              <w:spacing w:after="0"/>
              <w:rPr>
                <w:sz w:val="15"/>
                <w:szCs w:val="15"/>
                <w:color w:val="auto"/>
              </w:rPr>
            </w:pPr>
          </w:p>
        </w:tc>
      </w:tr>
      <w:tr>
        <w:trPr>
          <w:trHeight w:val="175"/>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Operating lease liabilities, current</w:t>
            </w:r>
          </w:p>
        </w:tc>
        <w:tc>
          <w:tcPr>
            <w:tcW w:w="6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3,029</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2,937</w:t>
            </w:r>
          </w:p>
        </w:tc>
        <w:tc>
          <w:tcPr>
            <w:tcW w:w="100" w:type="dxa"/>
            <w:vAlign w:val="bottom"/>
            <w:tcBorders>
              <w:bottom w:val="single" w:sz="8" w:color="CFF0FC"/>
            </w:tcBorders>
          </w:tcPr>
          <w:p>
            <w:pPr>
              <w:spacing w:after="0"/>
              <w:rPr>
                <w:sz w:val="15"/>
                <w:szCs w:val="15"/>
                <w:color w:val="auto"/>
              </w:rPr>
            </w:pPr>
          </w:p>
        </w:tc>
      </w:tr>
      <w:tr>
        <w:trPr>
          <w:trHeight w:val="169"/>
        </w:trPr>
        <w:tc>
          <w:tcPr>
            <w:tcW w:w="678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current liabilities</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60,165</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33,373</w:t>
            </w:r>
          </w:p>
        </w:tc>
        <w:tc>
          <w:tcPr>
            <w:tcW w:w="100" w:type="dxa"/>
            <w:vAlign w:val="bottom"/>
            <w:shd w:val="clear" w:color="auto" w:fill="CFF0FC"/>
          </w:tcPr>
          <w:p>
            <w:pPr>
              <w:spacing w:after="0"/>
              <w:rPr>
                <w:sz w:val="14"/>
                <w:szCs w:val="14"/>
                <w:color w:val="auto"/>
              </w:rPr>
            </w:pPr>
          </w:p>
        </w:tc>
      </w:tr>
      <w:tr>
        <w:trPr>
          <w:trHeight w:val="176"/>
        </w:trPr>
        <w:tc>
          <w:tcPr>
            <w:tcW w:w="6780" w:type="dxa"/>
            <w:vAlign w:val="bottom"/>
          </w:tcPr>
          <w:p>
            <w:pPr>
              <w:spacing w:after="0"/>
              <w:rPr>
                <w:sz w:val="20"/>
                <w:szCs w:val="20"/>
                <w:color w:val="auto"/>
              </w:rPr>
            </w:pPr>
            <w:r>
              <w:rPr>
                <w:rFonts w:ascii="Arial" w:cs="Arial" w:eastAsia="Arial" w:hAnsi="Arial"/>
                <w:sz w:val="15"/>
                <w:szCs w:val="15"/>
                <w:color w:val="auto"/>
              </w:rPr>
              <w:t>Debt, net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688,891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663,893</w:t>
            </w:r>
          </w:p>
        </w:tc>
        <w:tc>
          <w:tcPr>
            <w:tcW w:w="100" w:type="dxa"/>
            <w:vAlign w:val="bottom"/>
          </w:tcPr>
          <w:p>
            <w:pPr>
              <w:spacing w:after="0"/>
              <w:rPr>
                <w:sz w:val="15"/>
                <w:szCs w:val="15"/>
                <w:color w:val="auto"/>
              </w:rPr>
            </w:pPr>
          </w:p>
        </w:tc>
      </w:tr>
      <w:tr>
        <w:trPr>
          <w:trHeight w:val="175"/>
        </w:trPr>
        <w:tc>
          <w:tcPr>
            <w:tcW w:w="678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liabilities, net of current portion</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34,424</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37,129</w:t>
            </w:r>
          </w:p>
        </w:tc>
        <w:tc>
          <w:tcPr>
            <w:tcW w:w="100" w:type="dxa"/>
            <w:vAlign w:val="bottom"/>
            <w:shd w:val="clear" w:color="auto" w:fill="CFF0FC"/>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Arial" w:cs="Arial" w:eastAsia="Arial" w:hAnsi="Arial"/>
                <w:sz w:val="15"/>
                <w:szCs w:val="15"/>
                <w:color w:val="auto"/>
              </w:rPr>
              <w:t>Deferred tax liabilities, net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1,772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5"/>
        </w:trPr>
        <w:tc>
          <w:tcPr>
            <w:tcW w:w="6780" w:type="dxa"/>
            <w:vAlign w:val="bottom"/>
            <w:shd w:val="clear" w:color="auto" w:fill="CFF0FC"/>
          </w:tcPr>
          <w:p>
            <w:pPr>
              <w:spacing w:after="0"/>
              <w:rPr>
                <w:sz w:val="20"/>
                <w:szCs w:val="20"/>
                <w:color w:val="auto"/>
              </w:rPr>
            </w:pPr>
            <w:r>
              <w:rPr>
                <w:rFonts w:ascii="Arial" w:cs="Arial" w:eastAsia="Arial" w:hAnsi="Arial"/>
                <w:sz w:val="15"/>
                <w:szCs w:val="15"/>
                <w:color w:val="auto"/>
              </w:rPr>
              <w:t>Other liabilities</w:t>
            </w:r>
          </w:p>
        </w:tc>
        <w:tc>
          <w:tcPr>
            <w:tcW w:w="6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5,144</w:t>
            </w:r>
          </w:p>
        </w:tc>
        <w:tc>
          <w:tcPr>
            <w:tcW w:w="3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2,974</w:t>
            </w:r>
          </w:p>
        </w:tc>
        <w:tc>
          <w:tcPr>
            <w:tcW w:w="100" w:type="dxa"/>
            <w:vAlign w:val="bottom"/>
            <w:shd w:val="clear" w:color="auto" w:fill="CFF0FC"/>
          </w:tcPr>
          <w:p>
            <w:pPr>
              <w:spacing w:after="0"/>
              <w:rPr>
                <w:sz w:val="15"/>
                <w:szCs w:val="15"/>
                <w:color w:val="auto"/>
              </w:rPr>
            </w:pPr>
          </w:p>
        </w:tc>
      </w:tr>
      <w:tr>
        <w:trPr>
          <w:trHeight w:val="169"/>
        </w:trPr>
        <w:tc>
          <w:tcPr>
            <w:tcW w:w="6780" w:type="dxa"/>
            <w:vAlign w:val="bottom"/>
          </w:tcPr>
          <w:p>
            <w:pPr>
              <w:ind w:left="740"/>
              <w:spacing w:after="0" w:line="169" w:lineRule="exact"/>
              <w:rPr>
                <w:sz w:val="20"/>
                <w:szCs w:val="20"/>
                <w:color w:val="auto"/>
              </w:rPr>
            </w:pPr>
            <w:r>
              <w:rPr>
                <w:rFonts w:ascii="Arial" w:cs="Arial" w:eastAsia="Arial" w:hAnsi="Arial"/>
                <w:sz w:val="15"/>
                <w:szCs w:val="15"/>
                <w:color w:val="auto"/>
              </w:rPr>
              <w:t>Total liabilities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790,396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737,369</w:t>
            </w:r>
          </w:p>
        </w:tc>
        <w:tc>
          <w:tcPr>
            <w:tcW w:w="100" w:type="dxa"/>
            <w:vAlign w:val="bottom"/>
          </w:tcPr>
          <w:p>
            <w:pPr>
              <w:spacing w:after="0"/>
              <w:rPr>
                <w:sz w:val="14"/>
                <w:szCs w:val="14"/>
                <w:color w:val="auto"/>
              </w:rPr>
            </w:pPr>
          </w:p>
        </w:tc>
      </w:tr>
      <w:tr>
        <w:trPr>
          <w:trHeight w:val="175"/>
        </w:trPr>
        <w:tc>
          <w:tcPr>
            <w:tcW w:w="6780" w:type="dxa"/>
            <w:vAlign w:val="bottom"/>
            <w:shd w:val="clear" w:color="auto" w:fill="CFF0FC"/>
          </w:tcPr>
          <w:p>
            <w:pPr>
              <w:spacing w:after="0"/>
              <w:rPr>
                <w:sz w:val="20"/>
                <w:szCs w:val="20"/>
                <w:color w:val="auto"/>
              </w:rPr>
            </w:pPr>
            <w:r>
              <w:rPr>
                <w:rFonts w:ascii="Arial" w:cs="Arial" w:eastAsia="Arial" w:hAnsi="Arial"/>
                <w:sz w:val="15"/>
                <w:szCs w:val="15"/>
                <w:color w:val="auto"/>
              </w:rPr>
              <w:t>Commitments and contingencies (Note 8)</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2"/>
        </w:trPr>
        <w:tc>
          <w:tcPr>
            <w:tcW w:w="6780" w:type="dxa"/>
            <w:vAlign w:val="bottom"/>
          </w:tcPr>
          <w:p>
            <w:pPr>
              <w:spacing w:after="0"/>
              <w:rPr>
                <w:sz w:val="20"/>
                <w:szCs w:val="20"/>
                <w:color w:val="auto"/>
              </w:rPr>
            </w:pPr>
            <w:r>
              <w:rPr>
                <w:rFonts w:ascii="Arial" w:cs="Arial" w:eastAsia="Arial" w:hAnsi="Arial"/>
                <w:sz w:val="15"/>
                <w:szCs w:val="15"/>
                <w:color w:val="auto"/>
              </w:rPr>
              <w:t>Redeemable convertible preferred stock, $0.006 par value; zero and 130,000 shares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780" w:type="dxa"/>
            <w:vAlign w:val="bottom"/>
          </w:tcPr>
          <w:p>
            <w:pPr>
              <w:ind w:left="140"/>
              <w:spacing w:after="0" w:line="162" w:lineRule="exact"/>
              <w:rPr>
                <w:sz w:val="20"/>
                <w:szCs w:val="20"/>
                <w:color w:val="auto"/>
              </w:rPr>
            </w:pPr>
            <w:r>
              <w:rPr>
                <w:rFonts w:ascii="Arial" w:cs="Arial" w:eastAsia="Arial" w:hAnsi="Arial"/>
                <w:sz w:val="15"/>
                <w:szCs w:val="15"/>
                <w:color w:val="auto"/>
              </w:rPr>
              <w:t>authorized at September 30, 2020 and December 31, 2019, respectively; and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780" w:type="dxa"/>
            <w:vAlign w:val="bottom"/>
          </w:tcPr>
          <w:p>
            <w:pPr>
              <w:ind w:left="140"/>
              <w:spacing w:after="0" w:line="162" w:lineRule="exact"/>
              <w:rPr>
                <w:sz w:val="20"/>
                <w:szCs w:val="20"/>
                <w:color w:val="auto"/>
              </w:rPr>
            </w:pPr>
            <w:r>
              <w:rPr>
                <w:rFonts w:ascii="Arial" w:cs="Arial" w:eastAsia="Arial" w:hAnsi="Arial"/>
                <w:sz w:val="15"/>
                <w:szCs w:val="15"/>
                <w:color w:val="auto"/>
              </w:rPr>
              <w:t>zero and 126,046 shares issued and outstanding at September 30, 2020 and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6780" w:type="dxa"/>
            <w:vAlign w:val="bottom"/>
          </w:tcPr>
          <w:p>
            <w:pPr>
              <w:ind w:left="140"/>
              <w:spacing w:after="0" w:line="166" w:lineRule="exact"/>
              <w:rPr>
                <w:sz w:val="20"/>
                <w:szCs w:val="20"/>
                <w:color w:val="auto"/>
              </w:rPr>
            </w:pPr>
            <w:r>
              <w:rPr>
                <w:rFonts w:ascii="Arial" w:cs="Arial" w:eastAsia="Arial" w:hAnsi="Arial"/>
                <w:sz w:val="15"/>
                <w:szCs w:val="15"/>
                <w:color w:val="auto"/>
              </w:rPr>
              <w:t>December 31, 2019, respectively</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320"/>
              <w:spacing w:after="0" w:line="16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80" w:type="dxa"/>
            <w:vAlign w:val="bottom"/>
          </w:tcPr>
          <w:p>
            <w:pPr>
              <w:jc w:val="right"/>
              <w:spacing w:after="0" w:line="166" w:lineRule="exact"/>
              <w:rPr>
                <w:sz w:val="20"/>
                <w:szCs w:val="20"/>
                <w:color w:val="auto"/>
              </w:rPr>
            </w:pPr>
            <w:r>
              <w:rPr>
                <w:rFonts w:ascii="Arial" w:cs="Arial" w:eastAsia="Arial" w:hAnsi="Arial"/>
                <w:sz w:val="15"/>
                <w:szCs w:val="15"/>
                <w:color w:val="auto"/>
              </w:rPr>
              <w:t>737,009</w:t>
            </w:r>
          </w:p>
        </w:tc>
        <w:tc>
          <w:tcPr>
            <w:tcW w:w="100" w:type="dxa"/>
            <w:vAlign w:val="bottom"/>
          </w:tcPr>
          <w:p>
            <w:pPr>
              <w:spacing w:after="0"/>
              <w:rPr>
                <w:sz w:val="14"/>
                <w:szCs w:val="14"/>
                <w:color w:val="auto"/>
              </w:rPr>
            </w:pPr>
          </w:p>
        </w:tc>
      </w:tr>
      <w:tr>
        <w:trPr>
          <w:trHeight w:val="175"/>
        </w:trPr>
        <w:tc>
          <w:tcPr>
            <w:tcW w:w="67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Stockholders' equity (deficit)</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2"/>
        </w:trPr>
        <w:tc>
          <w:tcPr>
            <w:tcW w:w="6780" w:type="dxa"/>
            <w:vAlign w:val="bottom"/>
          </w:tcPr>
          <w:p>
            <w:pPr>
              <w:ind w:left="260"/>
              <w:spacing w:after="0"/>
              <w:rPr>
                <w:sz w:val="20"/>
                <w:szCs w:val="20"/>
                <w:color w:val="auto"/>
              </w:rPr>
            </w:pPr>
            <w:r>
              <w:rPr>
                <w:rFonts w:ascii="Arial" w:cs="Arial" w:eastAsia="Arial" w:hAnsi="Arial"/>
                <w:sz w:val="15"/>
                <w:szCs w:val="15"/>
                <w:color w:val="auto"/>
              </w:rPr>
              <w:t>Preferred stock, $0.0001 par value; 50,000 and zero shares authorized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780" w:type="dxa"/>
            <w:vAlign w:val="bottom"/>
          </w:tcPr>
          <w:p>
            <w:pPr>
              <w:ind w:left="380"/>
              <w:spacing w:after="0" w:line="162" w:lineRule="exact"/>
              <w:rPr>
                <w:sz w:val="20"/>
                <w:szCs w:val="20"/>
                <w:color w:val="auto"/>
              </w:rPr>
            </w:pPr>
            <w:r>
              <w:rPr>
                <w:rFonts w:ascii="Arial" w:cs="Arial" w:eastAsia="Arial" w:hAnsi="Arial"/>
                <w:sz w:val="15"/>
                <w:szCs w:val="15"/>
                <w:color w:val="auto"/>
              </w:rPr>
              <w:t>at September 30, 2020 and December 31, 2019, respectively; and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780" w:type="dxa"/>
            <w:vAlign w:val="bottom"/>
          </w:tcPr>
          <w:p>
            <w:pPr>
              <w:ind w:left="380"/>
              <w:spacing w:after="0" w:line="162" w:lineRule="exact"/>
              <w:rPr>
                <w:sz w:val="20"/>
                <w:szCs w:val="20"/>
                <w:color w:val="auto"/>
              </w:rPr>
            </w:pPr>
            <w:r>
              <w:rPr>
                <w:rFonts w:ascii="Arial" w:cs="Arial" w:eastAsia="Arial" w:hAnsi="Arial"/>
                <w:sz w:val="15"/>
                <w:szCs w:val="15"/>
                <w:color w:val="auto"/>
              </w:rPr>
              <w:t>zero shares issued and outstanding at September 30, 2020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6780" w:type="dxa"/>
            <w:vAlign w:val="bottom"/>
          </w:tcPr>
          <w:p>
            <w:pPr>
              <w:ind w:left="380"/>
              <w:spacing w:after="0" w:line="166" w:lineRule="exact"/>
              <w:rPr>
                <w:sz w:val="20"/>
                <w:szCs w:val="20"/>
                <w:color w:val="auto"/>
              </w:rPr>
            </w:pPr>
            <w:r>
              <w:rPr>
                <w:rFonts w:ascii="Arial" w:cs="Arial" w:eastAsia="Arial" w:hAnsi="Arial"/>
                <w:sz w:val="15"/>
                <w:szCs w:val="15"/>
                <w:color w:val="auto"/>
              </w:rPr>
              <w:t>and December 31, 2019</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320"/>
              <w:spacing w:after="0" w:line="16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5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r>
      <w:tr>
        <w:trPr>
          <w:trHeight w:val="172"/>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Common stock, $0.002 par value; zero and 380,000 shares authorized</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78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at September 30, 2020 and December 31, 2019, respectively; and</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78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zero and 229,750 shares issued and outstanding at September 30, 2020</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678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and December 31, 2019, respectively</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80" w:type="dxa"/>
            <w:vAlign w:val="bottom"/>
            <w:gridSpan w:val="2"/>
            <w:shd w:val="clear" w:color="auto" w:fill="CFF0FC"/>
          </w:tcPr>
          <w:p>
            <w:pPr>
              <w:jc w:val="right"/>
              <w:ind w:right="320"/>
              <w:spacing w:after="0" w:line="166"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460</w:t>
            </w:r>
          </w:p>
        </w:tc>
        <w:tc>
          <w:tcPr>
            <w:tcW w:w="100" w:type="dxa"/>
            <w:vAlign w:val="bottom"/>
            <w:shd w:val="clear" w:color="auto" w:fill="CFF0FC"/>
          </w:tcPr>
          <w:p>
            <w:pPr>
              <w:spacing w:after="0"/>
              <w:rPr>
                <w:sz w:val="14"/>
                <w:szCs w:val="14"/>
                <w:color w:val="auto"/>
              </w:rPr>
            </w:pPr>
          </w:p>
        </w:tc>
      </w:tr>
      <w:tr>
        <w:trPr>
          <w:trHeight w:val="172"/>
        </w:trPr>
        <w:tc>
          <w:tcPr>
            <w:tcW w:w="6780" w:type="dxa"/>
            <w:vAlign w:val="bottom"/>
          </w:tcPr>
          <w:p>
            <w:pPr>
              <w:ind w:left="260"/>
              <w:spacing w:after="0"/>
              <w:rPr>
                <w:sz w:val="20"/>
                <w:szCs w:val="20"/>
                <w:color w:val="auto"/>
              </w:rPr>
            </w:pPr>
            <w:r>
              <w:rPr>
                <w:rFonts w:ascii="Arial" w:cs="Arial" w:eastAsia="Arial" w:hAnsi="Arial"/>
                <w:sz w:val="15"/>
                <w:szCs w:val="15"/>
                <w:color w:val="auto"/>
              </w:rPr>
              <w:t>Common stock, $0.0001 par value; Class A: 2,000,000 and zero shares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780" w:type="dxa"/>
            <w:vAlign w:val="bottom"/>
          </w:tcPr>
          <w:p>
            <w:pPr>
              <w:ind w:left="380"/>
              <w:spacing w:after="0" w:line="162" w:lineRule="exact"/>
              <w:rPr>
                <w:sz w:val="20"/>
                <w:szCs w:val="20"/>
                <w:color w:val="auto"/>
              </w:rPr>
            </w:pPr>
            <w:r>
              <w:rPr>
                <w:rFonts w:ascii="Arial" w:cs="Arial" w:eastAsia="Arial" w:hAnsi="Arial"/>
                <w:sz w:val="15"/>
                <w:szCs w:val="15"/>
                <w:color w:val="auto"/>
              </w:rPr>
              <w:t>authorized, 42,922 and zero shares issued and outstanding, at September 30, 2020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780" w:type="dxa"/>
            <w:vAlign w:val="bottom"/>
          </w:tcPr>
          <w:p>
            <w:pPr>
              <w:ind w:left="380"/>
              <w:spacing w:after="0" w:line="162" w:lineRule="exact"/>
              <w:rPr>
                <w:sz w:val="20"/>
                <w:szCs w:val="20"/>
                <w:color w:val="auto"/>
              </w:rPr>
            </w:pPr>
            <w:r>
              <w:rPr>
                <w:rFonts w:ascii="Arial" w:cs="Arial" w:eastAsia="Arial" w:hAnsi="Arial"/>
                <w:sz w:val="15"/>
                <w:szCs w:val="15"/>
                <w:color w:val="auto"/>
              </w:rPr>
              <w:t>and December 31, 2019, respectively; and Class B: 1,000,000 and zero shares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780" w:type="dxa"/>
            <w:vAlign w:val="bottom"/>
          </w:tcPr>
          <w:p>
            <w:pPr>
              <w:ind w:left="380"/>
              <w:spacing w:after="0" w:line="162" w:lineRule="exact"/>
              <w:rPr>
                <w:sz w:val="20"/>
                <w:szCs w:val="20"/>
                <w:color w:val="auto"/>
              </w:rPr>
            </w:pPr>
            <w:r>
              <w:rPr>
                <w:rFonts w:ascii="Arial" w:cs="Arial" w:eastAsia="Arial" w:hAnsi="Arial"/>
                <w:sz w:val="15"/>
                <w:szCs w:val="15"/>
                <w:color w:val="auto"/>
              </w:rPr>
              <w:t>authorized, 346,357 and zero shares issued and outstanding, at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6780" w:type="dxa"/>
            <w:vAlign w:val="bottom"/>
          </w:tcPr>
          <w:p>
            <w:pPr>
              <w:ind w:left="380"/>
              <w:spacing w:after="0" w:line="166" w:lineRule="exact"/>
              <w:rPr>
                <w:sz w:val="20"/>
                <w:szCs w:val="20"/>
                <w:color w:val="auto"/>
              </w:rPr>
            </w:pPr>
            <w:r>
              <w:rPr>
                <w:rFonts w:ascii="Arial" w:cs="Arial" w:eastAsia="Arial" w:hAnsi="Arial"/>
                <w:sz w:val="15"/>
                <w:szCs w:val="15"/>
                <w:color w:val="auto"/>
              </w:rPr>
              <w:t>September 30, 2020 and December 31, 2019, respectively</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6" w:lineRule="exact"/>
              <w:rPr>
                <w:sz w:val="20"/>
                <w:szCs w:val="20"/>
                <w:color w:val="auto"/>
              </w:rPr>
            </w:pPr>
            <w:r>
              <w:rPr>
                <w:rFonts w:ascii="Arial" w:cs="Arial" w:eastAsia="Arial" w:hAnsi="Arial"/>
                <w:sz w:val="15"/>
                <w:szCs w:val="15"/>
                <w:color w:val="auto"/>
              </w:rPr>
              <w:t>39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r>
      <w:tr>
        <w:trPr>
          <w:trHeight w:val="175"/>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Additional paid-in capital</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1,848,549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8,788</w:t>
            </w:r>
          </w:p>
        </w:tc>
        <w:tc>
          <w:tcPr>
            <w:tcW w:w="100" w:type="dxa"/>
            <w:vAlign w:val="bottom"/>
            <w:shd w:val="clear" w:color="auto" w:fill="CFF0FC"/>
          </w:tcPr>
          <w:p>
            <w:pPr>
              <w:spacing w:after="0"/>
              <w:rPr>
                <w:sz w:val="15"/>
                <w:szCs w:val="15"/>
                <w:color w:val="auto"/>
              </w:rPr>
            </w:pPr>
          </w:p>
        </w:tc>
      </w:tr>
      <w:tr>
        <w:trPr>
          <w:trHeight w:val="175"/>
        </w:trPr>
        <w:tc>
          <w:tcPr>
            <w:tcW w:w="6780" w:type="dxa"/>
            <w:vAlign w:val="bottom"/>
          </w:tcPr>
          <w:p>
            <w:pPr>
              <w:ind w:left="260"/>
              <w:spacing w:after="0"/>
              <w:rPr>
                <w:sz w:val="20"/>
                <w:szCs w:val="20"/>
                <w:color w:val="auto"/>
              </w:rPr>
            </w:pPr>
            <w:r>
              <w:rPr>
                <w:rFonts w:ascii="Arial" w:cs="Arial" w:eastAsia="Arial" w:hAnsi="Arial"/>
                <w:sz w:val="15"/>
                <w:szCs w:val="15"/>
                <w:color w:val="auto"/>
              </w:rPr>
              <w:t>Accumulated deficit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5"/>
                <w:szCs w:val="15"/>
                <w:color w:val="auto"/>
              </w:rPr>
              <w:t>(1,092,179)</w:t>
            </w:r>
          </w:p>
        </w:tc>
        <w:tc>
          <w:tcPr>
            <w:tcW w:w="22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5"/>
                <w:szCs w:val="15"/>
                <w:color w:val="auto"/>
              </w:rPr>
              <w:t>(1,096,830)</w:t>
            </w:r>
          </w:p>
        </w:tc>
      </w:tr>
      <w:tr>
        <w:trPr>
          <w:trHeight w:val="20"/>
        </w:trPr>
        <w:tc>
          <w:tcPr>
            <w:tcW w:w="67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780" w:type="dxa"/>
            <w:vAlign w:val="bottom"/>
            <w:shd w:val="clear" w:color="auto" w:fill="CFF0FC"/>
          </w:tcPr>
          <w:p>
            <w:pPr>
              <w:ind w:left="880"/>
              <w:spacing w:after="0" w:line="169" w:lineRule="exact"/>
              <w:rPr>
                <w:sz w:val="20"/>
                <w:szCs w:val="20"/>
                <w:color w:val="auto"/>
              </w:rPr>
            </w:pPr>
            <w:r>
              <w:rPr>
                <w:rFonts w:ascii="Arial" w:cs="Arial" w:eastAsia="Arial" w:hAnsi="Arial"/>
                <w:sz w:val="15"/>
                <w:szCs w:val="15"/>
                <w:color w:val="auto"/>
              </w:rPr>
              <w:t>Total stockholders' equity (deficit)</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756,409</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(1,087,582)</w:t>
            </w:r>
          </w:p>
        </w:tc>
      </w:tr>
      <w:tr>
        <w:trPr>
          <w:trHeight w:val="148"/>
        </w:trPr>
        <w:tc>
          <w:tcPr>
            <w:tcW w:w="6780" w:type="dxa"/>
            <w:vAlign w:val="bottom"/>
          </w:tcPr>
          <w:p>
            <w:pPr>
              <w:spacing w:after="0" w:line="148" w:lineRule="exact"/>
              <w:rPr>
                <w:sz w:val="20"/>
                <w:szCs w:val="20"/>
                <w:color w:val="auto"/>
              </w:rPr>
            </w:pPr>
            <w:r>
              <w:rPr>
                <w:rFonts w:ascii="Arial" w:cs="Arial" w:eastAsia="Arial" w:hAnsi="Arial"/>
                <w:sz w:val="15"/>
                <w:szCs w:val="15"/>
                <w:b w:val="1"/>
                <w:bCs w:val="1"/>
                <w:color w:val="auto"/>
              </w:rPr>
              <w:t>Total liabilities, redeemable convertible preferred stock and</w:t>
            </w:r>
          </w:p>
        </w:tc>
        <w:tc>
          <w:tcPr>
            <w:tcW w:w="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83"/>
        </w:trPr>
        <w:tc>
          <w:tcPr>
            <w:tcW w:w="6780" w:type="dxa"/>
            <w:vAlign w:val="bottom"/>
          </w:tcPr>
          <w:p>
            <w:pPr>
              <w:ind w:left="140"/>
              <w:spacing w:after="0"/>
              <w:rPr>
                <w:sz w:val="20"/>
                <w:szCs w:val="20"/>
                <w:color w:val="auto"/>
              </w:rPr>
            </w:pPr>
            <w:r>
              <w:rPr>
                <w:rFonts w:ascii="Arial" w:cs="Arial" w:eastAsia="Arial" w:hAnsi="Arial"/>
                <w:sz w:val="15"/>
                <w:szCs w:val="15"/>
                <w:b w:val="1"/>
                <w:bCs w:val="1"/>
                <w:color w:val="auto"/>
              </w:rPr>
              <w:t>stockholders' equity (deficit)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1,546,805</w:t>
            </w:r>
          </w:p>
        </w:tc>
        <w:tc>
          <w:tcPr>
            <w:tcW w:w="30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386,796</w:t>
            </w:r>
          </w:p>
        </w:tc>
        <w:tc>
          <w:tcPr>
            <w:tcW w:w="100" w:type="dxa"/>
            <w:vAlign w:val="bottom"/>
          </w:tcPr>
          <w:p>
            <w:pPr>
              <w:spacing w:after="0"/>
              <w:rPr>
                <w:sz w:val="15"/>
                <w:szCs w:val="15"/>
                <w:color w:val="auto"/>
              </w:rPr>
            </w:pPr>
          </w:p>
        </w:tc>
      </w:tr>
      <w:tr>
        <w:trPr>
          <w:trHeight w:val="20"/>
        </w:trPr>
        <w:tc>
          <w:tcPr>
            <w:tcW w:w="6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140,453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101,745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397,156</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Costs and 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exclusive of depreciation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amortization presented separately below</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7,540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3,396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20,383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9,420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Product development and technology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180,195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108,479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120,698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costs and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202,138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63,901</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373,435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171,059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 income</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(61,685)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37,844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12,773</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12,498</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 expense</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(67,926)</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(5,727)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(50,032)</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common stockholders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(50,032)</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12,616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3,045</w:t>
            </w:r>
          </w:p>
        </w:tc>
        <w:tc>
          <w:tcPr>
            <w:tcW w:w="16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60"/>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(50,032)</w:t>
            </w:r>
          </w:p>
        </w:tc>
        <w:tc>
          <w:tcPr>
            <w:tcW w:w="4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12,708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3,092</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32,858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earnings per share: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(Loss) earnings per share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earnings per share -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(0.21)</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2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Weighted average shares used in computing</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(loss) earnings per share: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241,061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227,058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233,727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2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Stock-based compensation included in costs and</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development and technology</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100,572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Changes in Redeemable Convertible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 and Stockholders’ Equity (Deficit)</w:t>
      </w:r>
    </w:p>
    <w:p>
      <w:pPr>
        <w:sectPr>
          <w:pgSz w:w="11900" w:h="16838" w:orient="portrait"/>
          <w:cols w:equalWidth="0" w:num="1">
            <w:col w:w="11220"/>
          </w:cols>
          <w:pgMar w:left="320" w:top="333" w:right="359" w:bottom="1440" w:gutter="0" w:footer="0" w:header="0"/>
        </w:sect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Redeemable</w:t>
            </w:r>
          </w:p>
        </w:tc>
      </w:tr>
      <w:tr>
        <w:trPr>
          <w:trHeight w:val="162"/>
        </w:trPr>
        <w:tc>
          <w:tcPr>
            <w:tcW w:w="2100" w:type="dxa"/>
            <w:vAlign w:val="bottom"/>
          </w:tcPr>
          <w:p>
            <w:pPr>
              <w:spacing w:after="0"/>
              <w:rPr>
                <w:sz w:val="14"/>
                <w:szCs w:val="14"/>
                <w:color w:val="auto"/>
              </w:rPr>
            </w:pPr>
          </w:p>
        </w:tc>
        <w:tc>
          <w:tcPr>
            <w:tcW w:w="1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Convertible Preferred</w:t>
            </w:r>
          </w:p>
        </w:tc>
      </w:tr>
      <w:tr>
        <w:trPr>
          <w:trHeight w:val="175"/>
        </w:trPr>
        <w:tc>
          <w:tcPr>
            <w:tcW w:w="2100" w:type="dxa"/>
            <w:vAlign w:val="bottom"/>
          </w:tcPr>
          <w:p>
            <w:pPr>
              <w:spacing w:after="0"/>
              <w:rPr>
                <w:sz w:val="15"/>
                <w:szCs w:val="15"/>
                <w:color w:val="auto"/>
              </w:rPr>
            </w:pPr>
          </w:p>
        </w:tc>
        <w:tc>
          <w:tcPr>
            <w:tcW w:w="112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4"/>
                <w:szCs w:val="14"/>
                <w:b w:val="1"/>
                <w:bCs w:val="1"/>
                <w:color w:val="auto"/>
                <w:w w:val="99"/>
              </w:rPr>
              <w:t>Stock</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2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r>
      <w:tr>
        <w:trPr>
          <w:trHeight w:val="187"/>
        </w:trPr>
        <w:tc>
          <w:tcPr>
            <w:tcW w:w="2100" w:type="dxa"/>
            <w:vAlign w:val="bottom"/>
          </w:tcPr>
          <w:p>
            <w:pPr>
              <w:spacing w:after="0" w:line="187" w:lineRule="exact"/>
              <w:rPr>
                <w:sz w:val="20"/>
                <w:szCs w:val="20"/>
                <w:color w:val="auto"/>
              </w:rPr>
            </w:pPr>
            <w:r>
              <w:rPr>
                <w:rFonts w:ascii="Arial" w:cs="Arial" w:eastAsia="Arial" w:hAnsi="Arial"/>
                <w:sz w:val="18"/>
                <w:szCs w:val="18"/>
                <w:b w:val="1"/>
                <w:bCs w:val="1"/>
                <w:color w:val="auto"/>
              </w:rPr>
              <w:t>Balance at</w:t>
            </w: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10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820" w:type="dxa"/>
            <w:vAlign w:val="bottom"/>
          </w:tcPr>
          <w:p>
            <w:pPr>
              <w:jc w:val="right"/>
              <w:spacing w:after="0"/>
              <w:rPr>
                <w:sz w:val="20"/>
                <w:szCs w:val="20"/>
                <w:color w:val="auto"/>
              </w:rPr>
            </w:pPr>
            <w:r>
              <w:rPr>
                <w:rFonts w:ascii="Arial" w:cs="Arial" w:eastAsia="Arial" w:hAnsi="Arial"/>
                <w:sz w:val="18"/>
                <w:szCs w:val="18"/>
                <w:color w:val="auto"/>
              </w:rPr>
              <w:t>126,046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737,009</w:t>
            </w:r>
          </w:p>
        </w:tc>
        <w:tc>
          <w:tcPr>
            <w:tcW w:w="60" w:type="dxa"/>
            <w:vAlign w:val="bottom"/>
          </w:tcPr>
          <w:p>
            <w:pPr>
              <w:spacing w:after="0"/>
              <w:rPr>
                <w:sz w:val="20"/>
                <w:szCs w:val="20"/>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Stock options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Stock-based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3" w:lineRule="exact"/>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187"/>
        </w:trPr>
        <w:tc>
          <w:tcPr>
            <w:tcW w:w="2100" w:type="dxa"/>
            <w:vAlign w:val="bottom"/>
          </w:tcPr>
          <w:p>
            <w:pPr>
              <w:spacing w:after="0" w:line="187" w:lineRule="exact"/>
              <w:rPr>
                <w:sz w:val="20"/>
                <w:szCs w:val="20"/>
                <w:color w:val="auto"/>
              </w:rPr>
            </w:pPr>
            <w:r>
              <w:rPr>
                <w:rFonts w:ascii="Arial" w:cs="Arial" w:eastAsia="Arial" w:hAnsi="Arial"/>
                <w:sz w:val="18"/>
                <w:szCs w:val="18"/>
                <w:b w:val="1"/>
                <w:bCs w:val="1"/>
                <w:color w:val="auto"/>
              </w:rPr>
              <w:t>Balance at March 31,</w:t>
            </w: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1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20" w:type="dxa"/>
            <w:vAlign w:val="bottom"/>
          </w:tcPr>
          <w:p>
            <w:pPr>
              <w:jc w:val="right"/>
              <w:spacing w:after="0"/>
              <w:rPr>
                <w:sz w:val="20"/>
                <w:szCs w:val="20"/>
                <w:color w:val="auto"/>
              </w:rPr>
            </w:pPr>
            <w:r>
              <w:rPr>
                <w:rFonts w:ascii="Arial" w:cs="Arial" w:eastAsia="Arial" w:hAnsi="Arial"/>
                <w:sz w:val="18"/>
                <w:szCs w:val="18"/>
                <w:color w:val="auto"/>
              </w:rPr>
              <w:t>126,046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737,009</w:t>
            </w:r>
          </w:p>
        </w:tc>
        <w:tc>
          <w:tcPr>
            <w:tcW w:w="60" w:type="dxa"/>
            <w:vAlign w:val="bottom"/>
          </w:tcPr>
          <w:p>
            <w:pPr>
              <w:spacing w:after="0"/>
              <w:rPr>
                <w:sz w:val="20"/>
                <w:szCs w:val="20"/>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Stock options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Stock-based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3" w:lineRule="exact"/>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187"/>
        </w:trPr>
        <w:tc>
          <w:tcPr>
            <w:tcW w:w="2100" w:type="dxa"/>
            <w:vAlign w:val="bottom"/>
          </w:tcPr>
          <w:p>
            <w:pPr>
              <w:spacing w:after="0" w:line="187" w:lineRule="exact"/>
              <w:rPr>
                <w:sz w:val="20"/>
                <w:szCs w:val="20"/>
                <w:color w:val="auto"/>
              </w:rPr>
            </w:pPr>
            <w:r>
              <w:rPr>
                <w:rFonts w:ascii="Arial" w:cs="Arial" w:eastAsia="Arial" w:hAnsi="Arial"/>
                <w:sz w:val="18"/>
                <w:szCs w:val="18"/>
                <w:b w:val="1"/>
                <w:bCs w:val="1"/>
                <w:color w:val="auto"/>
              </w:rPr>
              <w:t>Balance at June 30,</w:t>
            </w: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1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20" w:type="dxa"/>
            <w:vAlign w:val="bottom"/>
          </w:tcPr>
          <w:p>
            <w:pPr>
              <w:jc w:val="right"/>
              <w:spacing w:after="0"/>
              <w:rPr>
                <w:sz w:val="20"/>
                <w:szCs w:val="20"/>
                <w:color w:val="auto"/>
              </w:rPr>
            </w:pPr>
            <w:r>
              <w:rPr>
                <w:rFonts w:ascii="Arial" w:cs="Arial" w:eastAsia="Arial" w:hAnsi="Arial"/>
                <w:sz w:val="18"/>
                <w:szCs w:val="18"/>
                <w:color w:val="auto"/>
              </w:rPr>
              <w:t>126,046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737,009</w:t>
            </w:r>
          </w:p>
        </w:tc>
        <w:tc>
          <w:tcPr>
            <w:tcW w:w="60" w:type="dxa"/>
            <w:vAlign w:val="bottom"/>
          </w:tcPr>
          <w:p>
            <w:pPr>
              <w:spacing w:after="0"/>
              <w:rPr>
                <w:sz w:val="20"/>
                <w:szCs w:val="20"/>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Stock options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Stock-based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Conversion of</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redeemable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convertible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400"/>
              <w:spacing w:after="0" w:line="202" w:lineRule="exact"/>
              <w:rPr>
                <w:sz w:val="20"/>
                <w:szCs w:val="20"/>
                <w:color w:val="auto"/>
              </w:rPr>
            </w:pPr>
            <w:r>
              <w:rPr>
                <w:rFonts w:ascii="Arial" w:cs="Arial" w:eastAsia="Arial" w:hAnsi="Arial"/>
                <w:sz w:val="18"/>
                <w:szCs w:val="18"/>
                <w:color w:val="auto"/>
              </w:rPr>
              <w:t>preferred stock to</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common stock in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400"/>
              <w:spacing w:after="0" w:line="202" w:lineRule="exact"/>
              <w:rPr>
                <w:sz w:val="20"/>
                <w:szCs w:val="20"/>
                <w:color w:val="auto"/>
              </w:rPr>
            </w:pPr>
            <w:r>
              <w:rPr>
                <w:rFonts w:ascii="Arial" w:cs="Arial" w:eastAsia="Arial" w:hAnsi="Arial"/>
                <w:sz w:val="18"/>
                <w:szCs w:val="18"/>
                <w:color w:val="auto"/>
              </w:rPr>
              <w:t>connection with</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260"/>
              <w:spacing w:after="0"/>
              <w:rPr>
                <w:sz w:val="20"/>
                <w:szCs w:val="20"/>
                <w:color w:val="auto"/>
              </w:rPr>
            </w:pPr>
            <w:r>
              <w:rPr>
                <w:rFonts w:ascii="Arial" w:cs="Arial" w:eastAsia="Arial" w:hAnsi="Arial"/>
                <w:sz w:val="18"/>
                <w:szCs w:val="18"/>
                <w:color w:val="auto"/>
              </w:rPr>
              <w:t>initial public offering</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(126,046)</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(737,009)</w:t>
            </w: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Issuance of Class A</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common stock in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400"/>
              <w:spacing w:after="0" w:line="202" w:lineRule="exact"/>
              <w:rPr>
                <w:sz w:val="20"/>
                <w:szCs w:val="20"/>
                <w:color w:val="auto"/>
              </w:rPr>
            </w:pPr>
            <w:r>
              <w:rPr>
                <w:rFonts w:ascii="Arial" w:cs="Arial" w:eastAsia="Arial" w:hAnsi="Arial"/>
                <w:sz w:val="18"/>
                <w:szCs w:val="18"/>
                <w:color w:val="auto"/>
              </w:rPr>
              <w:t>connection with</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initial public offering,</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net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400"/>
              <w:spacing w:after="0" w:line="202" w:lineRule="exact"/>
              <w:rPr>
                <w:sz w:val="20"/>
                <w:szCs w:val="20"/>
                <w:color w:val="auto"/>
              </w:rPr>
            </w:pPr>
            <w:r>
              <w:rPr>
                <w:rFonts w:ascii="Arial" w:cs="Arial" w:eastAsia="Arial" w:hAnsi="Arial"/>
                <w:sz w:val="18"/>
                <w:szCs w:val="18"/>
                <w:color w:val="auto"/>
              </w:rPr>
              <w:t>of offering costs,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underwriting</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discounts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400"/>
              <w:spacing w:after="0"/>
              <w:rPr>
                <w:sz w:val="20"/>
                <w:szCs w:val="20"/>
                <w:color w:val="auto"/>
              </w:rPr>
            </w:pPr>
            <w:r>
              <w:rPr>
                <w:rFonts w:ascii="Arial" w:cs="Arial" w:eastAsia="Arial" w:hAnsi="Arial"/>
                <w:sz w:val="18"/>
                <w:szCs w:val="18"/>
                <w:color w:val="auto"/>
              </w:rPr>
              <w:t>and commissions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Private placement of</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Class A common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400"/>
              <w:spacing w:after="0"/>
              <w:rPr>
                <w:sz w:val="20"/>
                <w:szCs w:val="20"/>
                <w:color w:val="auto"/>
              </w:rPr>
            </w:pPr>
            <w:r>
              <w:rPr>
                <w:rFonts w:ascii="Arial" w:cs="Arial" w:eastAsia="Arial" w:hAnsi="Arial"/>
                <w:sz w:val="18"/>
                <w:szCs w:val="18"/>
                <w:color w:val="auto"/>
              </w:rPr>
              <w:t>stock</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Conversion of</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common stock into</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Class B</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400"/>
              <w:spacing w:after="0" w:line="202" w:lineRule="exact"/>
              <w:rPr>
                <w:sz w:val="20"/>
                <w:szCs w:val="20"/>
                <w:color w:val="auto"/>
              </w:rPr>
            </w:pPr>
            <w:r>
              <w:rPr>
                <w:rFonts w:ascii="Arial" w:cs="Arial" w:eastAsia="Arial" w:hAnsi="Arial"/>
                <w:sz w:val="18"/>
                <w:szCs w:val="18"/>
                <w:color w:val="auto"/>
              </w:rPr>
              <w:t>common stock in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connection with initial</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400"/>
              <w:spacing w:after="0"/>
              <w:rPr>
                <w:sz w:val="20"/>
                <w:szCs w:val="20"/>
                <w:color w:val="auto"/>
              </w:rPr>
            </w:pPr>
            <w:r>
              <w:rPr>
                <w:rFonts w:ascii="Arial" w:cs="Arial" w:eastAsia="Arial" w:hAnsi="Arial"/>
                <w:sz w:val="18"/>
                <w:szCs w:val="18"/>
                <w:color w:val="auto"/>
              </w:rPr>
              <w:t>public offering</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Common stock</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withheld for tax</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obligations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400"/>
              <w:spacing w:after="0"/>
              <w:rPr>
                <w:sz w:val="20"/>
                <w:szCs w:val="20"/>
                <w:color w:val="auto"/>
              </w:rPr>
            </w:pPr>
            <w:r>
              <w:rPr>
                <w:rFonts w:ascii="Arial" w:cs="Arial" w:eastAsia="Arial" w:hAnsi="Arial"/>
                <w:sz w:val="18"/>
                <w:szCs w:val="18"/>
                <w:color w:val="auto"/>
              </w:rPr>
              <w:t>and net settlement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Vesting of restricted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00" w:type="dxa"/>
            <w:vAlign w:val="bottom"/>
          </w:tcPr>
          <w:p>
            <w:pPr>
              <w:ind w:left="260"/>
              <w:spacing w:after="0"/>
              <w:rPr>
                <w:sz w:val="20"/>
                <w:szCs w:val="20"/>
                <w:color w:val="auto"/>
              </w:rPr>
            </w:pPr>
            <w:r>
              <w:rPr>
                <w:rFonts w:ascii="Arial" w:cs="Arial" w:eastAsia="Arial" w:hAnsi="Arial"/>
                <w:sz w:val="18"/>
                <w:szCs w:val="18"/>
                <w:color w:val="auto"/>
              </w:rPr>
              <w:t>stock units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2100" w:type="dxa"/>
            <w:vAlign w:val="bottom"/>
          </w:tcPr>
          <w:p>
            <w:pPr>
              <w:ind w:left="260"/>
              <w:spacing w:after="0" w:line="203" w:lineRule="exact"/>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187"/>
        </w:trPr>
        <w:tc>
          <w:tcPr>
            <w:tcW w:w="2100" w:type="dxa"/>
            <w:vAlign w:val="bottom"/>
          </w:tcPr>
          <w:p>
            <w:pPr>
              <w:spacing w:after="0" w:line="187" w:lineRule="exact"/>
              <w:rPr>
                <w:sz w:val="20"/>
                <w:szCs w:val="20"/>
                <w:color w:val="auto"/>
              </w:rPr>
            </w:pPr>
            <w:r>
              <w:rPr>
                <w:rFonts w:ascii="Arial" w:cs="Arial" w:eastAsia="Arial" w:hAnsi="Arial"/>
                <w:sz w:val="18"/>
                <w:szCs w:val="18"/>
                <w:b w:val="1"/>
                <w:bCs w:val="1"/>
                <w:color w:val="auto"/>
              </w:rPr>
              <w:t>Balance at</w:t>
            </w: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5"/>
        </w:trPr>
        <w:tc>
          <w:tcPr>
            <w:tcW w:w="2100" w:type="dxa"/>
            <w:vAlign w:val="bottom"/>
          </w:tcPr>
          <w:p>
            <w:pPr>
              <w:spacing w:after="0"/>
              <w:rPr>
                <w:sz w:val="20"/>
                <w:szCs w:val="20"/>
                <w:color w:val="auto"/>
              </w:rPr>
            </w:pPr>
            <w:r>
              <w:rPr>
                <w:rFonts w:ascii="Arial" w:cs="Arial" w:eastAsia="Arial" w:hAnsi="Arial"/>
                <w:sz w:val="18"/>
                <w:szCs w:val="18"/>
                <w:b w:val="1"/>
                <w:bCs w:val="1"/>
                <w:color w:val="auto"/>
              </w:rPr>
              <w:t>September 30, 2020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i w:val="1"/>
                <w:iCs w:val="1"/>
                <w:color w:val="auto"/>
              </w:rPr>
              <w:t>(Unaudited)</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9"/>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62"/>
        </w:trPr>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Class A and Class B</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Stockholders'</w:t>
            </w:r>
          </w:p>
        </w:tc>
      </w:tr>
      <w:tr>
        <w:trPr>
          <w:trHeight w:val="175"/>
        </w:trPr>
        <w:tc>
          <w:tcPr>
            <w:tcW w:w="16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Paid-in</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Equity</w:t>
            </w:r>
          </w:p>
        </w:tc>
      </w:tr>
      <w:tr>
        <w:trPr>
          <w:trHeight w:val="169"/>
        </w:trPr>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r>
      <w:tr>
        <w:trPr>
          <w:trHeight w:val="426"/>
        </w:trPr>
        <w:tc>
          <w:tcPr>
            <w:tcW w:w="820" w:type="dxa"/>
            <w:vAlign w:val="bottom"/>
          </w:tcPr>
          <w:p>
            <w:pPr>
              <w:jc w:val="right"/>
              <w:spacing w:after="0"/>
              <w:rPr>
                <w:sz w:val="20"/>
                <w:szCs w:val="20"/>
                <w:color w:val="auto"/>
              </w:rPr>
            </w:pPr>
            <w:r>
              <w:rPr>
                <w:rFonts w:ascii="Arial" w:cs="Arial" w:eastAsia="Arial" w:hAnsi="Arial"/>
                <w:sz w:val="18"/>
                <w:szCs w:val="18"/>
                <w:color w:val="auto"/>
              </w:rPr>
              <w:t>229,750</w:t>
            </w:r>
          </w:p>
        </w:tc>
        <w:tc>
          <w:tcPr>
            <w:tcW w:w="200" w:type="dxa"/>
            <w:vAlign w:val="bottom"/>
          </w:tcPr>
          <w:p>
            <w:pPr>
              <w:spacing w:after="0"/>
              <w:rPr>
                <w:sz w:val="24"/>
                <w:szCs w:val="24"/>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5"/>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8,788</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 (1,096,830)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 (1,087,582)</w:t>
            </w:r>
          </w:p>
        </w:tc>
      </w:tr>
      <w:tr>
        <w:trPr>
          <w:trHeight w:val="418"/>
        </w:trPr>
        <w:tc>
          <w:tcPr>
            <w:tcW w:w="82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692</w:t>
            </w:r>
          </w:p>
        </w:tc>
        <w:tc>
          <w:tcPr>
            <w:tcW w:w="60" w:type="dxa"/>
            <w:vAlign w:val="bottom"/>
          </w:tcPr>
          <w:p>
            <w:pPr>
              <w:spacing w:after="0"/>
              <w:rPr>
                <w:sz w:val="24"/>
                <w:szCs w:val="24"/>
                <w:color w:val="auto"/>
              </w:rPr>
            </w:pPr>
          </w:p>
        </w:tc>
      </w:tr>
      <w:tr>
        <w:trPr>
          <w:trHeight w:val="418"/>
        </w:trPr>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2,501</w:t>
            </w: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2,501</w:t>
            </w:r>
          </w:p>
        </w:tc>
        <w:tc>
          <w:tcPr>
            <w:tcW w:w="60" w:type="dxa"/>
            <w:vAlign w:val="bottom"/>
          </w:tcPr>
          <w:p>
            <w:pPr>
              <w:spacing w:after="0"/>
              <w:rPr>
                <w:sz w:val="24"/>
                <w:szCs w:val="24"/>
                <w:color w:val="auto"/>
              </w:rPr>
            </w:pPr>
          </w:p>
        </w:tc>
      </w:tr>
      <w:tr>
        <w:trPr>
          <w:trHeight w:val="203"/>
        </w:trPr>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27,346</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27,346</w:t>
            </w:r>
          </w:p>
        </w:tc>
        <w:tc>
          <w:tcPr>
            <w:tcW w:w="60" w:type="dxa"/>
            <w:vAlign w:val="bottom"/>
          </w:tcPr>
          <w:p>
            <w:pPr>
              <w:spacing w:after="0"/>
              <w:rPr>
                <w:sz w:val="17"/>
                <w:szCs w:val="17"/>
                <w:color w:val="auto"/>
              </w:rPr>
            </w:pPr>
          </w:p>
        </w:tc>
      </w:tr>
      <w:tr>
        <w:trPr>
          <w:trHeight w:val="426"/>
        </w:trPr>
        <w:tc>
          <w:tcPr>
            <w:tcW w:w="820" w:type="dxa"/>
            <w:vAlign w:val="bottom"/>
          </w:tcPr>
          <w:p>
            <w:pPr>
              <w:jc w:val="right"/>
              <w:spacing w:after="0"/>
              <w:rPr>
                <w:sz w:val="20"/>
                <w:szCs w:val="20"/>
                <w:color w:val="auto"/>
              </w:rPr>
            </w:pPr>
            <w:r>
              <w:rPr>
                <w:rFonts w:ascii="Arial" w:cs="Arial" w:eastAsia="Arial" w:hAnsi="Arial"/>
                <w:sz w:val="18"/>
                <w:szCs w:val="18"/>
                <w:color w:val="auto"/>
              </w:rPr>
              <w:t>230,217</w:t>
            </w:r>
          </w:p>
        </w:tc>
        <w:tc>
          <w:tcPr>
            <w:tcW w:w="200" w:type="dxa"/>
            <w:vAlign w:val="bottom"/>
          </w:tcPr>
          <w:p>
            <w:pPr>
              <w:spacing w:after="0"/>
              <w:rPr>
                <w:sz w:val="24"/>
                <w:szCs w:val="24"/>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5"/>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11,980</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 (1,069,484)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 (1,057,043)</w:t>
            </w:r>
          </w:p>
        </w:tc>
      </w:tr>
      <w:tr>
        <w:trPr>
          <w:trHeight w:val="418"/>
        </w:trPr>
        <w:tc>
          <w:tcPr>
            <w:tcW w:w="82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24"/>
                <w:szCs w:val="24"/>
                <w:color w:val="auto"/>
              </w:rPr>
            </w:pPr>
          </w:p>
        </w:tc>
      </w:tr>
      <w:tr>
        <w:trPr>
          <w:trHeight w:val="418"/>
        </w:trPr>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2,440</w:t>
            </w: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2,440</w:t>
            </w:r>
          </w:p>
        </w:tc>
        <w:tc>
          <w:tcPr>
            <w:tcW w:w="60" w:type="dxa"/>
            <w:vAlign w:val="bottom"/>
          </w:tcPr>
          <w:p>
            <w:pPr>
              <w:spacing w:after="0"/>
              <w:rPr>
                <w:sz w:val="24"/>
                <w:szCs w:val="24"/>
                <w:color w:val="auto"/>
              </w:rPr>
            </w:pPr>
          </w:p>
        </w:tc>
      </w:tr>
      <w:tr>
        <w:trPr>
          <w:trHeight w:val="203"/>
        </w:trPr>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27,337</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27,337</w:t>
            </w:r>
          </w:p>
        </w:tc>
        <w:tc>
          <w:tcPr>
            <w:tcW w:w="60" w:type="dxa"/>
            <w:vAlign w:val="bottom"/>
          </w:tcPr>
          <w:p>
            <w:pPr>
              <w:spacing w:after="0"/>
              <w:rPr>
                <w:sz w:val="17"/>
                <w:szCs w:val="17"/>
                <w:color w:val="auto"/>
              </w:rPr>
            </w:pPr>
          </w:p>
        </w:tc>
      </w:tr>
      <w:tr>
        <w:trPr>
          <w:trHeight w:val="426"/>
        </w:trPr>
        <w:tc>
          <w:tcPr>
            <w:tcW w:w="820" w:type="dxa"/>
            <w:vAlign w:val="bottom"/>
          </w:tcPr>
          <w:p>
            <w:pPr>
              <w:jc w:val="right"/>
              <w:spacing w:after="0"/>
              <w:rPr>
                <w:sz w:val="20"/>
                <w:szCs w:val="20"/>
                <w:color w:val="auto"/>
              </w:rPr>
            </w:pPr>
            <w:r>
              <w:rPr>
                <w:rFonts w:ascii="Arial" w:cs="Arial" w:eastAsia="Arial" w:hAnsi="Arial"/>
                <w:sz w:val="18"/>
                <w:szCs w:val="18"/>
                <w:color w:val="auto"/>
              </w:rPr>
              <w:t>230,439</w:t>
            </w:r>
          </w:p>
        </w:tc>
        <w:tc>
          <w:tcPr>
            <w:tcW w:w="200" w:type="dxa"/>
            <w:vAlign w:val="bottom"/>
          </w:tcPr>
          <w:p>
            <w:pPr>
              <w:spacing w:after="0"/>
              <w:rPr>
                <w:sz w:val="24"/>
                <w:szCs w:val="24"/>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5"/>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14,950</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 (1,042,147)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 (1,026,735)</w:t>
            </w:r>
          </w:p>
        </w:tc>
      </w:tr>
      <w:tr>
        <w:trPr>
          <w:trHeight w:val="418"/>
        </w:trPr>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4,291</w:t>
            </w: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4,292</w:t>
            </w:r>
          </w:p>
        </w:tc>
        <w:tc>
          <w:tcPr>
            <w:tcW w:w="60" w:type="dxa"/>
            <w:vAlign w:val="bottom"/>
          </w:tcPr>
          <w:p>
            <w:pPr>
              <w:spacing w:after="0"/>
              <w:rPr>
                <w:sz w:val="24"/>
                <w:szCs w:val="24"/>
                <w:color w:val="auto"/>
              </w:rPr>
            </w:pPr>
          </w:p>
        </w:tc>
      </w:tr>
      <w:tr>
        <w:trPr>
          <w:trHeight w:val="418"/>
        </w:trPr>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107,825</w:t>
            </w: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107,825</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-3136900</wp:posOffset>
            </wp:positionV>
            <wp:extent cx="7132320" cy="7603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760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spacing w:after="0"/>
        <w:tabs>
          <w:tab w:leader="none" w:pos="1320" w:val="left"/>
          <w:tab w:leader="none" w:pos="2400" w:val="left"/>
          <w:tab w:leader="none" w:pos="3240" w:val="left"/>
          <w:tab w:leader="none" w:pos="3900" w:val="left"/>
          <w:tab w:leader="none" w:pos="5560" w:val="left"/>
          <w:tab w:leader="none" w:pos="6280" w:val="left"/>
        </w:tabs>
        <w:rPr>
          <w:sz w:val="20"/>
          <w:szCs w:val="20"/>
          <w:color w:val="auto"/>
        </w:rPr>
      </w:pPr>
      <w:r>
        <w:rPr>
          <w:rFonts w:ascii="Arial" w:cs="Arial" w:eastAsia="Arial" w:hAnsi="Arial"/>
          <w:sz w:val="18"/>
          <w:szCs w:val="18"/>
          <w:color w:val="auto"/>
        </w:rPr>
        <w:t>126,046</w:t>
      </w:r>
      <w:r>
        <w:rPr>
          <w:sz w:val="20"/>
          <w:szCs w:val="20"/>
          <w:color w:val="auto"/>
        </w:rPr>
        <w:tab/>
      </w: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736,757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737,009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28,615</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886,853</w:t>
            </w:r>
          </w:p>
        </w:tc>
        <w:tc>
          <w:tcPr>
            <w:tcW w:w="940" w:type="dxa"/>
            <w:vAlign w:val="bottom"/>
          </w:tcPr>
          <w:p>
            <w:pPr>
              <w:ind w:lef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886,856</w:t>
            </w: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3,030</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100,000</w:t>
            </w:r>
          </w:p>
        </w:tc>
        <w:tc>
          <w:tcPr>
            <w:tcW w:w="940" w:type="dxa"/>
            <w:vAlign w:val="bottom"/>
          </w:tcPr>
          <w:p>
            <w:pPr>
              <w:ind w:lef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(357,265)</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(715)</w:t>
            </w:r>
          </w:p>
        </w:tc>
        <w:tc>
          <w:tcPr>
            <w:tcW w:w="780" w:type="dxa"/>
            <w:vAlign w:val="bottom"/>
          </w:tcPr>
          <w:p>
            <w:pPr>
              <w:jc w:val="right"/>
              <w:spacing w:after="0"/>
              <w:rPr>
                <w:sz w:val="20"/>
                <w:szCs w:val="20"/>
                <w:color w:val="auto"/>
              </w:rPr>
            </w:pPr>
            <w:r>
              <w:rPr>
                <w:rFonts w:ascii="Arial" w:cs="Arial" w:eastAsia="Arial" w:hAnsi="Arial"/>
                <w:sz w:val="18"/>
                <w:szCs w:val="18"/>
                <w:color w:val="auto"/>
              </w:rPr>
              <w:t>357,265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18"/>
                <w:szCs w:val="18"/>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823"/>
        </w:trPr>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(2,806)</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(2,806)</w:t>
            </w:r>
          </w:p>
        </w:tc>
      </w:tr>
      <w:tr>
        <w:trPr>
          <w:trHeight w:val="418"/>
        </w:trPr>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(50,032)</w:t>
            </w:r>
          </w:p>
        </w:tc>
        <w:tc>
          <w:tcPr>
            <w:tcW w:w="2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(50,032)</w:t>
            </w:r>
          </w:p>
        </w:tc>
      </w:tr>
      <w:tr>
        <w:trPr>
          <w:trHeight w:val="20"/>
        </w:trPr>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0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389,279</w:t>
            </w:r>
          </w:p>
        </w:tc>
        <w:tc>
          <w:tcPr>
            <w:tcW w:w="1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4"/>
              </w:rPr>
              <w:t>$ 1,848,549</w:t>
            </w:r>
          </w:p>
        </w:tc>
        <w:tc>
          <w:tcPr>
            <w:tcW w:w="20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(1,092,179)  $</w:t>
            </w:r>
          </w:p>
        </w:tc>
        <w:tc>
          <w:tcPr>
            <w:tcW w:w="780" w:type="dxa"/>
            <w:vAlign w:val="bottom"/>
          </w:tcPr>
          <w:p>
            <w:pPr>
              <w:jc w:val="right"/>
              <w:spacing w:after="0"/>
              <w:rPr>
                <w:sz w:val="20"/>
                <w:szCs w:val="20"/>
                <w:color w:val="auto"/>
              </w:rPr>
            </w:pPr>
            <w:r>
              <w:rPr>
                <w:rFonts w:ascii="Arial" w:cs="Arial" w:eastAsia="Arial" w:hAnsi="Arial"/>
                <w:sz w:val="18"/>
                <w:szCs w:val="18"/>
                <w:color w:val="auto"/>
              </w:rPr>
              <w:t>756,409</w:t>
            </w:r>
          </w:p>
        </w:tc>
        <w:tc>
          <w:tcPr>
            <w:tcW w:w="60" w:type="dxa"/>
            <w:vAlign w:val="bottom"/>
          </w:tcPr>
          <w:p>
            <w:pPr>
              <w:spacing w:after="0"/>
              <w:rPr>
                <w:sz w:val="24"/>
                <w:szCs w:val="24"/>
                <w:color w:val="auto"/>
              </w:rPr>
            </w:pP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000" w:space="200"/>
            <w:col w:w="7020"/>
          </w:cols>
          <w:pgMar w:left="320" w:top="333" w:right="359" w:bottom="1440" w:gutter="0" w:footer="0" w:header="0"/>
          <w:type w:val="continuous"/>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Changes in Redeemable Convertible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443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4348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9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Redeemable</w:t>
            </w:r>
          </w:p>
        </w:tc>
      </w:tr>
      <w:tr>
        <w:trPr>
          <w:trHeight w:val="176"/>
        </w:trPr>
        <w:tc>
          <w:tcPr>
            <w:tcW w:w="350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Convertible Preferred Stock</w:t>
            </w:r>
          </w:p>
        </w:tc>
      </w:tr>
      <w:tr>
        <w:trPr>
          <w:trHeight w:val="175"/>
        </w:trPr>
        <w:tc>
          <w:tcPr>
            <w:tcW w:w="35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40" w:type="dxa"/>
            <w:vAlign w:val="bottom"/>
          </w:tcPr>
          <w:p>
            <w:pPr>
              <w:jc w:val="right"/>
              <w:ind w:right="71"/>
              <w:spacing w:after="0"/>
              <w:rPr>
                <w:sz w:val="20"/>
                <w:szCs w:val="20"/>
                <w:color w:val="auto"/>
              </w:rPr>
            </w:pPr>
            <w:r>
              <w:rPr>
                <w:rFonts w:ascii="Arial" w:cs="Arial" w:eastAsia="Arial" w:hAnsi="Arial"/>
                <w:sz w:val="14"/>
                <w:szCs w:val="14"/>
                <w:b w:val="1"/>
                <w:bCs w:val="1"/>
                <w:color w:val="auto"/>
              </w:rPr>
              <w:t>Amount</w:t>
            </w:r>
          </w:p>
        </w:tc>
      </w:tr>
      <w:tr>
        <w:trPr>
          <w:trHeight w:val="222"/>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126,046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737,009</w:t>
            </w: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 options exercised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3500" w:type="dxa"/>
            <w:vAlign w:val="bottom"/>
          </w:tcPr>
          <w:p>
            <w:pPr>
              <w:ind w:left="260"/>
              <w:spacing w:after="0" w:line="203" w:lineRule="exact"/>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22"/>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at March 31,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126,046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737,009</w:t>
            </w: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 options exercised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Restricted stock issuance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3500" w:type="dxa"/>
            <w:vAlign w:val="bottom"/>
          </w:tcPr>
          <w:p>
            <w:pPr>
              <w:ind w:left="260"/>
              <w:spacing w:after="0" w:line="203" w:lineRule="exact"/>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22"/>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126,046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737,009</w:t>
            </w: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 options exercised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Common stock issuance</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3500" w:type="dxa"/>
            <w:vAlign w:val="bottom"/>
          </w:tcPr>
          <w:p>
            <w:pPr>
              <w:ind w:left="260"/>
              <w:spacing w:after="0" w:line="203" w:lineRule="exact"/>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9"/>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126,046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737,009</w:t>
            </w:r>
          </w:p>
        </w:tc>
      </w:tr>
      <w:tr>
        <w:trPr>
          <w:trHeight w:val="20"/>
        </w:trPr>
        <w:tc>
          <w:tcPr>
            <w:tcW w:w="3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76"/>
        </w:trPr>
        <w:tc>
          <w:tcPr>
            <w:tcW w:w="208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Stockholders'</w:t>
            </w:r>
          </w:p>
        </w:tc>
      </w:tr>
      <w:tr>
        <w:trPr>
          <w:trHeight w:val="175"/>
        </w:trPr>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5"/>
                <w:szCs w:val="15"/>
                <w:color w:val="auto"/>
              </w:rPr>
            </w:pPr>
          </w:p>
        </w:tc>
      </w:tr>
      <w:tr>
        <w:trPr>
          <w:trHeight w:val="222"/>
        </w:trPr>
        <w:tc>
          <w:tcPr>
            <w:tcW w:w="840" w:type="dxa"/>
            <w:vAlign w:val="bottom"/>
          </w:tcPr>
          <w:p>
            <w:pPr>
              <w:jc w:val="right"/>
              <w:spacing w:after="0"/>
              <w:rPr>
                <w:sz w:val="20"/>
                <w:szCs w:val="20"/>
                <w:color w:val="auto"/>
              </w:rPr>
            </w:pPr>
            <w:r>
              <w:rPr>
                <w:rFonts w:ascii="Arial" w:cs="Arial" w:eastAsia="Arial" w:hAnsi="Arial"/>
                <w:sz w:val="18"/>
                <w:szCs w:val="18"/>
                <w:color w:val="auto"/>
              </w:rPr>
              <w:t>225,201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 (1,162,878)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 (1,162,427)</w:t>
            </w:r>
          </w:p>
        </w:tc>
      </w:tr>
      <w:tr>
        <w:trPr>
          <w:trHeight w:val="216"/>
        </w:trPr>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r>
      <w:tr>
        <w:trPr>
          <w:trHeight w:val="216"/>
        </w:trPr>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18"/>
                <w:szCs w:val="18"/>
                <w:color w:val="auto"/>
              </w:rPr>
            </w:pPr>
          </w:p>
        </w:tc>
      </w:tr>
      <w:tr>
        <w:trPr>
          <w:trHeight w:val="203"/>
        </w:trPr>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11,552</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11,552</w:t>
            </w:r>
          </w:p>
        </w:tc>
        <w:tc>
          <w:tcPr>
            <w:tcW w:w="60" w:type="dxa"/>
            <w:vAlign w:val="bottom"/>
          </w:tcPr>
          <w:p>
            <w:pPr>
              <w:spacing w:after="0"/>
              <w:rPr>
                <w:sz w:val="17"/>
                <w:szCs w:val="17"/>
                <w:color w:val="auto"/>
              </w:rPr>
            </w:pPr>
          </w:p>
        </w:tc>
      </w:tr>
      <w:tr>
        <w:trPr>
          <w:trHeight w:val="222"/>
        </w:trPr>
        <w:tc>
          <w:tcPr>
            <w:tcW w:w="840" w:type="dxa"/>
            <w:vAlign w:val="bottom"/>
          </w:tcPr>
          <w:p>
            <w:pPr>
              <w:jc w:val="right"/>
              <w:spacing w:after="0"/>
              <w:rPr>
                <w:sz w:val="20"/>
                <w:szCs w:val="20"/>
                <w:color w:val="auto"/>
              </w:rPr>
            </w:pPr>
            <w:r>
              <w:rPr>
                <w:rFonts w:ascii="Arial" w:cs="Arial" w:eastAsia="Arial" w:hAnsi="Arial"/>
                <w:sz w:val="18"/>
                <w:szCs w:val="18"/>
                <w:color w:val="auto"/>
              </w:rPr>
              <w:t>225,541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 (1,151,326)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 (1,149,724)</w:t>
            </w:r>
          </w:p>
        </w:tc>
      </w:tr>
      <w:tr>
        <w:trPr>
          <w:trHeight w:val="216"/>
        </w:trPr>
        <w:tc>
          <w:tcPr>
            <w:tcW w:w="840" w:type="dxa"/>
            <w:vAlign w:val="bottom"/>
          </w:tcPr>
          <w:p>
            <w:pPr>
              <w:jc w:val="right"/>
              <w:spacing w:after="0"/>
              <w:rPr>
                <w:sz w:val="20"/>
                <w:szCs w:val="20"/>
                <w:color w:val="auto"/>
              </w:rPr>
            </w:pPr>
            <w:r>
              <w:rPr>
                <w:rFonts w:ascii="Arial" w:cs="Arial" w:eastAsia="Arial" w:hAnsi="Arial"/>
                <w:sz w:val="18"/>
                <w:szCs w:val="18"/>
                <w:color w:val="auto"/>
              </w:rPr>
              <w:t>1,377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18"/>
                <w:szCs w:val="18"/>
                <w:color w:val="auto"/>
              </w:rPr>
            </w:pPr>
          </w:p>
        </w:tc>
      </w:tr>
      <w:tr>
        <w:trPr>
          <w:trHeight w:val="216"/>
        </w:trPr>
        <w:tc>
          <w:tcPr>
            <w:tcW w:w="840" w:type="dxa"/>
            <w:vAlign w:val="bottom"/>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1,057</w:t>
            </w:r>
          </w:p>
        </w:tc>
        <w:tc>
          <w:tcPr>
            <w:tcW w:w="60" w:type="dxa"/>
            <w:vAlign w:val="bottom"/>
          </w:tcPr>
          <w:p>
            <w:pPr>
              <w:spacing w:after="0"/>
              <w:rPr>
                <w:sz w:val="18"/>
                <w:szCs w:val="18"/>
                <w:color w:val="auto"/>
              </w:rPr>
            </w:pPr>
          </w:p>
        </w:tc>
      </w:tr>
      <w:tr>
        <w:trPr>
          <w:trHeight w:val="203"/>
        </w:trPr>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19,650</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19,650</w:t>
            </w:r>
          </w:p>
        </w:tc>
        <w:tc>
          <w:tcPr>
            <w:tcW w:w="60" w:type="dxa"/>
            <w:vAlign w:val="bottom"/>
          </w:tcPr>
          <w:p>
            <w:pPr>
              <w:spacing w:after="0"/>
              <w:rPr>
                <w:sz w:val="17"/>
                <w:szCs w:val="17"/>
                <w:color w:val="auto"/>
              </w:rPr>
            </w:pPr>
          </w:p>
        </w:tc>
      </w:tr>
      <w:tr>
        <w:trPr>
          <w:trHeight w:val="222"/>
        </w:trPr>
        <w:tc>
          <w:tcPr>
            <w:tcW w:w="840" w:type="dxa"/>
            <w:vAlign w:val="bottom"/>
          </w:tcPr>
          <w:p>
            <w:pPr>
              <w:jc w:val="right"/>
              <w:spacing w:after="0"/>
              <w:rPr>
                <w:sz w:val="20"/>
                <w:szCs w:val="20"/>
                <w:color w:val="auto"/>
              </w:rPr>
            </w:pPr>
            <w:r>
              <w:rPr>
                <w:rFonts w:ascii="Arial" w:cs="Arial" w:eastAsia="Arial" w:hAnsi="Arial"/>
                <w:sz w:val="18"/>
                <w:szCs w:val="18"/>
                <w:color w:val="auto"/>
              </w:rPr>
              <w:t>228,797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3,824</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 (1,131,676)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 (1,127,394)</w:t>
            </w:r>
          </w:p>
        </w:tc>
      </w:tr>
      <w:tr>
        <w:trPr>
          <w:trHeight w:val="216"/>
        </w:trPr>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r>
      <w:tr>
        <w:trPr>
          <w:trHeight w:val="216"/>
        </w:trPr>
        <w:tc>
          <w:tcPr>
            <w:tcW w:w="84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18"/>
                <w:szCs w:val="18"/>
                <w:color w:val="auto"/>
              </w:rPr>
            </w:pPr>
          </w:p>
        </w:tc>
      </w:tr>
      <w:tr>
        <w:trPr>
          <w:trHeight w:val="216"/>
        </w:trPr>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1,072</w:t>
            </w:r>
          </w:p>
        </w:tc>
        <w:tc>
          <w:tcPr>
            <w:tcW w:w="60" w:type="dxa"/>
            <w:vAlign w:val="bottom"/>
          </w:tcPr>
          <w:p>
            <w:pPr>
              <w:spacing w:after="0"/>
              <w:rPr>
                <w:sz w:val="18"/>
                <w:szCs w:val="18"/>
                <w:color w:val="auto"/>
              </w:rPr>
            </w:pPr>
          </w:p>
        </w:tc>
      </w:tr>
      <w:tr>
        <w:trPr>
          <w:trHeight w:val="203"/>
        </w:trPr>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19,619</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19,619</w:t>
            </w:r>
          </w:p>
        </w:tc>
        <w:tc>
          <w:tcPr>
            <w:tcW w:w="60" w:type="dxa"/>
            <w:vAlign w:val="bottom"/>
          </w:tcPr>
          <w:p>
            <w:pPr>
              <w:spacing w:after="0"/>
              <w:rPr>
                <w:sz w:val="17"/>
                <w:szCs w:val="17"/>
                <w:color w:val="auto"/>
              </w:rPr>
            </w:pPr>
          </w:p>
        </w:tc>
      </w:tr>
      <w:tr>
        <w:trPr>
          <w:trHeight w:val="209"/>
        </w:trPr>
        <w:tc>
          <w:tcPr>
            <w:tcW w:w="840" w:type="dxa"/>
            <w:vAlign w:val="bottom"/>
          </w:tcPr>
          <w:p>
            <w:pPr>
              <w:jc w:val="right"/>
              <w:spacing w:after="0"/>
              <w:rPr>
                <w:sz w:val="20"/>
                <w:szCs w:val="20"/>
                <w:color w:val="auto"/>
              </w:rPr>
            </w:pPr>
            <w:r>
              <w:rPr>
                <w:rFonts w:ascii="Arial" w:cs="Arial" w:eastAsia="Arial" w:hAnsi="Arial"/>
                <w:sz w:val="18"/>
                <w:szCs w:val="18"/>
                <w:color w:val="auto"/>
              </w:rPr>
              <w:t>229,449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7,246</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 (1,112,057)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 (1,104,351)</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60" w:space="320"/>
            <w:col w:w="5440"/>
          </w:cols>
          <w:pgMar w:left="320" w:top="333" w:right="359" w:bottom="1440" w:gutter="0" w:footer="0" w:header="0"/>
          <w:type w:val="continuous"/>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GoodRx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rPr>
              <w:t>Nine Months Ended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2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3"/>
                <w:szCs w:val="13"/>
                <w:b w:val="1"/>
                <w:bCs w:val="1"/>
                <w:color w:val="auto"/>
              </w:rPr>
              <w:t>September 30,</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69"/>
              <w:spacing w:after="0" w:line="142"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8"/>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4,651</w:t>
            </w:r>
          </w:p>
        </w:tc>
        <w:tc>
          <w:tcPr>
            <w:tcW w:w="280" w:type="dxa"/>
            <w:vAlign w:val="bottom"/>
          </w:tcPr>
          <w:p>
            <w:pPr>
              <w:spacing w:after="0"/>
              <w:rPr>
                <w:sz w:val="15"/>
                <w:szCs w:val="15"/>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50,821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14,026</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2,430</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Non-cash operating lease expense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3,431</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111,204</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Change in fair value of contingent consideration</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901</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 net of effect of business acquisitions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(10,928)</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(8,013)</w:t>
            </w: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4"/>
                <w:szCs w:val="14"/>
                <w:color w:val="auto"/>
              </w:rPr>
              <w:t>Prepaid expenses and other assets</w:t>
            </w:r>
          </w:p>
        </w:tc>
        <w:tc>
          <w:tcPr>
            <w:tcW w:w="36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(31,832)</w:t>
            </w:r>
          </w:p>
        </w:tc>
        <w:tc>
          <w:tcPr>
            <w:tcW w:w="54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3,411</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13,763</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Operating lease liabilities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1,641</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28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116,491</w:t>
            </w:r>
          </w:p>
        </w:tc>
        <w:tc>
          <w:tcPr>
            <w:tcW w:w="280" w:type="dxa"/>
            <w:vAlign w:val="bottom"/>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66,771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(15,681)</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(55,793)</w:t>
            </w:r>
          </w:p>
        </w:tc>
        <w:tc>
          <w:tcPr>
            <w:tcW w:w="54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(31,306)</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Capitalized software</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(10,333)</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tcPr>
          <w:p>
            <w:pPr>
              <w:ind w:left="7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(81,807)</w:t>
            </w:r>
          </w:p>
        </w:tc>
        <w:tc>
          <w:tcPr>
            <w:tcW w:w="5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(35,285)</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tcPr>
          <w:p>
            <w:pPr>
              <w:spacing w:after="0"/>
              <w:rPr>
                <w:sz w:val="20"/>
                <w:szCs w:val="20"/>
                <w:color w:val="auto"/>
              </w:rPr>
            </w:pPr>
            <w:r>
              <w:rPr>
                <w:rFonts w:ascii="Arial" w:cs="Arial" w:eastAsia="Arial" w:hAnsi="Arial"/>
                <w:sz w:val="14"/>
                <w:szCs w:val="14"/>
                <w:color w:val="auto"/>
              </w:rPr>
              <w:t>Proceeds from issuance of common stock in initial public offering,</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720" w:type="dxa"/>
            <w:vAlign w:val="bottom"/>
          </w:tcPr>
          <w:p>
            <w:pPr>
              <w:ind w:left="120"/>
              <w:spacing w:after="0" w:line="157" w:lineRule="exact"/>
              <w:rPr>
                <w:sz w:val="20"/>
                <w:szCs w:val="20"/>
                <w:color w:val="auto"/>
              </w:rPr>
            </w:pPr>
            <w:r>
              <w:rPr>
                <w:rFonts w:ascii="Arial" w:cs="Arial" w:eastAsia="Arial" w:hAnsi="Arial"/>
                <w:sz w:val="14"/>
                <w:szCs w:val="14"/>
                <w:color w:val="auto"/>
              </w:rPr>
              <w:t>net of underwriting discounts and commissions</w:t>
            </w:r>
          </w:p>
        </w:tc>
        <w:tc>
          <w:tcPr>
            <w:tcW w:w="36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891,793</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private placement</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Proceeds from long-term debt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28,000</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Payments on long-term debt</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(5,272)</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(10,088)</w:t>
            </w: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Payment of debt issuance costs</w:t>
            </w:r>
          </w:p>
        </w:tc>
        <w:tc>
          <w:tcPr>
            <w:tcW w:w="36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(1,306)</w:t>
            </w:r>
          </w:p>
        </w:tc>
        <w:tc>
          <w:tcPr>
            <w:tcW w:w="5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Payments of initial public offering issuance costs</w:t>
            </w:r>
          </w:p>
        </w:tc>
        <w:tc>
          <w:tcPr>
            <w:tcW w:w="36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(1,840)</w:t>
            </w:r>
          </w:p>
        </w:tc>
        <w:tc>
          <w:tcPr>
            <w:tcW w:w="5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5,148</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early exercise of stock options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28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1,017,190</w:t>
            </w: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(6,400)</w:t>
            </w:r>
          </w:p>
        </w:tc>
        <w:tc>
          <w:tcPr>
            <w:tcW w:w="0" w:type="dxa"/>
            <w:vAlign w:val="bottom"/>
          </w:tcPr>
          <w:p>
            <w:pPr>
              <w:spacing w:after="0"/>
              <w:rPr>
                <w:sz w:val="1"/>
                <w:szCs w:val="1"/>
                <w:color w:val="auto"/>
              </w:rPr>
            </w:pPr>
          </w:p>
        </w:tc>
      </w:tr>
      <w:tr>
        <w:trPr>
          <w:trHeight w:val="169"/>
        </w:trPr>
        <w:tc>
          <w:tcPr>
            <w:tcW w:w="7720" w:type="dxa"/>
            <w:vAlign w:val="bottom"/>
          </w:tcPr>
          <w:p>
            <w:pPr>
              <w:ind w:left="740"/>
              <w:spacing w:after="0"/>
              <w:rPr>
                <w:sz w:val="20"/>
                <w:szCs w:val="20"/>
                <w:color w:val="auto"/>
              </w:rPr>
            </w:pPr>
            <w:r>
              <w:rPr>
                <w:rFonts w:ascii="Arial" w:cs="Arial" w:eastAsia="Arial" w:hAnsi="Arial"/>
                <w:sz w:val="14"/>
                <w:szCs w:val="14"/>
                <w:color w:val="auto"/>
              </w:rPr>
              <w:t>Net change in cash, cash equivalents and restricted cash</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1,051,874</w:t>
            </w:r>
          </w:p>
        </w:tc>
        <w:tc>
          <w:tcPr>
            <w:tcW w:w="2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25,086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Cash, cash equivalents and restricted cash</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26,050</w:t>
            </w:r>
          </w:p>
        </w:tc>
        <w:tc>
          <w:tcPr>
            <w:tcW w:w="28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34,600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1,077,924</w:t>
            </w:r>
          </w:p>
        </w:tc>
        <w:tc>
          <w:tcPr>
            <w:tcW w:w="28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59,686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Non 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Offering costs included in accounts payable and accrued expenses and</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72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other current liabilities</w:t>
            </w:r>
          </w:p>
        </w:tc>
        <w:tc>
          <w:tcPr>
            <w:tcW w:w="360" w:type="dxa"/>
            <w:vAlign w:val="bottom"/>
            <w:shd w:val="clear" w:color="auto" w:fill="CFF0FC"/>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3,097</w:t>
            </w: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388"/>
              <w:spacing w:after="0" w:line="157"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720" w:type="dxa"/>
            <w:vAlign w:val="bottom"/>
          </w:tcPr>
          <w:p>
            <w:pPr>
              <w:spacing w:after="0"/>
              <w:rPr>
                <w:sz w:val="20"/>
                <w:szCs w:val="20"/>
                <w:color w:val="auto"/>
              </w:rPr>
            </w:pPr>
            <w:r>
              <w:rPr>
                <w:rFonts w:ascii="Arial" w:cs="Arial" w:eastAsia="Arial" w:hAnsi="Arial"/>
                <w:sz w:val="14"/>
                <w:szCs w:val="14"/>
                <w:color w:val="auto"/>
              </w:rPr>
              <w:t>Right-of-use assets obtained in exchange for new operating lease</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720" w:type="dxa"/>
            <w:vAlign w:val="bottom"/>
          </w:tcPr>
          <w:p>
            <w:pPr>
              <w:ind w:left="120"/>
              <w:spacing w:after="0" w:line="157" w:lineRule="exact"/>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234</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3,444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included in capitalized software</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72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development costs</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1,562</w:t>
            </w: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20" w:type="dxa"/>
            <w:vAlign w:val="bottom"/>
          </w:tcPr>
          <w:p>
            <w:pPr>
              <w:spacing w:after="0"/>
              <w:rPr>
                <w:sz w:val="20"/>
                <w:szCs w:val="20"/>
                <w:color w:val="auto"/>
              </w:rPr>
            </w:pPr>
            <w:r>
              <w:rPr>
                <w:rFonts w:ascii="Arial" w:cs="Arial" w:eastAsia="Arial" w:hAnsi="Arial"/>
                <w:sz w:val="14"/>
                <w:szCs w:val="14"/>
                <w:color w:val="auto"/>
              </w:rPr>
              <w:t>Capitalized software development costs in accrued expenses and other</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720" w:type="dxa"/>
            <w:vAlign w:val="bottom"/>
          </w:tcPr>
          <w:p>
            <w:pPr>
              <w:ind w:left="120"/>
              <w:spacing w:after="0" w:line="157" w:lineRule="exact"/>
              <w:rPr>
                <w:sz w:val="20"/>
                <w:szCs w:val="20"/>
                <w:color w:val="auto"/>
              </w:rPr>
            </w:pPr>
            <w:r>
              <w:rPr>
                <w:rFonts w:ascii="Arial" w:cs="Arial" w:eastAsia="Arial" w:hAnsi="Arial"/>
                <w:sz w:val="14"/>
                <w:szCs w:val="14"/>
                <w:color w:val="auto"/>
              </w:rPr>
              <w:t>current liabilities</w:t>
            </w:r>
          </w:p>
        </w:tc>
        <w:tc>
          <w:tcPr>
            <w:tcW w:w="36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1,175</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417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Employee tax withholding obligations on stock option exercises included in</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72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2,439</w:t>
            </w: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720" w:type="dxa"/>
            <w:vAlign w:val="bottom"/>
          </w:tcPr>
          <w:p>
            <w:pPr>
              <w:spacing w:after="0"/>
              <w:rPr>
                <w:sz w:val="20"/>
                <w:szCs w:val="20"/>
                <w:color w:val="auto"/>
              </w:rPr>
            </w:pPr>
            <w:r>
              <w:rPr>
                <w:rFonts w:ascii="Arial" w:cs="Arial" w:eastAsia="Arial" w:hAnsi="Arial"/>
                <w:sz w:val="14"/>
                <w:szCs w:val="14"/>
                <w:color w:val="auto"/>
              </w:rPr>
              <w:t>Conversion of preferred stock to common stock in connection with initial public</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720" w:type="dxa"/>
            <w:vAlign w:val="bottom"/>
          </w:tcPr>
          <w:p>
            <w:pPr>
              <w:ind w:left="120"/>
              <w:spacing w:after="0"/>
              <w:rPr>
                <w:sz w:val="20"/>
                <w:szCs w:val="20"/>
                <w:color w:val="auto"/>
              </w:rPr>
            </w:pPr>
            <w:r>
              <w:rPr>
                <w:rFonts w:ascii="Arial" w:cs="Arial" w:eastAsia="Arial" w:hAnsi="Arial"/>
                <w:sz w:val="14"/>
                <w:szCs w:val="14"/>
                <w:color w:val="auto"/>
              </w:rPr>
              <w:t>offering</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737,009</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presents a reconciliation of cash, cash equivalents and restricted cash in our Condensed Consolidated Balance Sheets to the total of the same such amounts shown above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3"/>
                <w:szCs w:val="13"/>
                <w:b w:val="1"/>
                <w:bCs w:val="1"/>
                <w:color w:val="auto"/>
              </w:rPr>
              <w:t>September 30,</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169"/>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1,075,024</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59,686</w:t>
            </w:r>
          </w:p>
        </w:tc>
        <w:tc>
          <w:tcPr>
            <w:tcW w:w="120" w:type="dxa"/>
            <w:vAlign w:val="bottom"/>
            <w:shd w:val="clear" w:color="auto" w:fill="CFF0FC"/>
          </w:tcPr>
          <w:p>
            <w:pPr>
              <w:spacing w:after="0"/>
              <w:rPr>
                <w:sz w:val="14"/>
                <w:szCs w:val="14"/>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Restricted cash</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2,900</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9"/>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6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1,077,924</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59,686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6"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GoodRx Holdings, Inc. (the “Company”) and its subsidiaries offer information and tools to help consumers compare prices and save on their prescription drug purchases. The Company operates a price comparison platform that provides consumers with curated, geographically relevant prescription pricing, and provides access to negotiated prices through GoodRx codes that can be used to save money on prescriptions across the United States (the “prescription offering”). The services are free to consumers and the Company primarily earns revenue from its core business from Pharmacy Benefit Managers (“PBMs”) that manage formularies and prescription transactions including establishing pricing between consumers and pharmacies. The Company also offers other healthcare products and services, including telehealth services.</w:t>
      </w:r>
    </w:p>
    <w:p>
      <w:pPr>
        <w:spacing w:after="0" w:line="203" w:lineRule="exact"/>
        <w:rPr>
          <w:sz w:val="20"/>
          <w:szCs w:val="20"/>
          <w:color w:val="auto"/>
        </w:rPr>
      </w:pPr>
    </w:p>
    <w:p>
      <w:pPr>
        <w:jc w:val="both"/>
        <w:ind w:right="20" w:firstLine="499"/>
        <w:spacing w:after="0" w:line="246" w:lineRule="auto"/>
        <w:rPr>
          <w:sz w:val="20"/>
          <w:szCs w:val="20"/>
          <w:color w:val="auto"/>
        </w:rPr>
      </w:pPr>
      <w:r>
        <w:rPr>
          <w:rFonts w:ascii="Arial" w:cs="Arial" w:eastAsia="Arial" w:hAnsi="Arial"/>
          <w:sz w:val="18"/>
          <w:szCs w:val="18"/>
          <w:color w:val="auto"/>
        </w:rPr>
        <w:t>The Company was incorporated in September 2015. On October 7, 2015, the Company acquired 100% of the outstanding shares of GoodRx, Inc. (“GoodRx”). GoodRx was initially formed in September 2011 as GoodRx, Inc., a Delaware corporation.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6" w:lineRule="exact"/>
        <w:rPr>
          <w:sz w:val="20"/>
          <w:szCs w:val="20"/>
          <w:color w:val="auto"/>
        </w:rPr>
      </w:pPr>
    </w:p>
    <w:p>
      <w:pPr>
        <w:jc w:val="both"/>
        <w:ind w:firstLine="499"/>
        <w:spacing w:after="0" w:line="236" w:lineRule="auto"/>
        <w:rPr>
          <w:sz w:val="20"/>
          <w:szCs w:val="20"/>
          <w:color w:val="auto"/>
        </w:rPr>
      </w:pPr>
      <w:r>
        <w:rPr>
          <w:rFonts w:ascii="Arial" w:cs="Arial" w:eastAsia="Arial" w:hAnsi="Arial"/>
          <w:sz w:val="18"/>
          <w:szCs w:val="18"/>
          <w:color w:val="auto"/>
        </w:rPr>
        <w:t>The Company’s registration statement on Form S-1 (“IPO Registration Statement”) related to its initial public offering (“IPO”) was declared effective on September 22, 2020, and the Company’s Class A common stock began trading on the Nasdaq Global Select Market on September 23, 2020. On September 25, 2020, the Company completed its IPO of 39,807,691 shares of the Company Class A common stock, $0.0001 par value per share (the “Class A Common Stock”) at an offering price of $ 33.00 per share, pursuant to the Company’s IPO Registration Statement. The Company sold 28,615,034 shares, including 5,192,307 shares that were sold pursuant to the full exercise of the underwriters’ option to purchase additional shares, and certain existing stockholders sold an aggregate of 11,192,657 shares. The Company received aggregate net proceeds of $ 886.9 million after deducting underwriting discounts and commissions of $52.5 million and other offering expenses of $4.9 million, $3.1 million of which was unpaid at September 30, 2020.</w:t>
      </w:r>
    </w:p>
    <w:p>
      <w:pPr>
        <w:spacing w:after="0" w:line="208" w:lineRule="exact"/>
        <w:rPr>
          <w:sz w:val="20"/>
          <w:szCs w:val="20"/>
          <w:color w:val="auto"/>
        </w:rPr>
      </w:pPr>
    </w:p>
    <w:p>
      <w:pPr>
        <w:jc w:val="both"/>
        <w:ind w:firstLine="499"/>
        <w:spacing w:after="0" w:line="236" w:lineRule="auto"/>
        <w:rPr>
          <w:sz w:val="20"/>
          <w:szCs w:val="20"/>
          <w:color w:val="auto"/>
        </w:rPr>
      </w:pPr>
      <w:r>
        <w:rPr>
          <w:rFonts w:ascii="Arial" w:cs="Arial" w:eastAsia="Arial" w:hAnsi="Arial"/>
          <w:sz w:val="18"/>
          <w:szCs w:val="18"/>
          <w:color w:val="auto"/>
        </w:rPr>
        <w:t>Immediately prior to the completion of the IPO, 126,045,531 outstanding shares of redeemable convertible preferred stock with a carrying value of $737.0 million converted into an equivalent number of shares of common stock. Immediately prior to the completion of the IPO, the Company filed an Amended and Restated Certificate of Incorporation, which authorized a total of 2,000,000,000 shares of Class A Common Stock, 1,000,000,000 shares of Class B Common Stock, $0.0001 par value per share and 50,000,000 shares of Preferred Stock, par value $0.0001 per share (the “Preferred Stock”). Upon the filing of the Amended and Restated Certificate of Incorporation, 357,265,256 shares of the Company’s common stock then outstanding were automatically reclassified into an equivalent number of shares of the Company’s Class B Common Stock. Immediately after the reclassification and prior to the completion of the IPO, a total of 10,098,121 shares of Class B Common Stock held by certain existing shareholders were exchanged for an equivalent number of shares of Class A Common Stock pursuant to terms of certain exchange agreements. As a result, following the completion of the IPO, the Company has two classes of authorized and outstanding common stock: Class A Common Stock and Class B Common Stock.</w:t>
      </w:r>
    </w:p>
    <w:p>
      <w:pPr>
        <w:spacing w:after="0" w:line="206"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The rights of the holders of the Class A and Class B Common Stock are identical except for voting and conversion rights. The holders of the Class A Common Stock are entitled to one vote per share and the holders of the Class B Common Stock are entitled to 10 votes per share. Each share of Class B Common Stock is convertible into one share of Class A Common Stock at any time at the option of the holder and will automatically convert to Class A Common Stock upon any transfer, except for certain permitted transfers. All Class B Common Stock will convert automatically into an equivalent number of Class A Common Stock upon the earlier of (i) September 25, 2027; and (ii) the first date the aggregate number of shares of Class B Common Stock cease to represent at least 10% of the aggregate outstanding shares of common stock.</w:t>
      </w:r>
    </w:p>
    <w:p>
      <w:pPr>
        <w:spacing w:after="0" w:line="203"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On September 13, 2020, the Company entered into a stock purchase agreement with an existing investor to issue $100.0 million worth of shares of Class A Common Stock, with the price per share to be equal to the per share price to the public in the Company’s initial public offering of Class A Common Stock. Closing of the investment was subject to certain customary conditions, including the closing of the initial public offering of Class A common stock. Concurrent with the completion of the IPO, the Company issued 3,030,303 shares of Class A Common Stock.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2.Summary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jc w:val="both"/>
        <w:ind w:firstLine="499"/>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for the year ended December 31, 2019 and the related notes, which are included in the Company's Prospectus dated September 22, 2020 filed with the SEC pursuant to Rule 424(b) of the Securities Act of 1933, as amended, relating to the Company's IPO Registration Statement. The December 31, 2019 condensed consolidated balance sheet was derived from our audited consolidated financial statements as of that date. The Company’s unaudited interim condensed consolidated financial statements include, in the opinion of management, all adjustments, consisting of normal and recurring items, necessary for the fair statement of the condensed consolidated financial statements. There have been no significant changes in accounting policies during the three and nine months ended September 30, 2020 from those disclosed in the annual consolidated financial statements for the year ended December 31, 2019 and the related notes.</w:t>
      </w:r>
    </w:p>
    <w:p>
      <w:pPr>
        <w:spacing w:after="0" w:line="204" w:lineRule="exact"/>
        <w:rPr>
          <w:sz w:val="20"/>
          <w:szCs w:val="20"/>
          <w:color w:val="auto"/>
        </w:rPr>
      </w:pPr>
    </w:p>
    <w:p>
      <w:pPr>
        <w:jc w:val="both"/>
        <w:ind w:firstLine="499"/>
        <w:spacing w:after="0" w:line="246" w:lineRule="auto"/>
        <w:rPr>
          <w:sz w:val="20"/>
          <w:szCs w:val="20"/>
          <w:color w:val="auto"/>
        </w:rPr>
      </w:pPr>
      <w:r>
        <w:rPr>
          <w:rFonts w:ascii="Arial" w:cs="Arial" w:eastAsia="Arial" w:hAnsi="Arial"/>
          <w:sz w:val="18"/>
          <w:szCs w:val="18"/>
          <w:color w:val="auto"/>
        </w:rPr>
        <w:t>The operating results for the three and nine months ended September 30, 2020 are not necessarily indicative of the results expected for the full year ending December 31,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6"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The consolidated financial statements include the financial statements of GoodRx Holdings, Inc., its wholly owned subsidiaries and variable interest entities (“VIEs”) for which the Company is the primary beneficiary. Intercompany balances and transactions have been eliminated in consolidation. Results of businesses acquired are included in the Company’s consolidated financial statements from their respective dates of acquisition.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Consolidation of VIEs</w:t>
      </w:r>
    </w:p>
    <w:p>
      <w:pPr>
        <w:spacing w:after="0" w:line="122"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212529"/>
        </w:rPr>
        <w:t>The Company evaluates whether an entity in which it has a variable interest is considered a variable interest entity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184" w:lineRule="exact"/>
        <w:rPr>
          <w:sz w:val="20"/>
          <w:szCs w:val="20"/>
          <w:color w:val="auto"/>
        </w:rPr>
      </w:pPr>
    </w:p>
    <w:p>
      <w:pPr>
        <w:jc w:val="both"/>
        <w:ind w:firstLine="499"/>
        <w:spacing w:after="0" w:line="245" w:lineRule="auto"/>
        <w:rPr>
          <w:sz w:val="20"/>
          <w:szCs w:val="20"/>
          <w:color w:val="auto"/>
        </w:rPr>
      </w:pPr>
      <w:r>
        <w:rPr>
          <w:rFonts w:ascii="Arial" w:cs="Arial" w:eastAsia="Arial" w:hAnsi="Arial"/>
          <w:sz w:val="18"/>
          <w:szCs w:val="18"/>
          <w:color w:val="auto"/>
        </w:rPr>
        <w:t xml:space="preserve">Under the provisions of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 </w:t>
      </w:r>
      <w:r>
        <w:rPr>
          <w:rFonts w:ascii="Arial" w:cs="Arial" w:eastAsia="Arial" w:hAnsi="Arial"/>
          <w:sz w:val="18"/>
          <w:szCs w:val="18"/>
          <w:color w:val="212529"/>
        </w:rPr>
        <w:t>The Company periodically reassesses whether it is the primary beneficiary of a VIE.</w:t>
      </w:r>
    </w:p>
    <w:p>
      <w:pPr>
        <w:spacing w:after="0" w:line="199"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On April 18, 2019, the Company acquired Sappira, Inc. d.b.a. HeyDoctor (“HeyDoctor”). HeyDoctor provides management and other services to Professional Service Corporations (“PSCs”), which are owned by medical professionals in accordance with certain state laws which restrict the corporate practice of medicine and require medical practitioners to own such entities. The Company determined that the PSCs are VIEs. The Company also determined that it is able to direct the activities of the PSCs that most significantly impact their economic performance and it funds and absorbs all losses of these VIEs resulting in the Company being the primary beneficiary of the PSCs. Accordingly, the Company consolidates the VIEs.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revenue and net loss for the VIEs were $3.0 million and $(0.3) million, respectively, for the three months ended September 30,</w:t>
      </w:r>
    </w:p>
    <w:p>
      <w:pPr>
        <w:spacing w:after="0" w:line="234" w:lineRule="auto"/>
        <w:rPr>
          <w:sz w:val="20"/>
          <w:szCs w:val="20"/>
          <w:color w:val="auto"/>
        </w:rPr>
      </w:pPr>
      <w:r>
        <w:rPr>
          <w:rFonts w:ascii="Arial" w:cs="Arial" w:eastAsia="Arial" w:hAnsi="Arial"/>
          <w:sz w:val="18"/>
          <w:szCs w:val="18"/>
          <w:color w:val="auto"/>
        </w:rPr>
        <w:t>2020. Total revenue and net loss for the VIEs were $6.6 million and $(0.9) million, respectively, for the nine months ended September 30,</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2020. The VIEs’ total assets and liabilities were $4.8 million and $7.3 million, respectively, at September 30, 2020. The VIEs’ total stockholders' deficit was $2.5 million at September 30, 2020. Total revenue and net loss for the VIEs were $0.4 million and $(0.4) million, respectively, for the three months ended September 30, 2019. Total revenue and net loss for the VIEs were $0.6 million and $(0.9) million, respectively, for the nine months ended September 30, 2019. The VIEs’ total assets and liabilities were $1.4 million and $2.9 million, respectively, at December 31, 2019. The VIEs’ total stockholders’ deficit was $1.5 million at December 31, 2019.</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Segment Reporting and Geographic Information</w:t>
      </w:r>
    </w:p>
    <w:p>
      <w:pPr>
        <w:spacing w:after="0" w:line="126"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in deciding how to allocate resources and in assessing performance. The Company’s chief operating decision maker manages the Company on the basis of one operating segment. During the three and nine months ended September 30, 2020 and the three and nine months ended September 30, 2019, all of the Company’s revenue was from customers located in the United States. In addition, at September 30, 2020 and December 31, 2019, all of the Company’s right-of-use assets and property and equipment was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condensed consolidated financial statements include revenue recognition, valuation of intangible assets, useful lives of long-lived assets and capitalized software costs, recovery of long-lived assets and goodwill, assumptions used for purpose of determining stock-based compensation, and income tax reserves, among others.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26"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cash equivalents and accounts receivable. The Company maintains cash deposits with several financial institutions in the United States which, at times, may exceed federally insured limits. Cash may be withdrawn or redeemed on demand. The Company believes that the financial institutions that hold its cash are financially sound and, accordingly, minimal credit risk exists with respect to these balances. The Company has not experienced any losses in such accounts.</w:t>
      </w:r>
    </w:p>
    <w:p>
      <w:pPr>
        <w:spacing w:after="0" w:line="202" w:lineRule="exact"/>
        <w:rPr>
          <w:sz w:val="20"/>
          <w:szCs w:val="20"/>
          <w:color w:val="auto"/>
        </w:rPr>
      </w:pPr>
    </w:p>
    <w:p>
      <w:pPr>
        <w:jc w:val="both"/>
        <w:ind w:firstLine="499"/>
        <w:spacing w:after="0" w:line="246" w:lineRule="auto"/>
        <w:rPr>
          <w:sz w:val="20"/>
          <w:szCs w:val="20"/>
          <w:color w:val="auto"/>
        </w:rPr>
      </w:pPr>
      <w:r>
        <w:rPr>
          <w:rFonts w:ascii="Arial" w:cs="Arial" w:eastAsia="Arial" w:hAnsi="Arial"/>
          <w:sz w:val="18"/>
          <w:szCs w:val="18"/>
          <w:color w:val="auto"/>
        </w:rPr>
        <w:t>The Company extends credit to its customers based on an evaluation of their ability to pay amounts due under contractual arrangements and generally does not obtain or require collateral.</w:t>
      </w:r>
    </w:p>
    <w:p>
      <w:pPr>
        <w:spacing w:after="0" w:line="197"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For the three months ended September 30, 2020, four customers accounted for approximately 16%, 13%, 12% and 10% of the Company’s revenue. For the nine months ended September 30, 2020, three customers accounted for approximately 17%, 16% and 11% of the Company’s revenue. For the three months ended September 30, 2019, two customers accounted for approximately 25% and 24% of the Company’s revenue. For the nine months ended September 30, 2019, two customers accounted for 25% and 23% of the Company’s revenue. At September 30, 2020, two customers accounted for 12% and 11% of the Company’s accounts receivable balance. At December 31, 2019, two customers accounted for 17% and 16% of the Company’s accounts receivable.</w:t>
      </w:r>
    </w:p>
    <w:p>
      <w:pPr>
        <w:spacing w:after="0" w:line="205" w:lineRule="exact"/>
        <w:rPr>
          <w:sz w:val="20"/>
          <w:szCs w:val="20"/>
          <w:color w:val="auto"/>
        </w:rPr>
      </w:pPr>
    </w:p>
    <w:p>
      <w:pPr>
        <w:jc w:val="both"/>
        <w:ind w:firstLine="499"/>
        <w:spacing w:after="0" w:line="236" w:lineRule="auto"/>
        <w:rPr>
          <w:sz w:val="20"/>
          <w:szCs w:val="20"/>
          <w:color w:val="auto"/>
        </w:rPr>
      </w:pPr>
      <w:r>
        <w:rPr>
          <w:rFonts w:ascii="Arial" w:cs="Arial" w:eastAsia="Arial" w:hAnsi="Arial"/>
          <w:sz w:val="18"/>
          <w:szCs w:val="18"/>
          <w:color w:val="auto"/>
        </w:rPr>
        <w:t>In March 2020, the World Health Organization declared the outbreak of the novel coronavirus disease (“COVID–19”) a pandemic. COVID-19 has spread to almost every country in the world and all 50 states within the United States. The Company’s prescription offering initially experienced a decline in activity as many consumers avoided visiting healthcare professionals and pharmacies in-person, though in recent months activity in the Company’s prescription offering improved. In addition, the Company has experienced a significant increase in demand for the telehealth offerings. The Company only commenced its telehealth offerings following the acquisition of HeyDoctor in April 2019. The full extent to which the outbreak of COVID-19 will impact the Company’s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w:t>
      </w:r>
    </w:p>
    <w:p>
      <w:pPr>
        <w:spacing w:after="0" w:line="207"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In light of the currently unknown ultimate duration and severity of COVID-19, the Company faces a greater degree of uncertainty than normal in making the judgments and estimates needed to apply significant accounting policies. The Company assessed certain accounting matters that generally require consideration of forecasted financial information in context with the information reasonably available to the Company and the unknown future impacts COVID-19 as of September 30, 2020 and through the date of this report. The accounting matters assessed included, but were not limited to, the Company’s allowance for doubtful accounts, the carrying value of the goodwill and other long-lived assets, incentive-based compensation and income taxes.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3" w:name="page14"/>
    <w:bookmarkEnd w:id="13"/>
    <w:p>
      <w:pPr>
        <w:jc w:val="both"/>
        <w:ind w:firstLine="499"/>
        <w:spacing w:after="0" w:line="238" w:lineRule="auto"/>
        <w:rPr>
          <w:sz w:val="20"/>
          <w:szCs w:val="20"/>
          <w:color w:val="auto"/>
        </w:rPr>
      </w:pPr>
      <w:r>
        <w:rPr>
          <w:rFonts w:ascii="Arial" w:cs="Arial" w:eastAsia="Arial" w:hAnsi="Arial"/>
          <w:sz w:val="18"/>
          <w:szCs w:val="18"/>
          <w:color w:val="auto"/>
        </w:rPr>
        <w:t>As of the date of these condensed consolidated financial statements,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our consolidated financial statements in future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The Company considers all short-term, highly liquid investments purchased with an original maturity of three months or less at the date of purchase to be cash equivalents. Cash deposits are all in financial institutions in the United States. Cash and cash equivalents consisted primarily of U.S. Treasury Securities money market funds held with an investment bank and cash on deposit.</w:t>
      </w:r>
    </w:p>
    <w:p>
      <w:pPr>
        <w:spacing w:after="0" w:line="203"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Cash equivalents, consisting of money market funds, of $1,013.5 million and zero at September 30, 2020 and December 31, 2019, respectively, were classified as Level 1 of the fair value hierarchy and valued using quoted market prices in active markets. The Company had no other material financial instruments that were measured at fair value as of September 30, 2020 and December 31, 2019.</w:t>
      </w:r>
    </w:p>
    <w:p>
      <w:pPr>
        <w:spacing w:after="0" w:line="203" w:lineRule="exact"/>
        <w:rPr>
          <w:sz w:val="20"/>
          <w:szCs w:val="20"/>
          <w:color w:val="auto"/>
        </w:rPr>
      </w:pPr>
    </w:p>
    <w:p>
      <w:pPr>
        <w:jc w:val="both"/>
        <w:ind w:firstLine="499"/>
        <w:spacing w:after="0" w:line="246" w:lineRule="auto"/>
        <w:rPr>
          <w:sz w:val="20"/>
          <w:szCs w:val="20"/>
          <w:color w:val="auto"/>
        </w:rPr>
      </w:pPr>
      <w:r>
        <w:rPr>
          <w:rFonts w:ascii="Arial" w:cs="Arial" w:eastAsia="Arial" w:hAnsi="Arial"/>
          <w:sz w:val="18"/>
          <w:szCs w:val="18"/>
          <w:color w:val="auto"/>
        </w:rPr>
        <w:t>Restricted cash as of September 30, 2020 represents cash held in an escrow pursuant to terms of the Scriptcycle business combination relating to contingent consideration.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right="360" w:firstLine="499"/>
        <w:spacing w:after="0" w:line="246" w:lineRule="auto"/>
        <w:rPr>
          <w:sz w:val="20"/>
          <w:szCs w:val="20"/>
          <w:color w:val="auto"/>
        </w:rPr>
      </w:pPr>
      <w:r>
        <w:rPr>
          <w:rFonts w:ascii="Arial" w:cs="Arial" w:eastAsia="Arial" w:hAnsi="Arial"/>
          <w:sz w:val="18"/>
          <w:szCs w:val="18"/>
          <w:color w:val="auto"/>
        </w:rPr>
        <w:t>The Company calculates income tax expense in interim periods by applying an estimated annual effective tax rate to income (loss) before income taxes and by calculating the tax effect of discrete items recognized during the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three and nine months ended September 30, 2020 and 2019, revenue comprises the following:</w:t>
      </w:r>
    </w:p>
    <w:p>
      <w:pPr>
        <w:spacing w:after="0" w:line="11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3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39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0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Prescription transactions revenue</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124,385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95,795</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356,950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260,114</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1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16,068</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14,854</w:t>
            </w:r>
          </w:p>
        </w:tc>
        <w:tc>
          <w:tcPr>
            <w:tcW w:w="100" w:type="dxa"/>
            <w:vAlign w:val="bottom"/>
            <w:tcBorders>
              <w:bottom w:val="single" w:sz="8" w:color="CFF0FC"/>
            </w:tcBorders>
          </w:tcPr>
          <w:p>
            <w:pPr>
              <w:spacing w:after="0"/>
              <w:rPr>
                <w:sz w:val="18"/>
                <w:szCs w:val="18"/>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140,453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101,745</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397,156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274,968</w:t>
            </w:r>
          </w:p>
        </w:tc>
        <w:tc>
          <w:tcPr>
            <w:tcW w:w="100" w:type="dxa"/>
            <w:vAlign w:val="bottom"/>
            <w:shd w:val="clear" w:color="auto" w:fill="CFF0FC"/>
          </w:tcPr>
          <w:p>
            <w:pPr>
              <w:spacing w:after="0"/>
              <w:rPr>
                <w:sz w:val="18"/>
                <w:szCs w:val="18"/>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jc w:val="both"/>
        <w:ind w:firstLine="499"/>
        <w:spacing w:after="0" w:line="235" w:lineRule="auto"/>
        <w:rPr>
          <w:sz w:val="20"/>
          <w:szCs w:val="20"/>
          <w:color w:val="auto"/>
        </w:rPr>
      </w:pPr>
      <w:r>
        <w:rPr>
          <w:rFonts w:ascii="Arial" w:cs="Arial" w:eastAsia="Arial" w:hAnsi="Arial"/>
          <w:sz w:val="18"/>
          <w:szCs w:val="18"/>
          <w:color w:val="auto"/>
        </w:rPr>
        <w:t>Compensation cost is allocated to cost of revenue, product development and technology, sales and marketing, and general and administrative expense in the condensed consolidated statements of operations for stock options and restricted stock awards, based on the fair value of these awards at the date of grant.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The grant date fair value of stock options that contain service or performance conditions is estimated using the Black-Scholes option-pricing model and the grant date fair value of restricted stock awards that contain service or performance conditions is estimated based on the fair value of the Company’s common stock. For awards with market vesting conditions, the fair value is estimated using a Monte Carlo simulation model that incorporates the likelihood of achieving the market condition. Stock-based compensation cost for awards that contain market vesting conditions is recognized on a graded vesting basis over the requisite service period, even if the market condition is not satisfied. For awards that contain service, performance and market vesting conditions, the Company commences recognition of stock-based compensation cost once it is probable that the performance condition will be achieved. If the performance condition is an initial public offering or a change in control event, the performance condition is not probable of being achieved for accounting purposes until the event occurs. Once it is probable that the performance condition will be achieved, the Company recognizes stock-based compensation cost over the remaining requisite service period under a graded vesting model, with a cumulative adjustment for the portion of the service period that occurred for the period prior to the performance condition becoming probable of being achieved. Thereafter, expense is recognized even if the market condition was not or is not achieved, provided the employee continues to satisfy the service condition. Forfeitures are recognized when they occur.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Comprehensive Income</w:t>
      </w:r>
    </w:p>
    <w:p>
      <w:pPr>
        <w:spacing w:after="0" w:line="126" w:lineRule="exact"/>
        <w:rPr>
          <w:sz w:val="20"/>
          <w:szCs w:val="20"/>
          <w:color w:val="auto"/>
        </w:rPr>
      </w:pPr>
    </w:p>
    <w:p>
      <w:pPr>
        <w:jc w:val="both"/>
        <w:ind w:right="20" w:firstLine="499"/>
        <w:spacing w:after="0" w:line="246" w:lineRule="auto"/>
        <w:rPr>
          <w:sz w:val="20"/>
          <w:szCs w:val="20"/>
          <w:color w:val="auto"/>
        </w:rPr>
      </w:pPr>
      <w:r>
        <w:rPr>
          <w:rFonts w:ascii="Arial" w:cs="Arial" w:eastAsia="Arial" w:hAnsi="Arial"/>
          <w:sz w:val="18"/>
          <w:szCs w:val="18"/>
          <w:color w:val="auto"/>
        </w:rPr>
        <w:t>During the three and nine months ended September 30, 2020 and the three and nine months ended September 30, 2019, other than net income (loss), the Company did not have any other elements of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jc w:val="both"/>
        <w:ind w:firstLine="499"/>
        <w:spacing w:after="0" w:line="245"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(Topic 820): Disclosure Framework – Changes to the Disclosure Requirements for Fair Value Measurement</w:t>
      </w:r>
      <w:r>
        <w:rPr>
          <w:rFonts w:ascii="Arial" w:cs="Arial" w:eastAsia="Arial" w:hAnsi="Arial"/>
          <w:sz w:val="18"/>
          <w:szCs w:val="18"/>
          <w:color w:val="auto"/>
        </w:rPr>
        <w:t>. This ASU</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modifies and adds disclosure requirements for fair value measurements. The Company adopted this guidance on January 1, 2020, and the adoption did not have any impact to the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not yet adopted</w:t>
      </w:r>
    </w:p>
    <w:p>
      <w:pPr>
        <w:spacing w:after="0" w:line="108"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require the measurement of all expected credit losses for financial assets held at the reporting date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historical experience, current conditions, and reasonable and supportable forecasts. The ASU also amends the accounting for credit losses on available-for-sale debt securities and purchased financial assets with credit deterioration. In February 2020, the FASB issued ASU 2020-02, </w:t>
      </w:r>
      <w:r>
        <w:rPr>
          <w:rFonts w:ascii="Arial" w:cs="Arial" w:eastAsia="Arial" w:hAnsi="Arial"/>
          <w:sz w:val="18"/>
          <w:szCs w:val="18"/>
          <w:i w:val="1"/>
          <w:iCs w:val="1"/>
          <w:color w:val="auto"/>
        </w:rPr>
        <w:t>Financial Instruments - Credit Losses (Topic 326) and Leases (Topic 842) -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Bulletin No. 119 and Update to SEC Section on Effective Date Related to Accounting Standards Update No. 2016-02, Leases (Topic 842) (SEC Update), </w:t>
      </w:r>
      <w:r>
        <w:rPr>
          <w:rFonts w:ascii="Arial" w:cs="Arial" w:eastAsia="Arial" w:hAnsi="Arial"/>
          <w:sz w:val="18"/>
          <w:szCs w:val="18"/>
          <w:color w:val="auto"/>
        </w:rPr>
        <w:t>which amends the language in Subtopic 326-20 and addresses questions primarily regarding documentation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policies. The guidance in ASU 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188"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that is a Service Contract</w:t>
      </w:r>
      <w:r>
        <w:rPr>
          <w:rFonts w:ascii="Arial" w:cs="Arial" w:eastAsia="Arial" w:hAnsi="Arial"/>
          <w:sz w:val="18"/>
          <w:szCs w:val="18"/>
          <w:color w:val="auto"/>
        </w:rPr>
        <w:t>. ASU 2018-15 requires implementation costs incurred by customers in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to be deferred over the noncancelable term of the cloud-computing arrangements plus any optional renewal periods (1) that are reasonably certain to be exercised by the customer or (2) for which exercise of the renewal option is controlled by the cloud service provider. This guidance is effective for fiscal years beginning after December 15, 2020, and interim periods within annual periods beginning after December 15, 2021. Early adoption is permitted. This guidance can be adopted either using the prospective or retrospective transition approach. The Company is currently evaluating the impacts of this ASU on its consolidated financial statements.</w:t>
      </w:r>
    </w:p>
    <w:p>
      <w:pPr>
        <w:spacing w:after="0" w:line="185" w:lineRule="exact"/>
        <w:rPr>
          <w:sz w:val="20"/>
          <w:szCs w:val="20"/>
          <w:color w:val="auto"/>
        </w:rPr>
      </w:pPr>
    </w:p>
    <w:p>
      <w:pPr>
        <w:jc w:val="both"/>
        <w:ind w:firstLine="499"/>
        <w:spacing w:after="0" w:line="256" w:lineRule="auto"/>
        <w:rPr>
          <w:sz w:val="20"/>
          <w:szCs w:val="20"/>
          <w:color w:val="auto"/>
        </w:rPr>
      </w:pPr>
      <w:r>
        <w:rPr>
          <w:rFonts w:ascii="Arial" w:cs="Arial" w:eastAsia="Arial" w:hAnsi="Arial"/>
          <w:sz w:val="17"/>
          <w:szCs w:val="17"/>
          <w:color w:val="auto"/>
        </w:rPr>
        <w:t xml:space="preserve">In October 2018, the FASB issued ASU 2018-17, </w:t>
      </w:r>
      <w:r>
        <w:rPr>
          <w:rFonts w:ascii="Arial" w:cs="Arial" w:eastAsia="Arial" w:hAnsi="Arial"/>
          <w:sz w:val="17"/>
          <w:szCs w:val="17"/>
          <w:i w:val="1"/>
          <w:iCs w:val="1"/>
          <w:color w:val="auto"/>
        </w:rPr>
        <w:t>Consolidation (Topic 810): Targeted Improvements to the Related Party Guidance for</w:t>
      </w:r>
      <w:r>
        <w:rPr>
          <w:rFonts w:ascii="Arial" w:cs="Arial" w:eastAsia="Arial" w:hAnsi="Arial"/>
          <w:sz w:val="17"/>
          <w:szCs w:val="17"/>
          <w:color w:val="auto"/>
        </w:rPr>
        <w:t xml:space="preserve"> </w:t>
      </w:r>
      <w:r>
        <w:rPr>
          <w:rFonts w:ascii="Arial" w:cs="Arial" w:eastAsia="Arial" w:hAnsi="Arial"/>
          <w:sz w:val="17"/>
          <w:szCs w:val="17"/>
          <w:i w:val="1"/>
          <w:iCs w:val="1"/>
          <w:color w:val="auto"/>
        </w:rPr>
        <w:t>Variable Interest Entities</w:t>
      </w:r>
      <w:r>
        <w:rPr>
          <w:rFonts w:ascii="Arial" w:cs="Arial" w:eastAsia="Arial" w:hAnsi="Arial"/>
          <w:sz w:val="17"/>
          <w:szCs w:val="17"/>
          <w:color w:val="auto"/>
        </w:rPr>
        <w:t>. ASU 2018-17 changes how entities evaluate decision-making fees under the variable interest entity guidance.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decision-making fees represent a variable interest, an entity considers indirect interests held through related parties under common control on a proportional basis, rather than in their entirety. This guidance is effective for fiscal years, beginning after December 15, 2020 and interim periods within fiscal years beginning after December 15, 2021, with early adoption permitted. All entities are required to apply the amendments in this ASU retrospectively with a cumulative-effect adjustment to retained earnings at the beginning of the earliest period presented. The Company is currently evaluating the impact of the adoption of this ASU on its consolidated financial statements.</w:t>
      </w:r>
    </w:p>
    <w:p>
      <w:pPr>
        <w:spacing w:after="0" w:line="174"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right="20"/>
        <w:spacing w:after="0" w:line="246" w:lineRule="auto"/>
        <w:rPr>
          <w:sz w:val="20"/>
          <w:szCs w:val="20"/>
          <w:color w:val="auto"/>
        </w:rPr>
      </w:pPr>
      <w:r>
        <w:rPr>
          <w:rFonts w:ascii="Arial" w:cs="Arial" w:eastAsia="Arial" w:hAnsi="Arial"/>
          <w:sz w:val="18"/>
          <w:szCs w:val="18"/>
          <w:color w:val="auto"/>
        </w:rPr>
        <w:t>years beginning after December 15, 2022. The Company is currently evaluating the impact of this ASU on its consolidated financial statements.</w:t>
      </w:r>
    </w:p>
    <w:p>
      <w:pPr>
        <w:spacing w:after="0" w:line="179" w:lineRule="exact"/>
        <w:rPr>
          <w:sz w:val="20"/>
          <w:szCs w:val="20"/>
          <w:color w:val="auto"/>
        </w:rPr>
      </w:pPr>
    </w:p>
    <w:p>
      <w:pPr>
        <w:jc w:val="both"/>
        <w:ind w:firstLine="499"/>
        <w:spacing w:after="0" w:line="241"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The ASU provides optional guidance for a limited period of time to ease the potential burden in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or recognizing the effects of reference rate reform on financial reporting. The ASU applies only to contracts, hedging relationships and other transactions that reference LIBOR or another reference rate expected to be discontinued because of the reference rate reform. The amendments in this ASU were effective upon issuance and may be applied through December 31, 2022. The Company is currently evaluating the impact of the adoption of this ASU on its consolidated financial statements.</w:t>
      </w:r>
    </w:p>
    <w:p>
      <w:pPr>
        <w:spacing w:after="0" w:line="288" w:lineRule="exact"/>
        <w:rPr>
          <w:sz w:val="20"/>
          <w:szCs w:val="20"/>
          <w:color w:val="auto"/>
        </w:rPr>
      </w:pPr>
    </w:p>
    <w:p>
      <w:pPr>
        <w:ind w:right="8980" w:firstLine="8"/>
        <w:spacing w:after="0" w:line="372" w:lineRule="auto"/>
        <w:tabs>
          <w:tab w:leader="none" w:pos="200" w:val="left"/>
        </w:tabs>
        <w:numPr>
          <w:ilvl w:val="0"/>
          <w:numId w:val="5"/>
        </w:numPr>
        <w:rPr>
          <w:rFonts w:ascii="Arial" w:cs="Arial" w:eastAsia="Arial" w:hAnsi="Arial"/>
          <w:sz w:val="18"/>
          <w:szCs w:val="18"/>
          <w:b w:val="1"/>
          <w:bCs w:val="1"/>
          <w:color w:val="333333"/>
        </w:rPr>
      </w:pPr>
      <w:r>
        <w:rPr>
          <w:rFonts w:ascii="Arial" w:cs="Arial" w:eastAsia="Arial" w:hAnsi="Arial"/>
          <w:sz w:val="18"/>
          <w:szCs w:val="18"/>
          <w:b w:val="1"/>
          <w:bCs w:val="1"/>
          <w:color w:val="333333"/>
        </w:rPr>
        <w:t>Business Combinations Scriptcycle, LLC</w:t>
      </w:r>
    </w:p>
    <w:p>
      <w:pPr>
        <w:spacing w:after="0" w:line="1" w:lineRule="exact"/>
        <w:rPr>
          <w:sz w:val="20"/>
          <w:szCs w:val="20"/>
          <w:color w:val="auto"/>
        </w:rPr>
      </w:pPr>
    </w:p>
    <w:p>
      <w:pPr>
        <w:jc w:val="both"/>
        <w:ind w:firstLine="499"/>
        <w:spacing w:after="0" w:line="236" w:lineRule="auto"/>
        <w:rPr>
          <w:sz w:val="20"/>
          <w:szCs w:val="20"/>
          <w:color w:val="auto"/>
        </w:rPr>
      </w:pPr>
      <w:r>
        <w:rPr>
          <w:rFonts w:ascii="Arial" w:cs="Arial" w:eastAsia="Arial" w:hAnsi="Arial"/>
          <w:sz w:val="18"/>
          <w:szCs w:val="18"/>
          <w:color w:val="333333"/>
        </w:rPr>
        <w:t xml:space="preserve">On August 31, 2020, the Company acquired all of the equity interests of Scriptcycle, LLC, (“Scriptcycle”). Scriptcycle specializes in managing prescription programs and primarily partners with regional retail pharmacy chains to provide discount offerings. The purpose of the acquisition is to help expand the Company’s business capabilities, particularly with respect to its prescription offering. The aggregate purchase consideration is $58.3 million, including the estimated fair value of contingent consideration of $0.8 million. The purchase consideration is subject to working capital and other closing adjustments. The maximum amount of contingent consideration payable is $2.9 million subject to the achievement of certain revenue thresholds through January 2021. As of September 30, 2020, the Company estimated the fair value of the contingent consideration was $1.7 million. The change in the fair value of the contingent consideration from the acquisition date through September 30, 2020 was recorded in general and administrative expenses. The fair value of the contingent consideration is measured using Level 3 inputs in the fair value hierarchy. The Company estimated the fair value of the acquisition </w:t>
      </w:r>
      <w:r>
        <w:rPr>
          <w:rFonts w:ascii="Arial" w:cs="Arial" w:eastAsia="Arial" w:hAnsi="Arial"/>
          <w:sz w:val="18"/>
          <w:szCs w:val="18"/>
          <w:color w:val="000000"/>
        </w:rPr>
        <w:t>related</w:t>
      </w:r>
      <w:r>
        <w:rPr>
          <w:rFonts w:ascii="Arial" w:cs="Arial" w:eastAsia="Arial" w:hAnsi="Arial"/>
          <w:sz w:val="18"/>
          <w:szCs w:val="18"/>
          <w:color w:val="333333"/>
        </w:rPr>
        <w:t xml:space="preserve"> contingent consideration using a Monte-Carlo simulation model. The Company applied a discount rate of 5.4% at the acquisition date and 5.3% at September 30, 2020, which captures the risk associated with the contingent consideration. The significant unobservable input used in the fair value measurement of the contingent consideration is forecasted revenue as defined in the purchase agreement. Significant changes in forecasted revenue would result in a significantly higher or lower fair value measurement.</w:t>
      </w:r>
    </w:p>
    <w:p>
      <w:pPr>
        <w:spacing w:after="0" w:line="203"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 xml:space="preserve">Goodwill associated with this acquisition totaled $ 24.9 million </w:t>
      </w:r>
      <w:r>
        <w:rPr>
          <w:rFonts w:ascii="Arial" w:cs="Arial" w:eastAsia="Arial" w:hAnsi="Arial"/>
          <w:sz w:val="18"/>
          <w:szCs w:val="18"/>
          <w:color w:val="333333"/>
        </w:rPr>
        <w:t>and is primarily related to the expected long-term synergies and other</w:t>
      </w:r>
      <w:r>
        <w:rPr>
          <w:rFonts w:ascii="Arial" w:cs="Arial" w:eastAsia="Arial" w:hAnsi="Arial"/>
          <w:sz w:val="18"/>
          <w:szCs w:val="18"/>
          <w:color w:val="auto"/>
        </w:rPr>
        <w:t xml:space="preserve"> </w:t>
      </w:r>
      <w:r>
        <w:rPr>
          <w:rFonts w:ascii="Arial" w:cs="Arial" w:eastAsia="Arial" w:hAnsi="Arial"/>
          <w:sz w:val="18"/>
          <w:szCs w:val="18"/>
          <w:color w:val="333333"/>
        </w:rPr>
        <w:t xml:space="preserve">benefits, including the acquired assembled workforce. The acquisition was considered an acquisition of assets for tax purposes and, accordingly, goodwill is expected to be deductible for tax purposes. </w:t>
      </w:r>
      <w:r>
        <w:rPr>
          <w:rFonts w:ascii="Arial" w:cs="Arial" w:eastAsia="Arial" w:hAnsi="Arial"/>
          <w:sz w:val="18"/>
          <w:szCs w:val="18"/>
          <w:color w:val="000000"/>
        </w:rPr>
        <w:t>Identifiable intangible assets related to this acquisition totaled $28.3</w:t>
      </w:r>
      <w:r>
        <w:rPr>
          <w:rFonts w:ascii="Arial" w:cs="Arial" w:eastAsia="Arial" w:hAnsi="Arial"/>
          <w:sz w:val="18"/>
          <w:szCs w:val="18"/>
          <w:color w:val="333333"/>
        </w:rPr>
        <w:t xml:space="preserve"> </w:t>
      </w:r>
      <w:r>
        <w:rPr>
          <w:rFonts w:ascii="Arial" w:cs="Arial" w:eastAsia="Arial" w:hAnsi="Arial"/>
          <w:sz w:val="18"/>
          <w:szCs w:val="18"/>
          <w:color w:val="000000"/>
        </w:rPr>
        <w:t>million, of which $25.3 million was attributable to a customer related intangible asset, with an estimated useful life of 11 years and $3.0 million was attributable to developed technology and a tradename with useful lives ranging from 1 to 9 years. In addition, the Company acquired current assets of $5.9 million and assumed liabilities of $1.1 million.</w:t>
      </w:r>
    </w:p>
    <w:p>
      <w:pPr>
        <w:spacing w:after="0" w:line="205"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Unaudited supplemental pro forma financial information for the Scriptcycle acquisition, and the revenue and earnings of Scriptcycle from the acquisition date through September 30, 2020, have not been presented because the effects were not material to the Company’s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Sappira Inc. (d.b.a HeyDoctor)</w:t>
      </w:r>
    </w:p>
    <w:p>
      <w:pPr>
        <w:spacing w:after="0" w:line="126"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On April 18, 2019, the Company completed its acquisition of 100% of the equity interests in San Francisco, California-based Sappira Inc. (d.b.a HeyDoctor), a privately-held company offering an online application for consultation with physicians. HeyDoctor can be used by patients to obtain prescriptions for various medical afflictions. The Company intends to use HeyDoctor’s technology and service offerings to increase the visits to the GoodRx online platform. The total purchase consideration for the acquisition of HeyDoctor was $14.3 million in cash, of which $1.4 million was placed in escrow for potential breaches of representations and warranties. The escrow amount, net of any claims for such indemnifiable matters, was released from escrow to stockholders of HeyDoctor in October 2020.</w:t>
      </w:r>
    </w:p>
    <w:p>
      <w:pPr>
        <w:spacing w:after="0" w:line="205"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The goodwill recorded in connection with this acquisition primarily related to the expected long-term synergies and other benefits, including the acquired assembled workforce, from the acquisition. The acquisition was considered a stock acquisition for tax purposes and, accordingly, goodwill is not expected to be deductible for tax purposes. Identifiable intangible assets related to this acquisition totaled $4.2 million, of which $3.1 million was attributable to developed technology, with an estimated useful life of 4 years and $1.1 million was attributable to trademarks and backlog with useful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jc w:val="both"/>
        <w:spacing w:after="0" w:line="246" w:lineRule="auto"/>
        <w:rPr>
          <w:sz w:val="20"/>
          <w:szCs w:val="20"/>
          <w:color w:val="auto"/>
        </w:rPr>
      </w:pPr>
      <w:r>
        <w:rPr>
          <w:rFonts w:ascii="Arial" w:cs="Arial" w:eastAsia="Arial" w:hAnsi="Arial"/>
          <w:sz w:val="18"/>
          <w:szCs w:val="18"/>
          <w:color w:val="auto"/>
        </w:rPr>
        <w:t>lives ranging from 1 to 7 years. In addition, the Company acquired current assets of $2.1 million and assumed current liabilities of $0.5 million.</w:t>
      </w:r>
    </w:p>
    <w:p>
      <w:pPr>
        <w:spacing w:after="0" w:line="197"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Unaudited supplemental pro forma financial information for the HeyDoctor acquisition, and the revenue and earnings of HeyDoctor from the acquisition date through September 30, 2020, have not been presented because the effects were not material to the Company’s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FocusScript LLC</w:t>
      </w:r>
    </w:p>
    <w:p>
      <w:pPr>
        <w:spacing w:after="0" w:line="126"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On August 30, 2019, the Company completed the acquisition of certain software assets and the assembled workforce of Creve Coeur, Missouri-based FocusScript LLC (“FocusScript Acquisition”). The Company intends to use the acquired claim routing software to service its customers. The total purchase consideration consisted of $18.7 million in cash.</w:t>
      </w:r>
    </w:p>
    <w:p>
      <w:pPr>
        <w:spacing w:after="0" w:line="203"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The goodwill recorded in connection with this acquisition primarily related to the expected long-term synergies and other benefits, including the acquired assembled workforce, from the acquisition. Goodwill is deductible for tax purposes. Identifiable intangible assets related to this acquisition totaled $12.2 million, which was attributable to developed technology with an estimated useful life of 4 years.</w:t>
      </w:r>
    </w:p>
    <w:p>
      <w:pPr>
        <w:spacing w:after="0" w:line="203"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Disclosure of unaudited supplemental pro forma financial information for the FocusScript Acquisition is not practicable given the Company purchased certain assets and assembled workforce for which historical information was not available. In addition, disclosure of revenues and earnings of FocusScript from the acquisition date through September 30, 2020 is not practicable as the FocusScript Acquisition has been integrated into the Company’s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060" w:type="dxa"/>
            <w:vAlign w:val="bottom"/>
            <w:gridSpan w:val="2"/>
          </w:tcPr>
          <w:p>
            <w:pPr>
              <w:ind w:left="170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880" w:type="dxa"/>
            <w:vAlign w:val="bottom"/>
          </w:tcPr>
          <w:p>
            <w:pPr>
              <w:jc w:val="center"/>
              <w:ind w:right="19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28,759</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Prepaid expenses</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8,169</w:t>
            </w:r>
          </w:p>
        </w:tc>
        <w:tc>
          <w:tcPr>
            <w:tcW w:w="4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 receivable</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39,630</w:t>
            </w:r>
          </w:p>
        </w:tc>
        <w:tc>
          <w:tcPr>
            <w:tcW w:w="4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060" w:type="dxa"/>
            <w:vAlign w:val="bottom"/>
            <w:gridSpan w:val="2"/>
          </w:tcPr>
          <w:p>
            <w:pPr>
              <w:ind w:left="50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060" w:type="dxa"/>
            <w:vAlign w:val="bottom"/>
            <w:gridSpan w:val="2"/>
          </w:tcPr>
          <w:p>
            <w:pPr>
              <w:ind w:left="170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880" w:type="dxa"/>
            <w:vAlign w:val="bottom"/>
          </w:tcPr>
          <w:p>
            <w:pPr>
              <w:jc w:val="center"/>
              <w:ind w:right="19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bonus and payroll</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12,908</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Accrued marketing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6,911</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36,093</w:t>
            </w:r>
          </w:p>
        </w:tc>
        <w:tc>
          <w:tcPr>
            <w:tcW w:w="4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Of the $3.5 million deferred revenue balance included in the balance sheet at December 31, 2019, $ 3.3 million was recognized as revenue during the nine months ended September 30, 2020. The Company expects substantially all of the deferred revenue at September 30, 2020 will be recognized as revenue within the next twelve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6"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The effective income tax rate for the three and nine months ended September 30, 2020 was 26.3% and (112.8)%, respectively, and for the three and nine months ended September 30, 2019 was 22.6% and 21.9%, respectively. The change in the Company’s effective income tax rate for the three and nine months ended September 30, 2020 compared to three and nine months ended September 30, 2019 was primarily due to tax effects of nondeductible officers’ stock-based compensation expense partially offset by excess tax benefits related to the exercise of stock options. The Company’s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7" w:name="page18"/>
    <w:bookmarkEnd w:id="17"/>
    <w:p>
      <w:pPr>
        <w:jc w:val="both"/>
        <w:spacing w:after="0"/>
        <w:rPr>
          <w:sz w:val="20"/>
          <w:szCs w:val="20"/>
          <w:color w:val="auto"/>
        </w:rPr>
      </w:pPr>
      <w:r>
        <w:rPr>
          <w:rFonts w:ascii="Arial" w:cs="Arial" w:eastAsia="Arial" w:hAnsi="Arial"/>
          <w:sz w:val="18"/>
          <w:szCs w:val="18"/>
          <w:color w:val="auto"/>
        </w:rPr>
        <w:t>effective income tax rate differs from the U.S. Federal statutory rate of 21% primarily due to effects of non-deductible officers’ stock-based compensation expense, and state income taxes partially offset by benefits from research and development tax credits and excess tax benefits from stock-based compensation expense.</w:t>
      </w:r>
    </w:p>
    <w:p>
      <w:pPr>
        <w:spacing w:after="0" w:line="203"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featuring significant tax provisions and other measures to assist individuals and businesses impacted by the economic effects of the COVID-19 pandemic. The CARES Act increased the Section 163(j) interest expense deduction limitation from 30% to 50% of adjusted taxable income, provided for the payment deferral of certain Social Security taxes, made a technical correction allowing Qualified Improvement Property to be treated as 15-year property, and included numerous other provisions. The CARES Act increased the Company’s interest expense deduction applicable to the 2019 tax year resulting in a reduction of deferred tax assets and a corresponding reduction in income taxes payable of zero and approximately $2.3 million during the three and nine months ended September 30, 2020, respectively.</w:t>
      </w:r>
    </w:p>
    <w:p>
      <w:pPr>
        <w:spacing w:after="0" w:line="203" w:lineRule="exact"/>
        <w:rPr>
          <w:sz w:val="20"/>
          <w:szCs w:val="20"/>
          <w:color w:val="auto"/>
        </w:rPr>
      </w:pPr>
    </w:p>
    <w:p>
      <w:pPr>
        <w:jc w:val="both"/>
        <w:ind w:firstLine="499"/>
        <w:spacing w:after="0" w:line="246" w:lineRule="auto"/>
        <w:rPr>
          <w:sz w:val="20"/>
          <w:szCs w:val="20"/>
          <w:color w:val="auto"/>
        </w:rPr>
      </w:pPr>
      <w:r>
        <w:rPr>
          <w:rFonts w:ascii="Arial" w:cs="Arial" w:eastAsia="Arial" w:hAnsi="Arial"/>
          <w:sz w:val="18"/>
          <w:szCs w:val="18"/>
          <w:color w:val="auto"/>
        </w:rPr>
        <w:t>There were no significant changes to the Company’s unrecognized tax benefits during the nine months ended September 30, 2020, and the Company does not expect to have any significant changes to unrecognized tax benefits through the end of 2020.</w:t>
      </w:r>
    </w:p>
    <w:p>
      <w:pPr>
        <w:spacing w:after="0" w:line="197"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In 2020, the ownership of the HeyDoctor PSCs were transferred to different medical professionals. The Company's deferred income taxes reflects carryover tax attributes generated by the VIEs available for future utilization. Section 382 of the Internal Revenue Code (“IRC”) limits the utilization of U.S. net operating loss carryforwards (“NOLs”) following a change of control. As the 2020 change in ownership in the PSCs constitutes a change of control, U.S. NOLs from the PSCs will be subject to an annual limitation under IRC Section 382. Any limitation would not be material to the financial statements as a full valuation allowance has been established against the NOLs from the PSCs due to uncertainty regarding their future realization.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debt balances at September 30, 2020 and December 31, 2019 were as follows: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1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Principal balance under First Lien Credit Agreement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682,883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688,155</w:t>
            </w:r>
          </w:p>
        </w:tc>
        <w:tc>
          <w:tcPr>
            <w:tcW w:w="8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Less unamortized debt issuance costs and discounts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(14,963)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(17,233)</w:t>
            </w:r>
          </w:p>
        </w:tc>
      </w:tr>
      <w:tr>
        <w:trPr>
          <w:trHeight w:val="20"/>
        </w:trPr>
        <w:tc>
          <w:tcPr>
            <w:tcW w:w="51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5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667,920</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670,922</w:t>
            </w:r>
          </w:p>
        </w:tc>
        <w:tc>
          <w:tcPr>
            <w:tcW w:w="80" w:type="dxa"/>
            <w:vAlign w:val="bottom"/>
            <w:shd w:val="clear" w:color="auto" w:fill="CFF0FC"/>
          </w:tcPr>
          <w:p>
            <w:pPr>
              <w:spacing w:after="0"/>
              <w:rPr>
                <w:sz w:val="18"/>
                <w:szCs w:val="18"/>
                <w:color w:val="auto"/>
              </w:rPr>
            </w:pPr>
          </w:p>
        </w:tc>
      </w:tr>
      <w:tr>
        <w:trPr>
          <w:trHeight w:val="216"/>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Principal balance under Revolving Credit Facility</w:t>
            </w:r>
          </w:p>
        </w:tc>
        <w:tc>
          <w:tcPr>
            <w:tcW w:w="9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10"/>
        </w:trPr>
        <w:tc>
          <w:tcPr>
            <w:tcW w:w="5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695,920</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670,922</w:t>
            </w:r>
          </w:p>
        </w:tc>
        <w:tc>
          <w:tcPr>
            <w:tcW w:w="80" w:type="dxa"/>
            <w:vAlign w:val="bottom"/>
            <w:shd w:val="clear" w:color="auto" w:fill="CFF0FC"/>
          </w:tcPr>
          <w:p>
            <w:pPr>
              <w:spacing w:after="0"/>
              <w:rPr>
                <w:sz w:val="18"/>
                <w:szCs w:val="18"/>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jc w:val="both"/>
        <w:ind w:firstLine="499"/>
        <w:spacing w:after="0" w:line="246" w:lineRule="auto"/>
        <w:rPr>
          <w:sz w:val="20"/>
          <w:szCs w:val="20"/>
          <w:color w:val="auto"/>
        </w:rPr>
      </w:pPr>
      <w:r>
        <w:rPr>
          <w:rFonts w:ascii="Arial" w:cs="Arial" w:eastAsia="Arial" w:hAnsi="Arial"/>
          <w:sz w:val="18"/>
          <w:szCs w:val="18"/>
          <w:color w:val="auto"/>
        </w:rPr>
        <w:t>In March 2020, the Company borrowed an aggregate of $28.0 million under its line of credit, which is still outstanding as of September 30, 2020.</w:t>
      </w:r>
    </w:p>
    <w:p>
      <w:pPr>
        <w:spacing w:after="0" w:line="197"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In May 2020, GoodRx, Inc., the Company’s wholly owned subsidiary, as borrower, and GoodRx Intermediate Holdings, LLC, entered into an amendment of its first lien credit agreement (the “First Lien Credit Agreement”) to increase the amount of the line of credit by $60.0 million to a total of $100.0 million. The line of credit matures on October 11, 2024 and bears interest at a rate equal to the LIBO Screen Rate (as defined in the First Lien Credit Agreement) plus a variable margin based on the Company’s most recently determined Net Leverage Ratio (as defined in the First Lien Credit Agreement), ranging from 2.50 to 3.00% on used amounts and 0.25 to 0.50% on unused amounts. The Company incurred lender and third-party costs of $1.3 million related to the amendment which are recorded in other assets.</w:t>
      </w:r>
    </w:p>
    <w:p>
      <w:pPr>
        <w:spacing w:after="0" w:line="205" w:lineRule="exact"/>
        <w:rPr>
          <w:sz w:val="20"/>
          <w:szCs w:val="20"/>
          <w:color w:val="auto"/>
        </w:rPr>
      </w:pPr>
    </w:p>
    <w:p>
      <w:pPr>
        <w:jc w:val="both"/>
        <w:ind w:firstLine="499"/>
        <w:spacing w:after="0" w:line="236" w:lineRule="auto"/>
        <w:rPr>
          <w:sz w:val="20"/>
          <w:szCs w:val="20"/>
          <w:color w:val="auto"/>
        </w:rPr>
      </w:pPr>
      <w:r>
        <w:rPr>
          <w:rFonts w:ascii="Arial" w:cs="Arial" w:eastAsia="Arial" w:hAnsi="Arial"/>
          <w:sz w:val="18"/>
          <w:szCs w:val="18"/>
          <w:color w:val="auto"/>
        </w:rPr>
        <w:t>Regulatory authorities that oversee financial markets have announced that after the end of 2021, they would no longer compel banks currently reporting information used to set the LIBO Screen Rate to continue to make rate submissions. As a result, it is possible that beginning in 2022, the LIBO Screen Rate will no longer be available as a reference rate. Under the terms of the Company's First Lien Credit Agreement, in the event of the discontinuance of the LIBO Screen Rate, a mutually agreed-upon alternate benchmark rate will be established to replace the LIBO Screen Rate. The Company and lenders under its First Lien Credit Agreement shall in good faith establish an alternate benchmark rate which places the lenders and the Company in the same economic position that existed immediately prior to the discontinuation of the LIBO Screen Rate. The Company does not anticipate that the discontinuance of the LIBO Screen Rate will materially impact its liquidity or financial position.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ind w:right="8200" w:firstLine="8"/>
        <w:spacing w:after="0" w:line="403" w:lineRule="auto"/>
        <w:tabs>
          <w:tab w:leader="none" w:pos="2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Contingent Consideration</w:t>
      </w:r>
    </w:p>
    <w:p>
      <w:pPr>
        <w:jc w:val="both"/>
        <w:ind w:right="20" w:firstLine="499"/>
        <w:spacing w:after="0"/>
        <w:rPr>
          <w:sz w:val="20"/>
          <w:szCs w:val="20"/>
          <w:color w:val="auto"/>
        </w:rPr>
      </w:pPr>
      <w:r>
        <w:rPr>
          <w:rFonts w:ascii="Arial" w:cs="Arial" w:eastAsia="Arial" w:hAnsi="Arial"/>
          <w:sz w:val="18"/>
          <w:szCs w:val="18"/>
          <w:color w:val="auto"/>
        </w:rPr>
        <w:t>The Company is subject to a contingent consideration agreement entered into in connection with its acquisition of Scriptcycle. If the acquired business meets predetermined targets, the Company is obligated to make additional cash payments in accordance with the terms of such contingent consideration agreement, see "Note 3. Business Combinations – Scriptcycle, LLC".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26" w:lineRule="exact"/>
        <w:rPr>
          <w:sz w:val="20"/>
          <w:szCs w:val="20"/>
          <w:color w:val="auto"/>
        </w:rPr>
      </w:pPr>
    </w:p>
    <w:p>
      <w:pPr>
        <w:jc w:val="both"/>
        <w:ind w:right="20" w:firstLine="499"/>
        <w:spacing w:after="0"/>
        <w:rPr>
          <w:sz w:val="20"/>
          <w:szCs w:val="20"/>
          <w:color w:val="auto"/>
        </w:rPr>
      </w:pPr>
      <w:r>
        <w:rPr>
          <w:rFonts w:ascii="Arial" w:cs="Arial" w:eastAsia="Arial" w:hAnsi="Arial"/>
          <w:sz w:val="18"/>
          <w:szCs w:val="18"/>
          <w:color w:val="auto"/>
        </w:rPr>
        <w:t>During the normal course of business, the Company may become subject to, and is presently involved in, legal proceedings, claims and litigation. S</w:t>
      </w:r>
      <w:r>
        <w:rPr>
          <w:rFonts w:ascii="Arial" w:cs="Arial" w:eastAsia="Arial" w:hAnsi="Arial"/>
          <w:sz w:val="18"/>
          <w:szCs w:val="18"/>
          <w:color w:val="212529"/>
        </w:rPr>
        <w:t>uch matters are subject to many uncertainties and outcomes are not predictable with assurance.</w:t>
      </w:r>
      <w:r>
        <w:rPr>
          <w:rFonts w:ascii="Arial" w:cs="Arial" w:eastAsia="Arial" w:hAnsi="Arial"/>
          <w:sz w:val="18"/>
          <w:szCs w:val="18"/>
          <w:color w:val="auto"/>
        </w:rPr>
        <w:t xml:space="preserve"> Accruals for loss contingencies are recorded when a loss is probable, and the amount of such loss can be reasonably estimated.</w:t>
      </w:r>
    </w:p>
    <w:p>
      <w:pPr>
        <w:spacing w:after="0" w:line="203" w:lineRule="exact"/>
        <w:rPr>
          <w:sz w:val="20"/>
          <w:szCs w:val="20"/>
          <w:color w:val="auto"/>
        </w:rPr>
      </w:pPr>
    </w:p>
    <w:p>
      <w:pPr>
        <w:jc w:val="both"/>
        <w:ind w:right="20" w:firstLine="499"/>
        <w:spacing w:after="0" w:line="246" w:lineRule="auto"/>
        <w:rPr>
          <w:sz w:val="20"/>
          <w:szCs w:val="20"/>
          <w:color w:val="auto"/>
        </w:rPr>
      </w:pPr>
      <w:r>
        <w:rPr>
          <w:rFonts w:ascii="Arial" w:cs="Arial" w:eastAsia="Arial" w:hAnsi="Arial"/>
          <w:sz w:val="18"/>
          <w:szCs w:val="18"/>
          <w:color w:val="auto"/>
        </w:rPr>
        <w:t>As of September 30, 2020, the Company is not subject to any currently pending legal matters or claims that could have a material adverse effect on its financial position, results of operations, or cash flows should such litigation be resolved unfavorably.</w:t>
      </w:r>
    </w:p>
    <w:p>
      <w:pPr>
        <w:spacing w:after="0" w:line="283" w:lineRule="exact"/>
        <w:rPr>
          <w:sz w:val="20"/>
          <w:szCs w:val="20"/>
          <w:color w:val="auto"/>
        </w:rPr>
      </w:pPr>
    </w:p>
    <w:p>
      <w:pPr>
        <w:ind w:right="8660" w:firstLine="8"/>
        <w:spacing w:after="0" w:line="372"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Stock Options</w:t>
      </w:r>
    </w:p>
    <w:p>
      <w:pPr>
        <w:spacing w:after="0" w:line="1" w:lineRule="exact"/>
        <w:rPr>
          <w:sz w:val="20"/>
          <w:szCs w:val="20"/>
          <w:color w:val="auto"/>
        </w:rPr>
      </w:pPr>
    </w:p>
    <w:p>
      <w:pPr>
        <w:jc w:val="both"/>
        <w:ind w:right="20" w:firstLine="499"/>
        <w:spacing w:after="0" w:line="246" w:lineRule="auto"/>
        <w:rPr>
          <w:sz w:val="20"/>
          <w:szCs w:val="20"/>
          <w:color w:val="auto"/>
        </w:rPr>
      </w:pPr>
      <w:r>
        <w:rPr>
          <w:rFonts w:ascii="Arial" w:cs="Arial" w:eastAsia="Arial" w:hAnsi="Arial"/>
          <w:sz w:val="18"/>
          <w:szCs w:val="18"/>
          <w:color w:val="auto"/>
        </w:rPr>
        <w:t>A summary of the stock option activity for the nine months ended September 30, 2020 is as follows, in thousands, except per share amounts and term information: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Aggregate</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Intrinsic</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Term</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16,850</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9"/>
              </w:rPr>
              <w:t>8.2 years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5,597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Expired / Cancelled / Forfeited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(585)</w:t>
            </w:r>
          </w:p>
        </w:tc>
        <w:tc>
          <w:tcPr>
            <w:tcW w:w="100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at March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21,395</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99"/>
              </w:rPr>
              <w:t>8.5 years</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51,026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3,541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Expired / Cancelled / Forfeited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(673)</w:t>
            </w:r>
          </w:p>
        </w:tc>
        <w:tc>
          <w:tcPr>
            <w:tcW w:w="100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at June 30,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24,041</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99"/>
              </w:rPr>
              <w:t>8.4 years</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47,750</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(1,233)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Expired / Cancelled / Forfeited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00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at September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99"/>
              </w:rPr>
              <w:t>8.4 years</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1,169,173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at September 30, 2020</w:t>
            </w: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w w:val="99"/>
              </w:rPr>
              <w:t>7.3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499,342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499"/>
        <w:spacing w:after="0"/>
        <w:rPr>
          <w:sz w:val="20"/>
          <w:szCs w:val="20"/>
          <w:color w:val="auto"/>
        </w:rPr>
      </w:pPr>
      <w:r>
        <w:rPr>
          <w:rFonts w:ascii="Arial" w:cs="Arial" w:eastAsia="Arial" w:hAnsi="Arial"/>
          <w:sz w:val="18"/>
          <w:szCs w:val="18"/>
          <w:color w:val="auto"/>
        </w:rPr>
        <w:t>All options outstanding at September 30, 2020 are options to purchase shares of Class A Common Stock. The fair value of option awards issued with service and performance vesting conditions are estimated on the grant date using the Black-Scholes option pricing model. The following table summarizes the assumptions used: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3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3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5"/>
        </w:trPr>
        <w:tc>
          <w:tcPr>
            <w:tcW w:w="4700" w:type="dxa"/>
            <w:vAlign w:val="bottom"/>
          </w:tcPr>
          <w:p>
            <w:pPr>
              <w:spacing w:after="0"/>
              <w:rPr>
                <w:sz w:val="15"/>
                <w:szCs w:val="15"/>
                <w:color w:val="auto"/>
              </w:rPr>
            </w:pPr>
          </w:p>
        </w:tc>
        <w:tc>
          <w:tcPr>
            <w:tcW w:w="33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3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r>
      <w:tr>
        <w:trPr>
          <w:trHeight w:val="169"/>
        </w:trPr>
        <w:tc>
          <w:tcPr>
            <w:tcW w:w="4700" w:type="dxa"/>
            <w:vAlign w:val="bottom"/>
            <w:tcBorders>
              <w:bottom w:val="single" w:sz="8" w:color="CFF0FC"/>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- 1.6%</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- 1.4%</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- 2.4%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term</w:t>
            </w:r>
          </w:p>
        </w:tc>
        <w:tc>
          <w:tcPr>
            <w:tcW w:w="1660" w:type="dxa"/>
            <w:vAlign w:val="bottom"/>
            <w:gridSpan w:val="2"/>
          </w:tcPr>
          <w:p>
            <w:pPr>
              <w:ind w:left="280"/>
              <w:spacing w:after="0"/>
              <w:rPr>
                <w:sz w:val="20"/>
                <w:szCs w:val="20"/>
                <w:color w:val="auto"/>
              </w:rPr>
            </w:pPr>
            <w:r>
              <w:rPr>
                <w:rFonts w:ascii="Arial" w:cs="Arial" w:eastAsia="Arial" w:hAnsi="Arial"/>
                <w:sz w:val="18"/>
                <w:szCs w:val="18"/>
                <w:color w:val="auto"/>
              </w:rPr>
              <w:t>5.8 - 6.0 years</w:t>
            </w:r>
          </w:p>
        </w:tc>
        <w:tc>
          <w:tcPr>
            <w:tcW w:w="1660" w:type="dxa"/>
            <w:vAlign w:val="bottom"/>
            <w:gridSpan w:val="2"/>
          </w:tcPr>
          <w:p>
            <w:pPr>
              <w:ind w:left="280"/>
              <w:spacing w:after="0"/>
              <w:rPr>
                <w:sz w:val="20"/>
                <w:szCs w:val="20"/>
                <w:color w:val="auto"/>
              </w:rPr>
            </w:pPr>
            <w:r>
              <w:rPr>
                <w:rFonts w:ascii="Arial" w:cs="Arial" w:eastAsia="Arial" w:hAnsi="Arial"/>
                <w:sz w:val="18"/>
                <w:szCs w:val="18"/>
                <w:color w:val="auto"/>
              </w:rPr>
              <w:t>5.6 - 6.3 years</w:t>
            </w:r>
          </w:p>
        </w:tc>
        <w:tc>
          <w:tcPr>
            <w:tcW w:w="1660" w:type="dxa"/>
            <w:vAlign w:val="bottom"/>
            <w:gridSpan w:val="2"/>
          </w:tcPr>
          <w:p>
            <w:pPr>
              <w:ind w:left="280"/>
              <w:spacing w:after="0"/>
              <w:rPr>
                <w:sz w:val="20"/>
                <w:szCs w:val="20"/>
                <w:color w:val="auto"/>
              </w:rPr>
            </w:pPr>
            <w:r>
              <w:rPr>
                <w:rFonts w:ascii="Arial" w:cs="Arial" w:eastAsia="Arial" w:hAnsi="Arial"/>
                <w:sz w:val="18"/>
                <w:szCs w:val="18"/>
                <w:color w:val="auto"/>
              </w:rPr>
              <w:t>5.3 - 6.3 years</w:t>
            </w:r>
          </w:p>
        </w:tc>
        <w:tc>
          <w:tcPr>
            <w:tcW w:w="1560" w:type="dxa"/>
            <w:vAlign w:val="bottom"/>
            <w:gridSpan w:val="2"/>
          </w:tcPr>
          <w:p>
            <w:pPr>
              <w:ind w:left="280"/>
              <w:spacing w:after="0"/>
              <w:rPr>
                <w:sz w:val="20"/>
                <w:szCs w:val="20"/>
                <w:color w:val="auto"/>
              </w:rPr>
            </w:pPr>
            <w:r>
              <w:rPr>
                <w:rFonts w:ascii="Arial" w:cs="Arial" w:eastAsia="Arial" w:hAnsi="Arial"/>
                <w:sz w:val="18"/>
                <w:szCs w:val="18"/>
                <w:color w:val="auto"/>
              </w:rPr>
              <w:t>5.6 - 6.3 years</w:t>
            </w:r>
          </w:p>
        </w:tc>
        <w:tc>
          <w:tcPr>
            <w:tcW w:w="2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- 62%</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common stock per share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$3.88 - $4.69</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$5.94 - $33.00</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$2.75 - $4.69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4700" w:type="dxa"/>
            <w:vAlign w:val="bottom"/>
          </w:tcPr>
          <w:p>
            <w:pPr>
              <w:spacing w:after="0"/>
              <w:rPr>
                <w:sz w:val="24"/>
                <w:szCs w:val="24"/>
                <w:color w:val="auto"/>
              </w:rPr>
            </w:pPr>
          </w:p>
        </w:tc>
        <w:tc>
          <w:tcPr>
            <w:tcW w:w="1440" w:type="dxa"/>
            <w:vAlign w:val="bottom"/>
          </w:tcPr>
          <w:p>
            <w:pPr>
              <w:jc w:val="right"/>
              <w:ind w:right="336"/>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7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9" w:name="page20"/>
    <w:bookmarkEnd w:id="19"/>
    <w:p>
      <w:pPr>
        <w:jc w:val="both"/>
        <w:ind w:firstLine="499"/>
        <w:spacing w:after="0" w:line="238" w:lineRule="auto"/>
        <w:rPr>
          <w:sz w:val="20"/>
          <w:szCs w:val="20"/>
          <w:color w:val="auto"/>
        </w:rPr>
      </w:pPr>
      <w:r>
        <w:rPr>
          <w:rFonts w:ascii="Arial" w:cs="Arial" w:eastAsia="Arial" w:hAnsi="Arial"/>
          <w:sz w:val="18"/>
          <w:szCs w:val="18"/>
          <w:color w:val="auto"/>
        </w:rPr>
        <w:t>For the three and nine months ended September 30, 2020, the stock-based compensation expense related to stock options was $6.8 million and $10.2 million, respectively. For the three and nine months ended September 30, 2019, the stock-based compensation expense related to stock options was $0.7 million and $2.1 million, respectively. At September 30, 2020, there was $40.2 million of total unrecognized stock-based compensation cost related to stock options, excluding stock options which contain performance and market conditions described below, which is expected to be recognized over a weighted-average remaining service period of 3.3 years.</w:t>
      </w:r>
    </w:p>
    <w:p>
      <w:pPr>
        <w:spacing w:after="0" w:line="202" w:lineRule="exact"/>
        <w:rPr>
          <w:sz w:val="20"/>
          <w:szCs w:val="20"/>
          <w:color w:val="auto"/>
        </w:rPr>
      </w:pPr>
    </w:p>
    <w:p>
      <w:pPr>
        <w:jc w:val="both"/>
        <w:ind w:firstLine="499"/>
        <w:spacing w:after="0" w:line="236" w:lineRule="auto"/>
        <w:rPr>
          <w:sz w:val="20"/>
          <w:szCs w:val="20"/>
          <w:color w:val="auto"/>
        </w:rPr>
      </w:pPr>
      <w:r>
        <w:rPr>
          <w:rFonts w:ascii="Arial" w:cs="Arial" w:eastAsia="Arial" w:hAnsi="Arial"/>
          <w:sz w:val="18"/>
          <w:szCs w:val="18"/>
          <w:color w:val="auto"/>
        </w:rPr>
        <w:t>In June 2020, the Company granted stock options to purchase 0.6 million shares of common stock at an exercise price of $6.84 per share that vest upon continued service and the achievement of both performance and market conditions. For stock options to purchase 0.4 million shares of common stock, the service condition is satisfied monthly over a 4-year period and for stock options to purchase 0.2 million shares of common stock the service condition is satisfied on January 1, 2022. The performance condition was satisfied upon the closing of the Company’s IPO. The market condition is satisfied upon the Company’s common stock achieving a per share price threshold in the IPO, an average trading price of the Company’s stock for a period subsequent to the IPO, or a per share price in a change in control transaction. For stock options to purchase 0.2 million, 0.2 million and 0.2 million shares of common stock, the per share price thresholds for these market conditions are $17.82, $23.76 and $29.70, respectively, subject to adjustment for stock splits and other similar transactions. The Company estimated the grant date fair value of these awards to be $1.4 million using a Monte Carlo simulation model. The Company recognized $0.3 million of stock-based compensation expense in the three months ended September 30, 2020 related to these options.</w:t>
      </w:r>
    </w:p>
    <w:p>
      <w:pPr>
        <w:spacing w:after="0" w:line="206"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In June 2020, the Company modified the terms of an option to purchase 0.4 million shares of common stock. The original award that would otherwise have been cancelled upon the employee’s departure from the Company was modified to permit the former employee to only exercise the award within 30 days after the completion of a performance condition, which are the Company completing its IPO or a change in control of the Company or a declaration of dividend payment, as defined. The fair value of this option of $2.4 million on the modification date was recognized as stock-based compensation expense on the effective date of the Company’s IPO.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 (“Restricted Stock”)</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Restricted Stock activity for the three and nine months ended September 30, 2020:</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Restricted</w:t>
            </w: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Restricted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 Units</w:t>
            </w: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Stock Units</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52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Class A</w:t>
            </w: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for Class B</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r>
      <w:tr>
        <w:trPr>
          <w:trHeight w:val="176"/>
        </w:trPr>
        <w:tc>
          <w:tcPr>
            <w:tcW w:w="52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Common</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52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FF0FC"/>
            </w:tcBorders>
          </w:tcPr>
          <w:p>
            <w:pPr>
              <w:spacing w:after="0"/>
              <w:rPr>
                <w:sz w:val="15"/>
                <w:szCs w:val="15"/>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shares at December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ind w:left="84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Nonvested restricted shares at March 31, 2020</w:t>
            </w:r>
          </w:p>
        </w:tc>
        <w:tc>
          <w:tcPr>
            <w:tcW w:w="1020" w:type="dxa"/>
            <w:vAlign w:val="bottom"/>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r>
      <w:tr>
        <w:trPr>
          <w:trHeight w:val="209"/>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restricted shares at June 30,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gridSpan w:val="2"/>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38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FF0FC"/>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Nonvested restricted shares at September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For the three and nine months ended September 30, 2020, total stock-based compensation expense related to Restricted Stock awards was $0.5 million and $1.4 million, respectively. For the three and nine months ended September 30, 2019, the stock-based compensation expense related to Restricted Stock awards was $0.3 million and $0.6 million, respectively. At September 30, 2020, there was $4.6 million of total unrecognized stock-based compensation cost related to these Restricted Stock awards which was expected to be recognized over the remaining service period of 2.6 years.</w:t>
      </w:r>
    </w:p>
    <w:p>
      <w:pPr>
        <w:spacing w:after="0" w:line="202"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In September 2020, the Company granted Restricted Stock Units (“RSUs”) for Class A Common Stock that will substantially vest over a four-year period. For the three and nine months ended September 30, 2020, total stock-based compensation expense related to these RSUs was $1.6 million. At September 30, 2020, there was $29.7 million of total unrecognized stock-based compensation cost related to these RSUs which was expected to be recognized over the remaining service period of 3.9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0" w:name="page21"/>
    <w:bookmarkEnd w:id="20"/>
    <w:p>
      <w:pPr>
        <w:jc w:val="both"/>
        <w:ind w:firstLine="499"/>
        <w:spacing w:after="0" w:line="235" w:lineRule="auto"/>
        <w:rPr>
          <w:sz w:val="20"/>
          <w:szCs w:val="20"/>
          <w:color w:val="auto"/>
        </w:rPr>
      </w:pPr>
      <w:r>
        <w:rPr>
          <w:rFonts w:ascii="Arial" w:cs="Arial" w:eastAsia="Arial" w:hAnsi="Arial"/>
          <w:sz w:val="18"/>
          <w:szCs w:val="18"/>
          <w:color w:val="auto"/>
        </w:rPr>
        <w:t>On September 11, 2020, the Board of Directors granted RSUs covering an aggregate of 24,633,066 shares of common stock to the Company’s Co-Chief Executive Officers, subject to the completion of an initial public offering. Each of the Co-Chief Executive Officers received (i) 8,211,022 RSUs that vest based on the achievement of stock price goals ranging from $6.07 per share to $ 51.28 per share, subject to continued employment through the applicable vesting date (the “Performance-Vesting Founders Awards”) and (ii) 4,105,511 RSUs that vest in equal quarterly installments over four years, subject to continued employment through the applicable vesting date (the “Time-Vesting Founders Awards”). Any Performance-Vesting Founders Awards that vest will be settled in shares of common stock on the third anniversary of the applicable vesting date or, if earlier, upon a qualifying change in control event. The Performance-Vesting Founders Awards and Time-Vesting Founders Awards are subject to certain vesting acceleration terms. The estimated fair value of these awards of $533.3 million is expected to be recognized over a weighted average period of 1.2 years, though could be earlier if the stock price goals are achieved earlier than estimated. During the three months ended September 30, 2020, the Company has recognized a cumulative $98.1 million of stock-based compensation expense, with $10.4 million relating to the Time-Vesting Founders Awards and $87.7 million to the Performance-Vesting Founders Awards. At September 30, 2020, there was $435.2 million of total unrecognized stock-based compensation cost related to these RSUs. Due to the earlier than expected achievement of stock price goals, a portion of this unrecognized stock-based compensation cost was recognized as expense during the fourth quarter of 2020. See “Note 11. Subsequent Events”.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Basic and diluted earnings per share</w:t>
      </w:r>
    </w:p>
    <w:p>
      <w:pPr>
        <w:spacing w:after="0" w:line="126"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The Company has two classes of common stock, Class A and Class B. Basic and diluted earnings per share (“EPS”) attributable to common stockholders for Class A and Class B common stock were the same because they are entitled to the same liquidation and dividend rights.</w:t>
      </w:r>
    </w:p>
    <w:p>
      <w:pPr>
        <w:spacing w:after="0" w:line="203" w:lineRule="exact"/>
        <w:rPr>
          <w:sz w:val="20"/>
          <w:szCs w:val="20"/>
          <w:color w:val="auto"/>
        </w:rPr>
      </w:pPr>
    </w:p>
    <w:p>
      <w:pPr>
        <w:jc w:val="both"/>
        <w:ind w:firstLine="499"/>
        <w:spacing w:after="0" w:line="238" w:lineRule="auto"/>
        <w:rPr>
          <w:sz w:val="20"/>
          <w:szCs w:val="20"/>
          <w:color w:val="auto"/>
        </w:rPr>
      </w:pPr>
      <w:r>
        <w:rPr>
          <w:rFonts w:ascii="Arial" w:cs="Arial" w:eastAsia="Arial" w:hAnsi="Arial"/>
          <w:sz w:val="18"/>
          <w:szCs w:val="18"/>
          <w:color w:val="auto"/>
        </w:rPr>
        <w:t>The Company computes EPS using the two-class method required for participating securities. The two-class method requires net income to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redeemable convertible preferred stock to be participating securities as preferred stockholders have rights to participate in dividends with the common stockholders.</w:t>
      </w:r>
    </w:p>
    <w:p>
      <w:pPr>
        <w:spacing w:after="0" w:line="202"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Basic EPS is computed by dividing net income attributable to common stockholders by the weighted average number of common shares outstanding during the period. Weighted average number of common shares outstanding includes contingently issuable shares where there is no circumstance under which those shares would not be issued. The Co-Chief Executives’ Performance-Vesting Founders Awards once vested are settled in shares of common stock on the third anniversary of the applicable vesting date or, if earlier, upon a qualifying change in control event. At the time of vesting, these shares are contingently issuable and included in the weighted average number of common shares outstanding for basic EPS.</w:t>
      </w:r>
    </w:p>
    <w:p>
      <w:pPr>
        <w:spacing w:after="0" w:line="205" w:lineRule="exact"/>
        <w:rPr>
          <w:sz w:val="20"/>
          <w:szCs w:val="20"/>
          <w:color w:val="auto"/>
        </w:rPr>
      </w:pPr>
    </w:p>
    <w:p>
      <w:pPr>
        <w:jc w:val="both"/>
        <w:ind w:firstLine="499"/>
        <w:spacing w:after="0" w:line="237" w:lineRule="auto"/>
        <w:rPr>
          <w:sz w:val="20"/>
          <w:szCs w:val="20"/>
          <w:color w:val="auto"/>
        </w:rPr>
      </w:pPr>
      <w:r>
        <w:rPr>
          <w:rFonts w:ascii="Arial" w:cs="Arial" w:eastAsia="Arial" w:hAnsi="Arial"/>
          <w:sz w:val="18"/>
          <w:szCs w:val="18"/>
          <w:color w:val="auto"/>
        </w:rPr>
        <w:t>The Company computes diluted EPS under a two-class method where income is reallocated between common stock, potential common stock and participating securities. Stock-based awards that contain vesting provisions contingent on achievement of performance or market conditions are included in the computation of diluted earnings per share, if dilutive, from the beginning of the period or date of issuance if later, if all necessary conditions to vest have been satisfied during the period. If all conditions have not been met by the end of the period, dilutive EPS includes the number of shares that would be issuable if the end of the period were the end of the contingency period. Potential common stock includes stock options, restricted stock awards, and RSUs computed using the treasury stock method.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color w:val="auto"/>
        </w:rPr>
        <w:t>The computation of earnings (loss) per share for the three and nine months ended September 30, 2020 and 2019 is as follows: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45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68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(loss) income</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(50,032)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19,619</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4,651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50,821</w:t>
            </w:r>
          </w:p>
        </w:tc>
        <w:tc>
          <w:tcPr>
            <w:tcW w:w="100" w:type="dxa"/>
            <w:vAlign w:val="bottom"/>
          </w:tcPr>
          <w:p>
            <w:pPr>
              <w:spacing w:after="0"/>
              <w:rPr>
                <w:sz w:val="18"/>
                <w:szCs w:val="18"/>
                <w:color w:val="auto"/>
              </w:rPr>
            </w:pPr>
          </w:p>
        </w:tc>
      </w:tr>
      <w:tr>
        <w:trPr>
          <w:trHeight w:val="215"/>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Undistributed earnings allocated to</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5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convertible preferred stock</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(7,003)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(1,606)</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(18,183)</w:t>
            </w: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Net (loss) income attributable to common</w:t>
            </w:r>
          </w:p>
        </w:tc>
        <w:tc>
          <w:tcPr>
            <w:tcW w:w="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520" w:type="dxa"/>
            <w:vAlign w:val="bottom"/>
          </w:tcPr>
          <w:p>
            <w:pPr>
              <w:ind w:left="100"/>
              <w:spacing w:after="0" w:line="203" w:lineRule="exact"/>
              <w:rPr>
                <w:sz w:val="20"/>
                <w:szCs w:val="20"/>
                <w:color w:val="auto"/>
              </w:rPr>
            </w:pPr>
            <w:r>
              <w:rPr>
                <w:rFonts w:ascii="Arial" w:cs="Arial" w:eastAsia="Arial" w:hAnsi="Arial"/>
                <w:sz w:val="18"/>
                <w:szCs w:val="18"/>
                <w:color w:val="auto"/>
              </w:rPr>
              <w:t>stockholders - basic</w:t>
            </w:r>
          </w:p>
        </w:tc>
        <w:tc>
          <w:tcPr>
            <w:tcW w:w="9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(50,032)</w:t>
            </w: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12,616</w:t>
            </w:r>
          </w:p>
        </w:tc>
        <w:tc>
          <w:tcPr>
            <w:tcW w:w="140" w:type="dxa"/>
            <w:vAlign w:val="bottom"/>
          </w:tcPr>
          <w:p>
            <w:pPr>
              <w:spacing w:after="0"/>
              <w:rPr>
                <w:sz w:val="17"/>
                <w:szCs w:val="17"/>
                <w:color w:val="auto"/>
              </w:rPr>
            </w:pPr>
          </w:p>
        </w:tc>
        <w:tc>
          <w:tcPr>
            <w:tcW w:w="3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3,045</w:t>
            </w:r>
          </w:p>
        </w:tc>
        <w:tc>
          <w:tcPr>
            <w:tcW w:w="2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32,638</w:t>
            </w:r>
          </w:p>
        </w:tc>
        <w:tc>
          <w:tcPr>
            <w:tcW w:w="100" w:type="dxa"/>
            <w:vAlign w:val="bottom"/>
          </w:tcPr>
          <w:p>
            <w:pPr>
              <w:spacing w:after="0"/>
              <w:rPr>
                <w:sz w:val="17"/>
                <w:szCs w:val="17"/>
                <w:color w:val="auto"/>
              </w:rPr>
            </w:pPr>
          </w:p>
        </w:tc>
      </w:tr>
      <w:tr>
        <w:trPr>
          <w:trHeight w:val="215"/>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 Undistributed earnings reallocated to</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5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holders of common stock</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7"/>
                <w:szCs w:val="17"/>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Net (loss) income attributable to common</w:t>
            </w:r>
          </w:p>
        </w:tc>
        <w:tc>
          <w:tcPr>
            <w:tcW w:w="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520" w:type="dxa"/>
            <w:vAlign w:val="bottom"/>
          </w:tcPr>
          <w:p>
            <w:pPr>
              <w:ind w:left="100"/>
              <w:spacing w:after="0" w:line="203" w:lineRule="exact"/>
              <w:rPr>
                <w:sz w:val="20"/>
                <w:szCs w:val="20"/>
                <w:color w:val="auto"/>
              </w:rPr>
            </w:pPr>
            <w:r>
              <w:rPr>
                <w:rFonts w:ascii="Arial" w:cs="Arial" w:eastAsia="Arial" w:hAnsi="Arial"/>
                <w:sz w:val="18"/>
                <w:szCs w:val="18"/>
                <w:color w:val="auto"/>
              </w:rPr>
              <w:t>stockholders - diluted</w:t>
            </w:r>
          </w:p>
        </w:tc>
        <w:tc>
          <w:tcPr>
            <w:tcW w:w="9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(50,032)</w:t>
            </w: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12,708</w:t>
            </w:r>
          </w:p>
        </w:tc>
        <w:tc>
          <w:tcPr>
            <w:tcW w:w="140" w:type="dxa"/>
            <w:vAlign w:val="bottom"/>
          </w:tcPr>
          <w:p>
            <w:pPr>
              <w:spacing w:after="0"/>
              <w:rPr>
                <w:sz w:val="21"/>
                <w:szCs w:val="21"/>
                <w:color w:val="auto"/>
              </w:rPr>
            </w:pPr>
          </w:p>
        </w:tc>
        <w:tc>
          <w:tcPr>
            <w:tcW w:w="3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3,092</w:t>
            </w:r>
          </w:p>
        </w:tc>
        <w:tc>
          <w:tcPr>
            <w:tcW w:w="220" w:type="dxa"/>
            <w:vAlign w:val="bottom"/>
          </w:tcPr>
          <w:p>
            <w:pPr>
              <w:spacing w:after="0"/>
              <w:rPr>
                <w:sz w:val="21"/>
                <w:szCs w:val="21"/>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32,858</w:t>
            </w:r>
          </w:p>
        </w:tc>
        <w:tc>
          <w:tcPr>
            <w:tcW w:w="100" w:type="dxa"/>
            <w:vAlign w:val="bottom"/>
          </w:tcPr>
          <w:p>
            <w:pPr>
              <w:spacing w:after="0"/>
              <w:rPr>
                <w:sz w:val="21"/>
                <w:szCs w:val="21"/>
                <w:color w:val="auto"/>
              </w:rPr>
            </w:pPr>
          </w:p>
        </w:tc>
      </w:tr>
      <w:tr>
        <w:trPr>
          <w:trHeight w:val="197"/>
        </w:trPr>
        <w:tc>
          <w:tcPr>
            <w:tcW w:w="45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6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241,061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233,727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226,251</w:t>
            </w:r>
          </w:p>
        </w:tc>
        <w:tc>
          <w:tcPr>
            <w:tcW w:w="100" w:type="dxa"/>
            <w:vAlign w:val="bottom"/>
          </w:tcPr>
          <w:p>
            <w:pPr>
              <w:spacing w:after="0"/>
              <w:rPr>
                <w:sz w:val="18"/>
                <w:szCs w:val="18"/>
                <w:color w:val="auto"/>
              </w:rPr>
            </w:pPr>
          </w:p>
        </w:tc>
      </w:tr>
      <w:tr>
        <w:trPr>
          <w:trHeight w:val="215"/>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impact of stock options and restricted</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5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stock awards</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4,712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10,802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4,308</w:t>
            </w:r>
          </w:p>
        </w:tc>
        <w:tc>
          <w:tcPr>
            <w:tcW w:w="100" w:type="dxa"/>
            <w:vAlign w:val="bottom"/>
            <w:shd w:val="clear" w:color="auto" w:fill="CFF0FC"/>
          </w:tcPr>
          <w:p>
            <w:pPr>
              <w:spacing w:after="0"/>
              <w:rPr>
                <w:sz w:val="17"/>
                <w:szCs w:val="17"/>
                <w:color w:val="auto"/>
              </w:rPr>
            </w:pPr>
          </w:p>
        </w:tc>
      </w:tr>
      <w:tr>
        <w:trPr>
          <w:trHeight w:val="25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shares - diluted</w:t>
            </w:r>
          </w:p>
        </w:tc>
        <w:tc>
          <w:tcPr>
            <w:tcW w:w="6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241,061</w:t>
            </w:r>
          </w:p>
        </w:tc>
        <w:tc>
          <w:tcPr>
            <w:tcW w:w="2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231,770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244,529</w:t>
            </w:r>
          </w:p>
        </w:tc>
        <w:tc>
          <w:tcPr>
            <w:tcW w:w="2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230,559</w:t>
            </w:r>
          </w:p>
        </w:tc>
        <w:tc>
          <w:tcPr>
            <w:tcW w:w="100" w:type="dxa"/>
            <w:vAlign w:val="bottom"/>
            <w:tcBorders>
              <w:bottom w:val="single" w:sz="8" w:color="CFF0FC"/>
            </w:tcBorders>
          </w:tcPr>
          <w:p>
            <w:pPr>
              <w:spacing w:after="0"/>
              <w:rPr>
                <w:sz w:val="21"/>
                <w:szCs w:val="21"/>
                <w:color w:val="auto"/>
              </w:rPr>
            </w:pP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(Loss) earnings per share</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Basic</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8"/>
                <w:szCs w:val="18"/>
                <w:color w:val="auto"/>
              </w:rPr>
            </w:pPr>
          </w:p>
        </w:tc>
      </w:tr>
    </w:tbl>
    <w:p>
      <w:pPr>
        <w:spacing w:after="0" w:line="256" w:lineRule="exact"/>
        <w:rPr>
          <w:sz w:val="20"/>
          <w:szCs w:val="20"/>
          <w:color w:val="auto"/>
        </w:rPr>
      </w:pPr>
    </w:p>
    <w:p>
      <w:pPr>
        <w:jc w:val="both"/>
        <w:ind w:firstLine="499"/>
        <w:spacing w:after="0" w:line="246" w:lineRule="auto"/>
        <w:rPr>
          <w:sz w:val="20"/>
          <w:szCs w:val="20"/>
          <w:color w:val="auto"/>
        </w:rPr>
      </w:pPr>
      <w:r>
        <w:rPr>
          <w:rFonts w:ascii="Arial" w:cs="Arial" w:eastAsia="Arial" w:hAnsi="Arial"/>
          <w:sz w:val="18"/>
          <w:szCs w:val="18"/>
          <w:color w:val="auto"/>
        </w:rPr>
        <w:t>The following weighted-average potentially dilutive shares were excluded from the computation of diluted net (loss) income per share for the periods presented because including them would have been antidilutive:</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260" w:type="dxa"/>
            <w:vAlign w:val="bottom"/>
          </w:tcPr>
          <w:p>
            <w:pPr>
              <w:spacing w:after="0"/>
              <w:rPr>
                <w:sz w:val="15"/>
                <w:szCs w:val="15"/>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2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117,825</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123,285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Stock options and restricted stock awards</w:t>
            </w:r>
          </w:p>
        </w:tc>
        <w:tc>
          <w:tcPr>
            <w:tcW w:w="1020" w:type="dxa"/>
            <w:vAlign w:val="bottom"/>
          </w:tcPr>
          <w:p>
            <w:pPr>
              <w:jc w:val="right"/>
              <w:spacing w:after="0"/>
              <w:rPr>
                <w:sz w:val="20"/>
                <w:szCs w:val="20"/>
                <w:color w:val="auto"/>
              </w:rPr>
            </w:pPr>
            <w:r>
              <w:rPr>
                <w:rFonts w:ascii="Arial" w:cs="Arial" w:eastAsia="Arial" w:hAnsi="Arial"/>
                <w:sz w:val="18"/>
                <w:szCs w:val="18"/>
                <w:color w:val="auto"/>
              </w:rPr>
              <w:t>30,537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8,654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October 2020, the Company repaid the outstanding balance under its revolving line of credit of $28.0 million.</w:t>
      </w:r>
    </w:p>
    <w:p>
      <w:pPr>
        <w:spacing w:after="0" w:line="21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All the stock price goals with respect to the Performance-Vesting Founders Awards, see “Note 9. Stock-based compensation”, were achieved as of October 22, 2020. As a result, all 16,422,044 Performance-Vesting Founders Awards vested, resulting in recognition of approximately $232.1 million of stock-based compensation expense during the fourth quarter of 2020.</w:t>
      </w:r>
    </w:p>
    <w:p>
      <w:pPr>
        <w:spacing w:after="0" w:line="203"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In October 2020, the Company’s Board of Directors granted RSUs of 1.3 million shares of Class A Common Stock to employees, which will substantially vest over a four-year period. The Company estimates the grant date fair value of these RSUs is approximately $60.9 million, which will be recognized as stock-based compensation cost, net of forfeitures that occur, over approximately four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prospectus, dated September 22, 2020, filed with the Securities and Exchange Commission (“SEC”) in accordance with Rule 424(b) of the Securities Act on September 24, 2020 (the “Prospectus”) in connection with our initial public offering (“IPO”).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136" w:lineRule="exact"/>
        <w:rPr>
          <w:sz w:val="20"/>
          <w:szCs w:val="20"/>
          <w:color w:val="auto"/>
        </w:rPr>
      </w:pPr>
    </w:p>
    <w:p>
      <w:pPr>
        <w:ind w:left="880" w:hanging="373"/>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99" w:lineRule="exact"/>
        <w:rPr>
          <w:rFonts w:ascii="Arial" w:cs="Arial" w:eastAsia="Arial" w:hAnsi="Arial"/>
          <w:sz w:val="18"/>
          <w:szCs w:val="18"/>
          <w:color w:val="auto"/>
        </w:rPr>
      </w:pPr>
    </w:p>
    <w:p>
      <w:pPr>
        <w:ind w:left="880" w:hanging="373"/>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Co-Founders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Trevor Bezdek and Douglas Hirsch, our Co-Chief Executive Officers and members of our board of directors.</w:t>
      </w:r>
    </w:p>
    <w:p>
      <w:pPr>
        <w:spacing w:after="0" w:line="99" w:lineRule="exact"/>
        <w:rPr>
          <w:rFonts w:ascii="Arial" w:cs="Arial" w:eastAsia="Arial" w:hAnsi="Arial"/>
          <w:sz w:val="18"/>
          <w:szCs w:val="18"/>
          <w:color w:val="auto"/>
        </w:rPr>
      </w:pPr>
    </w:p>
    <w:p>
      <w:pPr>
        <w:jc w:val="both"/>
        <w:ind w:left="880" w:hanging="373"/>
        <w:spacing w:after="0" w:line="25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114" w:lineRule="exact"/>
        <w:rPr>
          <w:rFonts w:ascii="Arial" w:cs="Arial" w:eastAsia="Arial" w:hAnsi="Arial"/>
          <w:sz w:val="18"/>
          <w:szCs w:val="18"/>
          <w:color w:val="auto"/>
        </w:rPr>
      </w:pPr>
    </w:p>
    <w:p>
      <w:pPr>
        <w:jc w:val="both"/>
        <w:ind w:left="880" w:hanging="373"/>
        <w:spacing w:after="0" w:line="242"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880" w:hanging="373"/>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Francisco Partners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investment funds associated with Francisco Partners, including Francisco Partners IV, L.P. and Francisco Partners IV-A, L.P.</w:t>
      </w:r>
    </w:p>
    <w:p>
      <w:pPr>
        <w:spacing w:after="0" w:line="99" w:lineRule="exact"/>
        <w:rPr>
          <w:rFonts w:ascii="Arial" w:cs="Arial" w:eastAsia="Arial" w:hAnsi="Arial"/>
          <w:sz w:val="18"/>
          <w:szCs w:val="18"/>
          <w:color w:val="auto"/>
        </w:rPr>
      </w:pPr>
    </w:p>
    <w:p>
      <w:pPr>
        <w:jc w:val="both"/>
        <w:ind w:left="880" w:hanging="373"/>
        <w:spacing w:after="0" w:line="25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114" w:lineRule="exact"/>
        <w:rPr>
          <w:rFonts w:ascii="Arial" w:cs="Arial" w:eastAsia="Arial" w:hAnsi="Arial"/>
          <w:sz w:val="18"/>
          <w:szCs w:val="18"/>
          <w:color w:val="auto"/>
        </w:rPr>
      </w:pPr>
    </w:p>
    <w:p>
      <w:pPr>
        <w:jc w:val="both"/>
        <w:ind w:left="880" w:hanging="373"/>
        <w:spacing w:after="0" w:line="25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GMV</w:t>
      </w:r>
      <w:r>
        <w:rPr>
          <w:rFonts w:ascii="Arial" w:cs="Arial" w:eastAsia="Arial" w:hAnsi="Arial"/>
          <w:sz w:val="18"/>
          <w:szCs w:val="18"/>
          <w:i w:val="1"/>
          <w:iCs w:val="1"/>
          <w:color w:val="auto"/>
        </w:rPr>
        <w:t>”</w:t>
      </w:r>
      <w:r>
        <w:rPr>
          <w:rFonts w:ascii="Arial" w:cs="Arial" w:eastAsia="Arial" w:hAnsi="Arial"/>
          <w:sz w:val="18"/>
          <w:szCs w:val="18"/>
          <w:color w:val="auto"/>
        </w:rPr>
        <w:t xml:space="preserve"> represents gross merchandise value, which is the aggregate price paid by our consumers who used a GoodRx code available through our platform for their prescriptions during such period. GMV excludes any prices paid by consumers linked to our other offerings, including our subscription offerings.</w:t>
      </w:r>
    </w:p>
    <w:p>
      <w:pPr>
        <w:spacing w:after="0" w:line="114" w:lineRule="exact"/>
        <w:rPr>
          <w:rFonts w:ascii="Arial" w:cs="Arial" w:eastAsia="Arial" w:hAnsi="Arial"/>
          <w:sz w:val="18"/>
          <w:szCs w:val="18"/>
          <w:color w:val="auto"/>
        </w:rPr>
      </w:pPr>
    </w:p>
    <w:p>
      <w:pPr>
        <w:jc w:val="both"/>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pharmaceutical manufacturers solutions offering, or consumers who used our telehealth offerings. When presented for a period longer than a month, Monthly Active Consumers is averaged over the number of calendar months in such period.</w:t>
      </w:r>
    </w:p>
    <w:p>
      <w:pPr>
        <w:spacing w:after="0" w:line="126" w:lineRule="exact"/>
        <w:rPr>
          <w:rFonts w:ascii="Arial" w:cs="Arial" w:eastAsia="Arial" w:hAnsi="Arial"/>
          <w:sz w:val="18"/>
          <w:szCs w:val="18"/>
          <w:color w:val="auto"/>
        </w:rPr>
      </w:pPr>
    </w:p>
    <w:p>
      <w:pPr>
        <w:jc w:val="both"/>
        <w:ind w:left="880" w:hanging="373"/>
        <w:spacing w:after="0" w:line="24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Visitors</w:t>
      </w:r>
      <w:r>
        <w:rPr>
          <w:rFonts w:ascii="Arial" w:cs="Arial" w:eastAsia="Arial" w:hAnsi="Arial"/>
          <w:sz w:val="18"/>
          <w:szCs w:val="18"/>
          <w:color w:val="auto"/>
        </w:rPr>
        <w:t>” refers to the number of individuals who visited our apps and websites in a given calendar month. Visitors to our apps and websites are counted independently. As a result, a consumer that visits or engages with our platform through both apps and websites will be counted multiple times in calculating Monthly Visitors, while family members who use a single computer to visit our websites will be counted only once. Additionally, Monthly Active Consumers who use a GoodRx code without accessing our apps or websites (since their GoodRx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ind w:left="880" w:right="20"/>
        <w:spacing w:after="0" w:line="246" w:lineRule="auto"/>
        <w:rPr>
          <w:sz w:val="20"/>
          <w:szCs w:val="20"/>
          <w:color w:val="auto"/>
        </w:rPr>
      </w:pPr>
      <w:r>
        <w:rPr>
          <w:rFonts w:ascii="Arial" w:cs="Arial" w:eastAsia="Arial" w:hAnsi="Arial"/>
          <w:sz w:val="18"/>
          <w:szCs w:val="18"/>
          <w:color w:val="auto"/>
        </w:rPr>
        <w:t>codes were saved in their profile at the pharmacy), will not be counted as Monthly Visitors. When presented for a period longer than a calendar month, Monthly Visitors is averaged over each calendar month in such period.</w:t>
      </w:r>
    </w:p>
    <w:p>
      <w:pPr>
        <w:spacing w:after="0" w:line="121" w:lineRule="exact"/>
        <w:rPr>
          <w:sz w:val="20"/>
          <w:szCs w:val="20"/>
          <w:color w:val="auto"/>
        </w:rPr>
      </w:pPr>
    </w:p>
    <w:p>
      <w:pPr>
        <w:jc w:val="both"/>
        <w:ind w:left="880" w:hanging="373"/>
        <w:spacing w:after="0" w:line="24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a pharmacy benefit manager. PBMs aggregate demand to negotiate prescription medication prices with pharmacies and pharmaceutical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119"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saved</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131"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Silver Lake Partners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investment funds associated with Silver Lake Partners, including SLP Geology Aggregator, L.P.</w:t>
      </w:r>
    </w:p>
    <w:p>
      <w:pPr>
        <w:spacing w:after="0" w:line="171" w:lineRule="exact"/>
        <w:rPr>
          <w:rFonts w:ascii="Arial" w:cs="Arial" w:eastAsia="Arial" w:hAnsi="Arial"/>
          <w:sz w:val="18"/>
          <w:szCs w:val="18"/>
          <w:color w:val="auto"/>
        </w:rPr>
      </w:pPr>
    </w:p>
    <w:p>
      <w:pPr>
        <w:ind w:left="880" w:right="20" w:hanging="373"/>
        <w:spacing w:after="0" w:line="27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Spectrum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investment funds associated with Spectrum Equity, including Spectrum Equity VII, L.P., Spectrum VII Investment Managers’ Fund, L.P., Spectrum VII Co-Investment Fund, L.P.</w:t>
      </w:r>
    </w:p>
    <w:p>
      <w:pPr>
        <w:spacing w:after="0" w:line="17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19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Healthcare consumers in the United States face an increasing number of challenges. These include a lack of affordability, transparency, and access to care. Additionally, healthcare professionals’ lack of access to current prescription pricing and out of pocket consumer cost information exacerbate the challenges that healthcare consumers face. GoodRx was founded to solve these challenges. We started with a price comparison tool for prescriptions, offering consumers free access to lower prices on their medication. Today, our expanded platform also provides access to brand medication savings programs, affordable and convenient medical provider consultations and lab tests via our telehealth offerings, HeyDoctor and the GoodRx Telehealth Marketplace, and other healthcare related content. Whether a consumer is insured or uninsured, young or old, or suffers from an acute or a chronic ailment, we strive to be at the consumer’s side throughout their healthcare journey. We believe that our offerings provide significant savings to consumers, and can help drive greater medication adherence, faster treatment and better patient outcomes that also benefit the broader healthcare ecosystem and its stakeholders. These all contribute to a healthier, happier society.</w:t>
      </w:r>
    </w:p>
    <w:p>
      <w:pPr>
        <w:spacing w:after="0" w:line="20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believe our financial results reflect the significant market demand for our offerings and the value that we provide to the broader healthcare ecosystem. The Gross Merchandise Value generated by our prescription offering, which is the aggregate price paid by our consumers who used a GoodRx code for their prescriptions, was $2.5 billion in 2019. Our revenue grew 44% in the nine months ended September 30, 2020 to $397.2 million, up from $275.0 million in the nine months ended September 30, 2019. In the nine months ended September 30, 2020, net income was $4.7 million, compared to net income of $50.8 million in the nine months ended September 30, 2019. Net income in the nine months ended September 30, 2020 was impacted by $98.1 million of stock-based compensation related to equity awards made to the Co-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jc w:val="both"/>
        <w:spacing w:after="0" w:line="238" w:lineRule="auto"/>
        <w:rPr>
          <w:sz w:val="20"/>
          <w:szCs w:val="20"/>
          <w:color w:val="auto"/>
        </w:rPr>
      </w:pPr>
      <w:r>
        <w:rPr>
          <w:rFonts w:ascii="Arial" w:cs="Arial" w:eastAsia="Arial" w:hAnsi="Arial"/>
          <w:sz w:val="18"/>
          <w:szCs w:val="18"/>
          <w:color w:val="auto"/>
        </w:rPr>
        <w:t>Chief Executive Officers in connection with the IPO. Adjusted EBITDA was $154.4 million in the nine months ended September 30, 2020, up from $117.8 million in the nine months ended September 30, 2019. We have been focused on capital efficiency and delivering on a cash generative monetization model since inception. Cash flow provided by operating activities grew 74% in the nine months ended September 30, 2020 to $116.5 million, up from $66.8 million in the nine months ended September 30, 2019.</w:t>
      </w:r>
    </w:p>
    <w:p>
      <w:pPr>
        <w:spacing w:after="0" w:line="20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Adjusted EBITDA is a non-GAAP financial measure. For a reconciliation of Adjusted EBITDA to the most directly comparable GAAP financial measure, information about why we consider Adjusted EBITDA useful and a discussion of the material risks and limitations of these measures, please see “Key Operating Metrics and Non-GAAP Financial Measures”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GoodRx continues to closely monitor how the spread of COVID-19 is affecting its employees, customers and business operations. The outbreak has resulted in authorities implementing numerous measures to try to contain the virus, such as travel bans and restrictions, quarantines, shelter-in-place orders, and business shutdowns. In particular for our business, governmental authorities have also recommended, and in certain cases, required, that elective or other medical appointments be suspended or cancelled to avoid non-essential patient exposure to medical environments and potential infection. These and other measures have not only negatively impacted consumer spending and business spending habits, they have adversely impacted and may further impact our workforce and operations and the operations of healthcare professionals, pharmacies, consumers, Pharmacy Benefit Managers (PBMs) and others in the broader healthcare ecosystem. Although certain of these measures are beginning to ease in some geographic regions, overall measures to contain the COVID-19 outbreak may remain in place for a significant period of time, and certain geographic regions are experiencing a resurgence of COVID-19 infections. The duration and severity of this pandemic is unknown and the extent of the business disruption and financial impact depend on factors beyond our knowledge and control.</w:t>
      </w:r>
    </w:p>
    <w:p>
      <w:pPr>
        <w:spacing w:after="0" w:line="20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Various government measures, community self-isolation practices and shelter-in-place requirements, as well as the perceived need by individuals to continue such practices to avoid infection, have generally reduced the extent to which consumers visit healthcare professionals in-person, seek treatment for certain conditions or ailments, and receive and fill prescriptions. Consumers may also increasingly elect to receive prescriptions by mail order instead of at the pharmacy, which could have an adverse impact on our prescription offering. In addition, many pharmacies and healthcare providers have reduced staffing, closed locations or otherwise limited operations, and many prescribing healthcare professionals have reduced or postponed treatment of certain patients.</w:t>
      </w:r>
    </w:p>
    <w:p>
      <w:pPr>
        <w:spacing w:after="0" w:line="20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number of Monthly Active Consumers decreased and our prescription offering experienced a decline in activity in the second quarter of 2020 as compared to the first quarter of 2020 as many consumers avoided visiting healthcare professionals and pharmacies in-person, which we believe has had a similar effect across the industry. The number of Monthly Active Consumers increased in the third quarter of 2020 as compared to the second quarter of 2020 as the number of physician visits increased and as consumers partially resumed their interaction with the healthcare system. Even though we saw improved activity in our prescription offering in the third quarter of 2020, continued improvement in future periods remains uncertain. Any decrease in the number of consumers seeking to fill prescriptions could negatively impact demand for and use of certain of our offerings, particularly our prescription offering, which would have an adverse effect on our business, financial condition and results of operations.</w:t>
      </w:r>
    </w:p>
    <w:p>
      <w:pPr>
        <w:spacing w:after="0" w:line="20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Conversely, pandemics, epidemics and outbreaks may significantly and temporarily increase demand for our telehealth offerings. COVID-19 has significantly accelerated the awareness and use of our telehealth offerings, including demand for our HeyDoctor offering and the utilization of our GoodRx Telehealth Marketplace. While we have experienced a significant increase in demand for the telehealth offerings, there can be no assurance that the levels of interest, demand and use of our telehealth offerings will continue at current levels or will not decrease during or after the pandemic. Any such decrease could have an adverse effect on our growth and the success of our telehealth offerings.</w:t>
      </w:r>
    </w:p>
    <w:p>
      <w:pPr>
        <w:spacing w:after="0" w:line="20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Additionally, 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20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The full extent to which the outbreak of COVID-19 will impact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 w:name="page26"/>
    <w:bookmarkEnd w:id="25"/>
    <w:p>
      <w:pPr>
        <w:jc w:val="both"/>
        <w:spacing w:after="0"/>
        <w:rPr>
          <w:sz w:val="20"/>
          <w:szCs w:val="20"/>
          <w:color w:val="auto"/>
        </w:rPr>
      </w:pPr>
      <w:r>
        <w:rPr>
          <w:rFonts w:ascii="Arial" w:cs="Arial" w:eastAsia="Arial" w:hAnsi="Arial"/>
          <w:sz w:val="18"/>
          <w:szCs w:val="18"/>
          <w:color w:val="auto"/>
        </w:rPr>
        <w:t>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20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For additional information, see Part II, Item 1A, “Risk Factors—Risks Related to Our Business—A pandemic, epidemic or outbreak of an infectious disease in the United States, including the outbreak of the novel strain of coronavirus disease, could impact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On September 25, 2020, we completed our IPO by issuing 28,615,034 shares of our Class A common stock at a price to the public of $33 per share, resulting in net proceeds to us of $886.9 million, after deducting the underwriting discount of $ 52.5 million and offering expenses of $4.9 million, $3.1 million of which has yet to be paid. Additionally, certain existing stockholders sold an aggregate of 11,192,657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On September 25, 2020, we completed the sale of 3,030,303 shares of our Class A common stock at a purchase price of $33 per share to SLP Geology Aggregator, L.P., resulting in proceeds to us of $100.0 million. SLP Geology Aggregator, L.P. is an investment fund associated with Silver Lake Partners.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For discussion of these factors, please see “Key Factors Affecting Our Performance” in the Management’s Discussion and Analysis section of our prospectus, dated September 22, 2020, and in Part II, Item 1A, “Risk Factors” of this Quarterly Report on Form 10-Q for the quarter ended September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subscription offerings, from pharmaceutical manufacturers and affiliates, and our telehealth offerings. All of our revenue has been generated in the United States.</w:t>
      </w:r>
    </w:p>
    <w:p>
      <w:pPr>
        <w:spacing w:after="0" w:line="77" w:lineRule="exact"/>
        <w:rPr>
          <w:sz w:val="20"/>
          <w:szCs w:val="20"/>
          <w:color w:val="auto"/>
        </w:rPr>
      </w:pPr>
    </w:p>
    <w:p>
      <w:pPr>
        <w:jc w:val="both"/>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when a prescription is filled with a GoodRx</w:t>
      </w:r>
      <w:r>
        <w:rPr>
          <w:rFonts w:ascii="Arial" w:cs="Arial" w:eastAsia="Arial" w:hAnsi="Arial"/>
          <w:sz w:val="18"/>
          <w:szCs w:val="18"/>
          <w:i w:val="1"/>
          <w:iCs w:val="1"/>
          <w:color w:val="auto"/>
        </w:rPr>
        <w:t xml:space="preserve"> </w:t>
      </w:r>
      <w:r>
        <w:rPr>
          <w:rFonts w:ascii="Arial" w:cs="Arial" w:eastAsia="Arial" w:hAnsi="Arial"/>
          <w:sz w:val="18"/>
          <w:szCs w:val="18"/>
          <w:color w:val="auto"/>
        </w:rPr>
        <w:t>code provided through our platform. The majority of our contracts with PBMs provide for fees that represent a percentage of the fees that the PBM charges to the pharmacy, and a minority of our contracts provide for a fixed fee per transaction. Our percentage of fee contracts often also include a minimum fixed fee per transaction.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6" w:lineRule="exact"/>
        <w:rPr>
          <w:rFonts w:ascii="Arial" w:cs="Arial" w:eastAsia="Arial" w:hAnsi="Arial"/>
          <w:sz w:val="18"/>
          <w:szCs w:val="18"/>
          <w:color w:val="auto"/>
        </w:rPr>
      </w:pPr>
    </w:p>
    <w:p>
      <w:pPr>
        <w:jc w:val="both"/>
        <w:ind w:left="880" w:hanging="373"/>
        <w:spacing w:after="0" w:line="24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primarily of subscription revenue from our subscription offerings, including Gold and Kroger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generated from pharmaceutical manufacturers for advertising and integrating onto our platform their affordability solutions to our consumers and advertising in direct mailers, and revenue generated by our telehealth offerings that allow consumers to access healthcare professionals online.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86" w:lineRule="exact"/>
        <w:rPr>
          <w:sz w:val="20"/>
          <w:szCs w:val="20"/>
          <w:color w:val="auto"/>
        </w:rPr>
      </w:pPr>
    </w:p>
    <w:p>
      <w:pPr>
        <w:jc w:val="both"/>
        <w:ind w:left="880" w:hanging="373"/>
        <w:spacing w:after="0" w:line="245"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for HeyDoctor,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and stock-based compensation expense, for our consumer support employees, hosting and cloud costs, merchant account fees, processing fees and allocated overhead. Cost of revenue is largely driven by the growth of our visitor and active consumer base, as well as our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6" w:name="page27"/>
    <w:bookmarkEnd w:id="26"/>
    <w:p>
      <w:pPr>
        <w:ind w:left="880"/>
        <w:spacing w:after="0" w:line="246" w:lineRule="auto"/>
        <w:rPr>
          <w:sz w:val="20"/>
          <w:szCs w:val="20"/>
          <w:color w:val="auto"/>
        </w:rPr>
      </w:pPr>
      <w:r>
        <w:rPr>
          <w:rFonts w:ascii="Arial" w:cs="Arial" w:eastAsia="Arial" w:hAnsi="Arial"/>
          <w:sz w:val="18"/>
          <w:szCs w:val="18"/>
          <w:color w:val="auto"/>
        </w:rPr>
        <w:t>telehealth offerings. Our cost of revenue as a percentage of revenue may vary based on the relative growth rates of our various offerings.</w:t>
      </w:r>
    </w:p>
    <w:p>
      <w:pPr>
        <w:spacing w:after="0" w:line="71" w:lineRule="exact"/>
        <w:rPr>
          <w:sz w:val="20"/>
          <w:szCs w:val="20"/>
          <w:color w:val="auto"/>
        </w:rPr>
      </w:pPr>
    </w:p>
    <w:p>
      <w:pPr>
        <w:jc w:val="both"/>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 We expect product development and technology expenses will increase on an absolute dollar basis as we continue to grow our platform and product offerings.</w:t>
      </w:r>
    </w:p>
    <w:p>
      <w:pPr>
        <w:spacing w:after="0" w:line="76" w:lineRule="exact"/>
        <w:rPr>
          <w:rFonts w:ascii="Arial" w:cs="Arial" w:eastAsia="Arial" w:hAnsi="Arial"/>
          <w:sz w:val="18"/>
          <w:szCs w:val="18"/>
          <w:color w:val="auto"/>
        </w:rPr>
      </w:pPr>
    </w:p>
    <w:p>
      <w:pPr>
        <w:jc w:val="both"/>
        <w:ind w:left="880" w:hanging="373"/>
        <w:spacing w:after="0" w:line="242"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marketing expenses for consumer acquisition and retention,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Over the near to medium term, we expect to increase our spending on sales and marketing.</w:t>
      </w:r>
    </w:p>
    <w:p>
      <w:pPr>
        <w:spacing w:after="0" w:line="76"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change in fair value of contingent consideration, and other general overhead costs. We expect to incur additional general and administrative costs in compliance, legal, investor relations, insurance, and professional services related to our compliance and reporting obligations as a public company. We have incurred, and also expect to incur additional general and administrative costs in connection with the vesting and settlement of restricted stock units (“RSUs”), including the grant of restricted stock unit awards covering an aggregate of 12,316,533 shares of Class B common stock to each of our Co-Chief Executive Officers in connection with our IPO (the “Founders Awards”) in particular. We also anticipate that as we continue to grow as a company our general and administrative costs will increase on an absolute dollar basis.</w:t>
      </w:r>
    </w:p>
    <w:p>
      <w:pPr>
        <w:spacing w:after="0" w:line="83" w:lineRule="exact"/>
        <w:rPr>
          <w:rFonts w:ascii="Arial" w:cs="Arial" w:eastAsia="Arial" w:hAnsi="Arial"/>
          <w:sz w:val="18"/>
          <w:szCs w:val="18"/>
          <w:color w:val="auto"/>
        </w:rPr>
      </w:pPr>
    </w:p>
    <w:p>
      <w:pPr>
        <w:jc w:val="both"/>
        <w:ind w:left="880" w:hanging="373"/>
        <w:spacing w:after="0" w:line="250"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other expense (income) consists of the following:</w:t>
      </w:r>
    </w:p>
    <w:p>
      <w:pPr>
        <w:spacing w:after="0" w:line="86"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Consists primarily of third-party transaction expenses related to the modification of our debt facilities.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Consists of losses recognized due to extinguishment of debt.</w:t>
      </w:r>
    </w:p>
    <w:p>
      <w:pPr>
        <w:spacing w:after="0" w:line="117" w:lineRule="exact"/>
        <w:rPr>
          <w:rFonts w:ascii="Arial" w:cs="Arial" w:eastAsia="Arial" w:hAnsi="Arial"/>
          <w:sz w:val="18"/>
          <w:szCs w:val="18"/>
          <w:color w:val="auto"/>
        </w:rPr>
      </w:pPr>
    </w:p>
    <w:p>
      <w:pPr>
        <w:ind w:left="880" w:hanging="373"/>
        <w:spacing w:after="0" w:line="26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the Credit Facilities (as defined below),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issuance costs and discounts.</w:t>
      </w:r>
    </w:p>
    <w:p>
      <w:pPr>
        <w:spacing w:after="0" w:line="5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Our income tax expense consists of federal and state income taxes. Our effective income tax rates for the three and nine months ended September 30, 2020 were 26% and (113%), respectively, and for the three and nine months ended September 30, 2019 were 23% and 22%, respectively. The changes in our effective income tax rate for the three and nine months ended September 30, 2020 compared to the three and nine months ended September 30, 2019 were primarily due to tax effects of nondeductible officers’ stock-based compensation expense and excess tax benefits related to the exercise of stock options. Our effective income tax rate differed from the U.S. statutory tax rate of 21% primarily due to U.S. federal and state tax credits, officers’ compensation limitations, state income taxes and stock-based compensation tax deductions.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jc w:val="both"/>
        <w:spacing w:after="0"/>
        <w:rPr>
          <w:sz w:val="20"/>
          <w:szCs w:val="20"/>
          <w:color w:val="auto"/>
        </w:rPr>
      </w:pPr>
      <w:r>
        <w:rPr>
          <w:rFonts w:ascii="Arial" w:cs="Arial" w:eastAsia="Arial" w:hAnsi="Arial"/>
          <w:sz w:val="18"/>
          <w:szCs w:val="18"/>
          <w:color w:val="auto"/>
        </w:rPr>
        <w:t>cold and flu trends. This seasonality may impact revenue and sales and marketing expense. The rapid growth of our business may have masked these trends to date, and we expect the impact of seasonality to be more pronounced in the future. However, in 2020 we have seen the impact of the COVID-19 pandemic further disrupt these trends, which may continue in future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comparing the components of our results of operations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8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4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Prescription transactions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124,385</w:t>
            </w:r>
          </w:p>
        </w:tc>
        <w:tc>
          <w:tcPr>
            <w:tcW w:w="16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95,795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356,950</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260,114</w:t>
            </w:r>
          </w:p>
        </w:tc>
        <w:tc>
          <w:tcPr>
            <w:tcW w:w="120" w:type="dxa"/>
            <w:vAlign w:val="bottom"/>
          </w:tcPr>
          <w:p>
            <w:pPr>
              <w:spacing w:after="0"/>
              <w:rPr>
                <w:sz w:val="18"/>
                <w:szCs w:val="18"/>
                <w:color w:val="auto"/>
              </w:rPr>
            </w:pPr>
          </w:p>
        </w:tc>
      </w:tr>
      <w:tr>
        <w:trPr>
          <w:trHeight w:val="216"/>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40,206</w:t>
            </w:r>
          </w:p>
        </w:tc>
        <w:tc>
          <w:tcPr>
            <w:tcW w:w="2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14,854</w:t>
            </w:r>
          </w:p>
        </w:tc>
        <w:tc>
          <w:tcPr>
            <w:tcW w:w="120" w:type="dxa"/>
            <w:vAlign w:val="bottom"/>
            <w:shd w:val="clear" w:color="auto" w:fill="CFF0FC"/>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140,453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101,745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397,156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274,968</w:t>
            </w:r>
          </w:p>
        </w:tc>
        <w:tc>
          <w:tcPr>
            <w:tcW w:w="12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Costs and operating expenses: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4920" w:type="dxa"/>
            <w:vAlign w:val="bottom"/>
          </w:tcPr>
          <w:p>
            <w:pPr>
              <w:ind w:left="260"/>
              <w:spacing w:after="0"/>
              <w:rPr>
                <w:sz w:val="20"/>
                <w:szCs w:val="20"/>
                <w:color w:val="auto"/>
              </w:rPr>
            </w:pPr>
            <w:r>
              <w:rPr>
                <w:rFonts w:ascii="Arial" w:cs="Arial" w:eastAsia="Arial" w:hAnsi="Arial"/>
                <w:sz w:val="18"/>
                <w:szCs w:val="18"/>
                <w:color w:val="auto"/>
              </w:rPr>
              <w:t>Cost of revenue, exclusive of</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92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20" w:type="dxa"/>
            <w:vAlign w:val="bottom"/>
          </w:tcPr>
          <w:p>
            <w:pPr>
              <w:ind w:left="400"/>
              <w:spacing w:after="0" w:line="203" w:lineRule="exact"/>
              <w:rPr>
                <w:sz w:val="20"/>
                <w:szCs w:val="20"/>
                <w:color w:val="auto"/>
              </w:rPr>
            </w:pPr>
            <w:r>
              <w:rPr>
                <w:rFonts w:ascii="Arial" w:cs="Arial" w:eastAsia="Arial" w:hAnsi="Arial"/>
                <w:sz w:val="18"/>
                <w:szCs w:val="18"/>
                <w:color w:val="auto"/>
              </w:rPr>
              <w:t>presented separately below</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7,540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3,396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20,383</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9,420</w:t>
            </w:r>
          </w:p>
        </w:tc>
        <w:tc>
          <w:tcPr>
            <w:tcW w:w="120" w:type="dxa"/>
            <w:vAlign w:val="bottom"/>
          </w:tcPr>
          <w:p>
            <w:pPr>
              <w:spacing w:after="0"/>
              <w:rPr>
                <w:sz w:val="17"/>
                <w:szCs w:val="17"/>
                <w:color w:val="auto"/>
              </w:rPr>
            </w:pPr>
          </w:p>
        </w:tc>
      </w:tr>
      <w:tr>
        <w:trPr>
          <w:trHeight w:val="216"/>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development and technology</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38,133</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19,480</w:t>
            </w:r>
          </w:p>
        </w:tc>
        <w:tc>
          <w:tcPr>
            <w:tcW w:w="120" w:type="dxa"/>
            <w:vAlign w:val="bottom"/>
            <w:shd w:val="clear" w:color="auto" w:fill="CFF0FC"/>
          </w:tcPr>
          <w:p>
            <w:pPr>
              <w:spacing w:after="0"/>
              <w:rPr>
                <w:sz w:val="18"/>
                <w:szCs w:val="18"/>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44,950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180,195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122,639</w:t>
            </w:r>
          </w:p>
        </w:tc>
        <w:tc>
          <w:tcPr>
            <w:tcW w:w="120" w:type="dxa"/>
            <w:vAlign w:val="bottom"/>
          </w:tcPr>
          <w:p>
            <w:pPr>
              <w:spacing w:after="0"/>
              <w:rPr>
                <w:sz w:val="18"/>
                <w:szCs w:val="18"/>
                <w:color w:val="auto"/>
              </w:rPr>
            </w:pPr>
          </w:p>
        </w:tc>
      </w:tr>
      <w:tr>
        <w:trPr>
          <w:trHeight w:val="216"/>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108,479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120,698</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10,165</w:t>
            </w:r>
          </w:p>
        </w:tc>
        <w:tc>
          <w:tcPr>
            <w:tcW w:w="120" w:type="dxa"/>
            <w:vAlign w:val="bottom"/>
            <w:shd w:val="clear" w:color="auto" w:fill="CFF0FC"/>
          </w:tcPr>
          <w:p>
            <w:pPr>
              <w:spacing w:after="0"/>
              <w:rPr>
                <w:sz w:val="18"/>
                <w:szCs w:val="18"/>
                <w:color w:val="auto"/>
              </w:rPr>
            </w:pPr>
          </w:p>
        </w:tc>
      </w:tr>
      <w:tr>
        <w:trPr>
          <w:trHeight w:val="216"/>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14,026</w:t>
            </w:r>
          </w:p>
        </w:tc>
        <w:tc>
          <w:tcPr>
            <w:tcW w:w="2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w:t>
            </w:r>
          </w:p>
        </w:tc>
        <w:tc>
          <w:tcPr>
            <w:tcW w:w="120" w:type="dxa"/>
            <w:vAlign w:val="bottom"/>
            <w:tcBorders>
              <w:bottom w:val="single" w:sz="8" w:color="CFF0FC"/>
            </w:tcBorders>
          </w:tcPr>
          <w:p>
            <w:pPr>
              <w:spacing w:after="0"/>
              <w:rPr>
                <w:sz w:val="18"/>
                <w:szCs w:val="18"/>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63,901</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373,435</w:t>
            </w:r>
          </w:p>
        </w:tc>
        <w:tc>
          <w:tcPr>
            <w:tcW w:w="2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171,059</w:t>
            </w:r>
          </w:p>
        </w:tc>
        <w:tc>
          <w:tcPr>
            <w:tcW w:w="120" w:type="dxa"/>
            <w:vAlign w:val="bottom"/>
            <w:shd w:val="clear" w:color="auto" w:fill="CFF0FC"/>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Operating (loss) income</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(61,685)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37,844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23,721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103,909</w:t>
            </w:r>
          </w:p>
        </w:tc>
        <w:tc>
          <w:tcPr>
            <w:tcW w:w="120" w:type="dxa"/>
            <w:vAlign w:val="bottom"/>
          </w:tcPr>
          <w:p>
            <w:pPr>
              <w:spacing w:after="0"/>
              <w:rPr>
                <w:sz w:val="18"/>
                <w:szCs w:val="18"/>
                <w:color w:val="auto"/>
              </w:rPr>
            </w:pPr>
          </w:p>
        </w:tc>
      </w:tr>
      <w:tr>
        <w:trPr>
          <w:trHeight w:val="209"/>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(140)</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(580)</w:t>
            </w:r>
          </w:p>
        </w:tc>
      </w:tr>
      <w:tr>
        <w:trPr>
          <w:trHeight w:val="216"/>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21,697</w:t>
            </w:r>
          </w:p>
        </w:tc>
        <w:tc>
          <w:tcPr>
            <w:tcW w:w="2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39,452</w:t>
            </w:r>
          </w:p>
        </w:tc>
        <w:tc>
          <w:tcPr>
            <w:tcW w:w="120" w:type="dxa"/>
            <w:vAlign w:val="bottom"/>
            <w:tcBorders>
              <w:bottom w:val="single" w:sz="8" w:color="CFF0FC"/>
            </w:tcBorders>
          </w:tcPr>
          <w:p>
            <w:pPr>
              <w:spacing w:after="0"/>
              <w:rPr>
                <w:sz w:val="18"/>
                <w:szCs w:val="18"/>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12,498</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21,537</w:t>
            </w:r>
          </w:p>
        </w:tc>
        <w:tc>
          <w:tcPr>
            <w:tcW w:w="2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38,869</w:t>
            </w:r>
          </w:p>
        </w:tc>
        <w:tc>
          <w:tcPr>
            <w:tcW w:w="120" w:type="dxa"/>
            <w:vAlign w:val="bottom"/>
            <w:shd w:val="clear" w:color="auto" w:fill="CFF0FC"/>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(Loss) income before income tax expense</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(67,926)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25,346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65,040</w:t>
            </w:r>
          </w:p>
        </w:tc>
        <w:tc>
          <w:tcPr>
            <w:tcW w:w="120" w:type="dxa"/>
            <w:vAlign w:val="bottom"/>
          </w:tcPr>
          <w:p>
            <w:pPr>
              <w:spacing w:after="0"/>
              <w:rPr>
                <w:sz w:val="18"/>
                <w:szCs w:val="18"/>
                <w:color w:val="auto"/>
              </w:rPr>
            </w:pPr>
          </w:p>
        </w:tc>
      </w:tr>
      <w:tr>
        <w:trPr>
          <w:trHeight w:val="216"/>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(5,727)</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(14,219)</w:t>
            </w:r>
          </w:p>
        </w:tc>
      </w:tr>
      <w:tr>
        <w:trPr>
          <w:trHeight w:val="20"/>
        </w:trPr>
        <w:tc>
          <w:tcPr>
            <w:tcW w:w="4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(50,032)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19,619</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4,651</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50,821</w:t>
            </w:r>
          </w:p>
        </w:tc>
        <w:tc>
          <w:tcPr>
            <w:tcW w:w="12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w:t>
      </w:r>
      <w:r>
        <w:rPr>
          <w:rFonts w:ascii="Arial" w:cs="Arial" w:eastAsia="Arial" w:hAnsi="Arial"/>
          <w:sz w:val="18"/>
          <w:szCs w:val="18"/>
          <w:b w:val="1"/>
          <w:bCs w:val="1"/>
          <w:i w:val="1"/>
          <w:iCs w:val="1"/>
          <w:color w:val="auto"/>
        </w:rPr>
        <w:t>cs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Active Consumers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number of Monthly Active Consumers is a key indicator of the scale of our consumer base and a gauge for our marketing and engagement efforts. We believe that this metric reflects our scale, growth and engagement with consumers. The number of Monthly Active Consumers grew 29% in the three months ended September 30, 2020 to 4.9 million, compared to 3.8 million in the three months ended September 30,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Adjusted EBITDA and Adjusted EBITDA Margin are supplemental measures of our performance that are not required by, or presented in accordance with, U.S. GAAP. We define Adjusted EBITDA for a particular period as net income before interest, taxes, depreciation and amortization, and as further adjusted for acquisition related expenses, stock-based compensation expense, payroll tax expense related to stock-based compensation, loss on extinguishment of debt, financing related expenses and other expense (income), net. Adjusted EBITDA Margin represents Adjusted EBITDA as a percentage of revenue.</w:t>
      </w:r>
    </w:p>
    <w:p>
      <w:pPr>
        <w:spacing w:after="0" w:line="20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Adjusted EBITDA is a key measure we use to assess our financial performance and is also used for internal planning and forecasting purposes. We believe Adjusted EBITDA is helpful to investors, analysts and other interested parties because it can assist in providing a more consistent and comparable overview of our operations across our historical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8" w:name="page29"/>
    <w:bookmarkEnd w:id="28"/>
    <w:p>
      <w:pPr>
        <w:jc w:val="both"/>
        <w:ind w:right="20"/>
        <w:spacing w:after="0" w:line="246" w:lineRule="auto"/>
        <w:rPr>
          <w:sz w:val="20"/>
          <w:szCs w:val="20"/>
          <w:color w:val="auto"/>
        </w:rPr>
      </w:pPr>
      <w:r>
        <w:rPr>
          <w:rFonts w:ascii="Arial" w:cs="Arial" w:eastAsia="Arial" w:hAnsi="Arial"/>
          <w:sz w:val="18"/>
          <w:szCs w:val="18"/>
          <w:color w:val="auto"/>
        </w:rPr>
        <w:t>financial periods. In addition, this measure is frequently used by analysts, investors and other interested parties to evaluate and assess performance.</w:t>
      </w:r>
    </w:p>
    <w:p>
      <w:pPr>
        <w:spacing w:after="0" w:line="19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consolidated statement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205"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The following table presents a reconciliation of net income to Adjusted EBITDA, the most directly comparable financial measure calculated in accordance with GAAP.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20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FF0FC"/>
            </w:tcBorders>
          </w:tcPr>
          <w:p>
            <w:pPr>
              <w:spacing w:after="0"/>
              <w:rPr>
                <w:sz w:val="14"/>
                <w:szCs w:val="14"/>
                <w:color w:val="auto"/>
              </w:rPr>
            </w:pPr>
          </w:p>
        </w:tc>
      </w:tr>
      <w:tr>
        <w:trPr>
          <w:trHeight w:val="20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(50,032)</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19,619</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50,821</w:t>
            </w:r>
          </w:p>
        </w:tc>
        <w:tc>
          <w:tcPr>
            <w:tcW w:w="18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Adjusted to exclude the following:</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(140)</w:t>
            </w: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21,697</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39,452</w:t>
            </w:r>
          </w:p>
        </w:tc>
        <w:tc>
          <w:tcPr>
            <w:tcW w:w="180" w:type="dxa"/>
            <w:vAlign w:val="bottom"/>
          </w:tcPr>
          <w:p>
            <w:pPr>
              <w:spacing w:after="0"/>
              <w:rPr>
                <w:sz w:val="18"/>
                <w:szCs w:val="18"/>
                <w:color w:val="auto"/>
              </w:rPr>
            </w:pPr>
          </w:p>
        </w:tc>
      </w:tr>
      <w:tr>
        <w:trPr>
          <w:trHeight w:val="216"/>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(17,894)</w:t>
            </w: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(2,467)</w:t>
            </w: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14,219</w:t>
            </w:r>
          </w:p>
        </w:tc>
        <w:tc>
          <w:tcPr>
            <w:tcW w:w="180" w:type="dxa"/>
            <w:vAlign w:val="bottom"/>
            <w:shd w:val="clear" w:color="auto" w:fill="CFF0FC"/>
          </w:tcPr>
          <w:p>
            <w:pPr>
              <w:spacing w:after="0"/>
              <w:rPr>
                <w:sz w:val="18"/>
                <w:szCs w:val="18"/>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14,026</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9,355</w:t>
            </w:r>
          </w:p>
        </w:tc>
        <w:tc>
          <w:tcPr>
            <w:tcW w:w="180" w:type="dxa"/>
            <w:vAlign w:val="bottom"/>
          </w:tcPr>
          <w:p>
            <w:pPr>
              <w:spacing w:after="0"/>
              <w:rPr>
                <w:sz w:val="18"/>
                <w:szCs w:val="18"/>
                <w:color w:val="auto"/>
              </w:rPr>
            </w:pPr>
          </w:p>
        </w:tc>
      </w:tr>
      <w:tr>
        <w:trPr>
          <w:trHeight w:val="216"/>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5"/>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 expense related to stock-based</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42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compensation</w:t>
            </w: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323</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404</w:t>
            </w: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17"/>
                <w:szCs w:val="17"/>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Financing related expenses</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1,306</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r>
      <w:tr>
        <w:trPr>
          <w:trHeight w:val="216"/>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related expenses</w:t>
            </w:r>
            <w:r>
              <w:rPr>
                <w:rFonts w:ascii="Arial" w:cs="Arial" w:eastAsia="Arial" w:hAnsi="Arial"/>
                <w:sz w:val="15"/>
                <w:szCs w:val="15"/>
                <w:color w:val="auto"/>
              </w:rPr>
              <w:t>(2)</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80" w:type="dxa"/>
            <w:vAlign w:val="bottom"/>
            <w:shd w:val="clear" w:color="auto" w:fill="CFF0FC"/>
          </w:tcPr>
          <w:p>
            <w:pPr>
              <w:spacing w:after="0"/>
              <w:rPr>
                <w:sz w:val="18"/>
                <w:szCs w:val="18"/>
                <w:color w:val="auto"/>
              </w:rPr>
            </w:pPr>
          </w:p>
        </w:tc>
      </w:tr>
      <w:tr>
        <w:trPr>
          <w:trHeight w:val="216"/>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 based compensation</w:t>
            </w:r>
            <w:r>
              <w:rPr>
                <w:rFonts w:ascii="Arial" w:cs="Arial" w:eastAsia="Arial" w:hAnsi="Arial"/>
                <w:sz w:val="15"/>
                <w:szCs w:val="15"/>
                <w:color w:val="auto"/>
              </w:rPr>
              <w:t>(3)</w:t>
            </w:r>
          </w:p>
        </w:tc>
        <w:tc>
          <w:tcPr>
            <w:tcW w:w="5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106,873</w:t>
            </w:r>
          </w:p>
        </w:tc>
        <w:tc>
          <w:tcPr>
            <w:tcW w:w="3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111,204</w:t>
            </w:r>
          </w:p>
        </w:tc>
        <w:tc>
          <w:tcPr>
            <w:tcW w:w="3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80" w:type="dxa"/>
            <w:vAlign w:val="bottom"/>
            <w:tcBorders>
              <w:bottom w:val="single" w:sz="8" w:color="CFF0FC"/>
            </w:tcBorders>
          </w:tcPr>
          <w:p>
            <w:pPr>
              <w:spacing w:after="0"/>
              <w:rPr>
                <w:sz w:val="18"/>
                <w:szCs w:val="18"/>
                <w:color w:val="auto"/>
              </w:rPr>
            </w:pPr>
          </w:p>
        </w:tc>
      </w:tr>
      <w:tr>
        <w:trPr>
          <w:trHeight w:val="210"/>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5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53,152</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43,184</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154,385</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117,843</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Adjusted EBITDA Margin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4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5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1912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Financing related expenses include third party fees related to proposed financings.</w:t>
      </w:r>
    </w:p>
    <w:p>
      <w:pPr>
        <w:ind w:left="500" w:hanging="492"/>
        <w:spacing w:after="0" w:line="23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related expenses include third party fees for actual or planned acquisitions, including related legal, consulting and other expenditures, retention bonuses to employees related to acquisitions, and change in fair value of contingent consideration.</w:t>
      </w:r>
    </w:p>
    <w:p>
      <w:pPr>
        <w:spacing w:after="0" w:line="1" w:lineRule="exact"/>
        <w:rPr>
          <w:rFonts w:ascii="Arial" w:cs="Arial" w:eastAsia="Arial" w:hAnsi="Arial"/>
          <w:sz w:val="18"/>
          <w:szCs w:val="18"/>
          <w:color w:val="auto"/>
        </w:rPr>
      </w:pPr>
    </w:p>
    <w:p>
      <w:pPr>
        <w:ind w:left="500" w:hanging="492"/>
        <w:spacing w:after="0" w:line="246"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Non-cash expenses related to equity-based compensation programs, which vary from period to period depending on various factors including the timing, number and the valuation of awards.</w:t>
      </w:r>
    </w:p>
    <w:p>
      <w:pPr>
        <w:spacing w:after="0" w:line="19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Adjusted EBITDA grew 23% in the three months ended September 30, 2020 to $53.2 million, compared to $43.2 million in the three months ended 2019 as our business continued to grow. Adjusted EBITDA margin decreased from 42.4% to 37.8% due to an increase in cost of revenue relative to revenue due primarily to growth of our telehealth offering, continued investments in product development and technology, as well as investments in our general and administrative infrastructure as we prepared for our IPO and to operate as a public company.</w:t>
      </w:r>
    </w:p>
    <w:p>
      <w:pPr>
        <w:spacing w:after="0" w:line="20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We expect our Adjusted EBITDA and Adjusted EBITDA Margin to fluctuate on a quarterly basis primarily based on the level of our investments in sales and marketing and product development and technology relative to changes in revenue.</w:t>
      </w:r>
    </w:p>
    <w:p>
      <w:pPr>
        <w:spacing w:after="0" w:line="19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generally expect to continue to invest in sales and marketing in the near-term, but will continue to evaluate the impact of COVID-19 on our business and actively manage our sales and marketing spend, including investment in consumer acquisition, which is largely variable, as market conditions change. We also intend to continue to invest in product development and technology to continue to improve our platform, introduce new offerings and scale existing ones. Additionally, we expect to continue to invest in our general and administrative infrastructure to support our operation as a public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9" w:name="page30"/>
    <w:bookmarkEnd w:id="29"/>
    <w:p>
      <w:pPr>
        <w:ind w:right="3000"/>
        <w:spacing w:after="0" w:line="396" w:lineRule="auto"/>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 Revenue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4"/>
          </w:tcPr>
          <w:p>
            <w:pPr>
              <w:jc w:val="center"/>
              <w:ind w:right="237"/>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Prescription transactions revenue</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124,385</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95,795</w:t>
            </w:r>
          </w:p>
        </w:tc>
        <w:tc>
          <w:tcPr>
            <w:tcW w:w="10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revenue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16,068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5,950</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10,118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r>
      <w:tr>
        <w:trPr>
          <w:trHeight w:val="20"/>
        </w:trPr>
        <w:tc>
          <w:tcPr>
            <w:tcW w:w="37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140,453</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101,745</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Prescription transactions revenue for the three months ended September 30, 2020 increased $28.6 million, or 30%, compared to the three months ended September 30, 2019, driven primarily by a 29% increase in the number of our Monthly Active Consumers. We believe prescription transactions revenue continues to be impacted by COVID-19, as many consumers continue to avoid physician visits.</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Other revenue for the three months ended September 30, 2020 increased $10.1 million, or 170%, compared to the three months ended September 30, 2019. This increase was primarily due to an increase in subscription revenue as a result of an increase in the number of subscribers in the three months ended September 30, 2020 compared to the three months ended September 30, 2019, an increase in revenue from our pharmaceutical manufacturers offering, and an increase in telehealth revenue driven by HeyDoctor and the launch of the GoodRx Telehealth Marketplace in March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48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81"/>
              <w:spacing w:after="0" w:line="203" w:lineRule="exact"/>
              <w:rPr>
                <w:sz w:val="20"/>
                <w:szCs w:val="20"/>
                <w:color w:val="auto"/>
              </w:rPr>
            </w:pPr>
            <w:r>
              <w:rPr>
                <w:rFonts w:ascii="Arial" w:cs="Arial" w:eastAsia="Arial" w:hAnsi="Arial"/>
                <w:sz w:val="18"/>
                <w:szCs w:val="18"/>
                <w:color w:val="auto"/>
              </w:rPr>
              <w:t>7,540</w:t>
            </w:r>
          </w:p>
        </w:tc>
        <w:tc>
          <w:tcPr>
            <w:tcW w:w="480" w:type="dxa"/>
            <w:vAlign w:val="bottom"/>
            <w:shd w:val="clear" w:color="auto" w:fill="CFF0FC"/>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3,396</w:t>
            </w:r>
          </w:p>
        </w:tc>
        <w:tc>
          <w:tcPr>
            <w:tcW w:w="3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2"/>
              <w:spacing w:after="0" w:line="203" w:lineRule="exact"/>
              <w:rPr>
                <w:sz w:val="20"/>
                <w:szCs w:val="20"/>
                <w:color w:val="auto"/>
              </w:rPr>
            </w:pPr>
            <w:r>
              <w:rPr>
                <w:rFonts w:ascii="Arial" w:cs="Arial" w:eastAsia="Arial" w:hAnsi="Arial"/>
                <w:sz w:val="18"/>
                <w:szCs w:val="18"/>
                <w:color w:val="auto"/>
              </w:rPr>
              <w:t>4,144</w:t>
            </w:r>
          </w:p>
        </w:tc>
        <w:tc>
          <w:tcPr>
            <w:tcW w:w="114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122%</w:t>
            </w:r>
          </w:p>
        </w:tc>
      </w:t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50"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Cost of revenue for the three months ended September 30, 2020 increased $4.1 million, or 122%, compared to the three months ended September 30, 2019. This increase was primarily due to a $2.1 million increase in provider cost related to our telehealth offerings driven by an increase in the number of online provider visits, a $1.0 million increase in outsourced and in-house personnel related consumer support expense to support our growth, and other increases in hosting and cloud expenses, merchant fees, and allocated overhead.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and technology</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15,846</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rPr>
              <w:t>8,002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6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Product development and technology expenses for the three months ended September 30, 2020 increased by $8.0 million, or 102%, compared to the three months ended September 30, 2019. This increase was primarily due to increases in product development related personnel expenses of $6.4 million due to higher headcount and an increase in stock-based compensation related to awards made in connection with our IPO. The increase in product development and technology expense was also due to an increase in third-party services and contractor expenses related to product development of $1.1 million, and an increase in allocated overhead of $0.5 million to support our product development efforts.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Sales and marketing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3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65,113</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44,950</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rPr>
              <w:t>20,163</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r>
        <w:trPr>
          <w:trHeight w:val="235"/>
        </w:trPr>
        <w:tc>
          <w:tcPr>
            <w:tcW w:w="37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6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Sales and marketing expenses for the three months ended September 30, 2020 increased by $20.2 million, or 45%, compared to the three months ended September 30, 2019. This increase was primarily due to a $13.3 million increase in advertising expenses and a $5.6 million increase in sales and marketing related personnel expenses due to higher headcount and an increase in stock-based compensation related to awards made in connection with our IPO.</w:t>
      </w:r>
    </w:p>
    <w:p>
      <w:pPr>
        <w:spacing w:after="0" w:line="20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We continue to evaluate the impact of COVID-19 on our business and actively manage our consumer acquisition spending according to market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3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r>
      <w:tr>
        <w:trPr>
          <w:trHeight w:val="169"/>
        </w:trPr>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242"/>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169"/>
        </w:trPr>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108,479</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w:t>
            </w: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rPr>
              <w:t>104,377</w:t>
            </w:r>
          </w:p>
        </w:tc>
        <w:tc>
          <w:tcPr>
            <w:tcW w:w="104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r>
      <w:tr>
        <w:trPr>
          <w:trHeight w:val="235"/>
        </w:trPr>
        <w:tc>
          <w:tcPr>
            <w:tcW w:w="372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meaningful</w:t>
      </w:r>
    </w:p>
    <w:p>
      <w:pPr>
        <w:spacing w:after="0" w:line="23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General and administrative expenses for the three months ended September 30, 2020 increased by $104.4 million compared to the three months ended September 30, 2019. This increase was primarily due to $98.1 million of stock-based compensation related to the Co-Chief Executive Officers award made in connection with the IPO, as further described in note 9 of our condensed consolidated financial statements. The increase in general and administrative expense was also due to a $3.2 million increase in other executive and administative related personnel expenses due to higher headcount and an increase in stock-based compensation expense related to awards made in connection with our IPO, and a $2.3 million increase in professional and other fees to support our growth and preparation for our initial public offering.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3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5,160</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rPr>
              <w:t>1,551</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r>
      <w:tr>
        <w:trPr>
          <w:trHeight w:val="235"/>
        </w:trPr>
        <w:tc>
          <w:tcPr>
            <w:tcW w:w="37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50"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Depreciation and amortization expenses for the three months ended September 30, 2020 increased by $1.6 million, or 43%, compared to the three months ended September 30, 2019. This increase was due primarily to a $0.7 million increase in intangible assets amortization as a result of intangible asset additions from our 2019 and 2020 acquisitions, and a $ 0.7 million increase in capitalized software amortization due to higher capitalized costs for platform improvements and the introduction of new products and features.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6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47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402"/>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r>
      <w:tr>
        <w:trPr>
          <w:trHeight w:val="169"/>
        </w:trPr>
        <w:tc>
          <w:tcPr>
            <w:tcW w:w="4760" w:type="dxa"/>
            <w:vAlign w:val="bottom"/>
          </w:tcPr>
          <w:p>
            <w:pPr>
              <w:spacing w:after="0"/>
              <w:rPr>
                <w:sz w:val="14"/>
                <w:szCs w:val="1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22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69"/>
        </w:trPr>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(24)</w:t>
            </w:r>
          </w:p>
        </w:tc>
        <w:tc>
          <w:tcPr>
            <w:tcW w:w="980" w:type="dxa"/>
            <w:vAlign w:val="bottom"/>
            <w:shd w:val="clear" w:color="auto" w:fill="CFF0FC"/>
          </w:tcPr>
          <w:p>
            <w:pPr>
              <w:jc w:val="right"/>
              <w:ind w:right="7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(271)</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rPr>
              <w:t>247</w:t>
            </w:r>
          </w:p>
        </w:tc>
        <w:tc>
          <w:tcPr>
            <w:tcW w:w="102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r>
      <w:tr>
        <w:trPr>
          <w:trHeight w:val="235"/>
        </w:trPr>
        <w:tc>
          <w:tcPr>
            <w:tcW w:w="476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meaningful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510"/>
        <w:spacing w:after="0" w:line="246" w:lineRule="auto"/>
        <w:rPr>
          <w:sz w:val="20"/>
          <w:szCs w:val="20"/>
          <w:color w:val="auto"/>
        </w:rPr>
      </w:pPr>
      <w:r>
        <w:rPr>
          <w:rFonts w:ascii="Arial" w:cs="Arial" w:eastAsia="Arial" w:hAnsi="Arial"/>
          <w:sz w:val="18"/>
          <w:szCs w:val="18"/>
          <w:color w:val="auto"/>
        </w:rPr>
        <w:t>The decrease in interest income was primarily due to higher interest rates during the three months ended September 30, 2019, compared to the three months ended September 30,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4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4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6,264</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12,773</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(6,509)</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r>
      <w:tr>
        <w:trPr>
          <w:trHeight w:val="235"/>
        </w:trPr>
        <w:tc>
          <w:tcPr>
            <w:tcW w:w="476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6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Interest expense for the three months ended September 30, 2020 decreased by $6.5 million, or 51%, compared to the three months ended September 30, 2019 primarily due to the November 2019 amendment to increase the amount of the First Lien Term Loan Facility in order to repay all amounts outstanding under the Second Lien Term Loan Facility, which bore interest at a higher rate than the First Lien Term Loan Facility, as further described below, and as a result of lower interest rates.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3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r>
      <w:tr>
        <w:trPr>
          <w:trHeight w:val="169"/>
        </w:trPr>
        <w:tc>
          <w:tcPr>
            <w:tcW w:w="3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242"/>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169"/>
        </w:trPr>
        <w:tc>
          <w:tcPr>
            <w:tcW w:w="3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17,894</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(5,727)</w:t>
            </w:r>
          </w:p>
        </w:tc>
        <w:tc>
          <w:tcPr>
            <w:tcW w:w="70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rPr>
              <w:t>23,621</w:t>
            </w:r>
          </w:p>
        </w:tc>
        <w:tc>
          <w:tcPr>
            <w:tcW w:w="104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r>
      <w:tr>
        <w:trPr>
          <w:trHeight w:val="235"/>
        </w:trPr>
        <w:tc>
          <w:tcPr>
            <w:tcW w:w="3580" w:type="dxa"/>
            <w:vAlign w:val="bottom"/>
          </w:tcPr>
          <w:p>
            <w:pPr>
              <w:spacing w:after="0"/>
              <w:rPr>
                <w:sz w:val="20"/>
                <w:szCs w:val="20"/>
                <w:color w:val="auto"/>
              </w:rPr>
            </w:pPr>
            <w:r>
              <w:rPr>
                <w:rFonts w:ascii="Arial" w:cs="Arial" w:eastAsia="Arial" w:hAnsi="Arial"/>
                <w:sz w:val="18"/>
                <w:szCs w:val="18"/>
                <w:i w:val="1"/>
                <w:iCs w:val="1"/>
                <w:color w:val="auto"/>
              </w:rPr>
              <w:t>Income tax effective rate</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meaningful</w:t>
      </w:r>
    </w:p>
    <w:p>
      <w:pPr>
        <w:spacing w:after="0" w:line="25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For the three months ended September 30, 2020, we had an income tax benefit of $17.9 million, compared to income tax expense of $5.7 million for the three months ended September 30, 2019. This difference was due primarily to a decrease in pre-tax income primarily due to $98.1 million of stock-based compensation related to the Founders Awards made in connection with the IPO, the tax effects of nondeductible officers’ compensation, and excess tax benefits related to the exercise of stock options.</w:t>
      </w:r>
    </w:p>
    <w:p>
      <w:pPr>
        <w:spacing w:after="0" w:line="291" w:lineRule="exact"/>
        <w:rPr>
          <w:sz w:val="20"/>
          <w:szCs w:val="20"/>
          <w:color w:val="auto"/>
        </w:rPr>
      </w:pPr>
    </w:p>
    <w:p>
      <w:pPr>
        <w:ind w:right="3200"/>
        <w:spacing w:after="0" w:line="396" w:lineRule="auto"/>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 Revenue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4"/>
          </w:tcPr>
          <w:p>
            <w:pPr>
              <w:jc w:val="right"/>
              <w:ind w:right="737"/>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Prescription transactions revenue</w:t>
            </w: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356,950</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260,114</w:t>
            </w:r>
          </w:p>
        </w:tc>
        <w:tc>
          <w:tcPr>
            <w:tcW w:w="8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96,836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revenue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40,206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14,854</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25,352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r>
      <w:tr>
        <w:trPr>
          <w:trHeight w:val="20"/>
        </w:trPr>
        <w:tc>
          <w:tcPr>
            <w:tcW w:w="37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397,156</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274,968</w:t>
            </w:r>
          </w:p>
        </w:tc>
        <w:tc>
          <w:tcPr>
            <w:tcW w:w="8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122,188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Prescription transactions revenue for the nine months ended September 30, 2020 increased $96.8 million, or 37%, compared to the nine months ended September 30, 2019, driven primarily by a 35% increase in the number of our Monthly Active Consumers. Prescription transactions revenue was negatively impacted in the nine months ended September 30, 2020 due to the impact of COVID-19, as many consumers avoided visiting healthcare professionals and pharmacies in-person in the second and third quarters of 2020.</w:t>
      </w:r>
    </w:p>
    <w:p>
      <w:pPr>
        <w:spacing w:after="0" w:line="20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Other revenue for the nine months ended September 30, 2020 increased $25.4 million, or 171%, compared to the nine months ended September 30, 2019. This increase was primarily due to an increase in subscription revenue as a result of an increase in the number of subscribers in the nine months ended September 30, 2020 compared to the nine months ended September 30, 2019, an increase in revenue from our pharmaceutical manufacturers offering, and an increase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2" w:name="page33"/>
    <w:bookmarkEnd w:id="32"/>
    <w:p>
      <w:pPr>
        <w:jc w:val="both"/>
        <w:spacing w:after="0" w:line="246" w:lineRule="auto"/>
        <w:rPr>
          <w:sz w:val="20"/>
          <w:szCs w:val="20"/>
          <w:color w:val="auto"/>
        </w:rPr>
      </w:pPr>
      <w:r>
        <w:rPr>
          <w:rFonts w:ascii="Arial" w:cs="Arial" w:eastAsia="Arial" w:hAnsi="Arial"/>
          <w:sz w:val="18"/>
          <w:szCs w:val="18"/>
          <w:color w:val="auto"/>
        </w:rPr>
        <w:t>telehealth revenue following the acquisition of HeyDoctor in the second quarter of 2019 and the launch of the GoodRx Telehealth Marketplace in March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40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and amortization</w:t>
            </w:r>
          </w:p>
        </w:tc>
        <w:tc>
          <w:tcPr>
            <w:tcW w:w="102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81"/>
              <w:spacing w:after="0" w:line="203" w:lineRule="exact"/>
              <w:rPr>
                <w:sz w:val="20"/>
                <w:szCs w:val="20"/>
                <w:color w:val="auto"/>
              </w:rPr>
            </w:pPr>
            <w:r>
              <w:rPr>
                <w:rFonts w:ascii="Arial" w:cs="Arial" w:eastAsia="Arial" w:hAnsi="Arial"/>
                <w:sz w:val="18"/>
                <w:szCs w:val="18"/>
                <w:color w:val="auto"/>
              </w:rPr>
              <w:t>20,383</w:t>
            </w:r>
          </w:p>
        </w:tc>
        <w:tc>
          <w:tcPr>
            <w:tcW w:w="580" w:type="dxa"/>
            <w:vAlign w:val="bottom"/>
            <w:shd w:val="clear" w:color="auto" w:fill="CFF0FC"/>
          </w:tcPr>
          <w:p>
            <w:pPr>
              <w:jc w:val="right"/>
              <w:ind w:right="31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9,420</w:t>
            </w:r>
          </w:p>
        </w:tc>
        <w:tc>
          <w:tcPr>
            <w:tcW w:w="3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2"/>
              <w:spacing w:after="0" w:line="203" w:lineRule="exact"/>
              <w:rPr>
                <w:sz w:val="20"/>
                <w:szCs w:val="20"/>
                <w:color w:val="auto"/>
              </w:rPr>
            </w:pPr>
            <w:r>
              <w:rPr>
                <w:rFonts w:ascii="Arial" w:cs="Arial" w:eastAsia="Arial" w:hAnsi="Arial"/>
                <w:sz w:val="18"/>
                <w:szCs w:val="18"/>
                <w:color w:val="auto"/>
              </w:rPr>
              <w:t>10,963</w:t>
            </w:r>
          </w:p>
        </w:tc>
        <w:tc>
          <w:tcPr>
            <w:tcW w:w="114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116%</w:t>
            </w:r>
          </w:p>
        </w:tc>
      </w:tr>
      <w:tr>
        <w:trPr>
          <w:trHeight w:val="235"/>
        </w:trPr>
        <w:tc>
          <w:tcPr>
            <w:tcW w:w="408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6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Cost of revenue for the nine months ended September 30, 2020 increased $11.0 million, or 116%, compared to the nine months ended September 30, 2019. This increase was primarily due to a $4.9 million increase in provider cost related to our telehealth offerings following the acquisition of HeyDoctor in 2019, a $2.5 million increase in outsourced and in-house personnel related consumer support expense to support our growth, a $0.9 million increase in merchant fees, a $0.8 million increase in hosting and cloud expense, and other increases in processing fees and allocated overhead.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3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3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3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and technology</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38,133</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19,480</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rPr>
              <w:t>18,653</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r>
      <w:tr>
        <w:trPr>
          <w:trHeight w:val="235"/>
        </w:trPr>
        <w:tc>
          <w:tcPr>
            <w:tcW w:w="388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5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Product development and technology expenses for the nine months ended September 30, 2020 increased by $18.7 million, or 96%, compared to the nine months ended September 30, 2019. This increase was primarily due to increases in product development related personnel expenses of $13.9 million due to higher headcount and an increase in stock-based compensation related to awards made in connection with our IPO. The increase in product development and technology expense was also due to an increase in third-party services and contractor expenses related to product development of $2.5 million, and an increase in allocated overhead of $2.3 million to support our product development efforts.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180,195</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122,639</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rPr>
              <w:t>57,556</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35"/>
        </w:trPr>
        <w:tc>
          <w:tcPr>
            <w:tcW w:w="478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32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3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Sales and marketing expenses for the nine months ended September 30, 2020 increased by $57.6 million, or 47%, compared to the nine months ended September 30, 2019. This increase was primarily due to a $ 45.3 million increase in advertising expenses and a $9.3 million increase in sales and marketing related personnel expenses due to higher headcount and an increase in stock-based compensation related to awards made in connection with our IPO.</w:t>
      </w:r>
    </w:p>
    <w:p>
      <w:pPr>
        <w:spacing w:after="0" w:line="20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After reducing advertising spend in certain channels in the second quarter of 2020 due to the impact of COVID-19 as many consumers avoided visiting healthcare professionals and pharmacies in-person, we increased our advertising spend in the third quarter of 2020 as more consumers resumed their interaction with the healthcare system, which increased our sales and marketing expense. We will continue to evaluate the impact of COVID-19 on our business and actively manage our consumer acquisition spending according to market conditions.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General and administrative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3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r>
      <w:tr>
        <w:trPr>
          <w:trHeight w:val="169"/>
        </w:trPr>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242"/>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169"/>
        </w:trPr>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120,698</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10,165</w:t>
            </w: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rPr>
              <w:t>110,533</w:t>
            </w:r>
          </w:p>
        </w:tc>
        <w:tc>
          <w:tcPr>
            <w:tcW w:w="104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r>
      <w:tr>
        <w:trPr>
          <w:trHeight w:val="235"/>
        </w:trPr>
        <w:tc>
          <w:tcPr>
            <w:tcW w:w="372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meaningful</w:t>
      </w:r>
    </w:p>
    <w:p>
      <w:pPr>
        <w:spacing w:after="0" w:line="25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General and administrative expenses for the nine months ended September 30, 2020 increased by $110.5 million compared to the nine months ended September 30, 2019. This increase was primarily due to $98.1 million of stock-based compensation related to the Founders Awards made in connection with the IPO, as further described in note 9 of our condensed consolidated financial statements. The increase in general and administrative expense was also due a $6.9 million increase in professional and other fees to support our growth and preparation for our initial public offering, and a $6.0 million increase in other executive and administative related personnel expenses due to higher headcount and an increase in stock-based compensation expense including awards made in connection with our IPO.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3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14,026</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rPr>
              <w:t>4,671</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r>
      <w:tr>
        <w:trPr>
          <w:trHeight w:val="235"/>
        </w:trPr>
        <w:tc>
          <w:tcPr>
            <w:tcW w:w="37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6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Depreciation and amortization expenses for the nine months ended September 30, 2020 increased by $4.7 million, or 50%, compared to the nine months ended September 30, 2019. This increase was due primarily to a $2.6 million increase in intangible assets amortization as a result of intangible asset additions from our 2019 and 2020 acquisitions, and a $1.7 million increase in capitalized software amortization due to higher capitalized costs for platform improvements and the introduction of new products and features.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left="461"/>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4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r>
      <w:tr>
        <w:trPr>
          <w:trHeight w:val="169"/>
        </w:trPr>
        <w:tc>
          <w:tcPr>
            <w:tcW w:w="4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22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69"/>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(140)</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(580)</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rPr>
              <w:t>440</w:t>
            </w:r>
          </w:p>
        </w:tc>
        <w:tc>
          <w:tcPr>
            <w:tcW w:w="102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r>
      <w:tr>
        <w:trPr>
          <w:trHeight w:val="235"/>
        </w:trPr>
        <w:tc>
          <w:tcPr>
            <w:tcW w:w="476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meaningful</w:t>
      </w:r>
    </w:p>
    <w:p>
      <w:pPr>
        <w:spacing w:after="0" w:line="25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decrease in interest income was primarily due to higher interest rates during the nine months ended September 30, 2019, compared to the nine months ended September 30,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4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4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21,697</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39,452</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(17,755)</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r>
        <w:trPr>
          <w:trHeight w:val="235"/>
        </w:trPr>
        <w:tc>
          <w:tcPr>
            <w:tcW w:w="476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64"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Interest expense for the nine months ended September 30, 2020 decreased by $17.8 million, or 45%, compared to the nine months ended September 30, 2019 primarily due to the November 2019 amendment to increase the amount of the First Lien Term Loan Facility in order to repay all amounts outstanding under the Second Lien Term Loan Facility, which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bore interest at a higher rate than the First Lien Term Loan Facility, as further described below, and as a result of lower interest rates.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4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r>
      <w:tr>
        <w:trPr>
          <w:trHeight w:val="169"/>
        </w:trPr>
        <w:tc>
          <w:tcPr>
            <w:tcW w:w="4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222"/>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69"/>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221"/>
              <w:spacing w:after="0"/>
              <w:rPr>
                <w:sz w:val="20"/>
                <w:szCs w:val="20"/>
                <w:color w:val="auto"/>
              </w:rPr>
            </w:pPr>
            <w:r>
              <w:rPr>
                <w:rFonts w:ascii="Arial" w:cs="Arial" w:eastAsia="Arial" w:hAnsi="Arial"/>
                <w:sz w:val="18"/>
                <w:szCs w:val="18"/>
                <w:color w:val="auto"/>
              </w:rPr>
              <w:t>2,467</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(14,219)</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rPr>
              <w:t>16,686</w:t>
            </w:r>
          </w:p>
        </w:tc>
        <w:tc>
          <w:tcPr>
            <w:tcW w:w="104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r>
      <w:tr>
        <w:trPr>
          <w:trHeight w:val="235"/>
        </w:trPr>
        <w:tc>
          <w:tcPr>
            <w:tcW w:w="4780" w:type="dxa"/>
            <w:vAlign w:val="bottom"/>
          </w:tcPr>
          <w:p>
            <w:pPr>
              <w:spacing w:after="0"/>
              <w:rPr>
                <w:sz w:val="20"/>
                <w:szCs w:val="20"/>
                <w:color w:val="auto"/>
              </w:rPr>
            </w:pPr>
            <w:r>
              <w:rPr>
                <w:rFonts w:ascii="Arial" w:cs="Arial" w:eastAsia="Arial" w:hAnsi="Arial"/>
                <w:sz w:val="18"/>
                <w:szCs w:val="18"/>
                <w:i w:val="1"/>
                <w:iCs w:val="1"/>
                <w:color w:val="auto"/>
              </w:rPr>
              <w:t>Income tax effective rate</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8"/>
                <w:szCs w:val="18"/>
                <w:color w:val="auto"/>
              </w:rPr>
              <w:t>(113%)</w:t>
            </w:r>
          </w:p>
        </w:tc>
        <w:tc>
          <w:tcPr>
            <w:tcW w:w="5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meaningful</w:t>
      </w:r>
    </w:p>
    <w:p>
      <w:pPr>
        <w:spacing w:after="0" w:line="230"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For the nine months ended September 30, 2020, we had a income tax benefit of $ 2.5 million compared to income tax expense of $14.2 million for nine months ended September 30, 2019. This difference was due primarily to a decrease in pre-tax income primarily due to $98.1 million of stock-based compensation related to the Founders Awards made in connection with the IPO, the tax effects of nondeductible officers’ compensation, and excess tax benefits related to the exercise of stock options.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 -term debt arrangements. Our primary requirements for liquidity and capital are to finance working capital, capital expenditures and general corporate purposes. Our principal sources of liquidity are expected to be our cash and cash equivalents and borrowings available under our Revolving Credit Facility (as defined below). As of September 30, 2020 we had cash and cash equivalents of $1.1 billion and $62.9 million available under the Revolving Credit Facility. In October 2020, we repaid the $28.0 million previously drawn under the Revolving Credit Facility.</w:t>
      </w:r>
    </w:p>
    <w:p>
      <w:pPr>
        <w:spacing w:after="0" w:line="20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believe that our net cash provided by operating activities, cash on hand and availability under the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and many other factors as described in Part II, Item 1A, “Risk Factors.”</w:t>
      </w:r>
    </w:p>
    <w:p>
      <w:pPr>
        <w:spacing w:after="0" w:line="20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light of the large number of RSUs subject to the Founders Awards that were granted in connection with our IPO in September 2020, we have incurred and anticipate that we will incur substantial additional stock-based compensation expense and expend substantial funds to satisfy tax withholding and remittance obligations as these RSUs vest over time. The grant date fair value of the Founders Awards was $533.3 million, of which $98.1 million was recognized during the three months ended September 30, 2020. Given the Company’s stock price for the post IPO period, all of the stock price goals with respect to the performance vesting portion of the Founders Awards (the “Performance-Vesting Founders Awards”) (see note 9 of our condensed consolidated financial statements) were achieved in October 2020. As a result, all 16,422,044 Performance-Vesting Founders Awards vested, resulting in recognition of approximately $ 232.1 million of stock-based compensation expense for the fourth quarter of 2020. The unrecognized compensation expense associated with the time vesting portion of the Founders Awards of $203.1 million as of September 30, 2020 is expected to be recognized over the remaining service period of 2.1 years, with $43.0 million expected to be recognized in the fourth quarter of 2020, bringing the total expense related to the Founders Awards in the fourth quarter to approximately $275.1 million. In addition, as a result of the Founders Awards, and the Performance-Vesting Founders Awards in particular, a large number of shares of Class B common stock will be issued on the applicable settlement dates. On the settlement dates for the RSUs, we plan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5" w:name="page36"/>
    <w:bookmarkEnd w:id="35"/>
    <w:p>
      <w:pPr>
        <w:jc w:val="both"/>
        <w:spacing w:after="0" w:line="238" w:lineRule="auto"/>
        <w:rPr>
          <w:sz w:val="20"/>
          <w:szCs w:val="20"/>
          <w:color w:val="auto"/>
        </w:rPr>
      </w:pPr>
      <w:r>
        <w:rPr>
          <w:rFonts w:ascii="Arial" w:cs="Arial" w:eastAsia="Arial" w:hAnsi="Arial"/>
          <w:sz w:val="18"/>
          <w:szCs w:val="18"/>
          <w:color w:val="auto"/>
        </w:rPr>
        <w:t>withhold shares and remit taxes on behalf of the holders of such Founders Awards at applicable statutory rates, which we refer to as net settlement, which may result in substantial tax withholding obligations. The amount of tax withholding obligations will depend on the price of our Class A common stock, the actual number of RSUs for which the vesting conditions are satisfied over time and the applicable tax withholding rates then in effect. Notwithstanding the vesting in October 2020 of all of the Performance-Vesting Founders Awards, the associated shares will not be issued until three years from the vesting date or, if earlier, a change in control event, as defined.</w:t>
      </w:r>
    </w:p>
    <w:p>
      <w:pPr>
        <w:spacing w:after="0" w:line="20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Assuming an approximate 50% tax withholding rate and stock price of $55.00 per share at vesting and settlement, for the 16.4 million Performance-Vesting Founders Award shares that vested as described in the preceding paragraph, we estimate that our cash obligation on behalf of our Co-Founders to the relevant tax authorities to satisfy tax withholding obligations would be approximately $447.8 million, and we would deliver an aggregate of approximately 8.2 million shares of our Class B common stock to net settle these awards, after withholding an aggregate of approximately 8.2 million shares of our Class B common stock. Cash payments for income tax withholdings are due upon the settlement date of the RSUs which is the third anniversary of the applicable vesting date or, if earlier, upon a qualifying change in control event. The actual amount of the tax obligations and the number of shares to be delivered could be higher or lower, depending on the price of our Class A common stock upon settlement and the applicable tax withholding rates then in effect.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October 2018, GoodRx, Inc., our wholly owned subsidiary, as borrower, and GoodRx Intermediate Holdings, LLC, entered into a first lien credit agreement with various lenders (the “First Lien Credit Agreement”). The First Lien Credit Agreement provided for a $40.0 million secured asset-based revolving credit facility, or the Revolving Credit Facility, and a $545.0 million senior secured term loan facility (the "First Lien Term Loan Facility” and, together with the Revolving Credit Facility, the “Credit Facilities”). In November 2019, the First Lien Term Loan Facility was amended to increase the amount of the facility to $700.0 million. Additionally, in May 2020, the Revolving Credit Facility was amended to increase the amount of the facility to $100.0 million.</w:t>
      </w:r>
    </w:p>
    <w:p>
      <w:pPr>
        <w:spacing w:after="0" w:line="20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Revolving Credit Facility and the First Lien Term Loan Facility under the First Lien Credit Agreement are collateralized by substantially all of our assets, including our intellectual property, and 100% of the equity interest of GoodRx, Inc.</w:t>
      </w:r>
    </w:p>
    <w:p>
      <w:pPr>
        <w:spacing w:after="0" w:line="19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First Lien Credit Agreement that governs the Revolving Credit Facility and the First Lien Term Loan Facility contains certain affirmative and negative covenants, including, among other things, restrictions on indebtedness, liens, fundamental changes, repurchases of stock, dividends and other distributions. GoodRx, Inc. is restricted from making dividend payments, loans or advances to GoodRx Intermediate Holdings, LLC and GoodRx Holdings, Inc. In addition, GoodRx, Inc. is subject to a financial covenant whereby GoodRx, Inc. is required to maintain a First Lien Net Leverage Ratio (as defined in the First Lien Credit Agreement) not to exceed 8.2 to 1.0. At September 30, 2020, we were in compliance with the covenants under the First Lien Credit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2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Loans under the Revolving Credit Facility bear interest at a rate per annum equal to the LIBO Screen Rate (as defined in the First Lien Credit Agreement) plus a variable margin rate, which is based on our most recently determined First Lien Net Leverage Ratio (as defined in the First Lien Credit Agreement), that ranges from 2.50% to 3.00%. The Revolving Credit Facility has a variable commitment fee, which is based on the Company’s most recently determined First Lien Net Leverage Ratio (as defined in the First Lien Credit Agreement), and ranges from 0.25% to 0.50% per annum. In addition, the Revolving Credit Facility has a fixed fronting fee of 0.125% per annum of our aggregate undrawn and disbursed but unreimbursed letters of credit. The Revolving Credit Facility expires on October 11, 2024. As of September 30, 2020, the outstanding principal balance under the Revolving Credit Facility was $28 million, which we repaid in October 2020.</w:t>
      </w:r>
    </w:p>
    <w:p>
      <w:pPr>
        <w:spacing w:after="0" w:line="20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Under the terms of a lease agreement entered into during September 2019, GoodRx, Inc. assigned to the landlord drawdown rights against the Revolving Credit Facility for up to $9.0 million to meet the contractual line of credit requirement in the lease agreement. The landlord can draw on the Revolving Credit Facility in the event of the Company’s default on rent or damages to the building. The assigned rights to the landlord will be held for the initial three years of the lease term, and subject to certain conditions, the letter of credit will decrease thereafter by up to 10% per year based upon the original amount to no less than $2 million. This outstanding letter of credit to the landlord reduces our available borrowings under the Revolving Credit Facility by an amount equal to the value of assigned rights.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First Lien Term Loan Facility</w:t>
      </w:r>
    </w:p>
    <w:p>
      <w:pPr>
        <w:spacing w:after="0" w:line="12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First Lien Term Loan Facility accrues interest at a rate per annum equal to the LIBO Screen Rate (as defined in the First Lien Credit Agreement) plus a variable margin rate, which is based on the Company’s most recently determined Net Leverage Ratio (as defined in the First Lien Credit Agreement), that ranges from 2.75% to 3.00% per annum. The First Lien Credit Agreement requires quarterly principal payments from March 2019 through September 2025, with any remaining unpaid principal and any accrued and unpaid interest due on the maturity date of October 10, 2025.</w:t>
      </w:r>
    </w:p>
    <w:p>
      <w:pPr>
        <w:spacing w:after="0" w:line="20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effective interest rate on the First Lien Term Loan Facility was 3.42% and 5.56% for the three months ended September 30, 2020 and 2019, respectively, and 4.03% and 5.79% for the nine months ended September 30, 2020 and 2019, respectively.</w:t>
      </w:r>
    </w:p>
    <w:p>
      <w:pPr>
        <w:spacing w:after="0" w:line="19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carrying value of the First Lien Term Loan Facility was $667.9 million, net of unamortized debt issuance costs and discount of $15.0 million, as of September 30,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Term Loan Facility</w:t>
      </w:r>
    </w:p>
    <w:p>
      <w:pPr>
        <w:spacing w:after="0" w:line="12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Concurrent with the above First Lien Credit Agreement, GoodRx, Inc., as borrower, and GoodRx Intermediate Holdings, LLC entered into a second lien credit agreement with various lenders (the “Second Lien Credit Agreement”). The Second Lien Credit Agreement provided for a $200.0 million secured term loan facility (the “Second Lien Term Loan Facility”) that accrued interest at a rate per annum equal to the LIBO Screen Rate (as defined in the Second Lien Credit Agreement) plus a margin of 7.50% per annum. In connection with the amendment to increase the amount of the First Lien Term Loan Facility in November 2019, we repaid all amounts outstanding and owed under the Second Lien Term Loan Facility, using the proceeds from the amendment to the First Lien Term Loan Facility and existing cash resources, including $200.0 million in principal amount outstanding, approximately $0.1 million of accrued interest and a $2.0 million prepayment penalty.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 Status</w:t>
      </w:r>
    </w:p>
    <w:p>
      <w:pPr>
        <w:spacing w:after="0" w:line="12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The First Lien Credit Agreement contains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the Credit Facilities as of September 30, 2020. Since the restricted net assets of GoodRx, Inc. and its subsidiaries exceed 25% of our consolidated net assets, in accordance with Regulation S-X, refer to our audited consolidated financial statements included in our Prospectus for condensed parent company financial information of GoodRx Holdings,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6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2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116,491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(81,807)</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(35,285)</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1,017,190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Net change in cash</w:t>
            </w:r>
          </w:p>
        </w:tc>
        <w:tc>
          <w:tcPr>
            <w:tcW w:w="18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1,051,874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Net cash provided by operating activities was $ 116.5 million for the nine months ended September 30, 2020 consisting of $4.7 million of net income, adjusted for $ 134.3 million of non-cash expenses, made up primarily of stock-based compensation of $111.2 million, including $98.1 million of stock-based compensation related to the Co-Chief Executive Officers award made in connection with the IPO, partially offset by $22.4 million of net cash used as a result of changes in operating assets and liabilities. The changes in operating assets and liabilities were primarily driven by an increase in income tax receivable due to our third quarter tax benefit and increases in accrued expenses, accounts receivable, accounts payable, and prepaid expenses due to our growing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510"/>
        <w:spacing w:after="0" w:line="238" w:lineRule="auto"/>
        <w:rPr>
          <w:sz w:val="20"/>
          <w:szCs w:val="20"/>
          <w:color w:val="auto"/>
        </w:rPr>
      </w:pPr>
      <w:r>
        <w:rPr>
          <w:rFonts w:ascii="Arial" w:cs="Arial" w:eastAsia="Arial" w:hAnsi="Arial"/>
          <w:sz w:val="18"/>
          <w:szCs w:val="18"/>
          <w:color w:val="auto"/>
        </w:rPr>
        <w:t>Net cash provided by operating activities was $66.8 million for the nine months ended September 30, 2019 consisting of $50.8 million of net income, adjusted for $16.1 million of non-cash expenses and $0.2 million of net cash used as a result of changes in operating assets and liabilities. The changes in operating assets and liabilities were primarily driven by increases in accounts receivable, accounts payable, accrued expenses, and prepaid expenses due to our growing operations, as well as a decrease in our lease liabilities.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2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Net cash used in investing activities of $81.8 million for the nine months ended September 30, 2020 was related to $55.8 million in cash consideration, net of cash acquired, related to the acquisition of ScriptCycle, $15.7 million for capital expenditures, due primarily to leasehold improvements and furniture and fixtures related to our new office facility in Santa Monica, and $10.3 million for capitalized software.</w:t>
      </w:r>
    </w:p>
    <w:p>
      <w:pPr>
        <w:spacing w:after="0" w:line="20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Net cash used in investing activities of $35.3 million for the nine months ended September 30, 2019 was related to $31.3 million in cash consideration, net of cash acquired, related to our 2019 acquisitions, $3.0 million for capitalized software, and $1.0 million for capital expenditures.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2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Net cash provided by financing activities of $1.0 billion for the nine months ended September 30, 2020 was related to $890.0 million in net proceeds from our IPO, $100.0 million in proceeds from our private placement in September 2020, $28.0 million in proceeds drawn down under the Revolving Credit Facility and $5.1 million from exercise of options, partially offset by $5.3 million in long-term debt principal payments and payments of $1.3 million for debt issuance costs related to increasing the amount of our line of credit in May 2020.</w:t>
      </w:r>
    </w:p>
    <w:p>
      <w:pPr>
        <w:spacing w:after="0" w:line="20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Net cash used in financing activities of $6.4 million for the nine months ended September 30, 2019 was primarily related to $10.1 million in long-term debt principal payments offset by $3.7 million from exercise of options and issuance of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our contractual obligations from those described in the Prospectus.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September 30,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Our consolidated financial statements and the related notes thereto included elsewhere in this Quarterly Report on Form 10-Q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the Prospectus and the notes to the audited consolidated financial statements appearing elsewhere in the Prospectus. During the three months ended September 30, 2020, there were no material changes to our critical accounting policies from those discussed in our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Refer to Note 2 to our condensed consolidated financial statements appearing elsewhere in this Quarterly Report on Form 10-Q for a discussion of accounting pronouncements recently adopted and recently issued accounting pronouncements not yet adopted and their potential impact to our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We only have operations within the United States and therefore do not have any foreign currency exposure. We are exposed to market risks in the ordinary course of our business, including the effects of interest rate changes.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Our exposures to market risk for changes in interest rates relate primarily to the Credit Facilities which bear floating interest rates and a rising interest rate environment will increase the amount of interest paid on these loans. A hypothetical 100 basis point increase in interest rates would have increased our interest expense by $3.5 million for the nine months ended September 30,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co-principal executive officers and principal financial officer concluded that, as of September 30, 2020, our disclosure controls and procedures were not effective at the reasonable assurance level.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12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203"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In connection with the preparation of our financial statements for 2019, we identified certain control deficiencies in the design and operation of our internal control over financial reporting that constituted material weaknesses. The material weaknesses are:</w:t>
      </w:r>
    </w:p>
    <w:p>
      <w:pPr>
        <w:spacing w:after="0" w:line="89" w:lineRule="exact"/>
        <w:rPr>
          <w:sz w:val="20"/>
          <w:szCs w:val="20"/>
          <w:color w:val="auto"/>
        </w:rPr>
      </w:pPr>
    </w:p>
    <w:p>
      <w:pPr>
        <w:jc w:val="both"/>
        <w:ind w:left="880" w:hanging="373"/>
        <w:spacing w:after="0" w:line="238"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an inability to consistently establish appropriate authorities and responsibilities in pursuit of our financial reporting objectives, as demonstrated by, amongst other things, insufficient segregation of duties in our finance and accounting functions.</w:t>
      </w:r>
    </w:p>
    <w:p>
      <w:pPr>
        <w:spacing w:after="0" w:line="94" w:lineRule="exact"/>
        <w:rPr>
          <w:rFonts w:ascii="Arial" w:cs="Arial" w:eastAsia="Arial" w:hAnsi="Arial"/>
          <w:sz w:val="18"/>
          <w:szCs w:val="18"/>
          <w:color w:val="auto"/>
        </w:rPr>
      </w:pPr>
    </w:p>
    <w:p>
      <w:pPr>
        <w:jc w:val="both"/>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due in part to acquisitions and other changes to our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These material weaknesses contributed to the following additional material weaknesses:</w:t>
      </w:r>
    </w:p>
    <w:p>
      <w:pPr>
        <w:spacing w:after="0" w:line="104" w:lineRule="exact"/>
        <w:rPr>
          <w:sz w:val="20"/>
          <w:szCs w:val="20"/>
          <w:color w:val="auto"/>
        </w:rPr>
      </w:pPr>
    </w:p>
    <w:p>
      <w:pPr>
        <w:ind w:left="880" w:hanging="373"/>
        <w:spacing w:after="0" w:line="24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complex transactions.</w:t>
      </w:r>
    </w:p>
    <w:p>
      <w:pPr>
        <w:spacing w:after="0" w:line="88"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business performance reviews, account reconciliations and journal entries. Additionally, we did not design and maintain controls over the classification and presentation of accounts and disclosures in the financial statements.</w:t>
      </w:r>
    </w:p>
    <w:p>
      <w:pPr>
        <w:spacing w:after="0" w:line="96" w:lineRule="exact"/>
        <w:rPr>
          <w:rFonts w:ascii="Arial" w:cs="Arial" w:eastAsia="Arial" w:hAnsi="Arial"/>
          <w:sz w:val="18"/>
          <w:szCs w:val="18"/>
          <w:color w:val="auto"/>
        </w:rPr>
      </w:pPr>
    </w:p>
    <w:p>
      <w:pPr>
        <w:jc w:val="both"/>
        <w:ind w:left="880" w:hanging="373"/>
        <w:spacing w:after="0" w:line="23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These material weaknesses resulted in adjustments identified by our independent registered public accounting firm and recorded by us primarily related to goodwill, capitalized software, leases, debt extinguishment, revenue recognition and sales allowances. These material weaknesses could result in a misstatement of our accounts or disclosures that would result in a material misstatement to the annual or interim consolidated financial statements that would not be prevented or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w:t>
      </w:r>
    </w:p>
    <w:p>
      <w:pPr>
        <w:spacing w:after="0" w:line="126" w:lineRule="exact"/>
        <w:rPr>
          <w:sz w:val="20"/>
          <w:szCs w:val="20"/>
          <w:color w:val="auto"/>
        </w:rPr>
      </w:pPr>
    </w:p>
    <w:p>
      <w:pPr>
        <w:jc w:val="both"/>
        <w:ind w:right="20" w:firstLine="510"/>
        <w:spacing w:after="0" w:line="238" w:lineRule="auto"/>
        <w:rPr>
          <w:sz w:val="20"/>
          <w:szCs w:val="20"/>
          <w:color w:val="auto"/>
        </w:rPr>
      </w:pPr>
      <w:r>
        <w:rPr>
          <w:rFonts w:ascii="Arial" w:cs="Arial" w:eastAsia="Arial" w:hAnsi="Arial"/>
          <w:sz w:val="18"/>
          <w:szCs w:val="18"/>
          <w:color w:val="auto"/>
        </w:rPr>
        <w:t>We are in the early stages of compiling the system and processing documentation necessary to perform the evaluation needed to comply with Section 404(a) of Sarbanes-Oxley Act and we are taking steps to remediate the material weaknesses. Management, with the participation of the Audit Committee and the Board of Directors, is engaged in remedial activities to address the material weaknesses described above. Those remediation measures are ongoing and include the following:</w:t>
      </w:r>
    </w:p>
    <w:p>
      <w:pPr>
        <w:spacing w:after="0" w:line="97" w:lineRule="exact"/>
        <w:rPr>
          <w:sz w:val="20"/>
          <w:szCs w:val="20"/>
          <w:color w:val="auto"/>
        </w:rPr>
      </w:pPr>
    </w:p>
    <w:p>
      <w:pPr>
        <w:ind w:left="880" w:right="20" w:hanging="373"/>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prepared a remediation plan for each of the material weaknesses and begun training process owners, evaluating process adoption and monitoring results.</w:t>
      </w:r>
    </w:p>
    <w:p>
      <w:pPr>
        <w:spacing w:after="0" w:line="88"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engaged third party professionals to advise management in connection with the remediation of each of the material weaknesses.</w:t>
      </w:r>
    </w:p>
    <w:p>
      <w:pPr>
        <w:spacing w:after="0" w:line="88" w:lineRule="exact"/>
        <w:rPr>
          <w:rFonts w:ascii="Arial" w:cs="Arial" w:eastAsia="Arial" w:hAnsi="Arial"/>
          <w:sz w:val="18"/>
          <w:szCs w:val="18"/>
          <w:color w:val="auto"/>
        </w:rPr>
      </w:pPr>
    </w:p>
    <w:p>
      <w:pPr>
        <w:jc w:val="both"/>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recently hired, and plan to continue to hire, additional accounting and IT personnel during 2020 to bolster our technical reporting, transactional accounting and IT capabilities. We are implementing controls to formalize roles and review responsibilities to align with our team’s skills and experience and implement formal controls over segregation of duties.</w:t>
      </w:r>
    </w:p>
    <w:p>
      <w:pPr>
        <w:spacing w:after="0" w:line="94"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implementing procedures to identify and evaluate changes in our business and the impact on our controls.</w:t>
      </w:r>
    </w:p>
    <w:p>
      <w:pPr>
        <w:spacing w:after="0" w:line="117" w:lineRule="exact"/>
        <w:rPr>
          <w:rFonts w:ascii="Arial" w:cs="Arial" w:eastAsia="Arial" w:hAnsi="Arial"/>
          <w:sz w:val="18"/>
          <w:szCs w:val="18"/>
          <w:color w:val="auto"/>
        </w:rPr>
      </w:pPr>
    </w:p>
    <w:p>
      <w:pPr>
        <w:jc w:val="both"/>
        <w:ind w:left="880" w:hanging="373"/>
        <w:spacing w:after="0" w:line="23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formally assessing complex accounting transactions and other technical accounting and financial reporting matters including controls over the preparation and review of accounting memoranda addressing these matters. During the quarter ended September 30, 2020, we implemented controls to identify complex accounting transactions and to require that the accounting implications of such transactions are formally assessed, documented and reviewed by a relevant senior member of our accounting team. In addition, we have engaged third party subject matter experts to advise us with respect to certain complex non-routine transactions in addition to management’s review of such transactions, where appropriate.</w:t>
      </w:r>
    </w:p>
    <w:p>
      <w:pPr>
        <w:spacing w:after="0" w:line="96" w:lineRule="exact"/>
        <w:rPr>
          <w:rFonts w:ascii="Arial" w:cs="Arial" w:eastAsia="Arial" w:hAnsi="Arial"/>
          <w:sz w:val="18"/>
          <w:szCs w:val="18"/>
          <w:color w:val="auto"/>
        </w:rPr>
      </w:pPr>
    </w:p>
    <w:p>
      <w:pPr>
        <w:jc w:val="both"/>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first quarter of 2020, we implemented a new enterprise resource planning, or ERP, system. We are in the process of designing and implementing controls over this ERP system to, among other things, automate certain controls, enforce segregation of duties and facilitate the review of journal entries.</w:t>
      </w:r>
    </w:p>
    <w:p>
      <w:pPr>
        <w:spacing w:after="0" w:line="94" w:lineRule="exact"/>
        <w:rPr>
          <w:rFonts w:ascii="Arial" w:cs="Arial" w:eastAsia="Arial" w:hAnsi="Arial"/>
          <w:sz w:val="18"/>
          <w:szCs w:val="18"/>
          <w:color w:val="auto"/>
        </w:rPr>
      </w:pPr>
    </w:p>
    <w:p>
      <w:pPr>
        <w:jc w:val="both"/>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implementing formal processes, policies, and procedures supporting our financial close process, including creating standard balance sheet reconciliation templates, establishing and reviewing thresholds for business performance reviews, and formalizing procedures over the review of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0" w:name="page41"/>
    <w:bookmarkEnd w:id="40"/>
    <w:p>
      <w:pPr>
        <w:jc w:val="both"/>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enhancing IT governance processes, including automating components of our change management and logical access processes, enhancing role-based access and logging capabilities, implementing automated controls and implementing more robust IT policies and procedures over change management and computer operations.</w:t>
      </w:r>
    </w:p>
    <w:p>
      <w:pPr>
        <w:spacing w:after="0" w:line="20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believe we are making progress toward achieving the effectiveness of our internal control over financial reporting and disclosure controls and procedures. The actions that we are taking are subject to ongoing senior management review, as well as Audit Committee oversight. We will not be able to conclude whether the steps we are taking will fully remediate these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Except as otherwise described above, there were no changes in our internal control over financial reporting (as defined in Rules 13a-15(f) and 15d-15(f) under the Exchange Act) during the quarter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information contained under the heading “Legal Proceedings” in Note 8 to our condensed consolidated financial statements included in this Quarterly Report on Form 10-Q is incorporated by reference into this Item.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risks and uncertainties described below, together with all of the other information in this Quarterly Report on Form 10-Q, as well as our audited consolidated financial statements and related notes as disclosed in our prospectus, dated September 22, 2020, filed with the Securities and Exchange Commission (“SEC”) in accordance with Rule 424(b) of the Securities Act on September 24, 2020 (the “Prospectus”) in connection with our initial public offering (“IPO”).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Class A common stock could decline and you could lose part or all of your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and Early Stage of Growth</w:t>
      </w:r>
    </w:p>
    <w:p>
      <w:pPr>
        <w:spacing w:after="0" w:line="10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Our limited operating history and our evolving business make it difficult to evaluate our future prospects and the risks and challenges we may encounter.</w:t>
      </w:r>
    </w:p>
    <w:p>
      <w:pPr>
        <w:spacing w:after="0" w:line="81"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89" w:lineRule="exact"/>
        <w:rPr>
          <w:sz w:val="20"/>
          <w:szCs w:val="20"/>
          <w:color w:val="auto"/>
        </w:rPr>
      </w:pPr>
    </w:p>
    <w:p>
      <w:pPr>
        <w:ind w:left="880" w:hanging="373"/>
        <w:spacing w:after="0" w:line="24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new consumers to our platform and position our platform as an important way to make purchasing decisions for prescription medications and other healthcare products and services;</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our consumers and encourage them to continue to utilize our platform when purchasing healthcare products and services;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new and existing consumers to rapidly adopt new offerings on our platform;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number of consumers that use our subscription offerings or the number of subscription programs that we manage;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and retain our consumers that subscribe to our subscription offerings, such as Gold and Kroger Savings;</w:t>
      </w:r>
    </w:p>
    <w:p>
      <w:pPr>
        <w:spacing w:after="0" w:line="117"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industry players for inclusion in our platform, including pharmacies, PBMs, pharmaceutical manufacturers and telehealth providers;</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our industry;</w:t>
      </w:r>
    </w:p>
    <w:p>
      <w:pPr>
        <w:spacing w:after="0" w:line="117" w:lineRule="exact"/>
        <w:rPr>
          <w:rFonts w:ascii="Arial" w:cs="Arial" w:eastAsia="Arial" w:hAnsi="Arial"/>
          <w:sz w:val="18"/>
          <w:szCs w:val="18"/>
          <w:color w:val="auto"/>
        </w:rPr>
      </w:pPr>
    </w:p>
    <w:p>
      <w:pPr>
        <w:ind w:left="880" w:right="20" w:hanging="373"/>
        <w:spacing w:after="0" w:line="24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anticipate and respond to macroeconomic changes, changes in medication pricing and industry pricing benchmarks and changes in the markets in which we operate;</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and enhance the value of our reputation and brand;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17"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and improve the infrastructure underlying our platform, including our apps and websites, including with respect to data protection and cybersecurity; and</w:t>
      </w:r>
    </w:p>
    <w:p>
      <w:pPr>
        <w:spacing w:after="0" w:line="88"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update our platform, including expanding our platform and offerings into different healthcare products and services, develop and update our apps, features, offerings and services to benefit our consumers and enhance the consumer experience.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both"/>
        <w:ind w:firstLine="510"/>
        <w:spacing w:after="0" w:line="236"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and those described elsewhere in this Part II, Item 1A, “Risk Factors”, our business, financial condition and results of operations could be adversely affected. Further, because we have limited historical financial data and our business continues to evolve and expand within the U.S. healthcare industry, any predictions about our future revenue and expenses may not be as accurate as they would be if we had a longer operating history, operated a more predictable business or operated in a less regulated industry. We have encountered in the past, and will encounter in the future, risks and uncertainties frequently experienced by growing companies with limited operating histories and evolving businesses that operate in highly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recent growth rates may not be sustainable or indicative of future growth and we expect our growth rate to slow.</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have experienced significant growth since our founding in 2011. Revenue increased from $99.4 million for 2016 to $388.2 million for 2019 and from $ 275.0 million for the nine months ended September 30, 2019 to $397.2 million for the nine months ended September 30, 2020. Our historical rate of growth may not be sustainable or indicative of our future rate of growth. We believe that our continued growth in revenue, as well as our ability to improve or maintain margins and profitability, will depend upon, among other factors, our ability to address the challenges, risks and difficulties described elsewhere in this Part II, Item 1A, “Risk Factors” and the extent to which our various offerings grow and contribute to our results of operations. We cannot provide assurance that we will be able to successfully manage any such challenges or risks to our future growth. In addition, our base of consumers may not continue to grow or may decline due to a variety of possible risks, including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results of operations vary and may fluctuate significantly from period-to-period.</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quarterly and annual results of operations have historically varied from period-to-period and we expect that our results of operations will continue to do so for a variety of reasons, many of which are outside of our control and are difficult to predict. We have presented many of the factors that may cause our results of operations to fluctuate in this Part II, Item 1A, “Risk Factors”, including the extent to which our various offerings, such as our telehealth offerings, grow and contribute to our results of operations. In addition, we typically experience stronger consumer demand during the first and fourth quarters of each year, which coincide with generally higher consumer healthcare spending, doctor office visits, annual benefit enrollment season and seasonal cold and flu trends. The rapid growth of our business may have masked these trends to date, and we expect the impact of seasonality to be more pronounced in the future. The cumulative effects of such factors could result in large fluctuations and unpredictability in our quarterly and annual results of operations. As a result, comparing our results of operations on a period-to-period basis may not be meaningful and investors should not rely on our past results as an indication of our future performance.</w:t>
      </w:r>
    </w:p>
    <w:p>
      <w:pPr>
        <w:spacing w:after="0" w:line="20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results of operations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Since 2011, we have experienced rapid growth in our business operations and the number of consumers that use our offerings, and we may continue to experience growth in the future. For example, the number of our full-time employees increased from 137 as of December 31, 2017 to 413 as of September 30, 2020, and the number of Monthly Active Consumers has increased from 1.3 million for the first quarter of 2017 to 4.9 million for the third quarter of 2020. This growth has placed, and may continue to place, significant demands on our management and our operational and financial infrastructure. Our ability to manage our growth effectively and to integrate new employees, technologies and acquisitions into our existing business will require us to continue to expand our operational and financial infrastructure and to continue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3" w:name="page44"/>
    <w:bookmarkEnd w:id="43"/>
    <w:p>
      <w:pPr>
        <w:jc w:val="both"/>
        <w:spacing w:after="0" w:line="238" w:lineRule="auto"/>
        <w:rPr>
          <w:sz w:val="20"/>
          <w:szCs w:val="20"/>
          <w:color w:val="auto"/>
        </w:rPr>
      </w:pPr>
      <w:r>
        <w:rPr>
          <w:rFonts w:ascii="Arial" w:cs="Arial" w:eastAsia="Arial" w:hAnsi="Arial"/>
          <w:sz w:val="18"/>
          <w:szCs w:val="18"/>
          <w:color w:val="auto"/>
        </w:rPr>
        <w:t>to retain, attract, train, motivate and manage employees. Management of growth is particularly difficult when employees work from home as a result of the COVID-19 pandemic. Continued growth could strain our ability to develop and improve our operational, financial and management controls, enhance our reporting systems and procedures, recruit, train and retain highly skilled personnel and maintain consumer satisfaction. Additionally, if we do not effectively manage the growth of our business and operations, the quality of our platform and offerings could suffer, which could negatively affect our reputation and brand, business, financial condition and results of operations.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experience lower margins as HeyDoctor continues to grow as a portion of our overall business.</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HeyDoctor, which we launched in 2019, has experienced significant growth and we expect it to continue to grow in the future. However, the telehealth market is rapidly developing and is subject to significant price competition, and we may be unable to achieve satisfactory prices for our HeyDoctor offering or maintain prices at competitive levels. Due in part to this price competition, HeyDoctor currently generates lower margins than our other offerings. If we are unable to maintain our prices, or if our costs increase and we are unable to offset such increase with an increase in our prices, our margins could decline. In addition, as HeyDoctor continues to grow as a portion of our overall business, we expect such growth to have an adverse impact on our margins. We will continue to be subject to significant pricing pressure, and expect that HeyDoctor will continue to grow as a source of revenue, which would likely have a material adverse effect on our margins.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unsuccessful in achieving broad market education and changing consumer purchasing habits.</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success and future growth largely depend on our ability to increase consumer awareness of our platform and offerings, and on the willingness of consumers to utilize our platform to access information, discounted prices for prescription medications and other healthcare products and services, including telehealth services. We believe the vast majority of consumers make purchasing decisions for healthcare products and services on the basis of traditional factors, such as insurance coverage, availability at nearby pharmacies and availability of nearby medical testing. This traditional decision-making process does not always account for restrictive and complex insurance plans, high deductibles, expensive co-pays and other factors, such as discounts or savings available at alternative pharmacies or practices. To effectively market our platform, we must educate consumers about the various purchase options and the benefits of using GoodRx codes when purchasing prescription medications and other healthcare products and services without using their health insurance benefits. We focus our marketing and education efforts on consumers, but also aim to educate and inform healthcare providers, pharmacists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95"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experience with our company and platform, and concerns that we are relatively new to the industry;</w:t>
      </w:r>
    </w:p>
    <w:p>
      <w:pPr>
        <w:spacing w:after="0" w:line="117"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health, safety or quality risks associated with the use of a new platform and applications to shop for discounted prices for prescription medications;</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awareness that there is a disparity of pricing for prescription medicines and other medical products and services;</w:t>
      </w:r>
    </w:p>
    <w:p>
      <w:pPr>
        <w:spacing w:after="0" w:line="117" w:lineRule="exact"/>
        <w:rPr>
          <w:rFonts w:ascii="Arial" w:cs="Arial" w:eastAsia="Arial" w:hAnsi="Arial"/>
          <w:sz w:val="18"/>
          <w:szCs w:val="18"/>
          <w:color w:val="auto"/>
        </w:rPr>
      </w:pPr>
    </w:p>
    <w:p>
      <w:pPr>
        <w:ind w:left="880" w:right="20" w:hanging="373"/>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 that our platform does not provide adequate discounted prices or only offers savings for a limited selection of prescription medications;</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 that discounted prices offered through our platform are less competitive than insurance coverage;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 regarding acceptance rates of pharmacies for our GoodRx codes available through our platform;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traditional or existing relationships with pharmacies, pharmacists or other providers that sell healthcare products and services;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the privacy and security of the data that consumers share with or through our platform;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and negative selling efforts from competitors, including competing platforms and price matching programs; and</w:t>
      </w:r>
    </w:p>
    <w:p>
      <w:pPr>
        <w:spacing w:after="0" w:line="117"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 regarding the time and complexity of using our platform or using and applying our GoodRx codes available through our platform at the point of purchase.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4" w:name="page45"/>
    <w:bookmarkEnd w:id="44"/>
    <w:p>
      <w:pPr>
        <w:jc w:val="both"/>
        <w:ind w:firstLine="510"/>
        <w:spacing w:after="0"/>
        <w:rPr>
          <w:sz w:val="20"/>
          <w:szCs w:val="20"/>
          <w:color w:val="auto"/>
        </w:rPr>
      </w:pPr>
      <w:r>
        <w:rPr>
          <w:rFonts w:ascii="Arial" w:cs="Arial" w:eastAsia="Arial" w:hAnsi="Arial"/>
          <w:sz w:val="18"/>
          <w:szCs w:val="18"/>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unable to continue to attract, acquire and retain consumers, or may fail to do so in a cost-effective manner.</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success depends in part on our ability to cost-effectively attract and acquire new consumers, retain our existing consumers and encourage our consumers to continue to utilize our platform when making purchasing decisions for prescription medications and other healthcare products and services. To expand our base of consumers, we must appeal to consumers who have historically used traditional outlets for their healthcare products and services, and who may be unaware of the possibility or benefits of using discounted prices to purchase healthcare products and services outside of insurance programs. We have made significant investments related to consumer acquisition and expect to continue to spend significant amounts to acquire additional customers. We cannot assure you that this spending will be effective or that revenue from new consumers that we acquire will ultimately exceed the cost of acquiring those consumers. If we fail to deliver reliable and significant discounted prices for prescription medications, we may be unable to acquire or retain consumers. If we are unable to acquire or retain consumers who use our platform in volumes and with recurrence sufficient to grow our business, we may be unable to maintain the scale necessary for operational efficiency and to drive beneficial and self-reinforcing network effects across the broader healthcare ecosystem, including pharmacies, PBMs, pharmaceutical manufacturers and telehealth providers. Consequently, we may not be able to present the same quality or range of solutions on our platform or otherwise, which may adversely impact consumer interest in our platform, in which case our business, financial condition and results of operations would be adversely affected.</w:t>
      </w:r>
    </w:p>
    <w:p>
      <w:pPr>
        <w:spacing w:after="0" w:line="20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believe that our paid and non-paid marketing initiatives have been critical in promoting consumer awareness of our platform and offerings, which in turn has driven new consumer growth and increased the extent to which existing consumers have used our platform. Our paid marketing initiatives include television, search engine marketing, mail to consumers and healthcare provider offices, email, display, radio and magazine advertising and social media marketing. For example, we actively market our platform and offerings through television and we rely on direct mail to distribute marketing materials to consumers. If we are unable to cost-effectively market to consumers and drive traffic to our apps and websites, our ability to acquire new consumers and our financial condition would be materially and adversely affected. We also buy search advertising primarily through search engines such as Google and Bing, and use internal analytics and external vendors for bid optimization and channel strategy. Our non-paid advertising efforts include search engine optimization, non-paid social media and e-mail marketing. Search engines frequently modify their search algorithms and these changes can cause our websites to receive less favorable placements, which could reduce the number of consumers who visit our websites. The costs associated with advertising through search engines can also vary significantly from period to period, and have generally increased over time. We may be unable to modify our strategies in response to any future search algorithm changes made by the search engines, which could require a change in the strategy we use to generate consumer traffic to our websites. In addition, our websites must comply with search engine guidelines and policies, which are complex and may change at any time. If we fail to follow such guidelines and policies properly, search engines may rank our content lower in search results or could remove our content altogether from their indices. Although consumer traffic to our apps is not reliant on search results, growth in mobile device usage may not decrease our overall reliance on search results if consumers use our mobile websites rather than our apps or use search to initially find our apps. In fact, growth in mobile device usage may exacerbate the risks associated with how and where our websites are displayed in search results because mobile device screens are smaller than desktop computer screens and therefore display fewer search results.</w:t>
      </w:r>
    </w:p>
    <w:p>
      <w:pPr>
        <w:spacing w:after="0" w:line="21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addition, we actively encourage new and existing consumers to use our apps to access our platform. We believe that our apps help to facilitate increased consumer retention and that consumers that access our platform through our apps are more likely to utilize GoodRx codes at the final point of purchase. While we have invested and will continue to invest in the development of our apps to improve consumer utilization, there can be no assurance that our efforts to drive adoption and use of our apps will be effective.</w:t>
      </w:r>
    </w:p>
    <w:p>
      <w:pPr>
        <w:spacing w:after="0" w:line="20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Our consumer education, acquisition and retention initiatives can be expensive and may be ineffective in driving consumer education or interest in our platform. Further, if new or existing consumers do not perceive that the discounted prices presented through our platform are reliable or meaningful, or if we fail to offer new and relevant offerings and application features, we may not be able to attract or retain consumers or increase the extent to which they use our platform and applications for other or future purchases. If we fail to continue to grow our base of consumers, retain existing consumers or increase consumer engagement, our business, financial condition and results of operations would be adversely affected.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5" w:name="page46"/>
    <w:bookmarkEnd w:id="45"/>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rely significantly on our prescription offering and may not be successful in expanding our offerings within our markets, particularly the U.S. prescriptions market, or to other segments of the healthcare industry.</w:t>
      </w:r>
    </w:p>
    <w:p>
      <w:pPr>
        <w:spacing w:after="0" w:line="6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To date, the vast majority of our revenue has been, and we expect it to continue to substantially be, derived from our prescription offering. When a consumer uses a GoodRx code to fill a prescription and saves money compared to the list price at that pharmacy, we receive fees from our partners, primarily PBMs. Revenue from our prescription offering represented 97% and 94% of our revenue for 2018 and 2019, respectively, and 95% and 90% for the nine months ended September 30, 2019 and 2020, respectively. Substantially all of this revenue was generated from consumer transactions at brick and mortar pharmacies. In addition, we have experienced a significant increase in revenue generated by our telehealth offerings. The introduction of competing offerings with lower prices for consumers, fluctuations in prescription prices, changes in consumer purchasing habits, including an increase in the use of mail-order prescriptions, changes in the regulatory landscape, and other factors could result in changes to our contracts or a decline in our revenue, which may have an adverse effect on our business, financial condition and results of operations. Because we derive a vast majority of our revenue from our prescription offering, any material decline in the use of such offering or in the fees we receive from our partners in connection with such offering would have a pronounced impact on our future revenue and results of operations, particularly if we are unable to expand our offerings overall.</w:t>
      </w:r>
    </w:p>
    <w:p>
      <w:pPr>
        <w:spacing w:after="0" w:line="205"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seek to expand our offerings within the prescriptions market, the pharmaceutical manufacturer solutions market and the telehealth market in the United States. For example, within the prescriptions market, we developed our subscription offerings, Gold and Kroger Savings in 2017 and 2018, respectively. Additionally, we have expanded into the pharmaceutical manufacturer solutions markets with our pharmaceutical manufacturer solutions offering. We have also expanded into the telehealth market through our acquisition and integration of HeyDoctor in 2019 and the launch of the GoodRx Telehealth Marketplace, which is a marketplace designed to bring third party providers to our ecosystem so that we can provide consumers with a breadth of services in a single platform, in 2020. We are actively investing in each of these growth areas. However, expanding our offerings and entering into new markets requires substantial additional resources, and our ability to succeed is not certain. During and following periods of active investment, we may experience a decrease in profitability or margins, particularly if the area of investment generates lower margins than our other offerings. For example, HeyDoctor generates substantially lower margins than our other offerings and we expect that it will continue to do so for the foreseeable future. As we expand our offerings, we will need to take additional steps, such as hiring additional personnel, partnering with new third parties and incurring considerable research and development expenses, in order to pursue such an expansion successfully. Any such expansion would be subject to additional uncertainties and would likely be subject to additional laws and regulations. As a result, we may not be successful in future efforts to expand into or achieve profitability from new markets, new business models or strategies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29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Our business is subject to changes in medication pricing and is significantly impacted by pricing structures negotiated by industry participants.</w:t>
      </w:r>
    </w:p>
    <w:p>
      <w:pPr>
        <w:spacing w:after="0" w:line="6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Our platform aggregates and analyzes pricing data from a number of different sources. The discounted prices that we present through our platform are based in large part upon pricing structures negotiated by industry participants. We do not control the pricing strategies of pharmaceutical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pharmaceutical manufacturers, these and other industry participants often negotiate complex and multi-party pricing structures, and we have no control over these participants and the policies and strategies that they implement in negotiating these pricing structures.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Pharmaceutical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 purchasing medications in bulk from pharmaceutical manufacturers and then reselling such medications to pharmacies. PBMs generally impact medication pricing through their bargaining power, negotiated rebates with pharmaceutical manufacturers and contracts with different pharmacy providers and health insurance companies. PBMs work with pharmacies to determine the negotiated rate that will be paid at the pharmacy by consumers. Medication pricing is also impacted by health insurance companies and the extent to which a health insurance plan provides for, among other things, covered medications, preferred tiers for different medications and high or low deductibles. Approximately 90% of the total prescription volume and 26% of prescription spending in the United States was for generic forms of medication in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spacing w:after="0" w:line="246" w:lineRule="auto"/>
        <w:rPr>
          <w:sz w:val="20"/>
          <w:szCs w:val="20"/>
          <w:color w:val="auto"/>
        </w:rPr>
      </w:pPr>
      <w:r>
        <w:rPr>
          <w:rFonts w:ascii="Arial" w:cs="Arial" w:eastAsia="Arial" w:hAnsi="Arial"/>
          <w:sz w:val="18"/>
          <w:szCs w:val="18"/>
          <w:color w:val="auto"/>
        </w:rPr>
        <w:t>with the remainder being brand medications, according to a report by the IQVIA Institute. Similar to the total prescription volume in the United States, a vast majority of the utilization of our platform relates to generic medications.</w:t>
      </w:r>
    </w:p>
    <w:p>
      <w:pPr>
        <w:spacing w:after="0" w:line="197"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would have an adverse effect on our ability to generate revenue and business. Due in part to existing pricing structures, we generate a small portion of our revenue through contracts with pharmaceutical manufacturers and other intermediaries. Changes in the roles of industry participants and in general pricing structures,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generally do not control the categories and types of prescriptions for which we can offer savings or discounted prices.</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categories and brands of medications for which we can present discounted prices are largely determined by PBMs. PBMs work with insurance companies, employers and other organizations and enter into contracts with pharmacies to determine negotiated rates. They also negotiate rebates with pharmaceutical manufacturers. The terms that different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dependent upon the arrangements that PBMs have negotiated with pharmacies and upon the resulting availability and allocation of discounts for medications subject to these arrangements. In general, industry participants are less likely to allocate or provide for discounts or rebates on brand medications that are covered by patents. As a result, the discounted prices that we are able to present for brand medications may not be as competitive as for generic medications. Similar to the total prescription volume in the United States, the vast majority of the utilization of our platform relates to generic medications.</w:t>
      </w:r>
    </w:p>
    <w:p>
      <w:pPr>
        <w:spacing w:after="0" w:line="20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a limited number of industry participants.</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PBMs, including any successor PBMs should there be further consolidation of PBMs, we may lose them as customers, or the negotiated rates provided by such PBMs may become less competitive, which could have an adverse impact on the discounted prices we present through our platform.</w:t>
      </w:r>
    </w:p>
    <w:p>
      <w:pPr>
        <w:spacing w:after="0" w:line="20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Our three largest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7" w:name="page48"/>
    <w:bookmarkEnd w:id="47"/>
    <w:p>
      <w:pPr>
        <w:jc w:val="both"/>
        <w:spacing w:after="0" w:line="237" w:lineRule="auto"/>
        <w:rPr>
          <w:sz w:val="20"/>
          <w:szCs w:val="20"/>
          <w:color w:val="auto"/>
        </w:rPr>
      </w:pPr>
      <w:r>
        <w:rPr>
          <w:rFonts w:ascii="Arial" w:cs="Arial" w:eastAsia="Arial" w:hAnsi="Arial"/>
          <w:sz w:val="18"/>
          <w:szCs w:val="18"/>
          <w:color w:val="auto"/>
        </w:rPr>
        <w:t>PBM partners accounted for 61% of our revenue in 2018, 55% of our revenue in 2019. Our three largest PBM partners accounted for 44% of our revenue in the nine months ended September 30, 2020. Revenue from each PBM fluctuates from period to period as the discounts and prices available through our platform change, and different PBMs experience increases and decreases in the volume of transactions processed through their respective networks. In 2018, Optum, Navitus and MedImpact each accounted for more than 10% of revenue. In 2019, Navitus and MedImpact each accounted for more than 10% of revenue, and in the nine months ended September 30, 2020, Navitus, MedImpact and Express Scripts each accounted for more than 10% of revenue. The loss of any of these large PBMs may negatively impact the breadth of the pricing that we are able to offer consumers.</w:t>
      </w:r>
    </w:p>
    <w:p>
      <w:pPr>
        <w:spacing w:after="0" w:line="20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Most of our PBM contracts provide for monthly payments from PBMs, including our contracts with MedImpact, Navitus and Optum.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including our contracts with MedImpact and Navitus, are percentage of fee contracts, and a minority of our contracts, including our PBM contract with Optum, provide for fixed fee per transaction arrangements. Our PBM contracts generally, including our contracts with MedImpact, Navitus and Optum, have a tiered fee structure based on volume generated in the applicable payment period. Our PBM contracts, including our contracts with MedImpact, Navitus and Optum, do not contain minimum volume requirements, and thus do not provide for any assurance as to minimum payments to us. Our PBM contracts generally renew automatically, including our contracts with MedImpact, Navitus and Optum. In addition, our PBM contracts generally provide for continuing payments to us after such contracts are terminated, including our contracts with MedImpact, Navitus and Optum.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Our contracts with MedImpact, Navitus and Optum provide for periods of five years, three years and three years, respectively, during which payments will be made as negotiated rates related to the applicable PBM contract continue to be used. Between contract renewals, our contracts generally provide for limited termination rights and do not provide for termination for convenience. None of our contracts with MedImpact, Navitus and Optum provide for termination for convenience.</w:t>
      </w:r>
    </w:p>
    <w:p>
      <w:pPr>
        <w:spacing w:after="0" w:line="21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addition, our PBM contracts typically include provisions that prevent PBMs from circumventing our platform, redirecting volumes outside of our platform and other protective measures. For example, our PBM contracts, including our contracts with MedImpact, Navitus and Optum,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20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w:t>
      </w:r>
    </w:p>
    <w:p>
      <w:pPr>
        <w:spacing w:after="0" w:line="20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do not generate a significant percentage of revenue from mail-order prescriptions or mail-order pharmacies. If one or more of these pharmacy chains terminates its cash network contracts with PBMs that we work with or enters into cash network contracts with PBMs that we work with at less competitive rates, our business may be negatively affected. This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we contract with, as a result of consolidation of PBMs or pharmacy chains, pricing competition among industry participants or otherwise, if we are unable to maintain or grow our relationships with PBMs or if we lose one or more of the PBMs we contract with and cannot replace the PBM in a timely manner or at all, there would be an adverse effect on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8" w:name="page49"/>
    <w:bookmarkEnd w:id="48"/>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6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U.S. prescriptions market, pharmaceutical manufacturer solutions market and telehealth market are highly competitive and subject to ongoing innovation and development. Our ability to remain competitive is dependent upon our ability to appeal to consumers and attract and acquire new consumers to our platform, including through our apps. Our ability to remain competitive is also dependent upon our ability to retain existing consumers and encourage them to continue to use our platform as a tool for purchasing healthcare products and services. We operate in a highly competitive environment and in an industry that is subject to significant market pressures brought about by consumer demands, a limited number of major PBMs, fluctuations in medication pricing, legislative and regulatory activity, significant changes in demand and interest in telehealth and other market factors.</w:t>
      </w:r>
    </w:p>
    <w:p>
      <w:pPr>
        <w:spacing w:after="0" w:line="20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compete with companies that provide savings on prescriptions, as well as companies that offer telehealth services and advertising and market access for pharmaceutical manufacturers. Within the prescriptions market, our competition is fragmented and consists of competitors that are smaller than us in scale. There can be no assurance that competitors will not develop and market similar offerings to ours, or that industry participants, such as integrated PBMs and pharmacy providers, will not seek to leverage our platform to drive consumer demand and traffic to their networks and eventually away from, or outside of, our platform. We may face increased competition from those that attempt to replicate our business model or marketing tactics, such as discount websites, apps, cash back and loyalty programs and new comparison shopping sites from various industry participants, any of which could impact our ability to attract and retain consumers. We also face competition in the telehealth market from a range of companies, including providers of telehealth services that are larger than us, and which usually provide telehealth services on behalf of employers and insurance plans, such as Teladoc, Amwell, MDLIVE, and Doctor on Demand. Our pharmaceutical manufacturer solutions offering competes for advertising and market access budget allocation against traditional direct to consumer and other platforms on which pharmaceuticals manufacturers can reach consumers, such as through physicians, health-related apps and websites, television advertisements and services supporting patient access. A competitor’s offerings, reputation and marketing strategies can have a substantial impact on its ability to attract and retain consumers, and we may face competition from existing or new market entrants with greater resources and better offerings, reputations and market strategies, which would have a negative impact on our business. Any such competitor may be better able to respond quickly to new technologies, develop deeper relationships with consumers and industry participants, including pharmacies, PBMs and telehealth providers, or offer more competitive discounts or pricing. While we negotiate protective terms related to our discounted prices, our intellectual property and our consumers with PBMs, our contacts with these parties are not exclusive and PBMs work with others in the industry to drive volume to their networks. For example, our contracts include provisions that, among others, restrict the ability of PBMs to compete with us and solicit our consumers. We aim to differentiate our business through scale and by innovating and delivering offerings and services, including medical care and advice through our telehealth offerings, that demonstrate value to consumers and to our existing consumers, particularly in response to frequent changes in medication pricing and the cost of medical care. Our failure to innovate and deliver offerings and services that demonstrate value, or to market such offerings and services effectively, may affect our ability to acquire or retain consumers, which could have a material adverse effect on our business, results of operations and financial condition.</w:t>
      </w:r>
    </w:p>
    <w:p>
      <w:pPr>
        <w:spacing w:after="0" w:line="21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may also face competition from companies that we do not yet know about. If existing or new companies develop or market an offering similar to ours, develop an entirely new solution for access to affordable healthcare,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91"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including the outbreak of COVID-19, could impact our business.</w:t>
      </w:r>
    </w:p>
    <w:p>
      <w:pPr>
        <w:spacing w:after="0" w:line="68"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COVID-19 has spread to almost every country in the world and all 50 states within the United States. Global health concerns relating to the outbreak of COVID-19 have been weighing on the macroeconomic environment, and the outbreak has significantly increased economic uncertainty. GoodRx is closely monitoring how the spread of COVID-19 is affecting its employees, customers and business operations. The outbreak has resulted in authorities implementing numerous measures to try to contain the virus, such as travel bans and restrictions, quarantines, shelter-in-place orders, and business shutdowns. In particular for our business, governmental authorities have also recommended, and in certain cases, required, that elective or other medical appointments be suspended or cancelled to avoid non-essential patient exposure to medical environments and potential infection. These and other measures have not only negatively impacted consumer spending and business spending habits, they have adversely impacted and may further impact our workforce and operations and the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both"/>
        <w:spacing w:after="0" w:line="238" w:lineRule="auto"/>
        <w:rPr>
          <w:sz w:val="20"/>
          <w:szCs w:val="20"/>
          <w:color w:val="auto"/>
        </w:rPr>
      </w:pPr>
      <w:r>
        <w:rPr>
          <w:rFonts w:ascii="Arial" w:cs="Arial" w:eastAsia="Arial" w:hAnsi="Arial"/>
          <w:sz w:val="18"/>
          <w:szCs w:val="18"/>
          <w:color w:val="auto"/>
        </w:rPr>
        <w:t>operations of healthcare professionals, pharmacies, consumers, PBMs and others in the broader healthcare ecosystem. Although certain of these measures are beginning to ease in some geographic regions, overall measures to contain the COVID-19 outbreak may remain in place for a significant period of time, and certain geographic regions are experiencing a resurgence of COVID-19 infections. The duration and severity of this pandemic is unknown and the extent of the business disruption and financial impact depend on factors beyond our knowledge and control.</w:t>
      </w:r>
    </w:p>
    <w:p>
      <w:pPr>
        <w:spacing w:after="0" w:line="20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Given the uncertainty around the duration and extent of the COVID-19 pandemic, we expect the evolving COVID-19 pandemic to continue to impact our business, financial condition, results of operations and liquidity, but cannot accurately predict at this time the future potential impact on our business, financial condition, results of operations or liquidity. Various government measures, community self-isolation practices and shelter-in-place requirements, as well as the perceived need by individuals to continue such practices to avoid infection, have generally reduced the extent to which consumers visit healthcare professionals in-person, seek treatment for certain conditions or ailments, and receive and fill new prescriptions. Consumers may also increasingly elect to receive prescriptions by mail order instead of at the pharmacy, which could have an adverse impact on our prescription offering. In addition, many pharmacies and healthcare providers have reduced staffing, closed locations or otherwise limited operations, and many prescribing healthcare professionals have reduced or postponed treatment of certain patients. The number of Monthly Active Consumers and our prescription offering were adversely impacted in the second and third quarters of 2020 by consumers’ decisions to avoid visiting healthcare professionals and pharmacies in-person, which we believe has had a similar effect across the industry. Any decrease in the number of consumers seeking to fill prescriptions could negatively impact demand for and use of certain of our offerings, particularly our prescription offering, which would have an adverse effect on our business, financial condition and results of operations.</w:t>
      </w:r>
    </w:p>
    <w:p>
      <w:pPr>
        <w:spacing w:after="0" w:line="20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Conversely, pandemics, epidemics and outbreaks may significantly and temporarily increase demand for our telehealth offerings. COVID-19 has significantly accelerated the awareness and use of our telehealth offerings, including demand for our HeyDoctor offering and the utilization of our GoodRx Telehealth Marketplace. While we have experienced a significant increase in demand for the telehealth offerings, there can be no assurance that the levels of interest, demand and use of our telehealth offerings will continue at current levels or will not decrease during or after the pandemic. Any such decrease could have an adverse effect on our growth and the success of our telehealth offerings.</w:t>
      </w:r>
    </w:p>
    <w:p>
      <w:pPr>
        <w:spacing w:after="0" w:line="20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spread of COVID-19 has also caused us to modify our business practices (including employee travel, employee work locations, and the cancellation of physical participation in meetings, events and conferences), and we may take further actions as may be required by government authorities or that we determine are in the best interests of our employees, consumers and partners. For example, we have implemented work-from-home measures, which have required us to provide technical support to our employees to enable them to connect to our systems from their homes. In addition, COVID-19 and the determination of appropriate measures and business practices has diverted management’s time and attention. If our employees are not able to effectively work from home, or if our employees contract COVID-19 or another contagious disease due to their return to work or otherwise, we may experience a decrease in productivity and operational efficiency, which would negatively impact our business, financial condition and results of operations. There is also no certainty that the measures we have taken to mitigate the impact of COVID-19 on our business will be sufficient or otherwise be satisfactory to government authorities. Further, because most of our employees are working remotely in connection with the COVID-19 pandemic, we may experience an increased risk of security breaches, loss of data, and other disruptions as a result of accessing sensitive information from remote locations.</w:t>
      </w:r>
    </w:p>
    <w:p>
      <w:pPr>
        <w:spacing w:after="0" w:line="20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20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full extent to which the outbreak of COVID-19 will impact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20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To the extent the COVID-19 pandemic adversely affects our business, financial condition and results of operations, it may also have the effect of heightening many of the other risks described in this Part II, Item 1A, “Risk Factors.”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0" w:name="page51"/>
    <w:bookmarkEnd w:id="50"/>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68"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total addressable market (“TAM”), as estimated in our Prospectus, is based on internal estimates and third-party estimates regarding the size of each of the U.S. prescriptions market, pharmaceutical manufacturer solutions market and telehealth market, and is subject to significant uncertainty and is based on assumptions that may not prove to be accurate. In particular, we calculated the TAM for our prescription opportunity based on data from the Centers for Medicare &amp; Medicaid Services (“CMS”) regarding the expected size of the U.S. prescription market in 2020, plus our estimated value of prescriptions that are written but not filled. This estimate is based on third-party reports and is subject to significant assumptions and estimates. Additionally, we calculated the TAM for our pharmaceutical manufacturer solutions opportunity based on data published in an article in the Journal of the American Medical Association regarding the amount of advertising and marketing spending by U.S. pharmaceutical manufacturers in 2016. We calculated the TAM for our telehealth opportunity based on a report by McKinsey &amp; Company regarding the extent to which amounts spent on outpatient office and home health visits in 2020 can be addressed via telehealth offerings. These estimates, as well as the estimates and forecasts in our Prospectus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Additionally, our TAM for our prescription offering includes medications for which we are currently not able to offer savings on the prices paid by non-insured and insured consumers and for which we may not be able to provide savings on in the future.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99"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8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present certain operational metrics in our SEC filings, including Monthly Active Consumers, Monthly Visitors, GMV, savings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undercount or overcount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platform and offerings and other metrics. For example, we believe that there are consumers who access our offerings through multiple accounts or channels, and that there are groups of consumers, such as families, who access our offerings through single accounts or channels, both of which impact our number of Monthly Visitors, as each channel is counted independently.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9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The telehealth market is immature and volatile, and if it does not develop, or if it develops more slowly than we expect, the growth of our business will be harmed.</w:t>
      </w:r>
    </w:p>
    <w:p>
      <w:pPr>
        <w:spacing w:after="0" w:line="6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telehealth market is relatively new and unproven, and it is uncertain whether it will achieve and sustain high levels of demand, consumer acceptance and market adoption. The success of our telehealth offerings will depend to a substantial extent on the willingness of our consumers to use, and to increase the frequency and extent of their utilization of, our platform, as well as on our ability to demonstrate the value of telehealth to employers, health plans, government agencies and other purchasers of healthcare for beneficiaries. Furthermore, the GoodRx Telehealth Marketplace will require marketplace participants to offer their services and for consumers to purchase such services if it is to be successful. If any of these events do not occur or do not occur quickly, it could have a material adverse effect on our business, financial condition and results of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ind w:left="520"/>
        <w:spacing w:after="0"/>
        <w:rPr>
          <w:sz w:val="20"/>
          <w:szCs w:val="20"/>
          <w:color w:val="auto"/>
        </w:rPr>
      </w:pPr>
      <w:r>
        <w:rPr>
          <w:rFonts w:ascii="Arial" w:cs="Arial" w:eastAsia="Arial" w:hAnsi="Arial"/>
          <w:sz w:val="18"/>
          <w:szCs w:val="18"/>
          <w:b w:val="1"/>
          <w:bCs w:val="1"/>
          <w:i w:val="1"/>
          <w:iCs w:val="1"/>
          <w:color w:val="auto"/>
        </w:rPr>
        <w:t>Our telehealth offerings depend in part on our ability to maintain and expand a network of skilled telehealth providers.</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success of our telehealth offerings, including HeyDoctor and the GoodRx Telehealth Marketplace, depends in part on our continued ability to maintain a network of skilled and qualified telehealth providers. With respect to the GoodRx Telehealth Marketplace in particular, we are dependent on third-party entities, which we do not own or control, to provide healthcare services to consumers. There is significant competition in the telehealth market for qualified telehealth providers, and if we are unable to recruit or retain physicians and other healthcare professionals and service providers, it would negatively impact the growth of our telehealth offerings and would have a material adverse effect on our business, financial condition and results of operations.</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Negative media coverage could adversely affect our business.</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receive a high degree of media coverage in the United States. Unfavorable publicity regarding, for example, the healthcare industry, litigation or regulatory activity, the actions of the entities included or otherwise involved in our platform, negative perceptions of prescriptions included on our platform, medication pricing, pricing structures in place amongst the industry participants, our data privacy or data security practices, our platform or our revenue could materially adversely affect our reputation. Such negative publicity also could have an adverse effect on our ability to attract and retain consumers, partners, or employees, and result in decreased revenue, which would materially adversely affect our business, financial condition and results of operations.</w:t>
      </w:r>
    </w:p>
    <w:p>
      <w:pPr>
        <w:spacing w:after="0" w:line="29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may be unable to successfully respond to changes in the market for prescription pricing, and may fail to maintain and expand the use of GoodRx codes through our apps and websites.</w:t>
      </w:r>
    </w:p>
    <w:p>
      <w:pPr>
        <w:spacing w:after="0" w:line="68"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recent years, we believe that consumer preferences and access to prescription medication discounts has increasingly shifted from traditional offline or analog channels, such as newspapers and by direct mail, to digital or electronic channels, such as apps, websites and by email. It is difficult to predict whether the pace of the transition from traditional to digital channels will continue at the same rate and whether the growth of the digital channel will continue. While we actively promote the use of our apps and websites, if the demand for digital channels does not continue to grow as we expect, or if we fail to successfully address this demand through our platforms, our business could be harmed. Consumer access and preferences for purchasing medications may evolve in ways which may be difficult to predict. Further, if PBMs or pharmacy chains elect to directly distribute pricing information through their own digital channels, or if new or existing competitors are faster or better at addressing consumer demand and preferences for digital channels, or are able to offer more accessible discounted prices to consumers, our ability and success in presenting discounted prices on our platform may be impeded and our business, financial condition and results of operations would be adversely affected. If we cannot maintain a sufficient offering of discounted prices on our platform, new consumers and existing consumers may perceive our platform as less relevant, consumer traffic to our platform could decline and, as a result, new consumers and existing consumers may decrease their use of our platform or subscription offerings, which would affect our contracts with certain partners included or otherwise involved in our platform and have a material adverse effect on our business, financial condition and results of operations.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unable to maintain a positive perception regarding our platform or maintain and enhance our brand.</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 decrease in the quality or perceived quality of the discounted prices available through our platform, or of our telehealth offerings, including HeyDoctor and the GoodRx Telehealth Marketplace, could harm our reputation and damage our ability to attract and retain consumers and partners included or otherwise involved in our platform, which could adversely affect our business. Many factors that impact the perception of our offerings are beyond our control. For example, the success and perception of the GoodRx Telehealth Marketplace depends in part on the number, availability, and quality of service delivered by the telehealth providers included on the marketplace. While we can control which providers we include on the GoodRx Telehealth Marketplace, there can be no assurance that all such providers will consistently deliver the quality of service necessary to fulfill consumer expectations, and any negative experiences could have an adverse impact on our brand and reputation, which could impact consumer demand for our telehealth offerings and the extent to which providers seek to be included on or associated with the marketplace.</w:t>
      </w:r>
    </w:p>
    <w:p>
      <w:pPr>
        <w:spacing w:after="0" w:line="20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Maintaining and enhancing our GoodRx brand and the branding and image of our various offerings, such as HeyDoctor, is critical to our business and our ability to attract new and existing consumers to our platform. We expect that the promotion of our brand will require us to make substantial investments and as our market becomes more competitive, these branding initiatives may become increasingly difficult and expensive. The successful promotion of our brand will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both"/>
        <w:spacing w:after="0" w:line="238" w:lineRule="auto"/>
        <w:rPr>
          <w:sz w:val="20"/>
          <w:szCs w:val="20"/>
          <w:color w:val="auto"/>
        </w:rPr>
      </w:pPr>
      <w:r>
        <w:rPr>
          <w:rFonts w:ascii="Arial" w:cs="Arial" w:eastAsia="Arial" w:hAnsi="Arial"/>
          <w:sz w:val="18"/>
          <w:szCs w:val="18"/>
          <w:color w:val="auto"/>
        </w:rPr>
        <w:t>depend largely on our marketing and public relations efforts. If we do not successfully maintain and enhance our brand, we could lose consumer traffic, which could, in turn, cause PBMs and others to terminate or reduce the extent of their relationship with us. Our brand promotion activities may not be successful or may not yield net revenues sufficient to offset this cost, which could adversely affect our reputation and business.</w:t>
      </w:r>
    </w:p>
    <w:p>
      <w:pPr>
        <w:spacing w:after="0" w:line="291"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Class A common stock.</w:t>
      </w:r>
    </w:p>
    <w:p>
      <w:pPr>
        <w:spacing w:after="0" w:line="8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As a public company, we are required to comply with the requirements of The Sarbanes-Oxley Act of 2002 (the “Sarbanes-Oxley Act”). Under Section 404 of the Sarbanes-Oxley Act, we will be required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203"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In connection with the preparation of our financial statements for 2019, we identified certain control deficiencies in the design and operation of our internal control over financial reporting that constituted material weaknesses. The material weaknesses are:</w:t>
      </w:r>
    </w:p>
    <w:p>
      <w:pPr>
        <w:spacing w:after="0" w:line="89" w:lineRule="exact"/>
        <w:rPr>
          <w:sz w:val="20"/>
          <w:szCs w:val="20"/>
          <w:color w:val="auto"/>
        </w:rPr>
      </w:pPr>
    </w:p>
    <w:p>
      <w:pPr>
        <w:jc w:val="both"/>
        <w:ind w:left="880" w:hanging="373"/>
        <w:spacing w:after="0" w:line="23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an inability to consistently establish appropriate authorities and responsibilities in pursuit of our financial reporting objectives, as demonstrated by, amongst other things, insufficient segregation of duties in our finance and accounting functions.</w:t>
      </w:r>
    </w:p>
    <w:p>
      <w:pPr>
        <w:spacing w:after="0" w:line="94" w:lineRule="exact"/>
        <w:rPr>
          <w:rFonts w:ascii="Arial" w:cs="Arial" w:eastAsia="Arial" w:hAnsi="Arial"/>
          <w:sz w:val="18"/>
          <w:szCs w:val="18"/>
          <w:color w:val="auto"/>
        </w:rPr>
      </w:pPr>
    </w:p>
    <w:p>
      <w:pPr>
        <w:jc w:val="both"/>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due in part to acquisitions and other changes to our business.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material weaknesses contributed to the following additional material weaknesses:</w:t>
      </w:r>
    </w:p>
    <w:p>
      <w:pPr>
        <w:spacing w:after="0" w:line="104" w:lineRule="exact"/>
        <w:rPr>
          <w:sz w:val="20"/>
          <w:szCs w:val="20"/>
          <w:color w:val="auto"/>
        </w:rPr>
      </w:pPr>
    </w:p>
    <w:p>
      <w:pPr>
        <w:ind w:left="880" w:hanging="373"/>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complex transactions.</w:t>
      </w:r>
    </w:p>
    <w:p>
      <w:pPr>
        <w:spacing w:after="0" w:line="88"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business performance reviews, account reconciliations and journal entries. Additionally, we did not design and maintain controls over the classification and presentation of accounts and disclosures in the financial statements.</w:t>
      </w:r>
    </w:p>
    <w:p>
      <w:pPr>
        <w:spacing w:after="0" w:line="96" w:lineRule="exact"/>
        <w:rPr>
          <w:rFonts w:ascii="Arial" w:cs="Arial" w:eastAsia="Arial" w:hAnsi="Arial"/>
          <w:sz w:val="18"/>
          <w:szCs w:val="18"/>
          <w:color w:val="auto"/>
        </w:rPr>
      </w:pPr>
    </w:p>
    <w:p>
      <w:pPr>
        <w:jc w:val="both"/>
        <w:ind w:left="880" w:hanging="373"/>
        <w:spacing w:after="0" w:line="23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These material weaknesses resulted in adjustments identified by our independent registered public accounting firm and recorded by us primarily related to goodwill, capitalized software, leases, debt extinguishment, revenue recognition and sales allowances. These material weaknesses could result in a misstatement of our accounts or disclosures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3" w:name="page54"/>
    <w:bookmarkEnd w:id="53"/>
    <w:p>
      <w:pPr>
        <w:jc w:val="both"/>
        <w:ind w:firstLine="510"/>
        <w:spacing w:after="0" w:line="236" w:lineRule="auto"/>
        <w:rPr>
          <w:sz w:val="20"/>
          <w:szCs w:val="20"/>
          <w:color w:val="auto"/>
        </w:rPr>
      </w:pPr>
      <w:r>
        <w:rPr>
          <w:rFonts w:ascii="Arial" w:cs="Arial" w:eastAsia="Arial" w:hAnsi="Arial"/>
          <w:sz w:val="18"/>
          <w:szCs w:val="18"/>
          <w:color w:val="auto"/>
        </w:rPr>
        <w:t>Our management and independent registered public accounting firm did not perform an evaluation of our internal control over financial reporting during any period in accordance with the provisions of Sarbanes-Oxley Act. Had we performed an evaluation and had our independent registered public accounting firm performed an audit of our internal control over financial reporting in accordance with the provisions of Sarbanes-Oxley Act, additional material weaknesses may have been identified. We are in the very early stages of the costly and challenging process of compiling the system and processing documentation necessary to perform the evaluation needed to comply with Section 404(a) of Sarbanes-Oxley Act and we are taking steps to remediate the material weaknesses. Management, with the participation of the Audit Committee and the Board of Directors, is engaged in remedial activities to address the material weaknesses described above. Those remediation measures are ongoing and include the following:</w:t>
      </w:r>
    </w:p>
    <w:p>
      <w:pPr>
        <w:spacing w:after="0" w:line="100" w:lineRule="exact"/>
        <w:rPr>
          <w:sz w:val="20"/>
          <w:szCs w:val="20"/>
          <w:color w:val="auto"/>
        </w:rPr>
      </w:pPr>
    </w:p>
    <w:p>
      <w:pPr>
        <w:ind w:left="880" w:right="20" w:hanging="373"/>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prepared a remediation plan for each of the material weaknesses and begun training process owners, evaluating process adoption and monitoring results.</w:t>
      </w:r>
    </w:p>
    <w:p>
      <w:pPr>
        <w:spacing w:after="0" w:line="88"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engaged third party professionals to advise Management in connection with the remediation of each of the material weaknesses.</w:t>
      </w:r>
    </w:p>
    <w:p>
      <w:pPr>
        <w:spacing w:after="0" w:line="88" w:lineRule="exact"/>
        <w:rPr>
          <w:rFonts w:ascii="Arial" w:cs="Arial" w:eastAsia="Arial" w:hAnsi="Arial"/>
          <w:sz w:val="18"/>
          <w:szCs w:val="18"/>
          <w:color w:val="auto"/>
        </w:rPr>
      </w:pPr>
    </w:p>
    <w:p>
      <w:pPr>
        <w:jc w:val="both"/>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recently hired, and plan to continue to hire, additional accounting and IT personnel during 2020 to bolster our technical reporting, transactional accounting and IT capabilities. We are implementing controls to formalize roles and review responsibilities to align with our team’s skills and experience and implement formal controls over segregation of duties.</w:t>
      </w:r>
    </w:p>
    <w:p>
      <w:pPr>
        <w:spacing w:after="0" w:line="9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implementing procedures to identify and evaluate changes in our business and the impact on our controls.</w:t>
      </w:r>
    </w:p>
    <w:p>
      <w:pPr>
        <w:spacing w:after="0" w:line="117" w:lineRule="exact"/>
        <w:rPr>
          <w:rFonts w:ascii="Arial" w:cs="Arial" w:eastAsia="Arial" w:hAnsi="Arial"/>
          <w:sz w:val="18"/>
          <w:szCs w:val="18"/>
          <w:color w:val="auto"/>
        </w:rPr>
      </w:pPr>
    </w:p>
    <w:p>
      <w:pPr>
        <w:jc w:val="both"/>
        <w:ind w:left="880" w:hanging="373"/>
        <w:spacing w:after="0" w:line="23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formally assessing complex accounting transactions and other technical accounting and financial reporting matters including controls over the preparation and review of accounting memoranda addressing these matters. During the quarter ended September 30, 2020, we implemented controls to identify complex accounting transactions and to require that the accounting implications of such transactions are formally assessed, documented and reviewed by a relevant senior member of our accounting team. In addition, we have engaged third party subject matter experts to advise us with respect to certain complex non-routine transactions in addition to Management’s review of such transactions, where appropriate.</w:t>
      </w:r>
    </w:p>
    <w:p>
      <w:pPr>
        <w:spacing w:after="0" w:line="96" w:lineRule="exact"/>
        <w:rPr>
          <w:rFonts w:ascii="Arial" w:cs="Arial" w:eastAsia="Arial" w:hAnsi="Arial"/>
          <w:sz w:val="18"/>
          <w:szCs w:val="18"/>
          <w:color w:val="auto"/>
        </w:rPr>
      </w:pPr>
    </w:p>
    <w:p>
      <w:pPr>
        <w:jc w:val="both"/>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first quarter of 2020, we implemented a new enterprise resource planning (“ERP”) system. We are in the process of designing and implementing controls over this ERP system to, among other things, automate certain controls, enforce segregation of duties and facilitate the review of journal entries.</w:t>
      </w:r>
    </w:p>
    <w:p>
      <w:pPr>
        <w:spacing w:after="0" w:line="94" w:lineRule="exact"/>
        <w:rPr>
          <w:rFonts w:ascii="Arial" w:cs="Arial" w:eastAsia="Arial" w:hAnsi="Arial"/>
          <w:sz w:val="18"/>
          <w:szCs w:val="18"/>
          <w:color w:val="auto"/>
        </w:rPr>
      </w:pPr>
    </w:p>
    <w:p>
      <w:pPr>
        <w:jc w:val="both"/>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implementing formal processes, policies, and procedures supporting our financial close process, including creating standard balance sheet reconciliation templates, establishing and reviewing thresholds for business performance reviews, and formalizing procedures over the review of financial statements.</w:t>
      </w:r>
    </w:p>
    <w:p>
      <w:pPr>
        <w:spacing w:after="0" w:line="94" w:lineRule="exact"/>
        <w:rPr>
          <w:rFonts w:ascii="Arial" w:cs="Arial" w:eastAsia="Arial" w:hAnsi="Arial"/>
          <w:sz w:val="18"/>
          <w:szCs w:val="18"/>
          <w:color w:val="auto"/>
        </w:rPr>
      </w:pPr>
    </w:p>
    <w:p>
      <w:pPr>
        <w:jc w:val="both"/>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enhancing IT governance processes, including automating components of our change management and logical access processes, enhancing role-based access and logging capabilities, implementing automated controls and implementing more robust IT policies and procedures over change management and computer operations.</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While we believe these efforts will remediate the material weaknesses, we may not be able to complete our evaluation, testing or any required remediation in a timely fashion.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Any failure to maintain effective internal control over financial reporting could severely inhibit our ability to accurately report our financial condition or results of operations.</w:t>
      </w:r>
    </w:p>
    <w:p>
      <w:pPr>
        <w:spacing w:after="0" w:line="20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If we fail to remediate these material weaknesses or identify new material weaknesses by the time we have to issue our first Section 404(a) assessment on the effectiveness of our internal control over financial reporting, we will not be able to conclude that our internal control over financial reporting is effective, which may cause investors to lose confidence in our financial statements, and the trading price of our Class A common stock may decline. If we fail to remedy any material weakness, our financial statements may be inaccurate, our access to the capital markets may be restricted and the trading price of our Class A common stock may suffer.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4" w:name="page55"/>
    <w:bookmarkEnd w:id="54"/>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subject us to fines or other penalties or be an ineffective source to market our offerings.</w:t>
      </w:r>
    </w:p>
    <w:p>
      <w:pPr>
        <w:spacing w:after="0" w:line="6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use social media, emails and text messages as part of our omnichannel approach to marketing and consumer outreach. Changes to these social networking services’ terms of use or terms of service that limit promotional communications, restrictions that would limit our ability or our consumers’ ability to send communications through their services, disruptions or downtime experienced by these social networking services or reductions in the use of or engagement with social networking services by consumers and potential consumers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emails and text messages could also cause reputational damage and adversely affect our business.</w:t>
      </w:r>
    </w:p>
    <w:p>
      <w:pPr>
        <w:spacing w:after="0" w:line="20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consumers may engage with us online through our social media pages, including, for example, our presence on Facebook, Instagram and Twitter, by providing feedback and public commentary about all aspects of our business. Information concerning us or our offerings and brands,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20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Additionally, we use emails and text messages to communicate with consumers and we collect consumer data, including email addresses and phone numbers, to further our marketing efforts with such consenting consumers. If we fail to adequately or accurately collect such data or if our data collection systems are breached, our business, financial condition and results of operations could be harmed. Further, any failure, or perceived failure, by us, or any third parties processing such data, to comply with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would adversely affect our reputation, brand and business, and may result in claims, proceedings or actions against us by governmental entities, consumers, suppliers or others or other liabilities or may require us to change our operations and/or cease using certain data sets.</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unable to accurately forecast revenue and appropriately plan our expenses in the future.</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base our current and future expense levels on our operating forecasts and estimates of future income. Income and results of operations are difficult to forecast because they generally depend on the number and timing of our consumers using our platform, signing up for a subscription or using the services provided by our telehealth platform, which are uncertain. Additionally, our business is affected by general economic and business conditions around the world, including the impact of COVID-19. A softening in income, whether caused by changes in consumer preferences or a weakening in global economies, may result in decreased revenue levels, and we may be unable to adjust our spending in a timely manner to compensate for any unexpected shortfall in income. This inability could result in lower net income or greater net loss in a given quarter than expected.</w:t>
      </w:r>
    </w:p>
    <w:p>
      <w:pPr>
        <w:spacing w:after="0" w:line="28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maintain competitiveness, and must adapt to technological developments or industry trends.</w:t>
      </w:r>
    </w:p>
    <w:p>
      <w:pPr>
        <w:spacing w:after="0" w:line="6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ability to attract new consumers and increase revenue from our existing consumers depends in large part on our ability to enhance and improve our existing offerings, increase adoption and usage of our offerings, and introduce new features and capabilities. The markets in which we compete are relatively new and subject to rapid technological change, evolving industry standards, and changing regulations, as well as changing consumer needs, requirements and preferences. The success of our business will depend, in part, on our ability to adapt and respond effectively to these changes on a timely basis.</w:t>
      </w:r>
    </w:p>
    <w:p>
      <w:pPr>
        <w:spacing w:after="0" w:line="20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depend on the use of information technologies and systems. As our operations grow, we must continuously improve and upgrade our systems and infrastructure while maintaining or improving the reliability and integrity of our infrastructure. Our future success also depends on our ability to adapt our systems and infrastructure to meet rapidly evolving consumer trends and demands while continuing to improve the performance, features and reliability of our solutions in response to competitive services and offerings. The emergence of alternative platforms such as smartphones and tablets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spacing w:after="0" w:line="236" w:lineRule="auto"/>
        <w:rPr>
          <w:sz w:val="20"/>
          <w:szCs w:val="20"/>
          <w:color w:val="auto"/>
        </w:rPr>
      </w:pPr>
      <w:r>
        <w:rPr>
          <w:rFonts w:ascii="Arial" w:cs="Arial" w:eastAsia="Arial" w:hAnsi="Arial"/>
          <w:sz w:val="18"/>
          <w:szCs w:val="18"/>
          <w:color w:val="auto"/>
        </w:rPr>
        <w:t>and the emergence of niche competitors who may be able to optimize offerings, services or strategies for such platforms will require new investment in technology. New developments in other areas, such as cloud computing, have made it easier for competition to enter our markets due to lower up-front technology costs. In addition, we may not be able to maintain our existing systems or replace or introduce new technologies and systems as quickly as we would like or in a cost-effective manner. There is also no guarantee that we will possess the financial resources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applications and services becoming uncompetitive or obsolete. If we were unable to enhance our offerings and platform capabilities to keep pace with rapid technological and regulatory change,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29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8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(“IT Systems”)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IT Systems and the processing, transmission and storage of digital information. We have also outsourced elements of our IT Systems and data storage systems, and as a result a number of third-party vendors may or could have access to our confidential information.</w:t>
      </w:r>
    </w:p>
    <w:p>
      <w:pPr>
        <w:spacing w:after="0" w:line="20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Despite the implementation of preventative and detective security controls, such IT Systems are vulnerable to damage or interruption from a variety of sources, including telecommunications or network failures or interruptions, system malfunction, natural disasters, malicious human acts, terrorism and war. Such IT Systems,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As a result of the COVID-19 pandemic, we may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20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addition, the prevalent use of mobile devices that access confidential information increases the risk of data security breaches, which could lead to the loss of confidential information or other intellectual property. We can provide no assurance that our current IT Systems, or those of the third parties upon which we rely, are fully protected against cybersecurity threats.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problems, bugs, viruses, worms, malicious software programs and security vulnerabilities could be significant, and while we have implemented security measures to protect our data security and IT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offerings to consumers. Moreover, we and our third-party vendors collect, store and transmit sensitive data, including health-related information, personally identifiable information, intellectual property and proprietary business information in the ordinary course of our business.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federal Health Insurance Portability and Accountability Act of 1996(“HIPAA”) as well as regulations promulgated by the Federal Trade Commission (“FTC”) and state breach notification laws. We would also be exposed to 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6" w:name="page57"/>
    <w:bookmarkEnd w:id="56"/>
    <w:p>
      <w:pPr>
        <w:jc w:val="both"/>
        <w:spacing w:after="0" w:line="246" w:lineRule="auto"/>
        <w:rPr>
          <w:sz w:val="20"/>
          <w:szCs w:val="20"/>
          <w:color w:val="auto"/>
        </w:rPr>
      </w:pPr>
      <w:r>
        <w:rPr>
          <w:rFonts w:ascii="Arial" w:cs="Arial" w:eastAsia="Arial" w:hAnsi="Arial"/>
          <w:sz w:val="18"/>
          <w:szCs w:val="18"/>
          <w:color w:val="auto"/>
        </w:rPr>
        <w:t>risk of loss or litigation and potential liability, which could materially adversely affect our business, results of operations and financial condition.</w:t>
      </w:r>
    </w:p>
    <w:p>
      <w:pPr>
        <w:spacing w:after="0" w:line="19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If our or our third-party vendors’ security measures fail or are breached, it could result in unauthorized access to confidential and proprietary business information, intellectual property, sensitive consumer data (including health-related information) or other personally identifiable information of our consumers, employees, partners or contractors, a loss of or damage to our data, or an inability to access data sources, process data or provide our services. Such failures or breaches of our or our third-party vendors’ security measures, or our or our third-party vendors’ inability to effectively resolve such failures or breaches in a timely manner, could severely damage our reputation, adversely impact consumer, partner, or investor confidence in us, and reduce the demand for our solutions and services. In addition, we could face litigation,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The costs related to significant security breaches or disruptions could be material and exceed the limits of the cybersecurity insurance we maintain against such risks. If the IT Systems of our third-party vendors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disruption or loss to IT Systems on which critical aspects of our operations depend could have an adverse effect on our business.</w:t>
      </w:r>
    </w:p>
    <w:p>
      <w:pPr>
        <w:spacing w:after="0" w:line="28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laws and regulations could substantially harm our business and results of operations.</w:t>
      </w:r>
    </w:p>
    <w:p>
      <w:pPr>
        <w:spacing w:after="0" w:line="6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are subject to general business regulations and laws specifically governing the internet and e-commerce. Furthermore, the regulatory landscape impacting these areas is constantly evolving. Existing and future regulations and laws could impede the growth of the internet, e-commerce or other online services. These regulations and laws may involve taxation, tariffs, privacy and data security, anti-spam, data protection, content, copyrights, distribution, electronic contracts, electronic communications, money laundering, electronic payments and consumer protection. It is not clear how existing laws and regulations governing issues such as property ownership, sales and other taxes, libel and personal privacy apply to the internet as the vast majority of these laws and regulations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w:t>
      </w:r>
    </w:p>
    <w:p>
      <w:pPr>
        <w:spacing w:after="0" w:line="20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cannot assure you that our practices have complied, comply or will in the future comply with all such laws and regulations. Any failure, or perceived failure, by us to comply with any of these laws or regulations could result in damage to our reputation, a loss in business, and proceedings or actions against us by governmental entities or others. For example, recent automatic renewal laws, which require companies to adhere to enhanced disclosure requirements when entering into automatically renewing contracts with consumers, resulted in class action lawsuits against companies that offer online products and services on a subscription or recurring basis. These and similar proceedings or actions could hurt our reputation, force us to spend significant resources in defense of these proceedings, distract our management, increase our costs of doing business, and cause consumers and paid merchants to decrease their use of our platform,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apps and websites or may even attempt to completely block access to our platform. Adverse legal or regulatory developments could substantially harm our business.</w:t>
      </w:r>
    </w:p>
    <w:p>
      <w:pPr>
        <w:spacing w:after="0" w:line="291"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8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business depends in part upon the emailing and mailing of promotional materials, cards with GoodRx codes and other information to consumers and healthcare providers, and is also significantly dependent on email and other messaging channels, such as text messages. We distribute pricing information and other promotional materials in the mail, and also provide emails, mobile alerts and other messages to consumers informing them of the discounted prices available on our apps and websites. These communications help generate a significant portion of our revenues. Because email, mail and other messaging channels are important to our business, if we are unable to successfully deliver messages to consumers through these channels, if there are legal restrictions on delivering such messages to consumers, if consumers do not or cannot open or otherwise utilize our messages or if consumers reject the receipt of communications referencing particular prescriptions or conditions, our revenues and profitability would be adversely affected.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7" w:name="page58"/>
    <w:bookmarkEnd w:id="57"/>
    <w:p>
      <w:pPr>
        <w:jc w:val="both"/>
        <w:ind w:firstLine="510"/>
        <w:spacing w:after="0" w:line="237" w:lineRule="auto"/>
        <w:rPr>
          <w:sz w:val="20"/>
          <w:szCs w:val="20"/>
          <w:color w:val="auto"/>
        </w:rPr>
      </w:pPr>
      <w:r>
        <w:rPr>
          <w:rFonts w:ascii="Arial" w:cs="Arial" w:eastAsia="Arial" w:hAnsi="Arial"/>
          <w:sz w:val="18"/>
          <w:szCs w:val="18"/>
          <w:color w:val="auto"/>
        </w:rPr>
        <w:t>Actions taken by third parties that block, impose restrictions on or charge for the delivery of these communications could also harm our business. For example, from time to time, internet service providers or other third parties may block bulk communications or otherwise experience difficulties that result in our inability to successfully deliver communications to consumers. In addition, our use of mail, email and other messaging channels to send communications about our platform or other matters, including health related topics referencing particular prescriptions or conditions, may result in legal claims against us, which if successful might limit or prohibit our ability to send such communications.</w:t>
      </w:r>
    </w:p>
    <w:p>
      <w:pPr>
        <w:spacing w:after="0" w:line="20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rely on a single third-party service provider for the delivery of substantially all of our mailing communications and rely on third-party service providers for delivery of emails, text messages and other forms of electronic communication. If we were unable to use any one of our current service providers, alternate providers are available; however, we believe our revenue could be impacted for some period as we transition to a new provider, and the new provider may be unable to provide equivalent or satisfactory services. Any disruption or restriction on the distribution of our communications, termination or disruption of our relationships with our third-party service providers, particularly our single third-party service provider for the delivery of mail communications, or any increase in the associated costs, may be beyond our control and would adversely affect our business.</w:t>
      </w:r>
    </w:p>
    <w:p>
      <w:pPr>
        <w:spacing w:after="0" w:line="28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face the risk of litigation resulting from unauthorized text messages sent in violation of the Telephone Consumer Protection Act.</w:t>
      </w:r>
    </w:p>
    <w:p>
      <w:pPr>
        <w:spacing w:after="0" w:line="68"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send short message service (“SMS”) text messages to individuals who are eligible to use our service. The actual or perceived improper sending of text messages may subject us to potential risks, including liabilities or claims relating to consumer protection laws. Numerous class action suits under federal and state laws have been filed in recent years against companies who conduct SMS texting programs, with many resulting in multi-million-dollar settlements to the plaintiffs. We have been, and in the future may be subject to such litigation, which could be costly and time-consuming to defend. The Telephone Consumer Protection Act (TCPA) of 1991, a federal statute that protects consumers from unwanted telephone calls, faxes and text messages, restricts telemarketing and the use of automated SMS text messages without proper consent. Federal or state regulatory authorities or private litigants may claim that the notices and disclosures we provide, form of consents we obtain or our SMS texting practices are not adequate or violate applicable law. This has resulted and may in the future result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 Even an unsuccessful challenge of our SMS texting practices by our consumers, regulatory authorities or other third parties could result in negative publicity and could require a costly response from and defense by us.</w:t>
      </w:r>
    </w:p>
    <w:p>
      <w:pPr>
        <w:spacing w:after="0" w:line="30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8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rely on a variety of marketing techniques, including email and social media marketing and postal mailings, and we are subject to various laws and regulations that govern such marketing and advertising practices. A variety of federal and state laws and regulations govern the collection, use, retention, sharing and security of consumer data, particularly in the context of online advertising, which we rely upon to attract new consumers.</w:t>
      </w:r>
    </w:p>
    <w:p>
      <w:pPr>
        <w:spacing w:after="0" w:line="20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Laws and regulations relating to privacy, data protection, marketing and advertising, and consumer protection are evolving and subject to potentially differing interpretations. These requirements may be interpreted and applied in a manner that varies from one jurisdiction to another and/or may conflict with other law or regulations. As a result, our practices may not have complied or may not comply in the future with all such laws, regulations, requirements and obligations. Any failure, or perceived failure, by us or any of our third-party partners, data centers, or service providers to comply with privacy policies or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consumers, suppliers or others. These proceedings may result in financial liabilities or may require us to change our operations, including ceasing the use or sharing of certain data sets. Any such claims, proceedings or actions could hurt our reputation, brand and business, force us to incur significant expenses in defense of such proceedings or actions, distract our management, increase our costs of doing business, result in a loss of consumers, suppliers, and contracts with PBMs and others and result in the imposition of monetary penalties. We are also contractually required to indemnify and hold harmless certain third parties from the costs or consequences of non-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8" w:name="page59"/>
    <w:bookmarkEnd w:id="58"/>
    <w:p>
      <w:pPr>
        <w:jc w:val="both"/>
        <w:spacing w:after="0" w:line="236" w:lineRule="auto"/>
        <w:rPr>
          <w:sz w:val="20"/>
          <w:szCs w:val="20"/>
          <w:color w:val="auto"/>
        </w:rPr>
      </w:pPr>
      <w:r>
        <w:rPr>
          <w:rFonts w:ascii="Arial" w:cs="Arial" w:eastAsia="Arial" w:hAnsi="Arial"/>
          <w:sz w:val="18"/>
          <w:szCs w:val="18"/>
          <w:color w:val="auto"/>
        </w:rPr>
        <w:t>compliance with any laws, regulations or other legal obligations relating to privacy or consumer protection or any inadvertent or unauthorized use or disclosure of data that we store or handle as part of operating our business. Federal and state governmental authorities continue to evaluate the privacy implications inherent in the use of third-party “cookies” and other methods of online tracking for behavioral advertising and other purposes. The U.S. federal and state governments have enacted, and may in the future enact legislation or regulations impacting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limits on behavioral or targeted advertising and/or means to make it easier for internet users to prevent the placement of cookies or to block other tracking technologies, which could, if widely adopted, result in the decreased effectiveness or use of third-party cookies and other methods of online tracking, targeting or re-targeting. The regulation of the use of these cookies and other current online tracking and advertising practices or a loss in our ability to make effective use of services that employ such technologies could increase our costs of operations and limit our ability to acquire new consumers on cost-effective terms and consequently, materially and adversely affect our business, financial condition and results of operations.</w:t>
      </w:r>
    </w:p>
    <w:p>
      <w:pPr>
        <w:spacing w:after="0" w:line="20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addition, various federal and state legislative and regulatory bodies (“self-regulatory organizations”) may expand current laws or regulations, enact new laws or regulations or issue revised rules or guidance regarding privacy, data protection, consumer protection, and advertising. In June 2018, California enacted the California Consumer Privacy Act of 2018 (the “CCPA”), which became effective on January 1, 2020. The CCPA creates individual privacy rights for California consumers and increases the privacy and security obligations of entities handling certain personal data. For example, the CCPA gives California residents expanded rights to access and require deletion of their personal information, opt out of certain personal information sharing and receive detailed information about how their personal information is used. Failure to comply with the CCPA may result in attorney general enforcement action and damage to our reputation. The CCPA provides for civil penalties for violations, as well as a private right of action for data breaches that is expected to increase data breach litigation. The CCPA may increase our compliance costs and potential liability. Additionally, a new California ballot initiative, the California Privacy Rights Act, was voted into law by California residents in November 2020 and will impose additional data protection obligations on companies doing business in California, including additional consumer rights processes and opt outs for certain uses of sensitive data. It will also create a new California data protection agency specifically tasked to enforce the law, which is likely to result in increased regulatory scrutiny of California businesses in the areas of data protection and security. Further, many similar laws have been proposed at the federal level and in other states. For instance, the state of Nevada recently enacted a law that went into force on October 1, 2019 and requires companies to honor consumers’ requests to no longer sell their data. Violators may be subject to injunctions and civil penalties of up to $5,000 per violation.</w:t>
      </w:r>
    </w:p>
    <w:p>
      <w:pPr>
        <w:spacing w:after="0" w:line="21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Additionally, the interpretations of existing federal and state consumer protection laws relating to online collection, use, dissemination, and security of health related and other personal information adopted by the FTC, state attorneys general, private plaintiffs, and courts have evolved, and may continue to evolve, over time.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and thus violate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March 2020, we received a letter from the FTC indicating its intent to investigate our privacy and security practices to determine whether such practices comply with Section 5 of the FTC Act. In April 2020, the FTC sent a request for documents and information relating primarily to our products and services as well as our privacy and security practices. We are cooperating with the FTC’s requests for documents and information. Responding to these requests has and may continue to consume substantial amounts of our time and resources and may divert management’s attention from the business. No assurance can be given regarding the timing or outcome of the investigation. As a result of investigations of this nature, we may face litigation or agree to settlements that can include monetary remedies and/or compliance requirements that may impose significant and material cost and resource burdens on us, require certain aspects of our operations to be overseen by an independent monitor, and/or limit or eliminate our ability to use certain targeting marketing strategies or work with certain third-party vendors. Any of these events could adversely affect our ability to operate our business and our financial results.</w:t>
      </w:r>
    </w:p>
    <w:p>
      <w:pPr>
        <w:spacing w:after="0" w:line="21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In addition, HIPAA, which we believe does not currently apply to most of our business as currently operated, imposes on entities within its jurisdiction, among other things, certain standards relating to the privacy, security, transmission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9" w:name="page60"/>
    <w:bookmarkEnd w:id="59"/>
    <w:p>
      <w:pPr>
        <w:jc w:val="both"/>
        <w:spacing w:after="0" w:line="237" w:lineRule="auto"/>
        <w:rPr>
          <w:sz w:val="20"/>
          <w:szCs w:val="20"/>
          <w:color w:val="auto"/>
        </w:rPr>
      </w:pPr>
      <w:r>
        <w:rPr>
          <w:rFonts w:ascii="Arial" w:cs="Arial" w:eastAsia="Arial" w:hAnsi="Arial"/>
          <w:sz w:val="18"/>
          <w:szCs w:val="18"/>
          <w:color w:val="auto"/>
        </w:rPr>
        <w:t>breach reporting of individually identifiable health information. For example,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w:t>
      </w:r>
    </w:p>
    <w:p>
      <w:pPr>
        <w:spacing w:after="0" w:line="20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Certain states have adopted or are considering adopting comparable privacy and security laws and regulations, some of which may be more stringent or expansive than HIPAA. In addition, legislative proposals on the federal level include comparable privacy and security laws and regulations, which may be more stringent or expansive than HIPAA. Such laws and regulations will be subject to interpretation by various courts and other governmental authorities, thus creating potentially complex compliance issues for us and our consumers and strategic partners.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(the “Code”) if a corporation undergoes an “ownership change” (generally defined as a change (by value) in its equity ownership by more than 50 percentage points over a rolling three-year period), the corporation’s ability to use its pre-change net operating loss (“NOL”), carryforwards and other pre-change tax attributes to offset its post-change income may be limited. At this time, we have not completed a study to assess whether an ownership change under Section 382 of the Code has occurred, or whether there have been multiple ownership changes since our formation. We may also experience ownership changes in the future as a result of subsequent shifts in our stock ownership. If finalized, Treasury Regulations currently proposed under Section 382 of the Code may further limit our ability to utilize our pre-change NOLs or credits if we undergo a future ownership change. Further, U.S. tax laws limit the time during which NOL carryforwards generated before January 1, 2018 may be applied against future taxes. While NOL carryforwards generated on or after January 1, 2018 are not subject to expiration, the deductibility of such NOL carryforwards is limited to 80% of our taxable income for taxable years beginning on or after January 1, 2021. For these reasons, our ability to utilize NOL carryforwards and other tax attributes to reduce future tax liabilities may be limited.</w:t>
      </w:r>
    </w:p>
    <w:p>
      <w:pPr>
        <w:spacing w:after="0" w:line="29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Our management team has limited experience managing a public company, and regulatory compliance may divert its attention from the day-to-day management of our business.</w:t>
      </w:r>
    </w:p>
    <w:p>
      <w:pPr>
        <w:spacing w:after="0" w:line="6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management team has limited experience managing a publicly-traded company and limited experience complying with the increasingly complex laws and regulations pertaining to public companies. Our management team may not successfully or efficiently manage our transition to being a public company that is subject to significant regulatory oversight and reporting obligations under the federal securities laws. In particular, these new obligations require substantial attention from our senior management and could divert their attention away from the day-to-day management of our business, which would adversely impact our business operations.</w:t>
      </w:r>
    </w:p>
    <w:p>
      <w:pPr>
        <w:spacing w:after="0" w:line="2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6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The market for such positions is competitive. Qualified individuals are in high demand and we may incur significant costs to attract them. In addition, the loss of any of our senior management or other key employees or our inability to recruit and develop mid-level managers could materially and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293"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General economic factors, natural disasters or other unexpected events may adversely affect our business, financial performance and results of operations.</w:t>
      </w:r>
    </w:p>
    <w:p>
      <w:pPr>
        <w:spacing w:after="0" w:line="68"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Although we only operate in the United States, our business, financial performance and results of operations depend in part on worldwide macroeconomic economic conditions and their impact on consumer spending. Recessionary economic cycles, higher interest rates, volatile fuel and energy costs, inflation, levels of unemployment, conditions in the residential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0" w:name="page61"/>
    <w:bookmarkEnd w:id="60"/>
    <w:p>
      <w:pPr>
        <w:jc w:val="both"/>
        <w:spacing w:after="0" w:line="237" w:lineRule="auto"/>
        <w:rPr>
          <w:sz w:val="20"/>
          <w:szCs w:val="20"/>
          <w:color w:val="auto"/>
        </w:rPr>
      </w:pPr>
      <w:r>
        <w:rPr>
          <w:rFonts w:ascii="Arial" w:cs="Arial" w:eastAsia="Arial" w:hAnsi="Arial"/>
          <w:sz w:val="18"/>
          <w:szCs w:val="18"/>
          <w:color w:val="auto"/>
        </w:rPr>
        <w:t>real estate and mortgage markets, access to credit, consumer debt levels, unsettled financial markets and other economic factors that may affect costs of manufacturing prescription medications, consumer spending or buying habits could materially and adversely affect demand for our offerings. Volatility in the financial markets has also had and may continue to have a negative impact on consumer spending patterns. In addition, negative national or global economic conditions may materially and adversely affect the PBMs we contract with and their associated pharmacy networks, financial performance, liquidity and access to capital. This may affect their ability to renew contracts with us on the same or better terms, which could impact the competitiveness of the discounted prices we are able to offer our consumers, which could harm our business, financial condition and results of operations.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Economic factors such as increased insurance and healthcare costs, commodity prices, shipping costs, inflation, higher costs of labor, and changes in or interpretations of other laws, regulations and taxes may also increase our costs and our make our offerings less competitive, increase general and administrative expenses, and otherwise adversely affect our financial condition and results of operations. Additionally,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If any of these events occurs, our business could be adversely affected.</w:t>
      </w:r>
    </w:p>
    <w:p>
      <w:pPr>
        <w:spacing w:after="0" w:line="29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8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have completed a number of strategic acquisitions in the past, including HeyDoctor in 2019 and Scriptcycle in 2020, and may in the future consider opportunities to acquire or make investments in new or complementary businesses, technologies, offerings, or products, or enter into strategic alliances, that may enhance our capabilities, expand our pharmacy or PBM networks and healthcare platform in general, complement our current offerings or expand the breadth of our markets. Our ability to successfully grow through these types of strategic transactions depends upon our ability to identify, negotiate, complete and integrate suitable target businesses, technologies and products and to obtain any necessary financing, and is subject to numerous risks, including:</w:t>
      </w:r>
    </w:p>
    <w:p>
      <w:pPr>
        <w:spacing w:after="0" w:line="97" w:lineRule="exact"/>
        <w:rPr>
          <w:sz w:val="20"/>
          <w:szCs w:val="20"/>
          <w:color w:val="auto"/>
        </w:rPr>
      </w:pPr>
    </w:p>
    <w:p>
      <w:pPr>
        <w:ind w:left="880" w:hanging="373"/>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identify acquisition, investment or other strategic alliance opportunities that we deem suitable or available on favorable terms;</w:t>
      </w:r>
    </w:p>
    <w:p>
      <w:pPr>
        <w:spacing w:after="0" w:line="88" w:lineRule="exact"/>
        <w:rPr>
          <w:rFonts w:ascii="Arial" w:cs="Arial" w:eastAsia="Arial" w:hAnsi="Arial"/>
          <w:sz w:val="18"/>
          <w:szCs w:val="18"/>
          <w:color w:val="auto"/>
        </w:rPr>
      </w:pPr>
    </w:p>
    <w:p>
      <w:pPr>
        <w:ind w:left="880" w:right="20" w:hanging="373"/>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integrating the acquired business, technologies or products, including issues maintaining uniform standards, procedures, controls and policies;</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costs associated with acquisitions, investments or strategic alliances;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impacts on our overall margins;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consumers, pharmacies and PBMs;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may have limited or no experience;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In the future, if our acquisitions do not yield expected returns, we may be required to take impairment charges to our results of operations based on our impairment assessment process, which could harm our results of operations.</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If we are unable to identify suitable acquisitions or strategic relationships, or if we are unable to integrate any acquired businesses, technologies and products effectively, our business, financial condition and results of operations could be materially and adversely affected. Also, while we employ several different methodologies to assess potential business opportunities, the new businesses may not meet or exceed our expectations.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1" w:name="page62"/>
    <w:bookmarkEnd w:id="61"/>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Restrictions in our debt arrangements could adversely affect our operating flexibility, and failure to comply with any of these restrictions could result in acceleration of our debt.</w:t>
      </w:r>
    </w:p>
    <w:p>
      <w:pPr>
        <w:spacing w:after="0" w:line="6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October 2018, GoodRx, Inc., our wholly owned subsidiary, as borrower, and GoodRx Intermediate Holdings, LLC, entered into a first lien credit agreement with various lenders (the “First Lien Credit Agreement”). The First Lien Credit Agreement provided for a $40.0 million secured asset-based revolving credit facility (the “Revolving Credit Facility”), and a $545.0 million senior secured term loan facility (the “First Lien Term Loan Facility” and, together with the Revolving Credit Facility, the “Credit Facilities”). In November 2019, the First Lien Term Loan Facility was amended to increase the amount of the facility to $700.0 million. In addition, in May 2020, the Revolving Credit Facility was amended to increase the amount of the facility to $100.0 million. As of September 30, 2020, we had $695.9 million of debt outstanding under our Credit Facilities, net of unamortized debt discount of $ 15.0 million, and the capacity to incur $62.9 million in additional indebtedness, subject to certain covenant requirements. In October 2020, the Company repaid the outstanding balance under its revolving line of credit of $28.0 million. These debt arrangements and additional debt arrangements that we expect to enter into in the future will limit our ability to, among other things:</w:t>
      </w:r>
    </w:p>
    <w:p>
      <w:pPr>
        <w:spacing w:after="0" w:line="98"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guarantee additional debt;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and make other restricted payments;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 merge or otherwise transfer, sell or dispose of all or substantially all of our assets;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certain types of restrictive agreements;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are also required to comply with certain financial ratios set forth in our First Lien Credit Agreement. Certain provisions in our current and future debt arrangements, including the First Lien Credit Agreement, may affect our ability to obtain future financing and to pursue attractive business opportunities and our flexibility in planning for, and reacting to, changes in business conditions. As a result, restrictions in our current and future debt arrangements could adversely affect our business, financial condition and results of operations. In addition, a failure to comply with the provisions of our current and future debt arrangements, including our First Lien Credit Agreement, could result in a default or an event of default that could enable our lenders to declare the outstanding principal of that debt, together with accrued and unpaid interest, to be immediately due and payable. If we were unable to repay those amounts, the lenders under our First Lien Credit Agreement and any other future secured debt agreement could proceed against the collateral granted to them to secure that indebtedness.</w:t>
      </w:r>
    </w:p>
    <w:p>
      <w:pPr>
        <w:spacing w:after="0" w:line="20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have pledged substantially all of our subsidiaries’ assets, including, among other things, equity interests of GoodRx, Inc. and its subsidiaries, as collateral under the First Lien Credit Agreement. If the payment of outstanding amounts under our First Lien Credit Agreement is accelerated, our assets may be insufficient to repay such amounts in full, and our common stockholders could experience a partial or total loss of their investment.</w:t>
      </w:r>
    </w:p>
    <w:p>
      <w:pPr>
        <w:spacing w:after="0" w:line="291"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8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 key element of our strategy is to generate a significant number of visitors to, and their use of, our apps and websites. Our reputation and ability to acquire, retain and serve our consumers are dependent upon the reliable performance of our apps and websites and the underlying network infrastructure. As our base of consumers and the amount of information shared on our apps and websites continue to grow, we will need an increasing amount of network capacity and computing power. We have spent and expect to continue to spend substantial amounts on computing, including cloud computing and the related infrastructure, to handle the traffic on our apps and websites. The operation of these systems is complex and could result in operational failures. In the event that the traffic of our consumers exceeds the capacity of our current network infrastructure or in the event that our base of consumers or the amount of traffic on our apps and websites grows more quickly than anticipated, we may be required to incur significant additional costs to enhance the underlying network infrastructure. Interruptions or delays in these systems, whether due to system failures, computer viruses, physical or electronic break-ins, undetected errors, design faults or other unexpected events or causes, could affect the security or availability of our apps and websites and prevent our consumers from accessing our apps and websites. If sustained or repeated, these performance issues could reduce the attractiveness of our offerings. In addition, the costs and complexities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spacing w:after="0" w:line="238" w:lineRule="auto"/>
        <w:rPr>
          <w:sz w:val="20"/>
          <w:szCs w:val="20"/>
          <w:color w:val="auto"/>
        </w:rPr>
      </w:pPr>
      <w:r>
        <w:rPr>
          <w:rFonts w:ascii="Arial" w:cs="Arial" w:eastAsia="Arial" w:hAnsi="Arial"/>
          <w:sz w:val="18"/>
          <w:szCs w:val="18"/>
          <w:color w:val="auto"/>
        </w:rPr>
        <w:t>involved in expanding and upgrading our systems may prevent us from doing so in a timely manner and may prevent us from adequately meeting the demand placed on our systems. Any internet or mobile platform interruption or inadequacy that causes performance issues or interruptions in the availability of our apps or websites could reduce consumer satisfaction and result in a reduction in the number of consumers using our offerings.</w:t>
      </w:r>
    </w:p>
    <w:p>
      <w:pPr>
        <w:spacing w:after="0" w:line="20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depend on the development and maintenance of the internet and mobile infrastructure. This includes maintenance of reliable internet and mobile infrastructure with the necessary speed, data capacity and security, as well as timely development of complementary offerings, for providing reliable internet and mobile access. Our business, financial condition and results of operations could be materially and adversely affected if for any reason the reliability of our internet and mobile infrastructure is compromised.</w:t>
      </w:r>
    </w:p>
    <w:p>
      <w:pPr>
        <w:spacing w:after="0" w:line="20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currently rely upon third-party data storage providers, including cloud storage solution providers, such as Amazon Web Services and some specific uses of Google Cloud Platform. Nearly all of our data storage and analytics are conducted on, and the data and content we create associated with sales on our apps and websites are processed through, servers hosted by these providers, particularly Amazon Web Services. We also rely on email service providers, bandwidth providers, internet service providers and mobile networks to deliver email and “push” communications to consumers and to allow consumers to access our websites.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Amazon Web Services, and if such agreements are terminated, we may not be able to enter into similar relationships in the future on reasonable terms or at all.</w:t>
      </w:r>
    </w:p>
    <w:p>
      <w:pPr>
        <w:spacing w:after="0" w:line="20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Any damage to, or failure of, our systems or the systems of our third-party data centers or our other third-party providers could result in interruptions to the availability or functionality of our apps and websites. As a result, we could lose consumer data and miss opportunities to acquire and retain consumers,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experience additional expense in arranging for new facilities, technology, services and support. In addition, the failure of our third-party data centers or any other third-party providers to meet our capacity requirements could result in interruption in the availability or functionality of our apps and websites.</w:t>
      </w:r>
    </w:p>
    <w:p>
      <w:pPr>
        <w:spacing w:after="0" w:line="20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satisfactory performance, reliability and availability of our apps, websites, transaction processing systems and technology infrastructure are critical to our reputation and our ability to acquire and retain consumers, as well as to maintain adequate consumer service levels. Our revenue depends in part on the number of consumers that visit and use our apps and websites in fulfilling their healthcare needs. Unavailability of our apps or websites could materially and adversely affect consumer perception of our brand. Any slowdown or failure of our apps, websites or the underlying technology infrastructure could harm our business, reputation and our ability to acquire, retain and serve our consumers.</w:t>
      </w:r>
    </w:p>
    <w:p>
      <w:pPr>
        <w:spacing w:after="0" w:line="20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29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rely on third-party platforms such as the Apple App Store and Google Play App Store, to distribute our platform and offerings.</w:t>
      </w:r>
    </w:p>
    <w:p>
      <w:pPr>
        <w:spacing w:after="0" w:line="68"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3" w:name="page64"/>
    <w:bookmarkEnd w:id="63"/>
    <w:p>
      <w:pPr>
        <w:jc w:val="both"/>
        <w:spacing w:after="0" w:line="237" w:lineRule="auto"/>
        <w:rPr>
          <w:sz w:val="20"/>
          <w:szCs w:val="20"/>
          <w:color w:val="auto"/>
        </w:rPr>
      </w:pPr>
      <w:r>
        <w:rPr>
          <w:rFonts w:ascii="Arial" w:cs="Arial" w:eastAsia="Arial" w:hAnsi="Arial"/>
          <w:sz w:val="18"/>
          <w:szCs w:val="18"/>
          <w:color w:val="auto"/>
        </w:rPr>
        <w:t>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GoodRx codes and pricing information.</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20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software-as-a-service (“SaaS”) technologies from third parties.</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rely on SaaS technologies from third parties in order to operate critical functions of our business, including financial management services, relationship management services, marketing services and data storage services. For example, we rely on Amazon Web Services for a substantial portion of our computing and storage capacity, and rely on Google for storage capacity and advertising services. Amazon Web Services provides us with computing and storage capacity pursuant to an agreement that continues until terminated by either party. Amazon Web Services may terminate its agreement with us by providing 30 days prior written notice. Similarly, Google provides us with storage capacity and advertising services, and may update the terms of its services unilaterally by providing advance notice and posting changed terms on its website. Google may also terminate its agreements with us immediately upon notice. Our other vendor agreements may be unilaterally terminated by the counterparty for convenience. If these services become unavailable due to contract cancellations, extended outages or interruptions or because they are no longer available on commercially reasonable terms or prices, or for any other reason, our expenses could increase, our ability to manage our finances could be interrupted, our processes for managing our offerings and supporting our consumers and partners could be impaired and our ability to access or save data stored to the cloud may be impaired until equivalent services, if available, are identified, obtained and implemented, all of which could harm our business, financial condition, and results of operations.</w:t>
      </w:r>
    </w:p>
    <w:p>
      <w:pPr>
        <w:spacing w:after="0" w:line="289"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We depend on our relationships with third parties and would be adversely impacted by system failures or other disruptions in the operations of these parties.</w:t>
      </w:r>
    </w:p>
    <w:p>
      <w:pPr>
        <w:spacing w:after="0" w:line="6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use and rely on services from third parties, such as our telecommunications services, and those services may be subject to outages and interruptions that are not within our control. Failures by our telecommunications providers may interrupt our ability to provide phone support to our consumers and distributed denial of service attacks directed at our telecommunication service providers could prevent consumers from accessing our websites. In addition, we have in the past and may in the future experience down periods where our third-party credit card processors are unable to process the payments of our consumers, disrupting our ability to process or receive revenue from our subscription offerings. Disruptions to our consumer support, website and credit card processing services could lead to consumer dissatisfaction, which would adversely affect our business, financial condition and results of operations.</w:t>
      </w:r>
    </w:p>
    <w:p>
      <w:pPr>
        <w:spacing w:after="0" w:line="289" w:lineRule="exact"/>
        <w:rPr>
          <w:sz w:val="20"/>
          <w:szCs w:val="20"/>
          <w:color w:val="auto"/>
        </w:rPr>
      </w:pPr>
    </w:p>
    <w:p>
      <w:pPr>
        <w:jc w:val="both"/>
        <w:ind w:right="20" w:firstLine="510"/>
        <w:spacing w:after="0" w:line="253" w:lineRule="auto"/>
        <w:rPr>
          <w:sz w:val="20"/>
          <w:szCs w:val="20"/>
          <w:color w:val="auto"/>
        </w:rPr>
      </w:pPr>
      <w:r>
        <w:rPr>
          <w:rFonts w:ascii="Arial" w:cs="Arial" w:eastAsia="Arial" w:hAnsi="Arial"/>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8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4" w:name="page65"/>
    <w:bookmarkEnd w:id="64"/>
    <w:p>
      <w:pPr>
        <w:jc w:val="both"/>
        <w:ind w:firstLine="510"/>
        <w:spacing w:after="0" w:line="237" w:lineRule="auto"/>
        <w:rPr>
          <w:sz w:val="20"/>
          <w:szCs w:val="20"/>
          <w:color w:val="auto"/>
        </w:rPr>
      </w:pPr>
      <w:r>
        <w:rPr>
          <w:rFonts w:ascii="Arial" w:cs="Arial" w:eastAsia="Arial" w:hAnsi="Arial"/>
          <w:sz w:val="18"/>
          <w:szCs w:val="18"/>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20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 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20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currently use cookies, pixel tags and similar technologies from third-party advertising technology providers to provide and optimize our advertising. 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4"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We may be unable to establish, maintain, protect and enforce our intellectual property and proprietary rights or prevent third parties from making unauthorized use of our technology.</w:t>
      </w:r>
    </w:p>
    <w:p>
      <w:pPr>
        <w:spacing w:after="0" w:line="6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business depends on proprietary technology and content, including software, processes, databases, confidential information and know-how, the protection of which is crucial to the success of our business. We rely on a combination of trademark, patent, copyright, domain name and trade secret-protection laws, in addition to confidentiality agreements and other practices to protect our brands, proprietary information, technologies and processes.</w:t>
      </w:r>
    </w:p>
    <w:p>
      <w:pPr>
        <w:spacing w:after="0" w:line="205"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most material trademark asset is the registered trademark “GoodRx.” Our trademarks are valuable assets that support our brand and consumers’ perception of our offerings. We also hold the rights to the “goodrx.com” internet domain name, which are subject to internet regulatory bodies and trademark and other related laws of each applicable jurisdiction. If we are unable to protect our trademarks or domain names in the United States or in other jurisdictions in which we may ultimately operate, our brand recognition and reputation would suffer, we would incur significant re-branding expenses and our operating results could be adversely impacted. As of September 30, 2020, we owned three issued patents and four pending patent applications in the United States. Our issued patents are currently scheduled to expire beginning in 2034, excluding any patent term adjustments. Our issued patents and those that may be issued in the future may not provide us with competitive advantages, may be of limited territorial reach and may be held invalid or unenforceable if successfully challenged by third parties, and our patent applications may never be issued. Even if issued, there can be no assurance that these patents will adequately protect our intellectual property or survive a legal challenge, as the legal standards relating to the validity, enforceability and scope of protection of patent and other intellectual property rights are uncertain. Our limited patent protection may restrict our ability to protect our technologies and processes from competition. It is also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5" w:name="page66"/>
    <w:bookmarkEnd w:id="65"/>
    <w:p>
      <w:pPr>
        <w:jc w:val="both"/>
        <w:ind w:firstLine="510"/>
        <w:spacing w:after="0" w:line="236"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software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financial condition and results of operations could be adversely affected.</w:t>
      </w:r>
    </w:p>
    <w:p>
      <w:pPr>
        <w:spacing w:after="0" w:line="289"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We may be sued by third parties for infringement, misappropriation, dilution or other violation of their intellectual property or proprietary rights.</w:t>
      </w:r>
    </w:p>
    <w:p>
      <w:pPr>
        <w:spacing w:after="0" w:line="6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205"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Third parties have asserted, and may in the future assert, that we have infringed, misappropriated or otherwise violated their intellectual property rights.</w:t>
      </w:r>
    </w:p>
    <w:p>
      <w:pPr>
        <w:spacing w:after="0" w:line="197"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misappropriated or misused other parties’ intellectual property rights, particularly as the number of competitors in our market grows and the functionality of applications amongst competitors overlaps.</w:t>
      </w:r>
    </w:p>
    <w:p>
      <w:pPr>
        <w:spacing w:after="0" w:line="20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 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 partners. If we cannot develop or license technology for any allegedly infringing aspect of our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6" w:name="page67"/>
    <w:bookmarkEnd w:id="66"/>
    <w:p>
      <w:pPr>
        <w:jc w:val="both"/>
        <w:ind w:right="20"/>
        <w:spacing w:after="0" w:line="246" w:lineRule="auto"/>
        <w:rPr>
          <w:sz w:val="20"/>
          <w:szCs w:val="20"/>
          <w:color w:val="auto"/>
        </w:rPr>
      </w:pPr>
      <w:r>
        <w:rPr>
          <w:rFonts w:ascii="Arial" w:cs="Arial" w:eastAsia="Arial" w:hAnsi="Arial"/>
          <w:sz w:val="18"/>
          <w:szCs w:val="18"/>
          <w:color w:val="auto"/>
        </w:rPr>
        <w:t>we would be forced to limit our service and may be unable to compete effectively. Any of these events could materially harm our business, financial condition and results of operations.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Failure to maintain, protect or enforce our intellectual property rights could harm our business and results of operations.</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pursue the registration of our patentable technology, domain names, trademarks and service marks in the United States. We also strive to protect our intellectual property rights by relying on federal, state and common law rights, as well as contractual restrictions. We typically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technology or intellectual property rights. Those agreements that we do execute may be breached, and we may not have adequate remedies for any such breach. These contractual arrangements and the other steps we have taken to protect our intellectual property rights may not prevent the misappropriation or disclosure of our proprietary information nor deter independent development of similar technology or intellectual property by others.</w:t>
      </w:r>
    </w:p>
    <w:p>
      <w:pPr>
        <w:spacing w:after="0" w:line="20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Effective trade secret, patent, copyright, trademark and domain name protection is expensive to obtain, develop and maintain, both in terms of initial and ongoing registration or prosecution requirements and expenses and the costs of defending our rights. We may, over time, increase our investment in protecting our intellectual property through additional patent filings that could be expensive and time-consuming. We do not know whether any of our pending patent applications will result in the issuance of additional patents or whether the examination process will require us to narrow our claims or we may otherwise be unable to obtain patent protection for the technology covered in our pending patent applications. Our patents, trademarks and other intellectual property rights may be challenged by others or invalidated through administrative process or litigation. Moreover, any issued patents may not provide us with a competitive advantage and, as with any technology, competitors may be able to develop similar or superior technologies to our own, now or in the future. In addition, due to a recent U.S. Supreme Court case, it has become increasingly difficult to obtain and assert patents relating to software or business methods, as many such patents have been invalidated for being too abstract to constitute patent-eligible subject matter. We do not know whether this will affect our ability to obtain new patents on our innovations, or successfully assert our patents in litigation or pre-litigation campaigns.</w:t>
      </w:r>
    </w:p>
    <w:p>
      <w:pPr>
        <w:spacing w:after="0" w:line="205"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Monitoring unauthorized use of the content on our apps and websites, and our other intellectual property and technology, is difficult and costly. Our efforts to protect our proprietary rights and intellectual property may not have been and may not be adequate to prevent their misappropriation or misuse. Third parties, including our competitors, could be infringing, misappropriating or otherwise violating our intellectual property rights. Third parties from time to time copy content or other intellectual property or technology from our solutions without authorization and seek to use it for their own benefit. We generally seek to address such unauthorized copying or use, but we have not always been successful in stopping all unauthorized use of our content or other intellectual property or technology, and may not be successful in doing so in the future. Further, we may not have been and may not be able to detect unauthorized use of our technology or intellectual property, or to take appropriate steps to enforce our intellectual property rights. Any inability to meaningfully enforce our intellectual property rights could harm our ability to compete and reduce demand for our solutions and services. Our competitors may also independently develop similar technology. Effective patent, trademark, copyright and trade secret protection may not be available to us in every jurisdiction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rights could result in competitors offering solutions that incorporate our most technologically advanced features, which could reduce demand for our solutions.</w:t>
      </w:r>
    </w:p>
    <w:p>
      <w:pPr>
        <w:spacing w:after="0" w:line="21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may find it necessary or appropriate to initiate claims or litigation to enforce our intellectual property rights, protect our trade secrets or determine the validity and scope of intellectual property rights claimed by others. In any lawsuit we bring to enforce our intellectual property rights, a court may refuse to stop the other party from using the technology at issue on grounds that our intellectual property rights do not cover the use or technology in question. Further, in such proceedings, the defendant could counterclaim that our intellectual property is invalid or unenforceable and the court may agree, in which case we could lose valuable intellectual property rights. Litigation is inherently uncertain and any litigation of this nature, regardless of outcome or merit, could result in substantial costs and diversion of management and technical resources, any of which could adversely affect our business and results of operations. If we fail to maintain, protect and enforce our intellectual property, our business and results of operations may be harmed.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7" w:name="page68"/>
    <w:bookmarkEnd w:id="67"/>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may be unable to continue the use of our trademarks, trade names or domain names, or prevent third parties from acquiring and using trademarks, trade names and domain names that infringe on, are similar to, or otherwise decrease the value of our brands, trademarks or service marks.</w:t>
      </w:r>
    </w:p>
    <w:p>
      <w:pPr>
        <w:spacing w:after="0" w:line="8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consumers and partners. In addition, third parties have filed, and may in the future file, for registration of trademarks similar or identical to our trademarks, which, if obtained, may impede our ability to build brand identity and possibly lead to market confusion. If they succeed in registering or developing common law rights in such trademarks, and if we are not successful in challenging such third-party rights, we may not be able to use these trademarks to develop brand recognition of our technologies, solutions or services. In addition, there could be potential trade name or trademark infringement claims brought by owners of other registered trademarks or trademarks that incorporate variations of our registered or unregistered trademarks or trade names. If we are unable to establish or protect our trademarks and trade names, or if we are unable to build name recognition based on our trademarks and trade names, we may not be able to compete effectively, which could harm our competitive position, business, financial condition, results of operations and prospects.</w:t>
      </w:r>
    </w:p>
    <w:p>
      <w:pPr>
        <w:spacing w:after="0" w:line="20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have registered domain names for our websites that we use in our business. If we lose the ability to use a domain name, whether due to trademark claims, failure to renew the applicable registration, or any other cause, we may be forced to market our solutions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Domain names similar to ours have been registered in the United States and elsewhere. We may be unable to prevent third parties from acquiring and using domain names that infringe on, are similar to, or otherwise decrease the value of our brands, trademarks or service marks. Protecting and enforcing our rights in our domain names may require litigation, which could result in substantial costs and diversion of management’s attention.</w:t>
      </w:r>
    </w:p>
    <w:p>
      <w:pPr>
        <w:spacing w:after="0" w:line="20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ICANN (the Internet Corporation for Assigned Names and Numbers), the international authority over top-level domain names, has been increasing the number of generic top-level domains (“TLDs”). This may allow companies or individuals to create new web addresses that appear to the right of the “dot” in a web address, beyond such long-standing TLDs as “.com,” “.org” and “.gov.” ICANN may also add additional TLDs in the future. As a result, we may be unable to maintain exclusive rights to all potentially relevant or desirable domain names in the United States, which may harm our business. Furthermore, attempts may be made by third parties to register our trademarks as new TLDs or as domain names within new TLDs, and we may be required to enforce our rights against such registration attempts, which could result in significant expense and the diversion of management’s attention.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our technology platform, and to maintain our competitive position. With respect to our technology platform, we consider trade secrets and know-how to be one of our primary sources of intellectual property. However, trade secrets and know-how can be difficult to protect. We seek to protect these trade secrets and other proprietary technology, in part, by entering into non-disclosure and confidentiality agreements with parties who have access to them, such as our employees, corporate collaborators, outside contractors, consultants, advisors, and other third parties. We also enter into confidentiality and invention or patent assignment agreements with our employees and consultants. The confidentiality agreements are designed to protect our proprietary information and, in the case of agreements or clauses containing invention assignment, to grant us ownership of technologies that are developed through a relationship with employees or third parties. We cannot guarantee that we have entered into such agreements with each party that may have or have had access to our trade secrets or proprietary information, including our technology and processes. Despite these efforts, no assurance can be given that the confidentiality agreements we enter into will be effective in controlling access to such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the same or similar technologies and processes, which may allow them to provide a service similar or superior to ours, which could harm our competitive position.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jc w:val="both"/>
        <w:ind w:firstLine="510"/>
        <w:spacing w:after="0" w:line="237"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it could harm our competitive position, business, financial condition, results of operations and prospects.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Issued patents covering our offerings could be found invalid or unenforceable if challenged.</w:t>
      </w:r>
    </w:p>
    <w:p>
      <w:pPr>
        <w:spacing w:after="0" w:line="12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Some of our patents or patent applications (including licensed patents) have been, are being or may be challenged at a future point in time in opposition, derivation, reexamination, inter partes review (“IPR”), post-grant review or interference. Any successful third-party challenge to our patents in this or any other proceeding could result in the unenforceability or invalidity of such patents, which may lead to increased competition to our business, which could harm our business. In addition, if the breadth or strength of protection provided by our patents and patent applications is threatened, regardless of the outcome, it could dissuade companies from collaborating with us to license, develop or commercialize current or future offering candidates.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utilize open source software, which may pose particular risks to our proprietary software and solutions.</w:t>
      </w:r>
    </w:p>
    <w:p>
      <w:pPr>
        <w:spacing w:after="0" w:line="12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use open source software in our solutions and will use open source software in the future. Companies that incorporate open source software into their solutions have, from time to time, faced claims challenging the use of open source software and compliance with open source license terms. Some licenses governing the use of open source software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solutions, that our developers have not incorporated open source software into our solutions,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market or provide our solutions.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software. In addition, the terms of open source software licenses may require us to provide software that we develop using such open source software to others on unfavorable license terms. As a result of our current or future use of open 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29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6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license certain intellectual property, including technologies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solutions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are found to be invalid or unenforceable, or if we are unable to enter into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9" w:name="page70"/>
    <w:bookmarkEnd w:id="69"/>
    <w:p>
      <w:pPr>
        <w:jc w:val="both"/>
        <w:spacing w:after="0" w:line="236" w:lineRule="auto"/>
        <w:rPr>
          <w:sz w:val="20"/>
          <w:szCs w:val="20"/>
          <w:color w:val="auto"/>
        </w:rPr>
      </w:pPr>
      <w:r>
        <w:rPr>
          <w:rFonts w:ascii="Arial" w:cs="Arial" w:eastAsia="Arial" w:hAnsi="Arial"/>
          <w:sz w:val="18"/>
          <w:szCs w:val="18"/>
          <w:color w:val="auto"/>
        </w:rPr>
        <w:t>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Healthcare Industry</w:t>
      </w:r>
    </w:p>
    <w:p>
      <w:pPr>
        <w:spacing w:after="0" w:line="10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8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Although the consumers who use our offerings do so outside of any medication or other health benefits covered under their health insurance, including any commercial or government healthcare program, we may nonetheless be subject to healthcare fraud and abuse regulation and enforcement by both the U.S. federal government and the states in which we conduct our business. These laws impact, among other things, our sales, marketing, support and education programs and constrain our business and financial arrangements and relationships with pharmacies, PBMs, pharmaceutical manufacturers, marketing partners, healthcare professionals and consumers, and include, but are not limited to, the following:</w:t>
      </w:r>
    </w:p>
    <w:p>
      <w:pPr>
        <w:spacing w:after="0" w:line="97" w:lineRule="exact"/>
        <w:rPr>
          <w:sz w:val="20"/>
          <w:szCs w:val="20"/>
          <w:color w:val="auto"/>
        </w:rPr>
      </w:pPr>
    </w:p>
    <w:p>
      <w:pPr>
        <w:jc w:val="both"/>
        <w:ind w:left="880" w:hanging="359"/>
        <w:spacing w:after="0" w:line="23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item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jc w:val="both"/>
        <w:ind w:left="880" w:hanging="359"/>
        <w:spacing w:after="0" w:line="23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U.S. federal false claims laws, including the civil False Claims Act (which can be enforced through ‘‘qui tam,’’ or whistleblower actions, by private citizens on behalf of the federal government), which prohibits any person from, among other things, knowingly presenting, or causing to be presented false or fraudulent claims for payment of government funds or knowingly making, using or causing to be made or used, a false record or statement material to an obligation to pay money to the government or knowingly and improperly avoiding, decreasing or concealing an obligation to pay money to the U.S. federal government. In addition, the government may assert that a claim including items and services resulting from a violation of the U.S. federal Anti-Kickback Statute constitutes a false or fraudulent claim for purposes of the civil False Claims Act;</w:t>
      </w:r>
    </w:p>
    <w:p>
      <w:pPr>
        <w:spacing w:after="0" w:line="94" w:lineRule="exact"/>
        <w:rPr>
          <w:rFonts w:ascii="Arial" w:cs="Arial" w:eastAsia="Arial" w:hAnsi="Arial"/>
          <w:sz w:val="18"/>
          <w:szCs w:val="18"/>
          <w:color w:val="auto"/>
        </w:rPr>
      </w:pPr>
    </w:p>
    <w:p>
      <w:pPr>
        <w:jc w:val="both"/>
        <w:ind w:left="880" w:hanging="359"/>
        <w:spacing w:after="0" w:line="23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a state or federal healthcare program;</w:t>
      </w:r>
    </w:p>
    <w:p>
      <w:pPr>
        <w:spacing w:after="0" w:line="96" w:lineRule="exact"/>
        <w:rPr>
          <w:rFonts w:ascii="Arial" w:cs="Arial" w:eastAsia="Arial" w:hAnsi="Arial"/>
          <w:sz w:val="18"/>
          <w:szCs w:val="18"/>
          <w:color w:val="auto"/>
        </w:rPr>
      </w:pPr>
    </w:p>
    <w:p>
      <w:pPr>
        <w:ind w:left="880" w:right="20" w:hanging="373"/>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platform activities and activities that potentially harm consumers;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0" w:name="page71"/>
    <w:bookmarkEnd w:id="70"/>
    <w:p>
      <w:pPr>
        <w:jc w:val="both"/>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and regulations, including state anti-kickback and false claims laws, that may apply to our business practices, including but not limited to, research, distribution, sales and marketing arrangements and claims involving healthcare items or services reimbursed by any third-party payor, including private insurers and self-pay patients.</w:t>
      </w:r>
    </w:p>
    <w:p>
      <w:pPr>
        <w:spacing w:after="0" w:line="20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To enforce compliance with healthcare regulatory laws, certain enforcement bodies have recently increased their scrutiny of interactions between healthcare companies and referral sources, which has led to a number of investigations, prosecutions, convictions and settlements in the healthcare industry. Responding to investigations can be time- and resource-consuming and can divert management’s attention from the business. Additionally, as a result of these investigations, entities may also have to agree to additional compliance and reporting requirements as part of a consent decree, non-prosecution or corporate integrity agreement. Any such investigation or settlements could increase our costs or otherwise have an adverse effect on our business. Even an unsuccessful challenge or investigation into our practices could cause adverse publicity and be costly to respond.</w:t>
      </w:r>
    </w:p>
    <w:p>
      <w:pPr>
        <w:spacing w:after="0" w:line="20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shifting commercial compliance environment and the need to build and maintain robust and expandable systems to comply with different compliance or reporting requirements in multiple jurisdictions increase the possibility that a healthcare company may fail to comply fully with one or more of these requirements. Efforts to ensure that our business arrangements with third parties will comply with applicable healthcare laws and regulations may involve substantial costs. It is possible that governmental authorities may conclude that our business practices, including, without limitation, our revenue sharing arrangements with our partners, arrangements with entities that provide us with rebate administrative services, and other sales and marketing practices, do not comply with applicable fraud and abuse or other healthcare laws and regulations or guidance.</w:t>
      </w:r>
    </w:p>
    <w:p>
      <w:pPr>
        <w:spacing w:after="0" w:line="20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and additional oversight and reporting requirements if we become subject to a corporate integrity agreement to resolve allegations of non-compliance with these laws and the curtailment or restructuring of our operations. If any of the pharmacies, PBMs, pharmaceutical manufacturers, marketing partners or other entities with whom we do business is found not to be in compliance with applicable laws, they may be subject to the same criminal, civil or administrative sanctions, including exclusion from government-funded healthcare programs.</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provide pricing information and discounted prices for all FDA-approved medications, including products that are regulated under federal and state law as controlled substances. Controlled substances are subject to more onerous regulatory requirements than other pharmaceutical products and have received increasing legal scrutiny in recent years, which will likely continue into the future. Regulatory or legal developments that have the effect of lowering the sales of controlled substances may have a negative impact on our business.</w:t>
      </w:r>
    </w:p>
    <w:p>
      <w:pPr>
        <w:spacing w:after="0" w:line="29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Our telehealth offerings are subject to laws, rules and policies governing the practice of medicine and medical board oversight.</w:t>
      </w:r>
    </w:p>
    <w:p>
      <w:pPr>
        <w:spacing w:after="0" w:line="6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ability to conduct and optimize our telehealth offerings in each state is dependent upon the state’s treatment of telehealth, such as the permissibility of asynchronous store-and-forward telehealth, under such state’s laws, rules and policies governing the practice of medicine, which are subject to changing political, regulatory and other influences. Some state medical boards have established rules or interpreted existing rules in a manner that limits or restricts our ability to conduct or optimize our business.</w:t>
      </w:r>
    </w:p>
    <w:p>
      <w:pPr>
        <w:spacing w:after="0" w:line="20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telehealth offerings offer patients the ability to see a board-certified medical professional for advice, diagnosis and treatment of routine health conditions on a remote basis. Due to the nature of this service and the provision of medical care and treatment by board-certified medical professionals, we and certain of our affiliated physicians and healthcare professionals are and may in the future be subject to complaints, inquiries and compliance orders by national and state medical boards. Such complaints, inquiries or compliance orders may result in disciplinary actions taken by these medical boards against the licensed physicians who provide services through our telehealth offerings, which could include suspension, restriction or revocation of the physician’s medical license, probation, required continuing medical education courses, monetary fines, administrative actions and other conditions. Regardless of outcome, these complaints, inquiries or compliance orders could have an adverse impact on our telehealth offerings and our platform generally due to defense and settlement costs, diversion of management resources, negative publicity, reputational harm and other factors.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1" w:name="page72"/>
    <w:bookmarkEnd w:id="71"/>
    <w:p>
      <w:pPr>
        <w:jc w:val="both"/>
        <w:ind w:firstLine="510"/>
        <w:spacing w:after="0" w:line="238" w:lineRule="auto"/>
        <w:rPr>
          <w:sz w:val="20"/>
          <w:szCs w:val="20"/>
          <w:color w:val="auto"/>
        </w:rPr>
      </w:pPr>
      <w:r>
        <w:rPr>
          <w:rFonts w:ascii="Arial" w:cs="Arial" w:eastAsia="Arial" w:hAnsi="Arial"/>
          <w:sz w:val="18"/>
          <w:szCs w:val="18"/>
          <w:color w:val="auto"/>
        </w:rPr>
        <w:t>Due to the uncertain regulatory environment, certain states may determine that we are in violation of their laws and regulations or such laws and regulations may change. In the event that we must remedy such violations, we may be required to modify our offerings in such states in a manner that undermines our offerings or business, we may become subject to fines or other penalties or, if we determine that the requirements to operate in compliance in such states are overly burdensome, we may elect to terminate our operations in such states. In each case, our revenue may decline and our business, financial condition and results of operations could be materially adversely affected.</w:t>
      </w:r>
    </w:p>
    <w:p>
      <w:pPr>
        <w:spacing w:after="0" w:line="288"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In our telehealth offerings, we are dependent on our relationships with affiliated professional entities, which we do not own, to provide healthcare services, and our business would be adversely affected if those relationships were disrupted.</w:t>
      </w:r>
    </w:p>
    <w:p>
      <w:pPr>
        <w:spacing w:after="0" w:line="68"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contractual relationships with our affiliated healthcare professionals providing telehealth services, our platform that enables HeyDoctor consumers to opt in to use our prescription offering, and the recent launch of HeyDoctor’s platform where consumers can access a third-party mail order pharmacy to fill their prescriptions may implicate certain state laws in the United States that generally prohibit non-physician entities from practicing medicine, exercising control over physicians or engaging in certain practices such as fee-splitting with physicians. Although we believe that we have structured our arrangements to ensure that the healthcare professionals maintain exclusive authority regarding the delivery of medical care and prescription of medications when clinically appropriate,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medical boards of medicine, state attorneys general and other parties, including our affiliated healthcare professionals, may assert that, despite the management service agreement and other arrangements through which we operate, we are engaged in the prohibited corporate practice of medicine, and/or that our arrangements with our affiliated professional entities constitute unlawful fee-splitting. If a state’s prohibition on the corporate practice of medicine or fee-splitting law is interpreted in a manner that is inconsistent with our practices, we would be required to restructure or terminate our relationship with our affiliated professional entities to bring its activities into compliance with such laws. A determination of non-compliance, or the 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of medicine doctrines and fee-splitting prohibitions also often impose penalties on healthcare professionals for aiding the corporate practice of medicine, which could discourage physicians and other healthcare professionals from participating in our network of providers.</w:t>
      </w:r>
    </w:p>
    <w:p>
      <w:pPr>
        <w:spacing w:after="0" w:line="299" w:lineRule="exact"/>
        <w:rPr>
          <w:sz w:val="20"/>
          <w:szCs w:val="20"/>
          <w:color w:val="auto"/>
        </w:rPr>
      </w:pPr>
    </w:p>
    <w:p>
      <w:pPr>
        <w:jc w:val="both"/>
        <w:ind w:firstLine="514"/>
        <w:spacing w:after="0" w:line="271" w:lineRule="auto"/>
        <w:rPr>
          <w:sz w:val="20"/>
          <w:szCs w:val="20"/>
          <w:color w:val="auto"/>
        </w:rPr>
      </w:pPr>
      <w:r>
        <w:rPr>
          <w:rFonts w:ascii="Arial" w:cs="Arial" w:eastAsia="Arial" w:hAnsi="Arial"/>
          <w:sz w:val="18"/>
          <w:szCs w:val="18"/>
          <w:b w:val="1"/>
          <w:bCs w:val="1"/>
          <w:i w:val="1"/>
          <w:iCs w:val="1"/>
          <w:color w:val="auto"/>
        </w:rPr>
        <w:t>The impact of recent healthcare reform legislation and other changes in the healthcare industry and in healthcare spending on us is currently unknown, but may adversely affect our business, financial condition and results of operations.</w:t>
      </w:r>
    </w:p>
    <w:p>
      <w:pPr>
        <w:spacing w:after="0" w:line="6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revenue is dependent on the healthcare industry and could be affected by changes in healthcare spending and policy. The healthcare industry is subject to changing political, regulatory and other influences. The Patient Protection and Affordable Care Act, as amended by the Healthcare and Education Reconciliation Act of 2010 (collectively, the “ACA”), enacted in March 2010, made major changes in how healthcare is delivered and reimbursed, and increased access to health insurance benefits to the uninsured and underinsured population of the United States. The ACA, among other things, required manufacturers to participate in a coverage gap discount program, under which they must agree to offer 70% point-of-sale discounts off negotiated prices of applicable brand medications to eligible beneficiaries during their coverage gap period, as a condition for the manufacturer’s outpatient medications to be covered under Medicare Part D,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20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and we expect there will be additional challenges and amendments to the ACA in the future. For example, the Tax Cuts and Jobs Act of 2017 (the “Tax Act”) was enacted, which includes a provision repealing, effective January 1, 2019, the tax-based shared responsibility payment imposed by the ACA on certain individuals who fail to maintain qualifying health coverage for all or part of a year, which is commonly referred to as the “individual mandate.”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affirmed the District Court’s decision that the individual mandate was unconstitutional but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2" w:name="page73"/>
    <w:bookmarkEnd w:id="72"/>
    <w:p>
      <w:pPr>
        <w:jc w:val="both"/>
        <w:spacing w:after="0" w:line="246" w:lineRule="auto"/>
        <w:rPr>
          <w:sz w:val="20"/>
          <w:szCs w:val="20"/>
          <w:color w:val="auto"/>
        </w:rPr>
      </w:pPr>
      <w:r>
        <w:rPr>
          <w:rFonts w:ascii="Arial" w:cs="Arial" w:eastAsia="Arial" w:hAnsi="Arial"/>
          <w:sz w:val="18"/>
          <w:szCs w:val="18"/>
          <w:color w:val="auto"/>
        </w:rPr>
        <w:t>In addition, there may be other efforts to challenge, repeal or replace the ACA will impact the ACA. We are continuing to monitor any changes to the ACA that, in turn, may potentially impact our business in the future.</w:t>
      </w:r>
    </w:p>
    <w:p>
      <w:pPr>
        <w:spacing w:after="0" w:line="197"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addition, recently there has been heightened governmental scrutiny over the manner in which pharmaceutical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 At the federal level, the Trump administration’s budget proposal for fiscal year 2021 includes a $135 billion allowance to support legislative proposals seeking to reduce medication prices, increase competition, lower out-of-pocket medication costs for patients, and increase patient access to lower-cost generic and biosimilar medications. In July 2020, President Trump signed four executive orders that attempt to implement several of the administration’s proposals, including one that directs HHS to finalize the rulemaking process on modifying certain Anti-Kickback Statute safe harbors if HHS confirms that the action is not projected to increase federal spending, Medicare beneficiary premiums, or patients’ total out-of-pocket costs. The other executive orders include a policy that would tie Medicare Part B drug prices to international drug prices; an order that directs HHS to finalize the Canadian drug importation proposed rule previously issued by HHS allowing states to submit importation program proposals to the FDA for review and authorization and makes other changes allowing for the facilitation of grants to individuals of waivers of the prohibition of importation of prescription drugs, provided such importation poses no additional risk to public safety, and one that reduces costs of insulin and epipens to patients of federally qualified health centers. Congress and the Trump administration have each indicated that it will continue to seek new legislative and/or administrative measures to control medication costs. It is unclear whether any future presidential administration will pursue similar measures or maintain the Trump administration’s executive orders.</w:t>
      </w:r>
    </w:p>
    <w:p>
      <w:pPr>
        <w:spacing w:after="0" w:line="21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offering and subscription offerings, for prescription medications dispensed by pharmacies, and, in some cases, designed to encourage importation from other countries and bulk purchasing. We expect that additional state and federal healthcare reform measures will be adopted in the future, any of which could impact the amounts that federal and state governments and other third-party payors will pay for healthcare products and services or require us to restructure our existing arrangements with PBMs and pharmaceutical manufacturers, any of which could adversely affect our business, financial condition and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2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dual class or multi-class share structures in certain of their indexes.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stock. These policies are still fairly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3" w:name="page74"/>
    <w:bookmarkEnd w:id="73"/>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The parties to our stockholders agreement, who hold a significant portion of our Class B common stock, control the direction of our business and such parties’ ownership of our common stock prevents you and other stockholders from influencing significant decisions.</w:t>
      </w:r>
    </w:p>
    <w:p>
      <w:pPr>
        <w:spacing w:after="0" w:line="8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holders of our Class B common stock, including the parties to our stockholders agreement, who also hold a significant portion of our Class B common stock, own approximately 98.8% of the combined voting power of our Class A and Class B common stock, with each share of Class A common stock entitling the holder to one vote and each share of Class B common stock entitling the holder to 10 votes, until the earlier of, (i) the first date on which the aggregate number of outstanding shares of our Class B common stock ceases to represent at least 10% of the aggregate number of our outstanding shares of common stock and (ii) seven years from September 25, 2020, on all matters submitted to a vote of our stockholders. Moreover, the parties to our stockholders agreement, who also hold Class A and Class B common stock, own 91.3% of the combined voting power of our Class A and Class B common stock . Additionally, we will issue additional shares of Class B common stock in the future, including up to 24,633,066 shares of Class B common stock issuable in connection with the grant of restricted stock unit awards covering an aggregate of 12,316,533 shares of Class B common stock to each of our Co-Chief Executive Officers in connection with our IPO (the “Founders Awards”). In addition, we agree to nominate to our board of directors individuals designated by Silver Lake, Francisco Partners, Spectrum and Idea Men, LLC in accordance with our stockholders agreement. Silver Lake, Francisco Partners, Spectrum and Idea Men, LLC each retain the right to designate directors for so long as they beneficially own at least 5% of the aggregate number of shares of common stock outstanding. Even when the parties to our stockholders agreement cease to own shares of our stock representing a majority of the total voting power, for so long as the parties to our stockholders agreement continue to own a significant percentage of our stock, particularly our Class B common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 particular, for so long as the parties to our stockholders agreement continue to own a significant percentage of our stock, particularly our Class B common stock, the parties to our stockholders agreement may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21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Further, our amended and restated certificate of incorporation provides that the doctrine of “corporate opportunity” will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w:t>
      </w:r>
    </w:p>
    <w:p>
      <w:pPr>
        <w:spacing w:after="0" w:line="291"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Substantial future sales by the parties to our stockholders agreement or other holders of our common stock, or the perception that such sales may occur, could depress the price of our Class A common stock.</w:t>
      </w:r>
    </w:p>
    <w:p>
      <w:pPr>
        <w:spacing w:after="0" w:line="6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parties to our stockholders agreement collectively own 82.9% of our outstanding shares of common stock. Subject to the restrictions described in the paragraph below, future sales of these shares are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Class A common stock. The sale by the parties to our stockholders agreement of a substantial number of shares, or a perception that such sales could occur, could significantly reduce the market price of our Class A common stock.</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and all directors, officers and the holders of substantially all of our outstanding common stock and stock options have agreed that, without the prior written consent of at least three of the representatives on behalf of the underwriters of our IPO, we and they will not, and will not publicly disclose an intention to, during the period ending 180 days after September 22, 2020, or the restricted period, (i)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(ii) file any registration statement with the SEC relating to the offering of any shares of common stock or any securities convertible into or exercisable or exchangeable for common stock or (iii) enter into any swap or other arrangement that transfers to another, in whole or in part, any of the economic consequences of ownership of the common stock; provided, however, that with respect to each of our non-executive employees that have agreed to the lock-up restrictions described above, if (a)(1) we have filed our first quarterly report on Form 10-Q (the “first filing date”), and (2) the last reported closing price of the Class A common stock on the Nasdaq Global Select Market is at least 33% greater than the initial public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both"/>
        <w:spacing w:after="0" w:line="236" w:lineRule="auto"/>
        <w:rPr>
          <w:sz w:val="20"/>
          <w:szCs w:val="20"/>
          <w:color w:val="auto"/>
        </w:rPr>
      </w:pPr>
      <w:r>
        <w:rPr>
          <w:rFonts w:ascii="Arial" w:cs="Arial" w:eastAsia="Arial" w:hAnsi="Arial"/>
          <w:sz w:val="18"/>
          <w:szCs w:val="18"/>
          <w:color w:val="auto"/>
        </w:rPr>
        <w:t>offering price of $33 per share for 10 out of the 15 consecutive trading days ending on the first filing date, then 20% of the lock-up party’s shares of common stock that are subject to the restricted period will be automatically released from such restrictions immediately prior to the opening of trading on the Nasdaq Global Select Market on the second trading day following the first filing date, which percentage shall be calculated based on the number of shares of common stock subject to the restricted period that are held by such lock-up party as of the first filing date; and/or (b)(1) we have filed our second quarterly report on Form 10-Q or our first annual report on Form 10-K (the “second filing date”), and (2) the last reported closing price is at least 33% greater than the IPO price for 10 out of the 15 consecutive trading days ending on the second filing date, then 30% of the lock-up party’s shares of common stock that are subject to the restricted period will be automatically released from such restrictions immediately prior to the opening of trading on the Nasdaq Global Select Market on the second trading day following the second filing date, which percentage shall be calculated based on the number of shares of common stock subject to the restricted period that are held by such lock-up party as of the second filing date. The automatic releases described above do not apply to Douglas Hirsch, Trevor Bezdek, Karsten Voermann, Andrew Slutsky, Babak Azad or Bansi Nagji. In the aggregate, our non-executive employees held 7,031,696 shares of our Class B common stock as of September 30, 2020.</w:t>
      </w:r>
    </w:p>
    <w:p>
      <w:pPr>
        <w:spacing w:after="0" w:line="29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anticipate incurring substantial stock-based compensation expense and incurring substantial obligations related to the vesting and settlement of RSUs granted in connection with our IPO, which may have an adverse effect on our financial condition and results of operations and may result in substantial dilution.</w:t>
      </w:r>
    </w:p>
    <w:p>
      <w:pPr>
        <w:spacing w:after="0" w:line="8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light of the large number of RSUs subject to the Founders Awards that were granted in connection with our IPO in September 2020, we have incurred and anticipate that we will incur substantial additional stock-based compensation and expend substantial funds to satisfy tax withholding and remittance obligations as these RSUs vest over time. The grant date fair value of the Founders Awards was $533.3 million, of which $98.1 million was recognized during the three months ended September 30, 2020. Given the Company’s stock price for the post IPO period, all of the stock price goals with respect to the Performance-Vesting Founders Awards, (see note 9 of our condensed consolidated financial statements) were achieved in October 2020. As a result, all 16,422,044 Performance-Vesting Founders Awards vested, resulting in recognition of approximately $232.1 million of stock-based compensation expense for the fourth quarter of 2020. The unrecognized compensation expense associated with the time vesting portion of the Founders Awards of $203.1 million as of September 30, 2020 is expected to be recognized over the remaining service period of 2.1 years, with $43.0 million expected to be recognized in the fourth quarter of 2020, bringing the total expense related to the Founders Awards in the fourth quarter to approximately $275.1 million. In addition, as a result of the Founders Awards, and the Performance-Vesting Founders Awards in particular, a large number of shares of Class B common stock will be issued on the settlement date. On the settlement dates for the RSUs, we plan to withhold shares and remit taxes on behalf of the holders of such Founders Awards at applicable statutory rates, which we refer to as net settlement, which may result in substantial tax withholding obligations. The amount of tax withholding obligations will depend on the price of our Class A common stock, the actual number of RSUs for which the vesting conditions are satisfied over time and the applicable tax withholding rates then in effect. Notwithstanding the vesting in October 2020 of the entire Performance-Vesting Founders Awards, the associated shares will not be issued until three years from the vesting date or, if earlier, a change in control event, as defined in the RSU agreements governing the Founders Awards.</w:t>
      </w:r>
    </w:p>
    <w:p>
      <w:pPr>
        <w:spacing w:after="0" w:line="21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Assuming an approximate 50% tax withholding rate and stock price of $55.00 per share at vesting and settlement, for the 16.4 million Performance-Vesting Founders Award shares that vested as described in the preceding paragraph, we estimate that our cash obligation on behalf of our Co-Founders to the relevant tax authorities to satisfy tax withholding obligations would be approximately $447.8 million, and we would deliver an aggregate of approximately 8.2 million shares of our Class B common stock to net settle these awards, after withholding an aggregate of approximately 8.2 million shares of our Class B common stock. Cash payments for income tax withholdings are due upon the settlement date of the RSUs which is the third anniversary of the applicable vesting date or, if earlier, upon a qualifying change in control event. The actual amount of the tax obligations and the number of shares to be delivered could be higher or lower, depending on the price of our Class A common stock upon settlement and the applicable tax withholding rates then in effect.</w:t>
      </w:r>
    </w:p>
    <w:p>
      <w:pPr>
        <w:spacing w:after="0" w:line="29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are a “controlled company” under the corporate governance rules of The Nasdaq Stock Market and, as a result, qualify for, and intend to rely on, exemptions from certain corporate governance requirements. You will not have the same protections afforded to stockholders of companies that are subject to such requirements.</w:t>
      </w:r>
    </w:p>
    <w:p>
      <w:pPr>
        <w:spacing w:after="0" w:line="8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Certain affiliates of Silver Lake, Francisco Partners, Spectrum and Idea Men, LLC own approximately 91.3% of the combined voting power of our Class A and Class B common stock and are parties, among others, to a stockholders agreement. As a result, we are a “controlled company” within the meaning of the corporate governance standards of The Nasdaq Stock Market rules. Under these rules, a listed company of which more than 50% of the voting power is held by 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5" w:name="page76"/>
    <w:bookmarkEnd w:id="75"/>
    <w:p>
      <w:pPr>
        <w:ind w:right="20"/>
        <w:spacing w:after="0" w:line="246" w:lineRule="auto"/>
        <w:rPr>
          <w:sz w:val="20"/>
          <w:szCs w:val="20"/>
          <w:color w:val="auto"/>
        </w:rPr>
      </w:pPr>
      <w:r>
        <w:rPr>
          <w:rFonts w:ascii="Arial" w:cs="Arial" w:eastAsia="Arial" w:hAnsi="Arial"/>
          <w:sz w:val="18"/>
          <w:szCs w:val="18"/>
          <w:color w:val="auto"/>
        </w:rPr>
        <w:t>individual, group or another company is a “controlled company” and may elect not to comply with certain corporate governance requirements, including:</w:t>
      </w:r>
    </w:p>
    <w:p>
      <w:pPr>
        <w:spacing w:after="0" w:line="89"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17" w:lineRule="exact"/>
        <w:rPr>
          <w:rFonts w:ascii="Arial" w:cs="Arial" w:eastAsia="Arial" w:hAnsi="Arial"/>
          <w:sz w:val="18"/>
          <w:szCs w:val="18"/>
          <w:color w:val="auto"/>
        </w:rPr>
      </w:pPr>
    </w:p>
    <w:p>
      <w:pPr>
        <w:jc w:val="both"/>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spacing w:after="0" w:line="94"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it have a compensation committee that is composed entirely of independent directors with a written charter addressing the committee’s purpose and responsibilities.</w:t>
      </w:r>
    </w:p>
    <w:p>
      <w:pPr>
        <w:spacing w:after="0" w:line="19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do not intend to rely on all of these exemptions. However,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as applicable. Accordingly, you will not have the same protections afforded to stockholders of companies that are subject to all of the corporate governance requirements of The Nasdaq Stock Market rules.</w:t>
      </w:r>
    </w:p>
    <w:p>
      <w:pPr>
        <w:spacing w:after="0" w:line="288" w:lineRule="exact"/>
        <w:rPr>
          <w:sz w:val="20"/>
          <w:szCs w:val="20"/>
          <w:color w:val="auto"/>
        </w:rPr>
      </w:pPr>
    </w:p>
    <w:p>
      <w:pPr>
        <w:jc w:val="both"/>
        <w:ind w:firstLine="514"/>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our compliance with the reduced reporting and disclosure requirements applicable to “emerging growth companies” may make our Class A common stock less attractive to investors.</w:t>
      </w:r>
    </w:p>
    <w:p>
      <w:pPr>
        <w:spacing w:after="0" w:line="6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we have elected to take advantage of certain exemptions and relief from various reporting requirements that are applicable to other public companies that are not “emerging growth companies.” These provisions include, but are not limited to: being permitted to have only two years of audited financial statements and only two years of related selected financial data and management’s discussion and analysis of financial condition and results of operations disclosures;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207"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may remain an “emerging growth company” until as late as December 31, 2025, the fiscal year-end following the fifth anniversary of the completion of the initial public offering of our common stock, though we may cease to be an “emerging growth company” earlier under certain circumstances, including if (i) we have more than $ 1.07 billion in annual revenue in any fiscal year, (ii) we become a “large accelerated filer,” with at least $700 million of equity securities held by non-affiliates as of the end of the second quarter of that fiscal year or (iii) we issue more than $1.0 billion of non-convertible debt over a three-year period.</w:t>
      </w:r>
    </w:p>
    <w:p>
      <w:pPr>
        <w:spacing w:after="0" w:line="20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exact implications of the JOBS Act are still subject to interpretations and guidance by the SEC and other regulatory agencies, and we cannot assure you that we will be able to take advantage of all of the benefits of the JOBS Act. In addition, investors may find our Class A common stock less attractive to the extent we rely on the exemptions and relief granted by the JOBS Act. If some investors find our Class A common stock less attractive as a result, there may be a less active trading market for our Class A common stock and our stock price may decline or become more volatile.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6" w:name="page77"/>
    <w:bookmarkEnd w:id="76"/>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Class A common stock.</w:t>
      </w:r>
    </w:p>
    <w:p>
      <w:pPr>
        <w:spacing w:after="0" w:line="8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Certain provisions in our amended and restated certificate of incorporation and amended and restated bylaws contain provisions that may make the acquisition of our company more difficult, including the following:</w:t>
      </w:r>
    </w:p>
    <w:p>
      <w:pPr>
        <w:spacing w:after="0" w:line="89" w:lineRule="exact"/>
        <w:rPr>
          <w:sz w:val="20"/>
          <w:szCs w:val="20"/>
          <w:color w:val="auto"/>
        </w:rPr>
      </w:pPr>
    </w:p>
    <w:p>
      <w:pPr>
        <w:ind w:left="880" w:hanging="373"/>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spacing w:after="0" w:line="88" w:lineRule="exact"/>
        <w:rPr>
          <w:rFonts w:ascii="Arial" w:cs="Arial" w:eastAsia="Arial" w:hAnsi="Arial"/>
          <w:sz w:val="18"/>
          <w:szCs w:val="18"/>
          <w:color w:val="auto"/>
        </w:rPr>
      </w:pPr>
    </w:p>
    <w:p>
      <w:pPr>
        <w:jc w:val="both"/>
        <w:ind w:left="880" w:hanging="373"/>
        <w:spacing w:after="0" w:line="238"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certain affiliates of Silver Lake, Francisco Partners, Spectrum, Idea Men, LLC and our Co-Founders, individually or together, with the ability to significantly influence the outcome of matters requiring stockholder approval, even if they own significantly less than a majority of the shares of our outstanding Class A common stock and Class B common stock;</w:t>
      </w:r>
    </w:p>
    <w:p>
      <w:pPr>
        <w:spacing w:after="0" w:line="96"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staggered board;</w:t>
      </w:r>
    </w:p>
    <w:p>
      <w:pPr>
        <w:spacing w:after="0" w:line="117" w:lineRule="exact"/>
        <w:rPr>
          <w:rFonts w:ascii="Arial" w:cs="Arial" w:eastAsia="Arial" w:hAnsi="Arial"/>
          <w:sz w:val="18"/>
          <w:szCs w:val="18"/>
          <w:color w:val="auto"/>
        </w:rPr>
      </w:pPr>
    </w:p>
    <w:p>
      <w:pPr>
        <w:jc w:val="both"/>
        <w:ind w:left="880" w:right="2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any time when the holders of our Class B common stock no longer beneficially own, in the aggregate, at least the majority of the voting power of our outstanding capital stock, our stockholders will only able to take action at a meeting of stockholders and will not able to take action by written consent for any matter;</w:t>
      </w:r>
    </w:p>
    <w:p>
      <w:pPr>
        <w:spacing w:after="0" w:line="9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does not provide for cumulative voting;</w:t>
      </w:r>
    </w:p>
    <w:p>
      <w:pPr>
        <w:spacing w:after="0" w:line="117"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 subject to the rights granted pursuant to the stockholders agreement;</w:t>
      </w:r>
    </w:p>
    <w:p>
      <w:pPr>
        <w:spacing w:after="0" w:line="88"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special meeting of our stockholders may only be called by the chairperson of our board of directors, our Chief Executive Officer or our Co-Chief Executive Officers, as applicable, or a majority of our board of directors;</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or the federal courts, as applicable;</w:t>
      </w:r>
    </w:p>
    <w:p>
      <w:pPr>
        <w:spacing w:after="0" w:line="117" w:lineRule="exact"/>
        <w:rPr>
          <w:rFonts w:ascii="Arial" w:cs="Arial" w:eastAsia="Arial" w:hAnsi="Arial"/>
          <w:sz w:val="18"/>
          <w:szCs w:val="18"/>
          <w:color w:val="auto"/>
        </w:rPr>
      </w:pPr>
    </w:p>
    <w:p>
      <w:pPr>
        <w:ind w:left="880" w:right="20" w:hanging="373"/>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further action by our stockholders; and</w:t>
      </w:r>
    </w:p>
    <w:p>
      <w:pPr>
        <w:spacing w:after="0" w:line="88" w:lineRule="exact"/>
        <w:rPr>
          <w:rFonts w:ascii="Arial" w:cs="Arial" w:eastAsia="Arial" w:hAnsi="Arial"/>
          <w:sz w:val="18"/>
          <w:szCs w:val="18"/>
          <w:color w:val="auto"/>
        </w:rPr>
      </w:pPr>
    </w:p>
    <w:p>
      <w:pPr>
        <w:ind w:left="880" w:right="20" w:hanging="373"/>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apply for stockholders (other than the parties to our stockholders agreement) to nominate candidates for election as directors or to bring matters before an annual meeting of stockholders.</w:t>
      </w:r>
    </w:p>
    <w:p>
      <w:pPr>
        <w:spacing w:after="0" w:line="19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addition, we have opted out of Section 203 of the Delaware General Corporation Law, but our amended and restated certificate of incorporation provides that engaging in any of a broad range of business combinations with any “interested stockholder” (any entity or person who, together with that entity’s or person’s affiliates and associates, owns or within the previous three years owned, 15% or more of our outstanding voting stock) for a period of three years following the date on which the stockholder became an “interested stockholder” is prohibited, provided, however, that, under our amended and restated certificate of incorporation, the parties to our stockholders agreement and any of their respective affiliates are not deemed to be interested stockholders regardless of the percentage of our outstanding voting stock owned by them, and accordingly are not subject to such restrictions.</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8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does not apply with respect to certain parties to our stockholders agreement and any director or stockholder who is not employed by us or our subsidiaries.</w:t>
      </w:r>
    </w:p>
    <w:p>
      <w:pPr>
        <w:spacing w:after="0" w:line="8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both"/>
        <w:spacing w:after="0" w:line="236" w:lineRule="auto"/>
        <w:rPr>
          <w:sz w:val="20"/>
          <w:szCs w:val="20"/>
          <w:color w:val="auto"/>
        </w:rPr>
      </w:pPr>
      <w:r>
        <w:rPr>
          <w:rFonts w:ascii="Arial" w:cs="Arial" w:eastAsia="Arial" w:hAnsi="Arial"/>
          <w:sz w:val="18"/>
          <w:szCs w:val="18"/>
          <w:color w:val="auto"/>
        </w:rPr>
        <w:t>incorporation, provides that the doctrine of “corporate opportunity” does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SLP Geology Aggregator, L.P., Francisco Partners IV, L.P., Francisco Partners IV-A, L.P., Spectrum Equity VII, L.P., Spectrum VII Investment Managers’ Fund, L.P., Spectrum VII Co-Investment Fund, L.P. and Idea Men, LLC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89"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9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2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currently intend to retain any future earnings to finance the operation and expansion of our business and we do not expect to declare or pay any dividends in the foreseeable future. Moreover, the terms of our existing Credit Agreement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Class A common stock after price appreciation as the only way to realize any future gains on their investment.</w:t>
      </w:r>
    </w:p>
    <w:p>
      <w:pPr>
        <w:spacing w:after="0" w:line="2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are a holding company and depend on our subsidiaries for cash to fund operations and expenses, including future dividend payments, if any.</w:t>
      </w:r>
    </w:p>
    <w:p>
      <w:pPr>
        <w:spacing w:after="0" w:line="68"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8" w:name="page79"/>
    <w:bookmarkEnd w:id="78"/>
    <w:p>
      <w:pPr>
        <w:jc w:val="both"/>
        <w:spacing w:after="0"/>
        <w:rPr>
          <w:sz w:val="20"/>
          <w:szCs w:val="20"/>
          <w:color w:val="auto"/>
        </w:rPr>
      </w:pPr>
      <w:r>
        <w:rPr>
          <w:rFonts w:ascii="Arial" w:cs="Arial" w:eastAsia="Arial" w:hAnsi="Arial"/>
          <w:sz w:val="18"/>
          <w:szCs w:val="18"/>
          <w:color w:val="auto"/>
        </w:rPr>
        <w:t>future; however, the agreements governing the indebtedness of our subsidiaries impose restrictions on our subsidiaries’ ability to pay dividends or other distributions to us. The deterioration of the earnings from, or other available assets of, our subsidiaries for any reason could impair their ability to make distributions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We may experience fluctuations in our tax obligations and effective tax rate, which could materially and adversely affect our results of operations.</w:t>
      </w:r>
    </w:p>
    <w:p>
      <w:pPr>
        <w:spacing w:after="0" w:line="6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Future litigation could have a material adverse effect on our business and results of operations.</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Lawsuits and other administrative or legal proceedings that may arise in the course of our operations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Although we generally maintain insurance to mitigate certain costs, there can be no assurance that costs associated with lawsuits or other legal proceedings will not exceed the limits of insurance policies. Moreover, we may be unable to continue to maintain our existing insurance at a reasonable cost, if at all, or to secure additional coverage, which may result in costs associated with lawsuits and other legal proceedings being uninsured. Our business, financial condition and results of operations could be adversely affected if a judgment, settlement penalty or fine is not fully covered by insurance.</w:t>
      </w:r>
    </w:p>
    <w:p>
      <w:pPr>
        <w:spacing w:after="0" w:line="294" w:lineRule="exact"/>
        <w:rPr>
          <w:sz w:val="20"/>
          <w:szCs w:val="20"/>
          <w:color w:val="auto"/>
        </w:rPr>
      </w:pPr>
    </w:p>
    <w:p>
      <w:pPr>
        <w:jc w:val="both"/>
        <w:ind w:firstLine="514"/>
        <w:spacing w:after="0" w:line="271" w:lineRule="auto"/>
        <w:rPr>
          <w:sz w:val="20"/>
          <w:szCs w:val="20"/>
          <w:color w:val="auto"/>
        </w:rPr>
      </w:pPr>
      <w:r>
        <w:rPr>
          <w:rFonts w:ascii="Arial" w:cs="Arial" w:eastAsia="Arial" w:hAnsi="Arial"/>
          <w:sz w:val="18"/>
          <w:szCs w:val="18"/>
          <w:b w:val="1"/>
          <w:bCs w:val="1"/>
          <w:i w:val="1"/>
          <w:iCs w:val="1"/>
          <w:color w:val="auto"/>
        </w:rPr>
        <w:t>We may need additional capital in the future, which may not be available to us on favorable terms, or at all, and may dilute your ownership of our Class A common stock.</w:t>
      </w:r>
    </w:p>
    <w:p>
      <w:pPr>
        <w:spacing w:after="0" w:line="6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capital to fund and support our business, to respond to competitive challenges or take advantage of strategic opportunities. Accordingly, we may require additional capital from equity or debt financing in the future and may not be able to secure timely additional financing on favorable terms, or at all. The terms of any additional financing may place limits on our financial and operating flexibility, including our ability to issue or repurchase equity, develop new or enhanced existing offerings, complete acquisitions or otherwise take advantage of business opportunities. If we raise additional funds or finance acquisitions through further issuances of equity, convertible debt securities or other securities convertible into equity, you and our other stockholders could suffer significant dilution in your percentage ownership of our company, and any new securities we issue could have rights, preferences and privileges senior to those of holders of our Class A common stock. If we raise additional funds through debt financing, such financing could impose restrictive covenants relating to our capital-raising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if and when we require it, including as a result of the disruption to the capital and debt markets caused by the COVID-19 pandemic or a similar pandemic, our ability to grow or support our business and to respond to business challenges could be significantly limited.</w:t>
      </w:r>
    </w:p>
    <w:p>
      <w:pPr>
        <w:spacing w:after="0" w:line="28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platform or features of our platform and offerings.</w:t>
      </w:r>
    </w:p>
    <w:p>
      <w:pPr>
        <w:spacing w:after="0" w:line="6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There are a number of changes to the patent laws that may have a significant impact on our ability to protect our technology and enforce our intellectual property rights. For example, the Leahy-Smith America Invents Act (the “AIA”), enacted in September 2011, resulted in significant changes in patent legislation.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 Patent and Trademark Office (“USPTO”) after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9" w:name="page80"/>
    <w:bookmarkEnd w:id="79"/>
    <w:p>
      <w:pPr>
        <w:jc w:val="both"/>
        <w:spacing w:after="0" w:line="238" w:lineRule="auto"/>
        <w:rPr>
          <w:sz w:val="20"/>
          <w:szCs w:val="20"/>
          <w:color w:val="auto"/>
        </w:rPr>
      </w:pPr>
      <w:r>
        <w:rPr>
          <w:rFonts w:ascii="Arial" w:cs="Arial" w:eastAsia="Arial" w:hAnsi="Arial"/>
          <w:sz w:val="18"/>
          <w:szCs w:val="18"/>
          <w:color w:val="auto"/>
        </w:rPr>
        <w:t>that date but before us could therefore be awarded a patent covering an invention of ours even if we made the invention before it was made by the third party. Circumstances could prevent us from promptly filing patent applications on our inventions. 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IPR and derivation proceedings.</w:t>
      </w:r>
    </w:p>
    <w:p>
      <w:pPr>
        <w:spacing w:after="0" w:line="20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There are also a number of changes to the patent laws being considered that, if enacted, may have a significant impact on our ability to protect our technology and enforce our intellectual property rights. For example, the Senate Judiciary Committee’s Subcommittee on Intellectual Property in 2019 held hearings on expanding the test for patent definiteness under Section 112(f) of the Patent Act to combat the assertion of overbroad claims. Such changes could result in a diminished value for issued patents which properly captured the scope entitled to them as of the time of examination, but might fail the new test if it is enacted. Alternatively, the USPTO could decide to strengthen its examination under Section 112(f), leading to fewer issuing patents or patents issuing with more limited scope.</w:t>
      </w:r>
    </w:p>
    <w:p>
      <w:pPr>
        <w:spacing w:after="0" w:line="20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There are also legislative discussions regarding the changing of rules relating to post-grant review of patents through IPR or covered business method (“CBM”) review. For example, current case law holds that the Patent Trial and Appeal Board (“PTAB”) has the sole authority to determine whether to institute an IPR or CBM, and such decision is unreviewable on appeal. Efforts to amend the law to allow appellate review of PTAB institution decisions could result in an increase of institution as a result of such appellate review, and a corresponding increase in invalidation through these processes. Because of a lower evidentiary standard in PTAB proceedings compared to the evidentiary standard in U.S. federal courts necessary to invalidate a patent claim, a third party could potentially provide evidence in a PTAB proceeding sufficient for the PTAB to hold a claim invalid even though the same evidence would be insufficient to invalidate the claim if first presented in a district court action. Accordingly, a third party may attempt to use the PTAB procedures to invalidate our patent claims that would not have been invalidated if first challenged by the third party as a defendant in a district court action, and legislative attempts to make it easier to appeal successful patent-holder results could diminish the value of patents.</w:t>
      </w:r>
    </w:p>
    <w:p>
      <w:pPr>
        <w:spacing w:after="0" w:line="20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In addition, the patent position of companies engaged in the development and commercialization of software and internet e-commerce is particularly uncertain. Various courts, including the Supreme Court have rendered decisions that affect the scope of patentability of certain inventions or discoveries relating to certain software and business method patents. These decisions state, among other things, that a patent claim that recites an abstract idea, natural phenomenon or law of nature is not itself patentable. Precisely what constitutes a law of nature or abstract idea is uncertain, and it is possible that certain aspects of our software or business methods would be considered abstract ideas.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software,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2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may also be required to protect our proprietary technology and content in an increasing number of jurisdictions, a process that is expensive and may not be successful, or which we may not pursue in every location. Filing, prosecuting, maintaining, defending, and enforcing intellectual property rights on our solutions, services, and technologies in all countries throughout the world would be prohibitively expensive, and our intellectual property rights in some countries outside the United States can be less extensive than those in the United States. We do not own and have not registered or applied for intellectual property outside the United States. Competitors may use our technologies in jurisdictions where we have not obtained protection to develop their own solutions and services and, further, may export otherwise violating solutions and services to territories where we have protection but enforcement is not as strong as that in the United States. These solutions and services may compete with our solutions and services, and our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0" w:name="page81"/>
    <w:bookmarkEnd w:id="80"/>
    <w:p>
      <w:pPr>
        <w:jc w:val="both"/>
        <w:ind w:firstLine="510"/>
        <w:spacing w:after="0" w:line="236" w:lineRule="auto"/>
        <w:rPr>
          <w:sz w:val="20"/>
          <w:szCs w:val="20"/>
          <w:color w:val="auto"/>
        </w:rPr>
      </w:pPr>
      <w:r>
        <w:rPr>
          <w:rFonts w:ascii="Arial" w:cs="Arial" w:eastAsia="Arial" w:hAnsi="Arial"/>
          <w:sz w:val="18"/>
          <w:szCs w:val="18"/>
          <w:color w:val="auto"/>
        </w:rPr>
        <w:t>In addition, the legal systems of some countries, particularly developing countries, do not favor the enforcement of intellectual property protection, especially those relating to healthcare. This could make it difficult for us to stop the misappropriation or other violation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solutions, services and other technologies and the enforcement of intellectual property. Any of the foregoing could harm our competitive position, business, financial condition, results of operations and prospects.</w:t>
      </w:r>
    </w:p>
    <w:p>
      <w:pPr>
        <w:spacing w:after="0" w:line="29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9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we cannot license rights to use technologies on reasonable terms, we may not be able to commercialize new solutions or services in the future.</w:t>
      </w:r>
    </w:p>
    <w:p>
      <w:pPr>
        <w:spacing w:after="0" w:line="68"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the future, we may identify additional third-party intellectual property we may need to license in order to engage in our business, including to develop or commercialize new solutions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solutions and services. Such royalties are a component of the cost of our solutions or services and may affect the margins on our solutions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1" w:name="page82"/>
    <w:bookmarkEnd w:id="81"/>
    <w:p>
      <w:pPr>
        <w:ind w:right="20" w:firstLine="510"/>
        <w:spacing w:after="0" w:line="271"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w:t>
      </w:r>
    </w:p>
    <w:p>
      <w:pPr>
        <w:spacing w:after="0" w:line="68"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market price of our Class A common stock may fluctuate significantly in response to numerous factors, many of which are beyond our control, including:</w:t>
      </w:r>
    </w:p>
    <w:p>
      <w:pPr>
        <w:spacing w:after="0" w:line="89"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conditions and results of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88"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results of operations or capital commitments;</w:t>
      </w:r>
    </w:p>
    <w:p>
      <w:pPr>
        <w:spacing w:after="0" w:line="88"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stock market valuations and operating performance of other healthcare and technology companies generally, or those in our industry in particular;</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board of directors or management;</w:t>
      </w:r>
    </w:p>
    <w:p>
      <w:pPr>
        <w:spacing w:after="0" w:line="117" w:lineRule="exact"/>
        <w:rPr>
          <w:rFonts w:ascii="Arial" w:cs="Arial" w:eastAsia="Arial" w:hAnsi="Arial"/>
          <w:sz w:val="18"/>
          <w:szCs w:val="18"/>
          <w:color w:val="auto"/>
        </w:rPr>
      </w:pPr>
    </w:p>
    <w:p>
      <w:pPr>
        <w:ind w:left="880" w:right="20" w:hanging="373"/>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large blocks of our Class A common stock, including sales by certain affiliates of Silver Lake, Francisco Partners, Spectrum, Idea Men, LLC, our Co-Founders or our executive officers and directors;</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anticipated or actual changes in laws, regulations or government policies applicable to our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in the United States;</w:t>
      </w:r>
    </w:p>
    <w:p>
      <w:pPr>
        <w:spacing w:after="0" w:line="117" w:lineRule="exact"/>
        <w:rPr>
          <w:rFonts w:ascii="Arial" w:cs="Arial" w:eastAsia="Arial" w:hAnsi="Arial"/>
          <w:sz w:val="18"/>
          <w:szCs w:val="18"/>
          <w:color w:val="auto"/>
        </w:rPr>
      </w:pPr>
    </w:p>
    <w:p>
      <w:pPr>
        <w:ind w:left="880" w:hanging="373"/>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pandemics (including COVID-19), incidents of terrorism or responses to these events; and</w:t>
      </w:r>
    </w:p>
    <w:p>
      <w:pPr>
        <w:spacing w:after="0" w:line="88"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other factors described in this Part II, Item 1A, “Risk Factors.”</w:t>
      </w:r>
    </w:p>
    <w:p>
      <w:pPr>
        <w:spacing w:after="0" w:line="22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Class A common stock, which could cause a decline in the value of your investment. Price volatility may be greater if the public float and trading volume of shares of our Class A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8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An active market may not be sustainable, and investors may be unable to resell their shares at or above the price for which they were purchased.</w:t>
      </w:r>
    </w:p>
    <w:p>
      <w:pPr>
        <w:spacing w:after="0" w:line="68"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It is possible that an active or liquid market in our Class A common stock may not be sustainable. In the absence of an active trading market for our Class A common stock, you may not be able to resell those shares at or above the price you paid for them or at all. We cannot predict the prices at which our Class A common stock will trade.</w:t>
      </w:r>
    </w:p>
    <w:p>
      <w:pPr>
        <w:spacing w:after="0" w:line="28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they publish negative reports about our business, our share price and trading volume could decline.</w:t>
      </w:r>
    </w:p>
    <w:p>
      <w:pPr>
        <w:spacing w:after="0" w:line="6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our market and our competitors. We do not have any control over these analysts. If one or more of the analysts who cover us downgrade our shares or publish negative views on us or our shares, our share price would likely decline. If one or more of these analysts cease coverage of our company or fail to regularly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publish reports on us, we could lose visibility in the financial markets, which could cause our share price or trading volume to decline.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information regarding unregistered securities sold from July 1, 2020 through September 30, 2020:</w:t>
      </w:r>
    </w:p>
    <w:p>
      <w:pPr>
        <w:spacing w:after="0" w:line="104" w:lineRule="exact"/>
        <w:rPr>
          <w:sz w:val="20"/>
          <w:szCs w:val="20"/>
          <w:color w:val="auto"/>
        </w:rPr>
      </w:pPr>
    </w:p>
    <w:p>
      <w:pPr>
        <w:ind w:left="880" w:hanging="373"/>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September 25, 2020, we sold 3,030,303 shares of our Class A common stock to SLP Geology Aggregator, L.P. at a purchase price of $33 per share for aggregate gross and net proceeds of $100.0 million.</w:t>
      </w:r>
    </w:p>
    <w:p>
      <w:pPr>
        <w:spacing w:after="0" w:line="19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Unless otherwise stated, the issuances of the above securities were deemed to be exempt from registration under the Securities Act in reliance upon Section 4(a)(2) of the Securities Act or Regulation D promulgated thereunder as transactions by an issuer not involving any public offering.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On September 25, 2020, we completed our IPO, in which we issued and sold 28,615,034 shares of our common stock, including 5,192,307 shares sold in connection with the exercise of the underwriters’ option to purchase additional shares, at a price to the public of $33.00 per share. We raised net proceeds to us of $886.9 million, after deducting the underwriting discount of $52.5 million and offering expenses of $4.9 million. Additionally, certain existing stockholders sold an aggregate of 11,192,657 shares at the same price, resulting in net proceeds to the selling stockholders of $348.8 million. All shares sold were registered pursuant to a registration statement on Form S-1 (File No. 333-248465),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declared effective by the SEC on September 22, 2020. Morgan Stanley &amp; Co, LLC, Goldman &amp; Co, LLC, J.P. Morgan Securities LLC and Barclays Capital Inc.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20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net proceeds from our IPO have been invested in investment grade, interest-bearing instruments. There has been no material change in the expected use of the net proceeds from our initial public offering as described in our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40"/>
          </w:cols>
          <w:pgMar w:left="320" w:top="360" w:right="339" w:bottom="1440" w:gutter="0" w:footer="0" w:header="0"/>
        </w:sect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15"/>
          </w:tcPr>
          <w:p>
            <w:pPr>
              <w:ind w:left="740"/>
              <w:spacing w:after="0"/>
              <w:rPr>
                <w:sz w:val="20"/>
                <w:szCs w:val="20"/>
                <w:color w:val="auto"/>
              </w:rPr>
            </w:pPr>
            <w:r>
              <w:rPr>
                <w:rFonts w:ascii="Arial" w:cs="Arial" w:eastAsia="Arial" w:hAnsi="Arial"/>
                <w:sz w:val="14"/>
                <w:szCs w:val="14"/>
                <w:b w:val="1"/>
                <w:bCs w:val="1"/>
                <w:color w:val="auto"/>
              </w:rPr>
              <w:t>Exhibit Description</w:t>
            </w:r>
          </w:p>
        </w:tc>
      </w:tr>
      <w:tr>
        <w:trPr>
          <w:trHeight w:val="209"/>
        </w:trPr>
        <w:tc>
          <w:tcPr>
            <w:tcW w:w="920" w:type="dxa"/>
            <w:vAlign w:val="bottom"/>
          </w:tcPr>
          <w:p>
            <w:pPr>
              <w:ind w:lef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23"/>
          </w:tcPr>
          <w:p>
            <w:pPr>
              <w:spacing w:after="0"/>
              <w:rPr>
                <w:rFonts w:ascii="Arial" w:cs="Arial" w:eastAsia="Arial" w:hAnsi="Arial"/>
                <w:sz w:val="18"/>
                <w:szCs w:val="18"/>
                <w:color w:val="0000EE"/>
              </w:rPr>
            </w:pPr>
            <w:hyperlink r:id="rId106">
              <w:r>
                <w:rPr>
                  <w:rFonts w:ascii="Arial" w:cs="Arial" w:eastAsia="Arial" w:hAnsi="Arial"/>
                  <w:sz w:val="18"/>
                  <w:szCs w:val="18"/>
                  <w:u w:val="single" w:color="auto"/>
                  <w:color w:val="0000EE"/>
                </w:rPr>
                <w:t>Amended and Restated Certificate of Incorporation</w:t>
              </w:r>
            </w:hyperlink>
            <w:r>
              <w:rPr>
                <w:rFonts w:ascii="Arial" w:cs="Arial" w:eastAsia="Arial" w:hAnsi="Arial"/>
                <w:sz w:val="18"/>
                <w:szCs w:val="18"/>
                <w:color w:val="000000"/>
              </w:rPr>
              <w:t>.</w:t>
            </w:r>
          </w:p>
        </w:tc>
      </w:t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5600" w:type="dxa"/>
            <w:vAlign w:val="bottom"/>
            <w:gridSpan w:val="24"/>
          </w:tcPr>
          <w:p>
            <w:pPr>
              <w:spacing w:after="0"/>
              <w:rPr>
                <w:rFonts w:ascii="Arial" w:cs="Arial" w:eastAsia="Arial" w:hAnsi="Arial"/>
                <w:sz w:val="18"/>
                <w:szCs w:val="18"/>
                <w:color w:val="0000EE"/>
              </w:rPr>
            </w:pPr>
            <w:hyperlink r:id="rId107">
              <w:r>
                <w:rPr>
                  <w:rFonts w:ascii="Arial" w:cs="Arial" w:eastAsia="Arial" w:hAnsi="Arial"/>
                  <w:sz w:val="18"/>
                  <w:szCs w:val="18"/>
                  <w:u w:val="single" w:color="auto"/>
                  <w:color w:val="0000EE"/>
                </w:rPr>
                <w:t>Amended and Restated Bylaws</w:t>
              </w:r>
            </w:hyperlink>
            <w:r>
              <w:rPr>
                <w:rFonts w:ascii="Arial" w:cs="Arial" w:eastAsia="Arial" w:hAnsi="Arial"/>
                <w:sz w:val="18"/>
                <w:szCs w:val="18"/>
                <w:color w:val="000000"/>
              </w:rPr>
              <w:t>.</w:t>
            </w:r>
          </w:p>
        </w:tc>
      </w:t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5600" w:type="dxa"/>
            <w:vAlign w:val="bottom"/>
            <w:gridSpan w:val="24"/>
          </w:tcPr>
          <w:p>
            <w:pPr>
              <w:spacing w:after="0"/>
              <w:rPr>
                <w:rFonts w:ascii="Arial" w:cs="Arial" w:eastAsia="Arial" w:hAnsi="Arial"/>
                <w:sz w:val="18"/>
                <w:szCs w:val="18"/>
                <w:color w:val="0000EE"/>
              </w:rPr>
            </w:pPr>
            <w:hyperlink r:id="rId108">
              <w:r>
                <w:rPr>
                  <w:rFonts w:ascii="Arial" w:cs="Arial" w:eastAsia="Arial" w:hAnsi="Arial"/>
                  <w:sz w:val="18"/>
                  <w:szCs w:val="18"/>
                  <w:u w:val="single" w:color="auto"/>
                  <w:color w:val="0000EE"/>
                </w:rPr>
                <w:t>Form of Certificate of Class A Common Stock</w:t>
              </w:r>
            </w:hyperlink>
            <w:r>
              <w:rPr>
                <w:rFonts w:ascii="Arial" w:cs="Arial" w:eastAsia="Arial" w:hAnsi="Arial"/>
                <w:sz w:val="18"/>
                <w:szCs w:val="18"/>
                <w:color w:val="000000"/>
              </w:rPr>
              <w:t>.</w:t>
            </w:r>
          </w:p>
        </w:tc>
      </w:t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5600" w:type="dxa"/>
            <w:vAlign w:val="bottom"/>
            <w:gridSpan w:val="24"/>
          </w:tcPr>
          <w:p>
            <w:pPr>
              <w:spacing w:after="0"/>
              <w:rPr>
                <w:rFonts w:ascii="Arial" w:cs="Arial" w:eastAsia="Arial" w:hAnsi="Arial"/>
                <w:sz w:val="18"/>
                <w:szCs w:val="18"/>
                <w:color w:val="0000EE"/>
              </w:rPr>
            </w:pPr>
            <w:hyperlink r:id="rId109">
              <w:r>
                <w:rPr>
                  <w:rFonts w:ascii="Arial" w:cs="Arial" w:eastAsia="Arial" w:hAnsi="Arial"/>
                  <w:sz w:val="18"/>
                  <w:szCs w:val="18"/>
                  <w:u w:val="single" w:color="auto"/>
                  <w:color w:val="0000EE"/>
                </w:rPr>
                <w:t>Form of Certificate of Class B Common Stock</w:t>
              </w:r>
            </w:hyperlink>
            <w:r>
              <w:rPr>
                <w:rFonts w:ascii="Arial" w:cs="Arial" w:eastAsia="Arial" w:hAnsi="Arial"/>
                <w:sz w:val="18"/>
                <w:szCs w:val="18"/>
                <w:color w:val="000000"/>
              </w:rPr>
              <w:t>.</w:t>
            </w: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5"/>
                <w:szCs w:val="15"/>
                <w:color w:val="auto"/>
              </w:rPr>
            </w:pPr>
          </w:p>
        </w:tc>
        <w:tc>
          <w:tcPr>
            <w:tcW w:w="5400" w:type="dxa"/>
            <w:vAlign w:val="bottom"/>
            <w:tcBorders>
              <w:bottom w:val="single" w:sz="8" w:color="0000EE"/>
            </w:tcBorders>
            <w:gridSpan w:val="18"/>
          </w:tcPr>
          <w:p>
            <w:pPr>
              <w:spacing w:after="0" w:line="176" w:lineRule="exact"/>
              <w:rPr>
                <w:rFonts w:ascii="Arial" w:cs="Arial" w:eastAsia="Arial" w:hAnsi="Arial"/>
                <w:sz w:val="18"/>
                <w:szCs w:val="18"/>
                <w:color w:val="0000EE"/>
                <w:w w:val="99"/>
              </w:rPr>
            </w:pPr>
            <w:hyperlink r:id="rId110">
              <w:r>
                <w:rPr>
                  <w:rFonts w:ascii="Arial" w:cs="Arial" w:eastAsia="Arial" w:hAnsi="Arial"/>
                  <w:sz w:val="18"/>
                  <w:szCs w:val="18"/>
                  <w:color w:val="0000EE"/>
                  <w:w w:val="99"/>
                </w:rPr>
                <w:t>Form of Indemnification Agreement between GoodRx Holdings, Inc.</w:t>
              </w:r>
            </w:hyperlink>
          </w:p>
        </w:tc>
        <w:tc>
          <w:tcPr>
            <w:tcW w:w="200" w:type="dxa"/>
            <w:vAlign w:val="bottom"/>
            <w:gridSpan w:val="6"/>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and its directors and officers.</w:t>
              </w:r>
            </w:hyperlink>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10.2</w:t>
            </w:r>
          </w:p>
        </w:tc>
        <w:tc>
          <w:tcPr>
            <w:tcW w:w="40" w:type="dxa"/>
            <w:vAlign w:val="bottom"/>
          </w:tcPr>
          <w:p>
            <w:pPr>
              <w:spacing w:after="0"/>
              <w:rPr>
                <w:sz w:val="15"/>
                <w:szCs w:val="15"/>
                <w:color w:val="auto"/>
              </w:rPr>
            </w:pPr>
          </w:p>
        </w:tc>
        <w:tc>
          <w:tcPr>
            <w:tcW w:w="54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86">
              <w:r>
                <w:rPr>
                  <w:rFonts w:ascii="Arial" w:cs="Arial" w:eastAsia="Arial" w:hAnsi="Arial"/>
                  <w:sz w:val="18"/>
                  <w:szCs w:val="18"/>
                  <w:color w:val="0000EE"/>
                  <w:w w:val="99"/>
                </w:rPr>
                <w:t>Fifth Amended and Restated 2015 Equity Incentive Plan and related</w:t>
              </w:r>
            </w:hyperlink>
          </w:p>
        </w:tc>
        <w:tc>
          <w:tcPr>
            <w:tcW w:w="160" w:type="dxa"/>
            <w:vAlign w:val="bottom"/>
            <w:gridSpan w:val="4"/>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86">
              <w:r>
                <w:rPr>
                  <w:rFonts w:ascii="Arial" w:cs="Arial" w:eastAsia="Arial" w:hAnsi="Arial"/>
                  <w:sz w:val="18"/>
                  <w:szCs w:val="18"/>
                  <w:color w:val="0000EE"/>
                  <w:w w:val="99"/>
                </w:rPr>
                <w:t>form agreements.</w:t>
              </w:r>
            </w:hyperlink>
          </w:p>
        </w:tc>
        <w:tc>
          <w:tcPr>
            <w:tcW w:w="4180" w:type="dxa"/>
            <w:vAlign w:val="bottom"/>
            <w:gridSpan w:val="15"/>
          </w:tcPr>
          <w:p>
            <w:pPr>
              <w:spacing w:after="0"/>
              <w:rPr>
                <w:sz w:val="15"/>
                <w:szCs w:val="15"/>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9"/>
                <w:szCs w:val="19"/>
                <w:color w:val="auto"/>
              </w:rPr>
            </w:pPr>
          </w:p>
        </w:tc>
        <w:tc>
          <w:tcPr>
            <w:tcW w:w="5600" w:type="dxa"/>
            <w:vAlign w:val="bottom"/>
            <w:gridSpan w:val="24"/>
          </w:tcPr>
          <w:p>
            <w:pPr>
              <w:spacing w:after="0"/>
              <w:rPr>
                <w:rFonts w:ascii="Arial" w:cs="Arial" w:eastAsia="Arial" w:hAnsi="Arial"/>
                <w:sz w:val="18"/>
                <w:szCs w:val="18"/>
                <w:color w:val="0000EE"/>
              </w:rPr>
            </w:pPr>
            <w:hyperlink r:id="rId111">
              <w:r>
                <w:rPr>
                  <w:rFonts w:ascii="Arial" w:cs="Arial" w:eastAsia="Arial" w:hAnsi="Arial"/>
                  <w:sz w:val="18"/>
                  <w:szCs w:val="18"/>
                  <w:u w:val="single" w:color="auto"/>
                  <w:color w:val="0000EE"/>
                </w:rPr>
                <w:t>GoodRx Holdings, Inc. 2020 Incentive Award Plan</w:t>
              </w:r>
            </w:hyperlink>
            <w:r>
              <w:rPr>
                <w:rFonts w:ascii="Arial" w:cs="Arial" w:eastAsia="Arial" w:hAnsi="Arial"/>
                <w:sz w:val="18"/>
                <w:szCs w:val="18"/>
                <w:color w:val="000000"/>
              </w:rPr>
              <w: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5600" w:type="dxa"/>
            <w:vAlign w:val="bottom"/>
            <w:gridSpan w:val="24"/>
          </w:tcPr>
          <w:p>
            <w:pPr>
              <w:spacing w:after="0"/>
              <w:rPr>
                <w:rFonts w:ascii="Arial" w:cs="Arial" w:eastAsia="Arial" w:hAnsi="Arial"/>
                <w:sz w:val="18"/>
                <w:szCs w:val="18"/>
                <w:color w:val="0000EE"/>
              </w:rPr>
            </w:pPr>
            <w:hyperlink r:id="rId112">
              <w:r>
                <w:rPr>
                  <w:rFonts w:ascii="Arial" w:cs="Arial" w:eastAsia="Arial" w:hAnsi="Arial"/>
                  <w:sz w:val="18"/>
                  <w:szCs w:val="18"/>
                  <w:u w:val="single" w:color="auto"/>
                  <w:color w:val="0000EE"/>
                </w:rPr>
                <w:t>Form of Option Agreement pursuant to 2020 Incentive Award Plan</w:t>
              </w:r>
            </w:hyperlink>
            <w:r>
              <w:rPr>
                <w:rFonts w:ascii="Arial" w:cs="Arial" w:eastAsia="Arial" w:hAnsi="Arial"/>
                <w:sz w:val="18"/>
                <w:szCs w:val="18"/>
                <w:color w:val="000000"/>
              </w:rPr>
              <w:t>.</w:t>
            </w: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40" w:type="dxa"/>
            <w:vAlign w:val="bottom"/>
          </w:tcPr>
          <w:p>
            <w:pPr>
              <w:spacing w:after="0"/>
              <w:rPr>
                <w:sz w:val="15"/>
                <w:szCs w:val="15"/>
                <w:color w:val="auto"/>
              </w:rPr>
            </w:pPr>
          </w:p>
        </w:tc>
        <w:tc>
          <w:tcPr>
            <w:tcW w:w="5460" w:type="dxa"/>
            <w:vAlign w:val="bottom"/>
            <w:tcBorders>
              <w:bottom w:val="single" w:sz="8" w:color="0000EE"/>
            </w:tcBorders>
            <w:gridSpan w:val="21"/>
          </w:tcPr>
          <w:p>
            <w:pPr>
              <w:spacing w:after="0" w:line="17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Form of Restricted Stock Unit Agreement pursuant to 2020 Incentive</w:t>
              </w:r>
            </w:hyperlink>
          </w:p>
        </w:tc>
        <w:tc>
          <w:tcPr>
            <w:tcW w:w="140" w:type="dxa"/>
            <w:vAlign w:val="bottom"/>
            <w:gridSpan w:val="3"/>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Award Plan</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10.6</w:t>
            </w:r>
          </w:p>
        </w:tc>
        <w:tc>
          <w:tcPr>
            <w:tcW w:w="40" w:type="dxa"/>
            <w:vAlign w:val="bottom"/>
          </w:tcPr>
          <w:p>
            <w:pPr>
              <w:spacing w:after="0"/>
              <w:rPr>
                <w:sz w:val="15"/>
                <w:szCs w:val="15"/>
                <w:color w:val="auto"/>
              </w:rPr>
            </w:pPr>
          </w:p>
        </w:tc>
        <w:tc>
          <w:tcPr>
            <w:tcW w:w="53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Form of Time-Vesting Restricted Stock Unit Award Agreement (Co-</w:t>
              </w:r>
            </w:hyperlink>
          </w:p>
        </w:tc>
        <w:tc>
          <w:tcPr>
            <w:tcW w:w="260" w:type="dxa"/>
            <w:vAlign w:val="bottom"/>
            <w:gridSpan w:val="9"/>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Founders) pursuant to 2020 Incentive Award Plan</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10.7</w:t>
            </w:r>
          </w:p>
        </w:tc>
        <w:tc>
          <w:tcPr>
            <w:tcW w:w="40" w:type="dxa"/>
            <w:vAlign w:val="bottom"/>
          </w:tcPr>
          <w:p>
            <w:pPr>
              <w:spacing w:after="0"/>
              <w:rPr>
                <w:sz w:val="15"/>
                <w:szCs w:val="15"/>
                <w:color w:val="auto"/>
              </w:rPr>
            </w:pPr>
          </w:p>
        </w:tc>
        <w:tc>
          <w:tcPr>
            <w:tcW w:w="55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r:id="rId115">
              <w:r>
                <w:rPr>
                  <w:rFonts w:ascii="Arial" w:cs="Arial" w:eastAsia="Arial" w:hAnsi="Arial"/>
                  <w:sz w:val="18"/>
                  <w:szCs w:val="18"/>
                  <w:color w:val="0000EE"/>
                  <w:w w:val="99"/>
                </w:rPr>
                <w:t>Form of Performance-Vesting Restricted Stock Unit Award Agreement</w:t>
              </w:r>
            </w:hyperlink>
          </w:p>
        </w:tc>
        <w:tc>
          <w:tcPr>
            <w:tcW w:w="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(Co-Founders) pursuant to 2020 Incentive Award Plan</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5600" w:type="dxa"/>
            <w:vAlign w:val="bottom"/>
            <w:gridSpan w:val="24"/>
          </w:tcPr>
          <w:p>
            <w:pPr>
              <w:spacing w:after="0"/>
              <w:rPr>
                <w:rFonts w:ascii="Arial" w:cs="Arial" w:eastAsia="Arial" w:hAnsi="Arial"/>
                <w:sz w:val="18"/>
                <w:szCs w:val="18"/>
                <w:color w:val="0000EE"/>
              </w:rPr>
            </w:pPr>
            <w:hyperlink r:id="rId116">
              <w:r>
                <w:rPr>
                  <w:rFonts w:ascii="Arial" w:cs="Arial" w:eastAsia="Arial" w:hAnsi="Arial"/>
                  <w:sz w:val="18"/>
                  <w:szCs w:val="18"/>
                  <w:u w:val="single" w:color="auto"/>
                  <w:color w:val="0000EE"/>
                </w:rPr>
                <w:t>GoodRx Holdings, Inc. 2020 Employee Stock Purchase Plan</w:t>
              </w:r>
            </w:hyperlink>
            <w:r>
              <w:rPr>
                <w:rFonts w:ascii="Arial" w:cs="Arial" w:eastAsia="Arial" w:hAnsi="Arial"/>
                <w:sz w:val="18"/>
                <w:szCs w:val="18"/>
                <w:color w:val="000000"/>
              </w:rPr>
              <w: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5600" w:type="dxa"/>
            <w:vAlign w:val="bottom"/>
            <w:gridSpan w:val="24"/>
          </w:tcPr>
          <w:p>
            <w:pPr>
              <w:spacing w:after="0"/>
              <w:rPr>
                <w:rFonts w:ascii="Arial" w:cs="Arial" w:eastAsia="Arial" w:hAnsi="Arial"/>
                <w:sz w:val="18"/>
                <w:szCs w:val="18"/>
                <w:color w:val="0000EE"/>
              </w:rPr>
            </w:pPr>
            <w:hyperlink r:id="rId117">
              <w:r>
                <w:rPr>
                  <w:rFonts w:ascii="Arial" w:cs="Arial" w:eastAsia="Arial" w:hAnsi="Arial"/>
                  <w:sz w:val="18"/>
                  <w:szCs w:val="18"/>
                  <w:u w:val="single" w:color="auto"/>
                  <w:color w:val="0000EE"/>
                </w:rPr>
                <w:t>GoodRx Holdings, Inc. Director Compensation Program</w:t>
              </w:r>
            </w:hyperlink>
            <w:r>
              <w:rPr>
                <w:rFonts w:ascii="Arial" w:cs="Arial" w:eastAsia="Arial" w:hAnsi="Arial"/>
                <w:sz w:val="18"/>
                <w:szCs w:val="18"/>
                <w:color w:val="000000"/>
              </w:rPr>
              <w:t>.</w:t>
            </w: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40" w:type="dxa"/>
            <w:vAlign w:val="bottom"/>
          </w:tcPr>
          <w:p>
            <w:pPr>
              <w:spacing w:after="0"/>
              <w:rPr>
                <w:sz w:val="15"/>
                <w:szCs w:val="15"/>
                <w:color w:val="auto"/>
              </w:rPr>
            </w:pPr>
          </w:p>
        </w:tc>
        <w:tc>
          <w:tcPr>
            <w:tcW w:w="5200" w:type="dxa"/>
            <w:vAlign w:val="bottom"/>
            <w:tcBorders>
              <w:bottom w:val="single" w:sz="8" w:color="0000EE"/>
            </w:tcBorders>
            <w:gridSpan w:val="14"/>
          </w:tcPr>
          <w:p>
            <w:pPr>
              <w:spacing w:after="0" w:line="176"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Amended and Restated Employment Agreement by and between</w:t>
              </w:r>
            </w:hyperlink>
          </w:p>
        </w:tc>
        <w:tc>
          <w:tcPr>
            <w:tcW w:w="400" w:type="dxa"/>
            <w:vAlign w:val="bottom"/>
            <w:gridSpan w:val="10"/>
          </w:tcPr>
          <w:p>
            <w:pPr>
              <w:spacing w:after="0"/>
              <w:rPr>
                <w:sz w:val="15"/>
                <w:szCs w:val="15"/>
                <w:color w:val="auto"/>
              </w:rPr>
            </w:pPr>
          </w:p>
        </w:tc>
      </w:tr>
      <w:tr>
        <w:trPr>
          <w:trHeight w:val="209"/>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gridSpan w:val="24"/>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GoodRx, Inc. and Douglas Hirsch, dated September 19, 2020.</w:t>
              </w:r>
            </w:hyperlink>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40" w:type="dxa"/>
            <w:vAlign w:val="bottom"/>
          </w:tcPr>
          <w:p>
            <w:pPr>
              <w:spacing w:after="0"/>
              <w:rPr>
                <w:sz w:val="15"/>
                <w:szCs w:val="15"/>
                <w:color w:val="auto"/>
              </w:rPr>
            </w:pPr>
          </w:p>
        </w:tc>
        <w:tc>
          <w:tcPr>
            <w:tcW w:w="5200" w:type="dxa"/>
            <w:vAlign w:val="bottom"/>
            <w:tcBorders>
              <w:bottom w:val="single" w:sz="8" w:color="0000EE"/>
            </w:tcBorders>
            <w:gridSpan w:val="14"/>
          </w:tcPr>
          <w:p>
            <w:pPr>
              <w:spacing w:after="0" w:line="176" w:lineRule="exact"/>
              <w:rPr>
                <w:rFonts w:ascii="Arial" w:cs="Arial" w:eastAsia="Arial" w:hAnsi="Arial"/>
                <w:sz w:val="18"/>
                <w:szCs w:val="18"/>
                <w:color w:val="0000EE"/>
                <w:w w:val="99"/>
              </w:rPr>
            </w:pPr>
            <w:hyperlink r:id="rId119">
              <w:r>
                <w:rPr>
                  <w:rFonts w:ascii="Arial" w:cs="Arial" w:eastAsia="Arial" w:hAnsi="Arial"/>
                  <w:sz w:val="18"/>
                  <w:szCs w:val="18"/>
                  <w:color w:val="0000EE"/>
                  <w:w w:val="99"/>
                </w:rPr>
                <w:t>Amended and Restated Employment Agreement by and between</w:t>
              </w:r>
            </w:hyperlink>
          </w:p>
        </w:tc>
        <w:tc>
          <w:tcPr>
            <w:tcW w:w="400" w:type="dxa"/>
            <w:vAlign w:val="bottom"/>
            <w:gridSpan w:val="10"/>
          </w:tcPr>
          <w:p>
            <w:pPr>
              <w:spacing w:after="0"/>
              <w:rPr>
                <w:sz w:val="15"/>
                <w:szCs w:val="15"/>
                <w:color w:val="auto"/>
              </w:rPr>
            </w:pPr>
          </w:p>
        </w:tc>
      </w:tr>
      <w:tr>
        <w:trPr>
          <w:trHeight w:val="209"/>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gridSpan w:val="24"/>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GoodRx, Inc. and Trevor Bezdek, dated September 19, 2020.</w:t>
              </w:r>
            </w:hyperlink>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40" w:type="dxa"/>
            <w:vAlign w:val="bottom"/>
          </w:tcPr>
          <w:p>
            <w:pPr>
              <w:spacing w:after="0"/>
              <w:rPr>
                <w:sz w:val="15"/>
                <w:szCs w:val="15"/>
                <w:color w:val="auto"/>
              </w:rPr>
            </w:pPr>
          </w:p>
        </w:tc>
        <w:tc>
          <w:tcPr>
            <w:tcW w:w="5200" w:type="dxa"/>
            <w:vAlign w:val="bottom"/>
            <w:tcBorders>
              <w:bottom w:val="single" w:sz="8" w:color="0000EE"/>
            </w:tcBorders>
            <w:gridSpan w:val="14"/>
          </w:tcPr>
          <w:p>
            <w:pPr>
              <w:spacing w:after="0" w:line="176" w:lineRule="exact"/>
              <w:rPr>
                <w:rFonts w:ascii="Arial" w:cs="Arial" w:eastAsia="Arial" w:hAnsi="Arial"/>
                <w:sz w:val="18"/>
                <w:szCs w:val="18"/>
                <w:color w:val="0000EE"/>
                <w:w w:val="99"/>
              </w:rPr>
            </w:pPr>
            <w:hyperlink r:id="rId120">
              <w:r>
                <w:rPr>
                  <w:rFonts w:ascii="Arial" w:cs="Arial" w:eastAsia="Arial" w:hAnsi="Arial"/>
                  <w:sz w:val="18"/>
                  <w:szCs w:val="18"/>
                  <w:color w:val="0000EE"/>
                  <w:w w:val="99"/>
                </w:rPr>
                <w:t>Amended and Restated Employment Agreement by and between</w:t>
              </w:r>
            </w:hyperlink>
          </w:p>
        </w:tc>
        <w:tc>
          <w:tcPr>
            <w:tcW w:w="400" w:type="dxa"/>
            <w:vAlign w:val="bottom"/>
            <w:gridSpan w:val="10"/>
          </w:tcPr>
          <w:p>
            <w:pPr>
              <w:spacing w:after="0"/>
              <w:rPr>
                <w:sz w:val="15"/>
                <w:szCs w:val="15"/>
                <w:color w:val="auto"/>
              </w:rPr>
            </w:pPr>
          </w:p>
        </w:tc>
      </w:tr>
      <w:tr>
        <w:trPr>
          <w:trHeight w:val="209"/>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gridSpan w:val="24"/>
          </w:tcPr>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GoodRx, Inc. and Andrew Slutsky, dated September 20, 2020.</w:t>
              </w:r>
            </w:hyperlink>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40" w:type="dxa"/>
            <w:vAlign w:val="bottom"/>
          </w:tcPr>
          <w:p>
            <w:pPr>
              <w:spacing w:after="0"/>
              <w:rPr>
                <w:sz w:val="15"/>
                <w:szCs w:val="15"/>
                <w:color w:val="auto"/>
              </w:rPr>
            </w:pPr>
          </w:p>
        </w:tc>
        <w:tc>
          <w:tcPr>
            <w:tcW w:w="5600" w:type="dxa"/>
            <w:vAlign w:val="bottom"/>
            <w:gridSpan w:val="24"/>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Board Service Letter Agreement for Julie Bradley, dated August 20,</w:t>
              </w:r>
            </w:hyperlink>
          </w:p>
        </w:tc>
      </w:tr>
      <w:tr>
        <w:trPr>
          <w:trHeight w:val="18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top w:val="single" w:sz="8" w:color="0000EE"/>
            </w:tcBorders>
            <w:gridSpan w:val="3"/>
          </w:tcPr>
          <w:p>
            <w:pPr>
              <w:spacing w:after="0" w:line="182" w:lineRule="exact"/>
              <w:rPr>
                <w:rFonts w:ascii="Arial" w:cs="Arial" w:eastAsia="Arial" w:hAnsi="Arial"/>
                <w:sz w:val="18"/>
                <w:szCs w:val="18"/>
                <w:color w:val="0000EE"/>
                <w:w w:val="97"/>
              </w:rPr>
            </w:pPr>
            <w:hyperlink r:id="rId121">
              <w:r>
                <w:rPr>
                  <w:rFonts w:ascii="Arial" w:cs="Arial" w:eastAsia="Arial" w:hAnsi="Arial"/>
                  <w:sz w:val="18"/>
                  <w:szCs w:val="18"/>
                  <w:color w:val="0000EE"/>
                  <w:w w:val="97"/>
                </w:rPr>
                <w:t>2020</w:t>
              </w:r>
              <w:r>
                <w:rPr>
                  <w:rFonts w:ascii="Arial" w:cs="Arial" w:eastAsia="Arial" w:hAnsi="Arial"/>
                  <w:sz w:val="18"/>
                  <w:szCs w:val="18"/>
                  <w:color w:val="000000"/>
                  <w:w w:val="97"/>
                </w:rPr>
                <w:t>.</w:t>
              </w:r>
            </w:hyperlink>
          </w:p>
        </w:tc>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6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10.14</w:t>
            </w:r>
          </w:p>
        </w:tc>
        <w:tc>
          <w:tcPr>
            <w:tcW w:w="40" w:type="dxa"/>
            <w:vAlign w:val="bottom"/>
          </w:tcPr>
          <w:p>
            <w:pPr>
              <w:spacing w:after="0"/>
              <w:rPr>
                <w:sz w:val="15"/>
                <w:szCs w:val="15"/>
                <w:color w:val="auto"/>
              </w:rPr>
            </w:pPr>
          </w:p>
        </w:tc>
        <w:tc>
          <w:tcPr>
            <w:tcW w:w="54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122">
              <w:r>
                <w:rPr>
                  <w:rFonts w:ascii="Arial" w:cs="Arial" w:eastAsia="Arial" w:hAnsi="Arial"/>
                  <w:sz w:val="18"/>
                  <w:szCs w:val="18"/>
                  <w:color w:val="0000EE"/>
                  <w:w w:val="99"/>
                </w:rPr>
                <w:t>Stock Purchase Agreement, by and between GoodRx Holdings, Inc.</w:t>
              </w:r>
            </w:hyperlink>
          </w:p>
        </w:tc>
        <w:tc>
          <w:tcPr>
            <w:tcW w:w="180" w:type="dxa"/>
            <w:vAlign w:val="bottom"/>
            <w:gridSpan w:val="5"/>
          </w:tcPr>
          <w:p>
            <w:pPr>
              <w:spacing w:after="0"/>
              <w:rPr>
                <w:sz w:val="15"/>
                <w:szCs w:val="15"/>
                <w:color w:val="auto"/>
              </w:rPr>
            </w:pPr>
          </w:p>
        </w:tc>
      </w:tr>
      <w:tr>
        <w:trPr>
          <w:trHeight w:val="209"/>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gridSpan w:val="24"/>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and SLP Geology Aggregator, L.P., dated September 13, 2020</w:t>
              </w:r>
              <w:r>
                <w:rPr>
                  <w:rFonts w:ascii="Arial" w:cs="Arial" w:eastAsia="Arial" w:hAnsi="Arial"/>
                  <w:sz w:val="18"/>
                  <w:szCs w:val="18"/>
                  <w:u w:val="single" w:color="auto"/>
                  <w:color w:val="000000"/>
                </w:rPr>
                <w:t>.</w:t>
              </w:r>
            </w:hyperlink>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40" w:type="dxa"/>
            <w:vAlign w:val="bottom"/>
          </w:tcPr>
          <w:p>
            <w:pPr>
              <w:spacing w:after="0"/>
              <w:rPr>
                <w:sz w:val="15"/>
                <w:szCs w:val="15"/>
                <w:color w:val="auto"/>
              </w:rPr>
            </w:pPr>
          </w:p>
        </w:tc>
        <w:tc>
          <w:tcPr>
            <w:tcW w:w="5500" w:type="dxa"/>
            <w:vAlign w:val="bottom"/>
            <w:tcBorders>
              <w:bottom w:val="single" w:sz="8" w:color="0000EE"/>
            </w:tcBorders>
            <w:gridSpan w:val="22"/>
          </w:tcPr>
          <w:p>
            <w:pPr>
              <w:spacing w:after="0" w:line="176" w:lineRule="exact"/>
              <w:rPr>
                <w:rFonts w:ascii="Arial" w:cs="Arial" w:eastAsia="Arial" w:hAnsi="Arial"/>
                <w:sz w:val="18"/>
                <w:szCs w:val="18"/>
                <w:color w:val="0000EE"/>
                <w:w w:val="99"/>
              </w:rPr>
            </w:pPr>
            <w:hyperlink r:id="rId123">
              <w:r>
                <w:rPr>
                  <w:rFonts w:ascii="Arial" w:cs="Arial" w:eastAsia="Arial" w:hAnsi="Arial"/>
                  <w:sz w:val="18"/>
                  <w:szCs w:val="18"/>
                  <w:color w:val="0000EE"/>
                  <w:w w:val="99"/>
                </w:rPr>
                <w:t>Stockholders Agreement by and between GoodRx Holdings, Inc. and</w:t>
              </w:r>
            </w:hyperlink>
          </w:p>
        </w:tc>
        <w:tc>
          <w:tcPr>
            <w:tcW w:w="100" w:type="dxa"/>
            <w:vAlign w:val="bottom"/>
            <w:gridSpan w:val="2"/>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certain security holders of GoodRx Holdings, Inc., dated September</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23">
              <w:r>
                <w:rPr>
                  <w:rFonts w:ascii="Arial" w:cs="Arial" w:eastAsia="Arial" w:hAnsi="Arial"/>
                  <w:sz w:val="18"/>
                  <w:szCs w:val="18"/>
                  <w:color w:val="0000EE"/>
                  <w:w w:val="98"/>
                </w:rPr>
                <w:t>22, 2020.</w:t>
              </w:r>
            </w:hyperlink>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6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w:anchor="page157">
              <w:r>
                <w:rPr>
                  <w:rFonts w:ascii="Arial" w:cs="Arial" w:eastAsia="Arial" w:hAnsi="Arial"/>
                  <w:sz w:val="18"/>
                  <w:szCs w:val="18"/>
                  <w:color w:val="0000EE"/>
                </w:rPr>
                <w:t>Certification of Co-Chief Executive Officer pursuant to Rule 13a-</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57">
              <w:r>
                <w:rPr>
                  <w:rFonts w:ascii="Arial" w:cs="Arial" w:eastAsia="Arial" w:hAnsi="Arial"/>
                  <w:sz w:val="18"/>
                  <w:szCs w:val="18"/>
                  <w:color w:val="0000EE"/>
                </w:rPr>
                <w:t>14(a)/15d-14(a).</w:t>
              </w:r>
            </w:hyperlink>
          </w:p>
        </w:tc>
        <w:tc>
          <w:tcPr>
            <w:tcW w:w="500" w:type="dxa"/>
            <w:vAlign w:val="bottom"/>
            <w:gridSpan w:val="11"/>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w:anchor="page158">
              <w:r>
                <w:rPr>
                  <w:rFonts w:ascii="Arial" w:cs="Arial" w:eastAsia="Arial" w:hAnsi="Arial"/>
                  <w:sz w:val="18"/>
                  <w:szCs w:val="18"/>
                  <w:color w:val="0000EE"/>
                </w:rPr>
                <w:t>Certification of Co-Chief Executive Officer pursuant to Rule 13a-</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58">
              <w:r>
                <w:rPr>
                  <w:rFonts w:ascii="Arial" w:cs="Arial" w:eastAsia="Arial" w:hAnsi="Arial"/>
                  <w:sz w:val="18"/>
                  <w:szCs w:val="18"/>
                  <w:color w:val="0000EE"/>
                </w:rPr>
                <w:t>14(a)/15d-14(a).</w:t>
              </w:r>
            </w:hyperlink>
          </w:p>
        </w:tc>
        <w:tc>
          <w:tcPr>
            <w:tcW w:w="500" w:type="dxa"/>
            <w:vAlign w:val="bottom"/>
            <w:gridSpan w:val="11"/>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31.3</w:t>
            </w: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w w:val="99"/>
              </w:rPr>
            </w:pPr>
            <w:hyperlink w:anchor="page159">
              <w:r>
                <w:rPr>
                  <w:rFonts w:ascii="Arial" w:cs="Arial" w:eastAsia="Arial" w:hAnsi="Arial"/>
                  <w:sz w:val="18"/>
                  <w:szCs w:val="18"/>
                  <w:color w:val="0000EE"/>
                  <w:w w:val="99"/>
                </w:rPr>
                <w:t>Certification of Chief Financial Officer pursuant to Rule 13a-14(a)/15d-</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159">
              <w:r>
                <w:rPr>
                  <w:rFonts w:ascii="Arial" w:cs="Arial" w:eastAsia="Arial" w:hAnsi="Arial"/>
                  <w:sz w:val="18"/>
                  <w:szCs w:val="18"/>
                  <w:color w:val="0000EE"/>
                  <w:w w:val="97"/>
                </w:rPr>
                <w:t>14(a).</w:t>
              </w:r>
            </w:hyperlink>
          </w:p>
        </w:tc>
        <w:tc>
          <w:tcPr>
            <w:tcW w:w="5100" w:type="dxa"/>
            <w:vAlign w:val="bottom"/>
            <w:tcBorders>
              <w:top w:val="single" w:sz="8" w:color="0000EE"/>
            </w:tcBorders>
            <w:gridSpan w:val="19"/>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w:anchor="page160">
              <w:r>
                <w:rPr>
                  <w:rFonts w:ascii="Arial" w:cs="Arial" w:eastAsia="Arial" w:hAnsi="Arial"/>
                  <w:sz w:val="18"/>
                  <w:szCs w:val="18"/>
                  <w:color w:val="0000EE"/>
                </w:rPr>
                <w:t>Certification of Co-Chief Executive Officer pursuant to 18 U.S.C.</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60">
              <w:r>
                <w:rPr>
                  <w:rFonts w:ascii="Arial" w:cs="Arial" w:eastAsia="Arial" w:hAnsi="Arial"/>
                  <w:sz w:val="18"/>
                  <w:szCs w:val="18"/>
                  <w:color w:val="0000EE"/>
                </w:rPr>
                <w:t>Section 1350.</w:t>
              </w:r>
            </w:hyperlink>
          </w:p>
        </w:tc>
        <w:tc>
          <w:tcPr>
            <w:tcW w:w="500" w:type="dxa"/>
            <w:vAlign w:val="bottom"/>
            <w:gridSpan w:val="11"/>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300" w:type="dxa"/>
            <w:vAlign w:val="bottom"/>
            <w:gridSpan w:val="11"/>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w:anchor="page161">
              <w:r>
                <w:rPr>
                  <w:rFonts w:ascii="Arial" w:cs="Arial" w:eastAsia="Arial" w:hAnsi="Arial"/>
                  <w:sz w:val="18"/>
                  <w:szCs w:val="18"/>
                  <w:color w:val="0000EE"/>
                </w:rPr>
                <w:t>Certification of Co-Chief Executive Officer pursuant to 18 U.S.C.</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61">
              <w:r>
                <w:rPr>
                  <w:rFonts w:ascii="Arial" w:cs="Arial" w:eastAsia="Arial" w:hAnsi="Arial"/>
                  <w:sz w:val="18"/>
                  <w:szCs w:val="18"/>
                  <w:color w:val="0000EE"/>
                </w:rPr>
                <w:t>Section 1350.</w:t>
              </w:r>
            </w:hyperlink>
          </w:p>
        </w:tc>
        <w:tc>
          <w:tcPr>
            <w:tcW w:w="500" w:type="dxa"/>
            <w:vAlign w:val="bottom"/>
            <w:gridSpan w:val="11"/>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300" w:type="dxa"/>
            <w:vAlign w:val="bottom"/>
            <w:gridSpan w:val="11"/>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32.3</w:t>
            </w:r>
          </w:p>
        </w:tc>
        <w:tc>
          <w:tcPr>
            <w:tcW w:w="40" w:type="dxa"/>
            <w:vAlign w:val="bottom"/>
          </w:tcPr>
          <w:p>
            <w:pPr>
              <w:spacing w:after="0"/>
              <w:rPr>
                <w:sz w:val="15"/>
                <w:szCs w:val="15"/>
                <w:color w:val="auto"/>
              </w:rPr>
            </w:pPr>
          </w:p>
        </w:tc>
        <w:tc>
          <w:tcPr>
            <w:tcW w:w="5600" w:type="dxa"/>
            <w:vAlign w:val="bottom"/>
            <w:gridSpan w:val="24"/>
          </w:tcPr>
          <w:p>
            <w:pPr>
              <w:spacing w:after="0" w:line="182" w:lineRule="exact"/>
              <w:rPr>
                <w:rFonts w:ascii="Arial" w:cs="Arial" w:eastAsia="Arial" w:hAnsi="Arial"/>
                <w:sz w:val="18"/>
                <w:szCs w:val="18"/>
                <w:color w:val="0000EE"/>
              </w:rPr>
            </w:pPr>
            <w:hyperlink w:anchor="page162">
              <w:r>
                <w:rPr>
                  <w:rFonts w:ascii="Arial" w:cs="Arial" w:eastAsia="Arial" w:hAnsi="Arial"/>
                  <w:sz w:val="18"/>
                  <w:szCs w:val="18"/>
                  <w:color w:val="0000EE"/>
                </w:rPr>
                <w:t>Certification of Chief Financial Officer pursuant to 18 U.S.C. Section</w:t>
              </w:r>
            </w:hyperlink>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162">
              <w:r>
                <w:rPr>
                  <w:rFonts w:ascii="Arial" w:cs="Arial" w:eastAsia="Arial" w:hAnsi="Arial"/>
                  <w:sz w:val="18"/>
                  <w:szCs w:val="18"/>
                  <w:color w:val="0000EE"/>
                  <w:w w:val="97"/>
                </w:rPr>
                <w:t>1350.</w:t>
              </w:r>
            </w:hyperlink>
          </w:p>
        </w:tc>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6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19"/>
                <w:szCs w:val="19"/>
                <w:color w:val="auto"/>
              </w:rPr>
            </w:pPr>
          </w:p>
        </w:tc>
        <w:tc>
          <w:tcPr>
            <w:tcW w:w="560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18"/>
                <w:szCs w:val="18"/>
                <w:color w:val="auto"/>
              </w:rPr>
            </w:pPr>
          </w:p>
        </w:tc>
        <w:tc>
          <w:tcPr>
            <w:tcW w:w="560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18"/>
                <w:szCs w:val="18"/>
                <w:color w:val="auto"/>
              </w:rPr>
            </w:pPr>
          </w:p>
        </w:tc>
        <w:tc>
          <w:tcPr>
            <w:tcW w:w="560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18"/>
                <w:szCs w:val="18"/>
                <w:color w:val="auto"/>
              </w:rPr>
            </w:pPr>
          </w:p>
        </w:tc>
        <w:tc>
          <w:tcPr>
            <w:tcW w:w="560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18"/>
                <w:szCs w:val="18"/>
                <w:color w:val="auto"/>
              </w:rPr>
            </w:pPr>
          </w:p>
        </w:tc>
        <w:tc>
          <w:tcPr>
            <w:tcW w:w="560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18"/>
                <w:szCs w:val="18"/>
                <w:color w:val="auto"/>
              </w:rPr>
            </w:pPr>
          </w:p>
        </w:tc>
        <w:tc>
          <w:tcPr>
            <w:tcW w:w="560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630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4"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r>
      <w:tr>
        <w:trPr>
          <w:trHeight w:val="142"/>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92"/>
              <w:spacing w:after="0" w:line="143"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Furnished</w:t>
            </w:r>
          </w:p>
        </w:tc>
      </w:tr>
      <w:tr>
        <w:trPr>
          <w:trHeight w:val="175"/>
        </w:trPr>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Form</w:t>
            </w: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File No.</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Exhibit</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209"/>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8-K</w:t>
            </w:r>
          </w:p>
        </w:tc>
        <w:tc>
          <w:tcPr>
            <w:tcW w:w="6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001-39549</w:t>
            </w:r>
          </w:p>
        </w:tc>
        <w:tc>
          <w:tcPr>
            <w:tcW w:w="40" w:type="dxa"/>
            <w:vAlign w:val="bottom"/>
          </w:tcPr>
          <w:p>
            <w:pPr>
              <w:spacing w:after="0"/>
              <w:rPr>
                <w:sz w:val="18"/>
                <w:szCs w:val="18"/>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112"/>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S-8</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333-249069</w:t>
            </w:r>
          </w:p>
        </w:tc>
        <w:tc>
          <w:tcPr>
            <w:tcW w:w="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9/25/20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05"/>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4"/>
        </w:trPr>
        <w:tc>
          <w:tcPr>
            <w:tcW w:w="720" w:type="dxa"/>
            <w:vAlign w:val="bottom"/>
            <w:gridSpan w:val="2"/>
          </w:tcPr>
          <w:p>
            <w:pPr>
              <w:spacing w:after="0"/>
              <w:rPr>
                <w:sz w:val="20"/>
                <w:szCs w:val="20"/>
                <w:color w:val="auto"/>
              </w:rPr>
            </w:pPr>
            <w:r>
              <w:rPr>
                <w:rFonts w:ascii="Arial" w:cs="Arial" w:eastAsia="Arial" w:hAnsi="Arial"/>
                <w:sz w:val="18"/>
                <w:szCs w:val="18"/>
                <w:color w:val="auto"/>
              </w:rPr>
              <w:t>S-8</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333-249069</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99.2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9/25/20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10.3.1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10.3.2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05"/>
        </w:trPr>
        <w:tc>
          <w:tcPr>
            <w:tcW w:w="720" w:type="dxa"/>
            <w:vAlign w:val="bottom"/>
            <w:gridSpan w:val="2"/>
          </w:tcPr>
          <w:p>
            <w:pPr>
              <w:spacing w:after="0"/>
              <w:rPr>
                <w:sz w:val="20"/>
                <w:szCs w:val="20"/>
                <w:color w:val="auto"/>
              </w:rPr>
            </w:pPr>
            <w:r>
              <w:rPr>
                <w:rFonts w:ascii="Arial" w:cs="Arial" w:eastAsia="Arial" w:hAnsi="Arial"/>
                <w:sz w:val="18"/>
                <w:szCs w:val="18"/>
                <w:color w:val="auto"/>
              </w:rPr>
              <w:t>S-8</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333-249069</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99.2.3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9/25/20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720" w:type="dxa"/>
            <w:vAlign w:val="bottom"/>
            <w:gridSpan w:val="2"/>
          </w:tcPr>
          <w:p>
            <w:pPr>
              <w:spacing w:after="0"/>
              <w:rPr>
                <w:sz w:val="20"/>
                <w:szCs w:val="20"/>
                <w:color w:val="auto"/>
              </w:rPr>
            </w:pPr>
            <w:r>
              <w:rPr>
                <w:rFonts w:ascii="Arial" w:cs="Arial" w:eastAsia="Arial" w:hAnsi="Arial"/>
                <w:sz w:val="18"/>
                <w:szCs w:val="18"/>
                <w:color w:val="auto"/>
              </w:rPr>
              <w:t>S-8</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333-249069</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99.2.4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9/25/20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4"/>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05"/>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8/28/20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720" w:type="dxa"/>
            <w:vAlign w:val="bottom"/>
            <w:gridSpan w:val="2"/>
          </w:tcPr>
          <w:p>
            <w:pPr>
              <w:spacing w:after="0"/>
              <w:rPr>
                <w:sz w:val="20"/>
                <w:szCs w:val="20"/>
                <w:color w:val="auto"/>
              </w:rPr>
            </w:pPr>
            <w:r>
              <w:rPr>
                <w:rFonts w:ascii="Arial" w:cs="Arial" w:eastAsia="Arial" w:hAnsi="Arial"/>
                <w:sz w:val="18"/>
                <w:szCs w:val="18"/>
                <w:color w:val="auto"/>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560" w:space="60"/>
            <w:col w:w="4620"/>
          </w:cols>
          <w:pgMar w:left="320" w:top="360" w:right="3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80" w:type="dxa"/>
            <w:vAlign w:val="bottom"/>
          </w:tcPr>
          <w:p>
            <w:pPr>
              <w:spacing w:after="0"/>
              <w:rPr>
                <w:sz w:val="18"/>
                <w:szCs w:val="18"/>
                <w:color w:val="auto"/>
              </w:rPr>
            </w:pPr>
          </w:p>
        </w:tc>
        <w:tc>
          <w:tcPr>
            <w:tcW w:w="7360" w:type="dxa"/>
            <w:vAlign w:val="bottom"/>
            <w:gridSpan w:val="2"/>
          </w:tcPr>
          <w:p>
            <w:pPr>
              <w:ind w:left="1800"/>
              <w:spacing w:after="0"/>
              <w:rPr>
                <w:sz w:val="20"/>
                <w:szCs w:val="20"/>
                <w:color w:val="auto"/>
              </w:rPr>
            </w:pPr>
            <w:r>
              <w:rPr>
                <w:rFonts w:ascii="Arial" w:cs="Arial" w:eastAsia="Arial" w:hAnsi="Arial"/>
                <w:sz w:val="18"/>
                <w:szCs w:val="18"/>
                <w:color w:val="auto"/>
              </w:rPr>
              <w:t>GOODRX HOLDINGS, INC.</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0"/>
                <w:szCs w:val="20"/>
                <w:color w:val="auto"/>
              </w:rPr>
            </w:pPr>
            <w:r>
              <w:rPr>
                <w:rFonts w:ascii="Arial" w:cs="Arial" w:eastAsia="Arial" w:hAnsi="Arial"/>
                <w:sz w:val="18"/>
                <w:szCs w:val="18"/>
                <w:color w:val="auto"/>
              </w:rPr>
              <w:t>Date: November 12, 2020</w:t>
            </w:r>
          </w:p>
        </w:tc>
        <w:tc>
          <w:tcPr>
            <w:tcW w:w="2160" w:type="dxa"/>
            <w:vAlign w:val="bottom"/>
          </w:tcPr>
          <w:p>
            <w:pPr>
              <w:ind w:left="18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Douglas Hirsch</w:t>
            </w:r>
          </w:p>
        </w:tc>
        <w:tc>
          <w:tcPr>
            <w:tcW w:w="0" w:type="dxa"/>
            <w:vAlign w:val="bottom"/>
          </w:tcPr>
          <w:p>
            <w:pPr>
              <w:spacing w:after="0"/>
              <w:rPr>
                <w:sz w:val="1"/>
                <w:szCs w:val="1"/>
                <w:color w:val="auto"/>
              </w:rPr>
            </w:pPr>
          </w:p>
        </w:tc>
      </w:tr>
      <w:tr>
        <w:trPr>
          <w:trHeight w:val="200"/>
        </w:trPr>
        <w:tc>
          <w:tcPr>
            <w:tcW w:w="3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2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Douglas Hirsch</w:t>
            </w:r>
          </w:p>
        </w:tc>
        <w:tc>
          <w:tcPr>
            <w:tcW w:w="0" w:type="dxa"/>
            <w:vAlign w:val="bottom"/>
          </w:tcPr>
          <w:p>
            <w:pPr>
              <w:spacing w:after="0"/>
              <w:rPr>
                <w:sz w:val="1"/>
                <w:szCs w:val="1"/>
                <w:color w:val="auto"/>
              </w:rPr>
            </w:pPr>
          </w:p>
        </w:tc>
      </w:tr>
      <w:tr>
        <w:trPr>
          <w:trHeight w:val="220"/>
        </w:trPr>
        <w:tc>
          <w:tcPr>
            <w:tcW w:w="38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9"/>
              </w:rPr>
              <w:t>Co-Chief Executive Officer</w:t>
            </w:r>
          </w:p>
        </w:tc>
        <w:tc>
          <w:tcPr>
            <w:tcW w:w="0" w:type="dxa"/>
            <w:vAlign w:val="bottom"/>
          </w:tcPr>
          <w:p>
            <w:pPr>
              <w:spacing w:after="0"/>
              <w:rPr>
                <w:sz w:val="1"/>
                <w:szCs w:val="1"/>
                <w:color w:val="auto"/>
              </w:rPr>
            </w:pPr>
          </w:p>
        </w:tc>
      </w:tr>
      <w:tr>
        <w:trPr>
          <w:trHeight w:val="235"/>
        </w:trPr>
        <w:tc>
          <w:tcPr>
            <w:tcW w:w="3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 November 12, 2020</w:t>
            </w:r>
          </w:p>
        </w:tc>
        <w:tc>
          <w:tcPr>
            <w:tcW w:w="2160" w:type="dxa"/>
            <w:vAlign w:val="bottom"/>
          </w:tcPr>
          <w:p>
            <w:pPr>
              <w:ind w:left="18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Trevor Bezdek</w:t>
            </w:r>
          </w:p>
        </w:tc>
        <w:tc>
          <w:tcPr>
            <w:tcW w:w="0" w:type="dxa"/>
            <w:vAlign w:val="bottom"/>
          </w:tcPr>
          <w:p>
            <w:pPr>
              <w:spacing w:after="0"/>
              <w:rPr>
                <w:sz w:val="1"/>
                <w:szCs w:val="1"/>
                <w:color w:val="auto"/>
              </w:rPr>
            </w:pPr>
          </w:p>
        </w:tc>
      </w:tr>
      <w:tr>
        <w:trPr>
          <w:trHeight w:val="200"/>
        </w:trPr>
        <w:tc>
          <w:tcPr>
            <w:tcW w:w="3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2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Trevor Bezdek</w:t>
            </w:r>
          </w:p>
        </w:tc>
        <w:tc>
          <w:tcPr>
            <w:tcW w:w="0" w:type="dxa"/>
            <w:vAlign w:val="bottom"/>
          </w:tcPr>
          <w:p>
            <w:pPr>
              <w:spacing w:after="0"/>
              <w:rPr>
                <w:sz w:val="1"/>
                <w:szCs w:val="1"/>
                <w:color w:val="auto"/>
              </w:rPr>
            </w:pPr>
          </w:p>
        </w:tc>
      </w:tr>
      <w:tr>
        <w:trPr>
          <w:trHeight w:val="220"/>
        </w:trPr>
        <w:tc>
          <w:tcPr>
            <w:tcW w:w="38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9"/>
              </w:rPr>
              <w:t>Co-Chief Executive Officer</w:t>
            </w:r>
          </w:p>
        </w:tc>
        <w:tc>
          <w:tcPr>
            <w:tcW w:w="0" w:type="dxa"/>
            <w:vAlign w:val="bottom"/>
          </w:tcPr>
          <w:p>
            <w:pPr>
              <w:spacing w:after="0"/>
              <w:rPr>
                <w:sz w:val="1"/>
                <w:szCs w:val="1"/>
                <w:color w:val="auto"/>
              </w:rPr>
            </w:pPr>
          </w:p>
        </w:tc>
      </w:tr>
      <w:tr>
        <w:trPr>
          <w:trHeight w:val="235"/>
        </w:trPr>
        <w:tc>
          <w:tcPr>
            <w:tcW w:w="3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445"/>
        </w:trPr>
        <w:tc>
          <w:tcPr>
            <w:tcW w:w="3880" w:type="dxa"/>
            <w:vAlign w:val="bottom"/>
            <w:vMerge w:val="restart"/>
          </w:tcPr>
          <w:p>
            <w:pPr>
              <w:spacing w:after="0"/>
              <w:rPr>
                <w:sz w:val="20"/>
                <w:szCs w:val="20"/>
                <w:color w:val="auto"/>
              </w:rPr>
            </w:pPr>
            <w:r>
              <w:rPr>
                <w:rFonts w:ascii="Arial" w:cs="Arial" w:eastAsia="Arial" w:hAnsi="Arial"/>
                <w:sz w:val="18"/>
                <w:szCs w:val="18"/>
                <w:color w:val="auto"/>
              </w:rPr>
              <w:t>Date: November 12, 2020</w:t>
            </w:r>
          </w:p>
        </w:tc>
        <w:tc>
          <w:tcPr>
            <w:tcW w:w="2160" w:type="dxa"/>
            <w:vAlign w:val="bottom"/>
          </w:tcPr>
          <w:p>
            <w:pPr>
              <w:ind w:left="1800"/>
              <w:spacing w:after="0"/>
              <w:rPr>
                <w:sz w:val="20"/>
                <w:szCs w:val="20"/>
                <w:color w:val="auto"/>
              </w:rPr>
            </w:pPr>
            <w:r>
              <w:rPr>
                <w:rFonts w:ascii="Arial" w:cs="Arial" w:eastAsia="Arial" w:hAnsi="Arial"/>
                <w:sz w:val="18"/>
                <w:szCs w:val="18"/>
                <w:color w:val="auto"/>
              </w:rPr>
              <w:t>By:</w:t>
            </w:r>
          </w:p>
        </w:tc>
        <w:tc>
          <w:tcPr>
            <w:tcW w:w="5200" w:type="dxa"/>
            <w:vAlign w:val="bottom"/>
            <w:vMerge w:val="restart"/>
          </w:tcPr>
          <w:p>
            <w:pPr>
              <w:jc w:val="center"/>
              <w:spacing w:after="0"/>
              <w:rPr>
                <w:sz w:val="20"/>
                <w:szCs w:val="20"/>
                <w:color w:val="auto"/>
              </w:rPr>
            </w:pPr>
            <w:r>
              <w:rPr>
                <w:rFonts w:ascii="Arial" w:cs="Arial" w:eastAsia="Arial" w:hAnsi="Arial"/>
                <w:sz w:val="18"/>
                <w:szCs w:val="18"/>
                <w:color w:val="auto"/>
                <w:w w:val="99"/>
              </w:rPr>
              <w:t>/s/ Karsten Voermann</w:t>
            </w:r>
          </w:p>
        </w:tc>
        <w:tc>
          <w:tcPr>
            <w:tcW w:w="0" w:type="dxa"/>
            <w:vAlign w:val="bottom"/>
          </w:tcPr>
          <w:p>
            <w:pPr>
              <w:spacing w:after="0"/>
              <w:rPr>
                <w:sz w:val="1"/>
                <w:szCs w:val="1"/>
                <w:color w:val="auto"/>
              </w:rPr>
            </w:pPr>
          </w:p>
        </w:tc>
      </w:tr>
      <w:tr>
        <w:trPr>
          <w:trHeight w:val="68"/>
        </w:trPr>
        <w:tc>
          <w:tcPr>
            <w:tcW w:w="388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5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-7620</wp:posOffset>
            </wp:positionV>
            <wp:extent cx="33000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8"/>
          <w:szCs w:val="18"/>
          <w:b w:val="1"/>
          <w:bCs w:val="1"/>
          <w:color w:val="auto"/>
        </w:rPr>
        <w:t>Karsten Voermann</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36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GOODRX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FIFTH AMENDED AND RESTATED 2015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 of Plan</w:t>
      </w:r>
    </w:p>
    <w:p>
      <w:pPr>
        <w:spacing w:after="0" w:line="225" w:lineRule="exact"/>
        <w:rPr>
          <w:sz w:val="20"/>
          <w:szCs w:val="20"/>
          <w:color w:val="auto"/>
        </w:rPr>
      </w:pPr>
    </w:p>
    <w:p>
      <w:pPr>
        <w:ind w:right="20" w:firstLine="1322"/>
        <w:spacing w:after="0" w:line="269" w:lineRule="auto"/>
        <w:rPr>
          <w:sz w:val="20"/>
          <w:szCs w:val="20"/>
          <w:color w:val="auto"/>
        </w:rPr>
      </w:pPr>
      <w:r>
        <w:rPr>
          <w:rFonts w:ascii="Arial" w:cs="Arial" w:eastAsia="Arial" w:hAnsi="Arial"/>
          <w:sz w:val="17"/>
          <w:szCs w:val="17"/>
          <w:color w:val="auto"/>
        </w:rPr>
        <w:t>This Fifth Amended and Restated 2015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of GoodRx Holdings, Inc. (as defined below, the “</w:t>
      </w:r>
      <w:r>
        <w:rPr>
          <w:rFonts w:ascii="Arial" w:cs="Arial" w:eastAsia="Arial" w:hAnsi="Arial"/>
          <w:sz w:val="17"/>
          <w:szCs w:val="17"/>
          <w:u w:val="single" w:color="auto"/>
          <w:color w:val="auto"/>
        </w:rPr>
        <w:t>Company</w:t>
      </w:r>
      <w:r>
        <w:rPr>
          <w:rFonts w:ascii="Arial" w:cs="Arial" w:eastAsia="Arial" w:hAnsi="Arial"/>
          <w:sz w:val="17"/>
          <w:szCs w:val="17"/>
          <w:color w:val="auto"/>
        </w:rPr>
        <w:t>”), adopted by the Board of Directors of the Company on September 11, 2020, for executives, directors, consultants, other service providers and key employees of the Company, is intended to advance the best interests of the Company by providing those persons who have a substantial responsibility for its management and growth with additional incentives by allowing them to acquire an ownership interest in the Company and thereby encouraging them to contribute to the success of the Company and to remain in its employ or to continue to provide services to the Company. The availability and offering of equity awards under the Plan also increases the Company’s ability to attract and retain individuals of exceptional managerial talent upon whom, in large measure, the sustained progress, growth and profitability of the Company depends. This Plan is a compensatory benefit plan within the meaning of Rule 701 of the Securities Act of 1933, as amended, and, unless and until the Company’s Common Stock is publicly traded, the issuances of shares of the Company’s Common Stock in respect of Awards granted under the Plan are, to the extent permitted by applicable federal securities laws, intended to qualify for the exemption from registration under Rule 701 of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For purposes of the Plan, except where the context clearly indicates otherwise, the following terms shall have the meanings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20" w:firstLine="132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 Person means any Legal Entity controlled by such person, where “control” means the possession, directly or indirectly, of the power to direct the management and policies of a Legal Entity whether through the ownership of voting securities, contract or otherwise.</w:t>
      </w:r>
    </w:p>
    <w:p>
      <w:pPr>
        <w:spacing w:after="0" w:line="12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Restricted Stock or Restricted Stock Units.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60" w:firstLine="132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have the meaning ascribed to such term in any written employment or service agreement in effect on the date of determination between the Company or any subsidiary or affiliate of the Company, on the one hand, and Participant, on the other hand, or in the absence of any such written agreement, shall mean (i) the past or present commission by a Participant of a felony or other serious crime or the commission of any act or omission involving fraud with respect to the Company or any of its subsidiaries or any of their respective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6" w:name="page87"/>
    <w:bookmarkEnd w:id="86"/>
    <w:p>
      <w:pPr>
        <w:spacing w:after="0" w:line="269" w:lineRule="auto"/>
        <w:rPr>
          <w:sz w:val="20"/>
          <w:szCs w:val="20"/>
          <w:color w:val="auto"/>
        </w:rPr>
      </w:pPr>
      <w:r>
        <w:rPr>
          <w:rFonts w:ascii="Arial" w:cs="Arial" w:eastAsia="Arial" w:hAnsi="Arial"/>
          <w:sz w:val="17"/>
          <w:szCs w:val="17"/>
          <w:color w:val="auto"/>
        </w:rPr>
        <w:t>suppliers, vendors or other business relations, (ii) a Participant’s reporting to work under the influence of alcohol or illegal drugs, the use of illegal drugs (whether or not at the workplace) or other repeated conduct causing the Company or any of its subsidiaries public disgrace or disrepute or material economic harm, (iii) a material failure by Participant to perform Participant’s responsibilities or duties to the Company under any written employment or service agreement between the Company or any subsidiary of the Company and such Participant or those other responsibilities or duties as reasonably directed by the Board, the Chief Executive Officer or any Co-Chief Executive Officer of the Company or any subsidiary of the Company, (iv) any act or omission by a Participant aiding or abetting a competitor, supplier, customer, vendor or other business relation of the Company or any of its subsidiaries to the material disadvantage or detriment of the Company or any of its subsidiaries, (v) a Participant’s breach of fiduciary duty, gross negligence or willful misconduct with respect to the Company or any of its subsidiaries, or (vi) the commission of any act or omission by a Participant involving dishonesty or disloyalty to the material detriment of the Company or any of its subsidiaries or any other act or omission that brings the Company or any of its subsidiaries into substantial public disrepute.</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and any successor statute.</w:t>
      </w:r>
    </w:p>
    <w:p>
      <w:pPr>
        <w:spacing w:after="0" w:line="225" w:lineRule="exact"/>
        <w:rPr>
          <w:sz w:val="20"/>
          <w:szCs w:val="20"/>
          <w:color w:val="auto"/>
        </w:rPr>
      </w:pPr>
    </w:p>
    <w:p>
      <w:pPr>
        <w:ind w:right="340" w:firstLine="132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the Class A Common Stock of the Company, par value $0.0001 per share, or if the outstanding Class A Common Stock is hereafter changed into or exchanged for different stock or securities of the Company, such other stock or securities.</w:t>
      </w:r>
    </w:p>
    <w:p>
      <w:pPr>
        <w:spacing w:after="0" w:line="146" w:lineRule="exact"/>
        <w:rPr>
          <w:sz w:val="20"/>
          <w:szCs w:val="20"/>
          <w:color w:val="auto"/>
        </w:rPr>
      </w:pPr>
    </w:p>
    <w:p>
      <w:pPr>
        <w:ind w:right="280" w:firstLine="132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GoodRx Holdings, Inc., a Delaware corporation, and (except to the extent the context requires otherwise) any subsidiary corporation of GoodRx Holdings, Inc., as such term is defined in Code §424(f).</w:t>
      </w:r>
    </w:p>
    <w:p>
      <w:pPr>
        <w:spacing w:after="0" w:line="170" w:lineRule="exact"/>
        <w:rPr>
          <w:sz w:val="20"/>
          <w:szCs w:val="20"/>
          <w:color w:val="auto"/>
        </w:rPr>
      </w:pPr>
    </w:p>
    <w:p>
      <w:pPr>
        <w:ind w:right="40" w:firstLine="1322"/>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shall have the meaning ascribed to such term in any written employment or service agreement between a Participant and the Company;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no such written agreement exists, then such term shall mean the inability, due to illness, accident, injury, physical or mental incapacity or other disability, of any Participant to carry out effectively his duties and obligations to the Company or to participate effectively and actively in the management of the Company for a period of at least 90 consecutive days or for shorter periods aggregating at least 120 days (whether or not consecutive) during any twelve-month period, as determined in the reasonable judgment of the Board.</w:t>
      </w:r>
    </w:p>
    <w:p>
      <w:pPr>
        <w:spacing w:after="0" w:line="176" w:lineRule="exact"/>
        <w:rPr>
          <w:sz w:val="20"/>
          <w:szCs w:val="20"/>
          <w:color w:val="auto"/>
        </w:rPr>
      </w:pPr>
    </w:p>
    <w:p>
      <w:pPr>
        <w:ind w:right="300" w:firstLine="132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Equivalent</w:t>
      </w:r>
      <w:r>
        <w:rPr>
          <w:rFonts w:ascii="Arial" w:cs="Arial" w:eastAsia="Arial" w:hAnsi="Arial"/>
          <w:sz w:val="18"/>
          <w:szCs w:val="18"/>
          <w:color w:val="auto"/>
        </w:rPr>
        <w:t xml:space="preserve">” shall mean a right granted to a Participant pursuant to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hereof to receive the equivalent value (in cash or shares of Common Stock) of dividends paid on shares of Common Stock.</w:t>
      </w:r>
    </w:p>
    <w:p>
      <w:pPr>
        <w:spacing w:after="0" w:line="170" w:lineRule="exact"/>
        <w:rPr>
          <w:sz w:val="20"/>
          <w:szCs w:val="20"/>
          <w:color w:val="auto"/>
        </w:rPr>
      </w:pPr>
    </w:p>
    <w:p>
      <w:pPr>
        <w:ind w:right="320" w:firstLine="132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Shares</w:t>
      </w:r>
      <w:r>
        <w:rPr>
          <w:rFonts w:ascii="Arial" w:cs="Arial" w:eastAsia="Arial" w:hAnsi="Arial"/>
          <w:sz w:val="18"/>
          <w:szCs w:val="18"/>
          <w:color w:val="auto"/>
        </w:rPr>
        <w:t>” means, collectively, the Option Shares, the Purchased Shares and any other shares of Common Stock acquired in connection with grant, vesting or settlement of any Award.</w:t>
      </w:r>
    </w:p>
    <w:p>
      <w:pPr>
        <w:spacing w:after="0" w:line="170" w:lineRule="exact"/>
        <w:rPr>
          <w:sz w:val="20"/>
          <w:szCs w:val="20"/>
          <w:color w:val="auto"/>
        </w:rPr>
      </w:pPr>
    </w:p>
    <w:p>
      <w:pPr>
        <w:jc w:val="both"/>
        <w:ind w:right="120" w:firstLine="132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of the Common Stock shall mean a value of such stock as determined by using a reasonable valuation method and taking into account all relevant factors determinative of value, as determined in good faith by the Board, pursuant to Treasury Regulation Section 1.409A-1(b)(5)(iv)(B)(1).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87" w:name="page88"/>
    <w:bookmarkEnd w:id="87"/>
    <w:p>
      <w:pPr>
        <w:ind w:firstLine="132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have the meaning ascribed to such term in any written employment agreement in effect on the date of determination between the Company or any subsidiary or affiliate of the Company, on the one hand, and Participant, on the other hand, or in the absence of any such written agreement, shall mean any substantial reduction in Participant’s base salary (other than pursuant to a pay reduction applicable to a substantial portion of the Company’s workforce).</w:t>
      </w:r>
    </w:p>
    <w:p>
      <w:pPr>
        <w:spacing w:after="0" w:line="18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Legacy Options</w:t>
      </w:r>
      <w:r>
        <w:rPr>
          <w:rFonts w:ascii="Arial" w:cs="Arial" w:eastAsia="Arial" w:hAnsi="Arial"/>
          <w:sz w:val="17"/>
          <w:szCs w:val="17"/>
          <w:color w:val="auto"/>
        </w:rPr>
        <w:t>” shall mean any options granted under the Legacy Plan and assumed pursuant to Section 1.5(b) of the Purchase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120" w:firstLine="132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Plan</w:t>
      </w:r>
      <w:r>
        <w:rPr>
          <w:rFonts w:ascii="Arial" w:cs="Arial" w:eastAsia="Arial" w:hAnsi="Arial"/>
          <w:sz w:val="18"/>
          <w:szCs w:val="18"/>
          <w:color w:val="auto"/>
        </w:rPr>
        <w:t>” shall mean the GoodRx, Inc. 2011 Stock Plan, as amended on June 12, 2015, and as may have been further amended and as in effect as of the date hereof.</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options to purchase shares of Common Stock granted to a Participant by the Company under this Plan.</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 Shares</w:t>
      </w:r>
      <w:r>
        <w:rPr>
          <w:rFonts w:ascii="Arial" w:cs="Arial" w:eastAsia="Arial" w:hAnsi="Arial"/>
          <w:sz w:val="17"/>
          <w:szCs w:val="17"/>
          <w:color w:val="auto"/>
        </w:rPr>
        <w:t>” means the shares of the Common Stock acquired (or to be acquired) pursuant to the exercise of any Option.</w:t>
      </w:r>
    </w:p>
    <w:p>
      <w:pPr>
        <w:spacing w:after="0" w:line="237" w:lineRule="exact"/>
        <w:rPr>
          <w:sz w:val="20"/>
          <w:szCs w:val="20"/>
          <w:color w:val="auto"/>
        </w:rPr>
      </w:pPr>
    </w:p>
    <w:p>
      <w:pPr>
        <w:ind w:right="100" w:firstLine="132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Cost</w:t>
      </w:r>
      <w:r>
        <w:rPr>
          <w:rFonts w:ascii="Arial" w:cs="Arial" w:eastAsia="Arial" w:hAnsi="Arial"/>
          <w:sz w:val="18"/>
          <w:szCs w:val="18"/>
          <w:color w:val="auto"/>
        </w:rPr>
        <w:t>” of each Option Share will be equal to the price paid therefor (in each case, as proportionally adjusted for all stock splits, stock dividends and other recapitalizations affecting such share of Common Stock subsequent to any such purchase).</w:t>
      </w:r>
    </w:p>
    <w:p>
      <w:pPr>
        <w:spacing w:after="0" w:line="170" w:lineRule="exact"/>
        <w:rPr>
          <w:sz w:val="20"/>
          <w:szCs w:val="20"/>
          <w:color w:val="auto"/>
        </w:rPr>
      </w:pPr>
    </w:p>
    <w:p>
      <w:pPr>
        <w:ind w:right="500" w:firstLine="132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any executive, director, consultant, other service provider or key employee of the Company who has been selected to participate in the Plan by the Board (or a committee appointed thereby).</w:t>
      </w:r>
    </w:p>
    <w:p>
      <w:pPr>
        <w:spacing w:after="0" w:line="170" w:lineRule="exact"/>
        <w:rPr>
          <w:sz w:val="20"/>
          <w:szCs w:val="20"/>
          <w:color w:val="auto"/>
        </w:rPr>
      </w:pPr>
    </w:p>
    <w:p>
      <w:pPr>
        <w:ind w:right="200" w:firstLine="132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46" w:lineRule="exact"/>
        <w:rPr>
          <w:sz w:val="20"/>
          <w:szCs w:val="20"/>
          <w:color w:val="auto"/>
        </w:rPr>
      </w:pPr>
    </w:p>
    <w:p>
      <w:pPr>
        <w:ind w:right="100" w:firstLine="132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any offering by the Company of its Common Stock to the public pursuant to an effective registration statement under the Securities Act of 1933, as amended from time to time, or any comparable statement under any similar federal statute then in force.</w:t>
      </w:r>
    </w:p>
    <w:p>
      <w:pPr>
        <w:spacing w:after="0" w:line="124" w:lineRule="exact"/>
        <w:rPr>
          <w:sz w:val="20"/>
          <w:szCs w:val="20"/>
          <w:color w:val="auto"/>
        </w:rPr>
      </w:pPr>
    </w:p>
    <w:p>
      <w:pPr>
        <w:ind w:right="320" w:firstLine="132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shall mean that certain Stock Purchase Agreement, dated as of September 14, 2015 (as may be amended or modified from time to time in accordance with its terms), by and among the Company, the stockholders and optionholders of GoodRx, Inc., a Delaware corporation, the Stockholder Representative (as defined therein) and the other signatories thereto.</w:t>
      </w:r>
    </w:p>
    <w:p>
      <w:pPr>
        <w:spacing w:after="0" w:line="184"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Purchased Shares</w:t>
      </w:r>
      <w:r>
        <w:rPr>
          <w:rFonts w:ascii="Arial" w:cs="Arial" w:eastAsia="Arial" w:hAnsi="Arial"/>
          <w:sz w:val="16"/>
          <w:szCs w:val="16"/>
          <w:color w:val="auto"/>
        </w:rPr>
        <w:t>” means any shares of the Common Stock purchased by or granted to a Participant by the Company under this Plan.</w:t>
      </w:r>
    </w:p>
    <w:p>
      <w:pPr>
        <w:spacing w:after="0" w:line="1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ind w:right="740" w:firstLine="132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Common Stock awarded to a Participant pursuant to Article V below that is subject to certain vesting conditions and other restrictions.</w:t>
      </w:r>
    </w:p>
    <w:p>
      <w:pPr>
        <w:spacing w:after="0" w:line="170" w:lineRule="exact"/>
        <w:rPr>
          <w:sz w:val="20"/>
          <w:szCs w:val="20"/>
          <w:color w:val="auto"/>
        </w:rPr>
      </w:pPr>
    </w:p>
    <w:p>
      <w:pPr>
        <w:ind w:right="20" w:firstLine="132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unfunded, unsecured right to receive, on the applicable settlement date, one share of Common Stock or an amount in cash or other consideration determined by the Board equal to the value thereof as of such settlement date, which right may be subject to certain vesting conditions and other restrictions.</w:t>
      </w:r>
    </w:p>
    <w:p>
      <w:pPr>
        <w:spacing w:after="0" w:line="184" w:lineRule="exact"/>
        <w:rPr>
          <w:sz w:val="20"/>
          <w:szCs w:val="20"/>
          <w:color w:val="auto"/>
        </w:rPr>
      </w:pPr>
    </w:p>
    <w:p>
      <w:pPr>
        <w:ind w:right="300" w:firstLine="1322"/>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of the Company</w:t>
      </w:r>
      <w:r>
        <w:rPr>
          <w:rFonts w:ascii="Arial" w:cs="Arial" w:eastAsia="Arial" w:hAnsi="Arial"/>
          <w:sz w:val="16"/>
          <w:szCs w:val="16"/>
          <w:color w:val="auto"/>
        </w:rPr>
        <w:t>” means a transaction among the Company or any holding company of the Company and an independent third party or group of independent third parties pursuant to which such party or parties (i) acquire capital stock of the Company possessing the voting power under normal circumstances to elect a majority of the Board (whether by merger, consolidation or sale or transfer of the Company’s capital stock or otherwise), or (ii) acquire or obtain an exclusive license to all or substantially all of the Company’s assets determined on a consolidated basis.</w:t>
      </w:r>
    </w:p>
    <w:p>
      <w:pPr>
        <w:spacing w:after="0" w:line="157" w:lineRule="exact"/>
        <w:rPr>
          <w:sz w:val="20"/>
          <w:szCs w:val="20"/>
          <w:color w:val="auto"/>
        </w:rPr>
      </w:pPr>
    </w:p>
    <w:p>
      <w:pPr>
        <w:ind w:right="180" w:firstLine="132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means that certain Amended and Restated Stockholders Agreement, dated as of October 12, 2018, by and among the Company and certain Stockholders (as defined therein) party thereto, as may be amended or modified from time to time in accordance with its terms.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225" w:lineRule="exact"/>
        <w:rPr>
          <w:sz w:val="20"/>
          <w:szCs w:val="20"/>
          <w:color w:val="auto"/>
        </w:rPr>
      </w:pPr>
    </w:p>
    <w:p>
      <w:pPr>
        <w:ind w:firstLine="1322"/>
        <w:spacing w:after="0" w:line="289" w:lineRule="auto"/>
        <w:rPr>
          <w:sz w:val="20"/>
          <w:szCs w:val="20"/>
          <w:color w:val="auto"/>
        </w:rPr>
      </w:pPr>
      <w:r>
        <w:rPr>
          <w:rFonts w:ascii="Arial" w:cs="Arial" w:eastAsia="Arial" w:hAnsi="Arial"/>
          <w:sz w:val="16"/>
          <w:szCs w:val="16"/>
          <w:color w:val="auto"/>
        </w:rPr>
        <w:t>The Plan shall be administered by the Board (or a committee appointed thereby). Subject to the limitations of the Plan, the Board shall have the sole and complete authority to: (i) select Participants, (ii) grant Awards to Participants in such forms and amounts as it shall determine, (iii) impose such limitations, restrictions and conditions upon such Awards as it shall deem appropriate, (iv) interpret the Plan and adopt, amend and rescind administrative guidelines and other rules and regulations relating to the Plan, (v) correct any defect or omission or reconcile any inconsistency in the Plan or in any Award granted hereunder and (vi) make all other determinations and take all other actions necessary or advisable for the implementation and administration of the Plan. The Board’s determinations on matters within its authority shall be conclusive and binding upon Participants, the Company and all other Persons. All expenses associated with the administration of the Plan shall be borne by the Company. The Board may, to the extent permissible by law, delegate any of its authority hereunder to such Persons as it deems appropriate. References herein to the “Board” means the Board or a committee or such Persons to the extent that the Board’s powers or authority under the Plan have been delegated to such committee and/or Persons.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Limitation on Aggregate Shares</w:t>
      </w:r>
    </w:p>
    <w:p>
      <w:pPr>
        <w:spacing w:after="0" w:line="225" w:lineRule="exact"/>
        <w:rPr>
          <w:sz w:val="20"/>
          <w:szCs w:val="20"/>
          <w:color w:val="auto"/>
        </w:rPr>
      </w:pPr>
    </w:p>
    <w:p>
      <w:pPr>
        <w:ind w:firstLine="1322"/>
        <w:spacing w:after="0" w:line="291" w:lineRule="auto"/>
        <w:rPr>
          <w:sz w:val="20"/>
          <w:szCs w:val="20"/>
          <w:color w:val="auto"/>
        </w:rPr>
      </w:pPr>
      <w:r>
        <w:rPr>
          <w:rFonts w:ascii="Arial" w:cs="Arial" w:eastAsia="Arial" w:hAnsi="Arial"/>
          <w:sz w:val="16"/>
          <w:szCs w:val="16"/>
          <w:color w:val="auto"/>
        </w:rPr>
        <w:t xml:space="preserve">The number of shares of Common Stock (i) with respect to which Awards may be granted under the Plan shall not exceed, in the aggregate, 39,095,360 shares, and (ii) which may be issued upon the exercise of Legacy Options shall not exceed, in the aggregate, 5,480,225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type and the aggregate number of shares which may be subject to Awards shall be subject to adjustment in accordance with the provisions of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to the extent any Awards expire unexercised or are canceled, terminated or forfeited in any manner without the issuance of shares of Common Stock thereunder, in each case prior to the Termination Date, such shares shall again be available under the Plan. The shares of Common Stock available for issuance under the Plan (including upon the exercise of the Legacy Options) may be either authorized and unissued shares, shares purchased on the open market (if applicable), treasury shares or a combination thereof, as the Board shall determine.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Awards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17" w:lineRule="exact"/>
        <w:rPr>
          <w:sz w:val="20"/>
          <w:szCs w:val="20"/>
          <w:color w:val="auto"/>
        </w:rPr>
      </w:pPr>
    </w:p>
    <w:p>
      <w:pPr>
        <w:ind w:left="2160" w:hanging="243"/>
        <w:spacing w:after="0"/>
        <w:tabs>
          <w:tab w:leader="none" w:pos="21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xml:space="preserve">. The Board may grant Options to Participants in accordance with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917"/>
        <w:spacing w:after="0" w:line="269" w:lineRule="auto"/>
        <w:tabs>
          <w:tab w:leader="none" w:pos="216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Form of Option</w:t>
      </w:r>
      <w:r>
        <w:rPr>
          <w:rFonts w:ascii="Arial" w:cs="Arial" w:eastAsia="Arial" w:hAnsi="Arial"/>
          <w:sz w:val="17"/>
          <w:szCs w:val="17"/>
          <w:color w:val="auto"/>
        </w:rPr>
        <w:t>. Options granted under this Plan shall be nonqualified stock options and are not intended to be “incentive stock options” within the meaning of Code §422 or any successor provision. The Options issued hereunder are intended to avoid the treatment as deferred compensation of the Participant under Code §409A (or Treasury Regulations or other official IRS guidance issued under Code §409A). However, neither the Company nor any of its affiliates shall make any representations with respect to the application of Code §409A to the Options and, by the acceptance of the Options, the Participants shall agree to accept the potential application of Code §409A to the Options and the other tax consequences of the issuance, vesting, ownership, modification, adjustment, exercise and disposition of the Options. In the event that, after the issuance of an Option under the Plan, Code §409A or the regulations thereunder are amended, or the IRS or Treasury Department issues additional guidance interpreting Code §409A, the Board may modify the terms of any such previously issued Option to the extent the Board determines that such modification is necessary to comply with the requirements of Code §409A. In no event whatsoever shall the Company be liable for any additional tax, interest or penalty that may be imposed on any Participant by Code §409A or damages for failing to comply with Code §409A.</w:t>
      </w:r>
    </w:p>
    <w:p>
      <w:pPr>
        <w:spacing w:after="0" w:line="77" w:lineRule="exact"/>
        <w:rPr>
          <w:rFonts w:ascii="Arial" w:cs="Arial" w:eastAsia="Arial" w:hAnsi="Arial"/>
          <w:sz w:val="17"/>
          <w:szCs w:val="17"/>
          <w:color w:val="auto"/>
        </w:rPr>
      </w:pPr>
    </w:p>
    <w:p>
      <w:pPr>
        <w:ind w:right="240" w:firstLine="1917"/>
        <w:spacing w:after="0" w:line="277" w:lineRule="auto"/>
        <w:tabs>
          <w:tab w:leader="none" w:pos="215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Option exercise price per share of Common Stock shall be fixed by the Board at not less than 100% of the Fair Market Value of a share of Common Stock on the date of grant.</w:t>
      </w:r>
    </w:p>
    <w:p>
      <w:pPr>
        <w:spacing w:after="0" w:line="62" w:lineRule="exact"/>
        <w:rPr>
          <w:rFonts w:ascii="Arial" w:cs="Arial" w:eastAsia="Arial" w:hAnsi="Arial"/>
          <w:sz w:val="18"/>
          <w:szCs w:val="18"/>
          <w:color w:val="auto"/>
        </w:rPr>
      </w:pPr>
    </w:p>
    <w:p>
      <w:pPr>
        <w:ind w:left="2180" w:hanging="263"/>
        <w:spacing w:after="0"/>
        <w:tabs>
          <w:tab w:leader="none" w:pos="218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Options shall be exercisable at such time or times as the Board shall determine at or subsequent to grant.</w:t>
      </w:r>
    </w:p>
    <w:p>
      <w:pPr>
        <w:spacing w:after="0" w:line="169" w:lineRule="exact"/>
        <w:rPr>
          <w:rFonts w:ascii="Arial" w:cs="Arial" w:eastAsia="Arial" w:hAnsi="Arial"/>
          <w:sz w:val="17"/>
          <w:szCs w:val="17"/>
          <w:color w:val="auto"/>
        </w:rPr>
      </w:pPr>
    </w:p>
    <w:p>
      <w:pPr>
        <w:ind w:left="5580" w:hanging="106"/>
        <w:spacing w:after="0"/>
        <w:tabs>
          <w:tab w:leader="none" w:pos="5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90" w:name="page91"/>
    <w:bookmarkEnd w:id="90"/>
    <w:p>
      <w:pPr>
        <w:ind w:right="80" w:firstLine="1917"/>
        <w:spacing w:after="0" w:line="269" w:lineRule="auto"/>
        <w:tabs>
          <w:tab w:leader="none" w:pos="215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Payment of Exercise Price</w:t>
      </w:r>
      <w:r>
        <w:rPr>
          <w:rFonts w:ascii="Arial" w:cs="Arial" w:eastAsia="Arial" w:hAnsi="Arial"/>
          <w:sz w:val="17"/>
          <w:szCs w:val="17"/>
          <w:color w:val="auto"/>
        </w:rPr>
        <w:t>. Options shall be exercised in whole or in part by written notice to the Company (to the attention of the Company’s Secretary) accompanied by payment in full of the Option exercise price. Payment of the Option exercise price shall be made in cash (including check, bank draft or money order) or, in the discretion of the Board, by (i) delivery of a promissory note, (ii) surrendering Common Stock that has been owned by Participant for at least six months and that has a Fair Market Value equal to the exercise price, (iii) (A) delivery (including electronically or telephonically to the extent permitted by the Company) of an irrevocable and unconditional undertaking by a broker acceptable to the Company to deliver promptly to the Company sufficient funds to satisfy the exercise price, or (B) delivery by Participant to the Company of a copy of irrevocable and unconditional instructions to a broker acceptable to the Company to deliver promptly to the Company cash or a check sufficient to satisfy the exercise price; provided that such amount is paid to the Company at such time as may be required by the Board, (iv) surrendering Shares then issuable upon the Option’s exercise equal to the exercise price, valued at their Fair Market Value on the exercise date, or (v) any combination of the foregoing (in each case, if in accordance with policies approved by the Board).</w:t>
      </w:r>
    </w:p>
    <w:p>
      <w:pPr>
        <w:spacing w:after="0" w:line="77" w:lineRule="exact"/>
        <w:rPr>
          <w:rFonts w:ascii="Arial" w:cs="Arial" w:eastAsia="Arial" w:hAnsi="Arial"/>
          <w:sz w:val="17"/>
          <w:szCs w:val="17"/>
          <w:color w:val="auto"/>
        </w:rPr>
      </w:pPr>
    </w:p>
    <w:p>
      <w:pPr>
        <w:ind w:left="2140" w:hanging="223"/>
        <w:spacing w:after="0"/>
        <w:tabs>
          <w:tab w:leader="none" w:pos="214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Terms of Options</w:t>
      </w:r>
      <w:r>
        <w:rPr>
          <w:rFonts w:ascii="Arial" w:cs="Arial" w:eastAsia="Arial" w:hAnsi="Arial"/>
          <w:sz w:val="16"/>
          <w:szCs w:val="16"/>
          <w:color w:val="auto"/>
        </w:rPr>
        <w:t>. The Board shall determine the term of each Option, which term shall in no event exceed ten years from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of grant.</w:t>
      </w:r>
    </w:p>
    <w:p>
      <w:pPr>
        <w:spacing w:after="0" w:line="103" w:lineRule="exact"/>
        <w:rPr>
          <w:sz w:val="20"/>
          <w:szCs w:val="20"/>
          <w:color w:val="auto"/>
        </w:rPr>
      </w:pPr>
    </w:p>
    <w:p>
      <w:pPr>
        <w:ind w:firstLine="1322"/>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Restricted Stock</w:t>
      </w:r>
      <w:r>
        <w:rPr>
          <w:rFonts w:ascii="Arial" w:cs="Arial" w:eastAsia="Arial" w:hAnsi="Arial"/>
          <w:sz w:val="18"/>
          <w:szCs w:val="18"/>
          <w:color w:val="auto"/>
        </w:rPr>
        <w:t>. The Board shall have the power and authority to issue, sell and/or grant to any Participant shares of Common Stock at any time prior to the termination of this Plan in such quantity, at such price, on such terms and subject to such conditions and restrictions that are consistent with this Plan and established by the Board. Restricted Stock sold or granted under this Plan shall be subject to such terms and evidenced by an Award Agreement (as defined below).</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17" w:lineRule="exact"/>
        <w:rPr>
          <w:sz w:val="20"/>
          <w:szCs w:val="20"/>
          <w:color w:val="auto"/>
        </w:rPr>
      </w:pPr>
    </w:p>
    <w:p>
      <w:pPr>
        <w:ind w:right="640" w:firstLine="1917"/>
        <w:spacing w:after="0" w:line="277" w:lineRule="auto"/>
        <w:tabs>
          <w:tab w:leader="none" w:pos="215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to Participants Restricted Stock Units, which may be subject to vesting and forfeiture conditions during applicable restriction period or periods, as set forth in an applicable Award Agreement.</w:t>
      </w:r>
    </w:p>
    <w:p>
      <w:pPr>
        <w:spacing w:after="0" w:line="62" w:lineRule="exact"/>
        <w:rPr>
          <w:rFonts w:ascii="Arial" w:cs="Arial" w:eastAsia="Arial" w:hAnsi="Arial"/>
          <w:sz w:val="18"/>
          <w:szCs w:val="18"/>
          <w:color w:val="auto"/>
        </w:rPr>
      </w:pPr>
    </w:p>
    <w:p>
      <w:pPr>
        <w:ind w:right="280" w:firstLine="1917"/>
        <w:spacing w:after="0" w:line="342" w:lineRule="auto"/>
        <w:tabs>
          <w:tab w:leader="none" w:pos="216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Terms and Conditions for Restricted Stock Unit Awards</w:t>
      </w:r>
      <w:r>
        <w:rPr>
          <w:rFonts w:ascii="Arial" w:cs="Arial" w:eastAsia="Arial" w:hAnsi="Arial"/>
          <w:sz w:val="16"/>
          <w:szCs w:val="16"/>
          <w:color w:val="auto"/>
        </w:rPr>
        <w:t>. The Board shall determine and set forth in the applicable Award Agreement the terms and conditions applicable to each Restricted Stock Unit Award, including the conditions for vesting (or forfeiture), if any.</w:t>
      </w:r>
    </w:p>
    <w:p>
      <w:pPr>
        <w:spacing w:after="0" w:line="15" w:lineRule="exact"/>
        <w:rPr>
          <w:rFonts w:ascii="Arial" w:cs="Arial" w:eastAsia="Arial" w:hAnsi="Arial"/>
          <w:sz w:val="16"/>
          <w:szCs w:val="16"/>
          <w:color w:val="auto"/>
        </w:rPr>
      </w:pPr>
    </w:p>
    <w:p>
      <w:pPr>
        <w:ind w:right="60" w:firstLine="1917"/>
        <w:spacing w:after="0" w:line="257" w:lineRule="auto"/>
        <w:tabs>
          <w:tab w:leader="none" w:pos="215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Upon the vesting of a Restricted Stock Unit, Participant shall be entitled to receive from the Company one share of Common Stock or an amount of cash or other property equal to the Fair Market Value of one share of Common Stock on the settlement date, as the Board shall determine and as provided in the applicable Award Agreement. The Board may provide that settlement of Restricted Stock Units shall occur upon or as soon as reasonably practicable after the vesting of Restricted Stock Units or shall instead be deferred, on a mandatory basis or at the election of Participant, in a manner that complies with Section 409A of the Code.</w:t>
      </w:r>
    </w:p>
    <w:p>
      <w:pPr>
        <w:spacing w:after="0" w:line="79" w:lineRule="exact"/>
        <w:rPr>
          <w:rFonts w:ascii="Arial" w:cs="Arial" w:eastAsia="Arial" w:hAnsi="Arial"/>
          <w:sz w:val="18"/>
          <w:szCs w:val="18"/>
          <w:color w:val="auto"/>
        </w:rPr>
      </w:pPr>
    </w:p>
    <w:p>
      <w:pPr>
        <w:ind w:right="400" w:firstLine="1917"/>
        <w:spacing w:after="0" w:line="277" w:lineRule="auto"/>
        <w:tabs>
          <w:tab w:leader="none" w:pos="216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 unless and until such shares are delivered in settlement hereof.</w:t>
      </w:r>
    </w:p>
    <w:p>
      <w:pPr>
        <w:spacing w:after="0" w:line="102" w:lineRule="exact"/>
        <w:rPr>
          <w:rFonts w:ascii="Arial" w:cs="Arial" w:eastAsia="Arial" w:hAnsi="Arial"/>
          <w:sz w:val="18"/>
          <w:szCs w:val="18"/>
          <w:color w:val="auto"/>
        </w:rPr>
      </w:pPr>
    </w:p>
    <w:p>
      <w:pPr>
        <w:ind w:left="5580" w:hanging="106"/>
        <w:spacing w:after="0"/>
        <w:tabs>
          <w:tab w:leader="none" w:pos="55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91" w:name="page92"/>
    <w:bookmarkEnd w:id="91"/>
    <w:p>
      <w:pPr>
        <w:ind w:right="40" w:firstLine="1917"/>
        <w:spacing w:after="0" w:line="257" w:lineRule="auto"/>
        <w:tabs>
          <w:tab w:leader="none" w:pos="215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To the extent provided by the Board, a grant of Restricted Stock Units may provide a Participant with the right to receive Dividend Equivalents. Dividend Equivalents may be paid currently or credited to an account for such Participant, may be settled in cash and/or shares of Common Stock and may be subject to the same restrictions on transfer and forfeitability as the Restricted Stock Units with respect to which the Dividend Equivalents are paid, as determined by the Board, subject, in each case, to such terms and conditions as the Board shall establish and set forth in the applicable Award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right="60" w:firstLine="1322"/>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Conditions and Limitations on Exercise/Settlement</w:t>
      </w:r>
      <w:r>
        <w:rPr>
          <w:rFonts w:ascii="Arial" w:cs="Arial" w:eastAsia="Arial" w:hAnsi="Arial"/>
          <w:sz w:val="17"/>
          <w:szCs w:val="17"/>
          <w:color w:val="auto"/>
        </w:rPr>
        <w:t>. Awards may vest and be made exercisable or settled in one or more installments, upon the happening of certain events, upon the passage of a specified period of time, upon the fulfillment of certain conditions or upon the achievement by the Company of certain performance goals, as the Board shall decide in each case when the Awards are granted.</w:t>
      </w:r>
    </w:p>
    <w:p>
      <w:pPr>
        <w:spacing w:after="0" w:line="57" w:lineRule="exact"/>
        <w:rPr>
          <w:sz w:val="20"/>
          <w:szCs w:val="20"/>
          <w:color w:val="auto"/>
        </w:rPr>
      </w:pPr>
    </w:p>
    <w:p>
      <w:pPr>
        <w:ind w:right="180" w:firstLine="1322"/>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Sale of the Company</w:t>
      </w:r>
      <w:r>
        <w:rPr>
          <w:rFonts w:ascii="Arial" w:cs="Arial" w:eastAsia="Arial" w:hAnsi="Arial"/>
          <w:sz w:val="17"/>
          <w:szCs w:val="17"/>
          <w:color w:val="auto"/>
        </w:rPr>
        <w:t>. In the event of a Sale of the Company, except as otherwise provided in a Participant’s Award Agreement, the Board may provide, in its discretion, that (i) any unvested Award shall be terminated without payment of any kind or (ii) any unvested Award shall immediately vest, causing, in the case of Options, such Option to be immediately exercisable; or (iii) that any Award (vested or unvested) shall be terminated in exchange for a cash payment in such amount as the Board may determine, but not less than the Fair Market Value per share of Common Stock (measured as of the date of such Sale of the Company) or, in the case of any Option, not less than the product of (A) the excess of the Fair Market Value per share of Common Stock (measured as of the date of such Sale of the Company) over such Option’s exercise price multiplied by (B) the number of shares of Common Stock issuable upon exercise of such Option.</w:t>
      </w:r>
    </w:p>
    <w:p>
      <w:pPr>
        <w:spacing w:after="0" w:line="69" w:lineRule="exact"/>
        <w:rPr>
          <w:sz w:val="20"/>
          <w:szCs w:val="20"/>
          <w:color w:val="auto"/>
        </w:rPr>
      </w:pPr>
    </w:p>
    <w:p>
      <w:pPr>
        <w:ind w:right="260" w:firstLine="1322"/>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Written Agreement</w:t>
      </w:r>
      <w:r>
        <w:rPr>
          <w:rFonts w:ascii="Arial" w:cs="Arial" w:eastAsia="Arial" w:hAnsi="Arial"/>
          <w:sz w:val="16"/>
          <w:szCs w:val="16"/>
          <w:color w:val="auto"/>
        </w:rPr>
        <w:t>. Each Award granted hereunder to a Participant shall be embodied in a written agreement (an “</w:t>
      </w:r>
      <w:r>
        <w:rPr>
          <w:rFonts w:ascii="Arial" w:cs="Arial" w:eastAsia="Arial" w:hAnsi="Arial"/>
          <w:sz w:val="16"/>
          <w:szCs w:val="16"/>
          <w:u w:val="single" w:color="auto"/>
          <w:color w:val="auto"/>
        </w:rPr>
        <w:t>Award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which shall be signed by Participant and by the President, the Chief Executive Officer or any Vice President of the Company for and in the name and on behalf of the Company and shall be subject to the terms and conditions prescribed in the Award Agreement (including, but not limited to,</w:t>
      </w:r>
    </w:p>
    <w:p>
      <w:pPr>
        <w:spacing w:after="0" w:line="2" w:lineRule="exact"/>
        <w:rPr>
          <w:sz w:val="20"/>
          <w:szCs w:val="20"/>
          <w:color w:val="auto"/>
        </w:rPr>
      </w:pPr>
    </w:p>
    <w:p>
      <w:pPr>
        <w:ind w:right="120" w:firstLine="8"/>
        <w:spacing w:after="0" w:line="253"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 of the Company and such other Persons as the Board shall designate (“</w:t>
      </w:r>
      <w:r>
        <w:rPr>
          <w:rFonts w:ascii="Arial" w:cs="Arial" w:eastAsia="Arial" w:hAnsi="Arial"/>
          <w:sz w:val="18"/>
          <w:szCs w:val="18"/>
          <w:u w:val="single" w:color="auto"/>
          <w:color w:val="auto"/>
        </w:rPr>
        <w:t>Designees</w:t>
      </w:r>
      <w:r>
        <w:rPr>
          <w:rFonts w:ascii="Arial" w:cs="Arial" w:eastAsia="Arial" w:hAnsi="Arial"/>
          <w:sz w:val="18"/>
          <w:szCs w:val="18"/>
          <w:color w:val="auto"/>
        </w:rPr>
        <w:t xml:space="preserve">”) to repurchase from each Participant, and such Participant’s transferees, all shares of Common Stock issued to such Participant on the exercise of an Option in the event of such Participant’s termination of employment in accordance with the provisions of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below, (ii) rights of first refusal granted to the Company and Designees, (iii) holdback and other registration right restrictions in the event of a public registration of any equity securities of the Company and (iv) any other terms and conditions which the Board shall deem necessary and desirable).</w:t>
      </w:r>
    </w:p>
    <w:p>
      <w:pPr>
        <w:spacing w:after="0" w:line="83" w:lineRule="exact"/>
        <w:rPr>
          <w:sz w:val="20"/>
          <w:szCs w:val="20"/>
          <w:color w:val="auto"/>
        </w:rPr>
      </w:pPr>
    </w:p>
    <w:p>
      <w:pPr>
        <w:ind w:firstLine="1322"/>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Listing, Registration and Compliance with Laws and Regulations; Conditions on Issuance</w:t>
      </w:r>
      <w:r>
        <w:rPr>
          <w:rFonts w:ascii="Arial" w:cs="Arial" w:eastAsia="Arial" w:hAnsi="Arial"/>
          <w:sz w:val="18"/>
          <w:szCs w:val="18"/>
          <w:color w:val="auto"/>
        </w:rPr>
        <w:t>. Awards shall be subject to the requirement that if at any time the Board shall determine, in its discretion, that the listing, registration or qualification of the shares subject to the Awards upon any securities exchange or under any state or federal securities or other law or regulation, or the consent or approval of any governmental regulatory body, is necessary or desirable as a condition to or in connection with the granting of the Awards or the issuance or purchase of shares thereunder, no Awards may be granted, settled or exercised, in whole or in part,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ind w:right="160"/>
        <w:spacing w:after="0" w:line="271" w:lineRule="auto"/>
        <w:rPr>
          <w:sz w:val="20"/>
          <w:szCs w:val="20"/>
          <w:color w:val="auto"/>
        </w:rPr>
      </w:pPr>
      <w:r>
        <w:rPr>
          <w:rFonts w:ascii="Arial" w:cs="Arial" w:eastAsia="Arial" w:hAnsi="Arial"/>
          <w:sz w:val="17"/>
          <w:szCs w:val="17"/>
          <w:color w:val="auto"/>
        </w:rPr>
        <w:t>unless such listing, registration, qualification, consent or approval shall have been effected or obtained free of any conditions not acceptable to the Board. The holders of such Awards shall supply the Company with such certificates, representations and information as the Company shall request and shall otherwise cooperate with the Company in obtaining such listing, registration, qualification, consent or approval. In the case of officers and other Persons subject to Section 16(b) of the Securities Exchange Act of 1934, as amended, the Board may at any time impose any limitations upon the vesting, settlement or exercise of an Award that, in the Board’s discretion, are necessary or desirable in order to comply with such Section 16(b) and the rules and regulations thereunder. If the Company, as part of an offering of securities or otherwise, finds it desirable because of federal or state regulatory requirements to reduce the period during which any Options may be exercised, the Board, may, in its discretion and without the Participant’s consent, so reduce such period on not less than 15 days written notice to the holders thereof.</w:t>
      </w:r>
    </w:p>
    <w:p>
      <w:pPr>
        <w:spacing w:after="0" w:line="70" w:lineRule="exact"/>
        <w:rPr>
          <w:sz w:val="20"/>
          <w:szCs w:val="20"/>
          <w:color w:val="auto"/>
        </w:rPr>
      </w:pPr>
    </w:p>
    <w:p>
      <w:pPr>
        <w:ind w:right="440" w:firstLine="1322"/>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Legacy Plan</w:t>
      </w:r>
      <w:r>
        <w:rPr>
          <w:rFonts w:ascii="Arial" w:cs="Arial" w:eastAsia="Arial" w:hAnsi="Arial"/>
          <w:sz w:val="18"/>
          <w:szCs w:val="18"/>
          <w:color w:val="auto"/>
        </w:rPr>
        <w:t xml:space="preserve">. Notwithstanding anything in this Plan to the contrary, all Legacy Options assumed by the Company pursuant to Section 1.5(b) of the Purchase Agreement shall be governed by the terms and conditions of the Legacy Plan which is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and incorporated herein by reference; provided that the Legacy Plan shall be amended as follows:</w:t>
      </w:r>
    </w:p>
    <w:p>
      <w:pPr>
        <w:spacing w:after="0" w:line="76" w:lineRule="exact"/>
        <w:rPr>
          <w:sz w:val="20"/>
          <w:szCs w:val="20"/>
          <w:color w:val="auto"/>
        </w:rPr>
      </w:pPr>
    </w:p>
    <w:p>
      <w:pPr>
        <w:ind w:left="2160" w:hanging="243"/>
        <w:spacing w:after="0"/>
        <w:tabs>
          <w:tab w:leader="none" w:pos="2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phrase “GoodRx, Inc.” shall be replaced in each instance where it occurs with the phrase “GoodRx Holdings, Inc.”;</w:t>
      </w:r>
    </w:p>
    <w:p>
      <w:pPr>
        <w:spacing w:after="0" w:line="128" w:lineRule="exact"/>
        <w:rPr>
          <w:rFonts w:ascii="Arial" w:cs="Arial" w:eastAsia="Arial" w:hAnsi="Arial"/>
          <w:sz w:val="17"/>
          <w:szCs w:val="17"/>
          <w:color w:val="auto"/>
        </w:rPr>
      </w:pPr>
    </w:p>
    <w:p>
      <w:pPr>
        <w:ind w:left="2180" w:hanging="263"/>
        <w:spacing w:after="0"/>
        <w:tabs>
          <w:tab w:leader="none" w:pos="2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definition of “Stock” and “Share” shall be amended and restated in their entirety to mean “Common Stock” as defined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03" w:lineRule="exact"/>
        <w:rPr>
          <w:sz w:val="20"/>
          <w:szCs w:val="20"/>
          <w:color w:val="auto"/>
        </w:rPr>
      </w:pPr>
    </w:p>
    <w:p>
      <w:pPr>
        <w:ind w:left="2160" w:hanging="243"/>
        <w:spacing w:after="0"/>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references to “Plan” shall be replaced with in each instance where they occur with “Legacy Plan”;</w:t>
      </w:r>
    </w:p>
    <w:p>
      <w:pPr>
        <w:spacing w:after="0" w:line="117" w:lineRule="exact"/>
        <w:rPr>
          <w:rFonts w:ascii="Arial" w:cs="Arial" w:eastAsia="Arial" w:hAnsi="Arial"/>
          <w:sz w:val="18"/>
          <w:szCs w:val="18"/>
          <w:color w:val="auto"/>
        </w:rPr>
      </w:pPr>
    </w:p>
    <w:p>
      <w:pPr>
        <w:ind w:firstLine="1917"/>
        <w:spacing w:after="0" w:line="263" w:lineRule="auto"/>
        <w:tabs>
          <w:tab w:leader="none" w:pos="21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4(b) shall be amended and restated in its entirety to provide: “Notwithstanding anything herein to the contrary, from and after October 7, 2015, no direct award or sale of Shares pursuant to Section 5 or grant of Legacy Options to purchase Shares pursuant to Section 6 shall be made under the Legacy Plan.”; and</w:t>
      </w:r>
    </w:p>
    <w:p>
      <w:pPr>
        <w:spacing w:after="0" w:line="75" w:lineRule="exact"/>
        <w:rPr>
          <w:rFonts w:ascii="Arial" w:cs="Arial" w:eastAsia="Arial" w:hAnsi="Arial"/>
          <w:sz w:val="18"/>
          <w:szCs w:val="18"/>
          <w:color w:val="auto"/>
        </w:rPr>
      </w:pPr>
    </w:p>
    <w:p>
      <w:pPr>
        <w:ind w:left="2160" w:hanging="243"/>
        <w:spacing w:after="0"/>
        <w:tabs>
          <w:tab w:leader="none" w:pos="2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phrase “The common stockholders holding at least a majority of the outstanding common stock of the Company (the</w:t>
      </w:r>
    </w:p>
    <w:p>
      <w:pPr>
        <w:spacing w:after="0" w:line="3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Majority in Interest of the Stockholders</w:t>
      </w:r>
      <w:r>
        <w:rPr>
          <w:rFonts w:ascii="Arial" w:cs="Arial" w:eastAsia="Arial" w:hAnsi="Arial"/>
          <w:sz w:val="16"/>
          <w:szCs w:val="16"/>
          <w:color w:val="auto"/>
        </w:rPr>
        <w:t>”)” in the first sentence of Section 9 shall be amended and replaced with the phrase “The stockholders holding at least a majority of the outstanding capital stock of the Company, voting on an as converted basis (the “</w:t>
      </w:r>
      <w:r>
        <w:rPr>
          <w:rFonts w:ascii="Arial" w:cs="Arial" w:eastAsia="Arial" w:hAnsi="Arial"/>
          <w:sz w:val="16"/>
          <w:szCs w:val="16"/>
          <w:b w:val="1"/>
          <w:bCs w:val="1"/>
          <w:color w:val="auto"/>
        </w:rPr>
        <w:t>Majority in Interest of the Stockholders</w:t>
      </w:r>
      <w:r>
        <w:rPr>
          <w:rFonts w:ascii="Arial" w:cs="Arial" w:eastAsia="Arial" w:hAnsi="Arial"/>
          <w:sz w:val="16"/>
          <w:szCs w:val="16"/>
          <w:color w:val="auto"/>
        </w:rPr>
        <w:t>”)”.</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93" w:name="page94"/>
    <w:bookmarkEnd w:id="93"/>
    <w:p>
      <w:pPr>
        <w:ind w:right="160" w:firstLine="1322"/>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Nontransferability</w:t>
      </w:r>
      <w:r>
        <w:rPr>
          <w:rFonts w:ascii="Arial" w:cs="Arial" w:eastAsia="Arial" w:hAnsi="Arial"/>
          <w:sz w:val="18"/>
          <w:szCs w:val="18"/>
          <w:color w:val="auto"/>
        </w:rPr>
        <w:t>. Awards may not be transferred other than by will or the laws of descent and distribution and, during the lifetime of the Participant, Awards may be exercised only by such Participant (or his legal guardian or legal representative). In the event of the death of a Participant, exercise of Options granted hereunder shall be made only:</w:t>
      </w:r>
    </w:p>
    <w:p>
      <w:pPr>
        <w:spacing w:after="0" w:line="76" w:lineRule="exact"/>
        <w:rPr>
          <w:sz w:val="20"/>
          <w:szCs w:val="20"/>
          <w:color w:val="auto"/>
        </w:rPr>
      </w:pPr>
    </w:p>
    <w:p>
      <w:pPr>
        <w:ind w:right="420" w:firstLine="1917"/>
        <w:spacing w:after="0" w:line="277" w:lineRule="auto"/>
        <w:tabs>
          <w:tab w:leader="none" w:pos="21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the executor or administrator of the estate of the deceased Participant or the Person or Persons to whom the deceased Participant’s rights under the Option shall pass by will or the laws of descent and distribution; and</w:t>
      </w:r>
    </w:p>
    <w:p>
      <w:pPr>
        <w:spacing w:after="0" w:line="62" w:lineRule="exact"/>
        <w:rPr>
          <w:rFonts w:ascii="Arial" w:cs="Arial" w:eastAsia="Arial" w:hAnsi="Arial"/>
          <w:sz w:val="18"/>
          <w:szCs w:val="18"/>
          <w:color w:val="auto"/>
        </w:rPr>
      </w:pPr>
    </w:p>
    <w:p>
      <w:pPr>
        <w:ind w:firstLine="1917"/>
        <w:spacing w:after="0" w:line="277" w:lineRule="auto"/>
        <w:tabs>
          <w:tab w:leader="none" w:pos="21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extent that the deceased Participant was entitled thereto at the date of his death, unless otherwise provided by the Board in such Participant’s Award Agreement.</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Expiration of Options</w:t>
      </w:r>
      <w:r>
        <w:rPr>
          <w:rFonts w:ascii="Arial" w:cs="Arial" w:eastAsia="Arial" w:hAnsi="Arial"/>
          <w:sz w:val="18"/>
          <w:szCs w:val="18"/>
          <w:color w:val="auto"/>
        </w:rPr>
        <w:t>.</w:t>
      </w:r>
    </w:p>
    <w:p>
      <w:pPr>
        <w:spacing w:after="0" w:line="117" w:lineRule="exact"/>
        <w:rPr>
          <w:sz w:val="20"/>
          <w:szCs w:val="20"/>
          <w:color w:val="auto"/>
        </w:rPr>
      </w:pPr>
    </w:p>
    <w:p>
      <w:pPr>
        <w:ind w:right="840" w:firstLine="1917"/>
        <w:spacing w:after="0" w:line="277" w:lineRule="auto"/>
        <w:tabs>
          <w:tab w:leader="none" w:pos="215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Normal Expiration</w:t>
      </w:r>
      <w:r>
        <w:rPr>
          <w:rFonts w:ascii="Arial" w:cs="Arial" w:eastAsia="Arial" w:hAnsi="Arial"/>
          <w:sz w:val="18"/>
          <w:szCs w:val="18"/>
          <w:color w:val="auto"/>
        </w:rPr>
        <w:t>. In no event shall any part of any Option be exercisable after the date of expiration thereof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as determined by the Board pursuant to </w:t>
      </w:r>
      <w:r>
        <w:rPr>
          <w:rFonts w:ascii="Arial" w:cs="Arial" w:eastAsia="Arial" w:hAnsi="Arial"/>
          <w:sz w:val="18"/>
          <w:szCs w:val="18"/>
          <w:u w:val="single" w:color="auto"/>
          <w:color w:val="auto"/>
        </w:rPr>
        <w:t>Section 5.1(f)</w:t>
      </w:r>
      <w:r>
        <w:rPr>
          <w:rFonts w:ascii="Arial" w:cs="Arial" w:eastAsia="Arial" w:hAnsi="Arial"/>
          <w:sz w:val="18"/>
          <w:szCs w:val="18"/>
          <w:color w:val="auto"/>
        </w:rPr>
        <w:t xml:space="preserve"> above.</w:t>
      </w:r>
    </w:p>
    <w:p>
      <w:pPr>
        <w:spacing w:after="0" w:line="62" w:lineRule="exact"/>
        <w:rPr>
          <w:rFonts w:ascii="Arial" w:cs="Arial" w:eastAsia="Arial" w:hAnsi="Arial"/>
          <w:sz w:val="18"/>
          <w:szCs w:val="18"/>
          <w:color w:val="auto"/>
        </w:rPr>
      </w:pPr>
    </w:p>
    <w:p>
      <w:pPr>
        <w:ind w:right="120" w:firstLine="1917"/>
        <w:spacing w:after="0" w:line="291" w:lineRule="auto"/>
        <w:tabs>
          <w:tab w:leader="none" w:pos="216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Early Expiration Upon Termination of Employment</w:t>
      </w:r>
      <w:r>
        <w:rPr>
          <w:rFonts w:ascii="Arial" w:cs="Arial" w:eastAsia="Arial" w:hAnsi="Arial"/>
          <w:sz w:val="16"/>
          <w:szCs w:val="16"/>
          <w:color w:val="auto"/>
        </w:rPr>
        <w:t>. Except as otherwise provided by the Board in the Award Agreement, any portion of a Participant’s Option that was not vested and exercisable on the date of the termination of such Participant’s employment for any reason (such date,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expire and be forfeited as of such date, and any portion of a Participant’s Option that was vested and exercisable on the date of the termination of such Participant’s employment shall expire and be forfeited as of such date, except that: (i) if any Participant dies or becomes subject to any Disability, such Participants Option shall expire 180 days after the date of his death or Disability, but in no event after the Expiration Date, (ii) if any Participant voluntarily resigns for any reason or if any Participant is discharged other than for Cause, such Participant’s Option shall expire 30 days after the date of such resignation or discharge, as applicable, but in no event after the Expiration Date.</w:t>
      </w:r>
    </w:p>
    <w:p>
      <w:pPr>
        <w:spacing w:after="0" w:line="58" w:lineRule="exact"/>
        <w:rPr>
          <w:sz w:val="20"/>
          <w:szCs w:val="20"/>
          <w:color w:val="auto"/>
        </w:rPr>
      </w:pPr>
    </w:p>
    <w:p>
      <w:pPr>
        <w:ind w:right="20" w:firstLine="1322"/>
        <w:spacing w:after="0" w:line="28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Withholding of Taxes</w:t>
      </w:r>
      <w:r>
        <w:rPr>
          <w:rFonts w:ascii="Arial" w:cs="Arial" w:eastAsia="Arial" w:hAnsi="Arial"/>
          <w:sz w:val="16"/>
          <w:szCs w:val="16"/>
          <w:color w:val="auto"/>
        </w:rPr>
        <w:t xml:space="preserve">. The Company and its affiliates shall be entitled, if necessary or desirable, to deduct and withhold from any Participant or affiliate thereof from any amounts due and payable by the Company to such Participant (or secure payment from such Participant in lieu of withholding) the amount of any withholding or other tax due from the Company or any of its affiliates in connection with the grant, issuance, vesting, settlement, ownership, modification, adjustment, disposition, exercise or otherwise with respect to any Award, and the Company may defer such event unless indemnified to its satisfaction. The Company (or the Board, in order to comply with applicable law), in its discretion, may permit the following methods to satisfy such tax obligations: (i)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Board or (ii) to the extent permitted by the Board, in whole or in part by delivery of Shares, including Shares delivered by attestation and Shares retained from the Award creating the tax obligation, valued at their Fair Market Value on the date of delivery;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aggregate Fair Market Value of the number of shares of Common Stock that may be used to satisfy tax withholding requirements may not exceed the aggregate amount of such liabilities based on the maximum individual statutory tax rates in the applicable jurisdiction.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94" w:name="page95"/>
    <w:bookmarkEnd w:id="94"/>
    <w:p>
      <w:pPr>
        <w:ind w:right="380" w:firstLine="1322"/>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Participant Acknowledgments</w:t>
      </w:r>
      <w:r>
        <w:rPr>
          <w:rFonts w:ascii="Arial" w:cs="Arial" w:eastAsia="Arial" w:hAnsi="Arial"/>
          <w:sz w:val="18"/>
          <w:szCs w:val="18"/>
          <w:color w:val="auto"/>
        </w:rPr>
        <w:t>. In connection with the grant of any Award as set forth herein, each Participant acknowledges and agrees, that as a condition to any such grant:</w:t>
      </w:r>
    </w:p>
    <w:p>
      <w:pPr>
        <w:spacing w:after="0" w:line="62" w:lineRule="exact"/>
        <w:rPr>
          <w:sz w:val="20"/>
          <w:szCs w:val="20"/>
          <w:color w:val="auto"/>
        </w:rPr>
      </w:pPr>
    </w:p>
    <w:p>
      <w:pPr>
        <w:ind w:firstLine="1917"/>
        <w:spacing w:after="0" w:line="301" w:lineRule="auto"/>
        <w:tabs>
          <w:tab w:leader="none" w:pos="2154"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Except as required by applicable law, the Company will have no duty or obligation to disclose to any Participant, and no Participant will have any right to be advised of, any material information regarding the Company or its subsidiaries at any time prior to, upon or in connection with the repurchase of any Employee Shares upon the termination of such Participant’s employment with the Company or any of its subsidiaries or as otherwise provided under this Plan or any written agreement evidencing the grant of any Option or the issuance of any shares of Common Stock.</w:t>
      </w:r>
    </w:p>
    <w:p>
      <w:pPr>
        <w:spacing w:after="0" w:line="49" w:lineRule="exact"/>
        <w:rPr>
          <w:rFonts w:ascii="Arial" w:cs="Arial" w:eastAsia="Arial" w:hAnsi="Arial"/>
          <w:sz w:val="16"/>
          <w:szCs w:val="16"/>
          <w:color w:val="auto"/>
        </w:rPr>
      </w:pPr>
    </w:p>
    <w:p>
      <w:pPr>
        <w:ind w:right="20" w:firstLine="1917"/>
        <w:spacing w:after="0" w:line="263" w:lineRule="auto"/>
        <w:tabs>
          <w:tab w:leader="none" w:pos="21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Participant will have consulted, or will have had an opportunity to consult with, independent legal counsel regarding his or her rights and obligations under this Plan and any written agreement evidencing any grant of any Award and he or she fully understands the terms and conditions contained herein and therein.</w:t>
      </w:r>
    </w:p>
    <w:p>
      <w:pPr>
        <w:spacing w:after="0" w:line="75" w:lineRule="exact"/>
        <w:rPr>
          <w:rFonts w:ascii="Arial" w:cs="Arial" w:eastAsia="Arial" w:hAnsi="Arial"/>
          <w:sz w:val="18"/>
          <w:szCs w:val="18"/>
          <w:color w:val="auto"/>
        </w:rPr>
      </w:pPr>
    </w:p>
    <w:p>
      <w:pPr>
        <w:ind w:right="80" w:firstLine="1917"/>
        <w:spacing w:after="0" w:line="293" w:lineRule="auto"/>
        <w:tabs>
          <w:tab w:leader="none" w:pos="2154"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Prior to the issuance of any shares of Common Stock in respect of any Award, such Participant will deliver to the Company an executed consent from such Participant’s spouse (if any) in the form of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attached hereto. If, at any time subsequent to the date such Participant is issued any shares of Common Stock in respect of any Award, such Participant becomes legally married (whether in the first instance or to a different spouse), such Participant shall cause his or her spouse to execute and deliver to the Company a consent in the form of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attached hereto. Such Participant’s failure to deliver the Company an executed consent in the form of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at any time when such Participant would otherwise be required to deliver such consent shall constitute such Participant’s continuing representation and warranty that such Participant is not legally married as of such date.</w:t>
      </w:r>
    </w:p>
    <w:p>
      <w:pPr>
        <w:spacing w:after="0" w:line="56" w:lineRule="exact"/>
        <w:rPr>
          <w:rFonts w:ascii="Arial" w:cs="Arial" w:eastAsia="Arial" w:hAnsi="Arial"/>
          <w:sz w:val="16"/>
          <w:szCs w:val="16"/>
          <w:color w:val="auto"/>
        </w:rPr>
      </w:pPr>
    </w:p>
    <w:p>
      <w:pPr>
        <w:ind w:right="80" w:firstLine="1917"/>
        <w:spacing w:after="0" w:line="286" w:lineRule="auto"/>
        <w:tabs>
          <w:tab w:leader="none" w:pos="21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observations and data (including trade secrets) obtained by Participant while employed by the Company or any of its subsidiaries concerning the business or affairs of the Company or any of its subsidiaries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are the property of the Company or such subsidiaries. Therefore, Participant agrees that Participant shall not disclose to any person or entity or use for Participant’s own purposes any Confidential Information or any confidential or proprietary information of other persons or entities in the possession of the Company and its subsidiaries (“</w:t>
      </w:r>
      <w:r>
        <w:rPr>
          <w:rFonts w:ascii="Arial" w:cs="Arial" w:eastAsia="Arial" w:hAnsi="Arial"/>
          <w:sz w:val="16"/>
          <w:szCs w:val="16"/>
          <w:u w:val="single" w:color="auto"/>
          <w:color w:val="auto"/>
        </w:rPr>
        <w:t>Third Party Information</w:t>
      </w:r>
      <w:r>
        <w:rPr>
          <w:rFonts w:ascii="Arial" w:cs="Arial" w:eastAsia="Arial" w:hAnsi="Arial"/>
          <w:sz w:val="16"/>
          <w:szCs w:val="16"/>
          <w:color w:val="auto"/>
        </w:rPr>
        <w:t xml:space="preserve">”), without the prior written consent of the Board, unless and to the extent that the Confidential Information or Third Party Information becomes generally known to and available for use by the public other than as a result of Participant’s acts or omissions. Participant shall deliver to the Company at the termination or expiration of Participant’s employment with the Company and its subsidiaries, or at any other time the Company may request, all memoranda, notes, plans, records, reports, computer files, disks and tapes, printouts and software and other documents and data (and copies thereof) embodying or relating to Third Party Information, Confidential Information, or the business of the Company or any if its subsidiaries which Participant may then possess or have under his or her control. If a written employment or service agreement in effect on the date of determination between a Participant, solely in Participant’s capacity as an employee, consultant or other agent of the Company or any subsidiary or affiliate thereof and not in Participant’s capacity as an equityholder of the Company or any subsidiary or affiliate thereof, on the one hand, and the Company or any subsidiary or affiliate thereof, on the other hand, contains covenants relating to confidential information similar to the restrictions contained in this </w:t>
      </w:r>
      <w:r>
        <w:rPr>
          <w:rFonts w:ascii="Arial" w:cs="Arial" w:eastAsia="Arial" w:hAnsi="Arial"/>
          <w:sz w:val="16"/>
          <w:szCs w:val="16"/>
          <w:u w:val="single" w:color="auto"/>
          <w:color w:val="auto"/>
        </w:rPr>
        <w:t>Section 6.9(d)</w:t>
      </w:r>
      <w:r>
        <w:rPr>
          <w:rFonts w:ascii="Arial" w:cs="Arial" w:eastAsia="Arial" w:hAnsi="Arial"/>
          <w:sz w:val="16"/>
          <w:szCs w:val="16"/>
          <w:color w:val="auto"/>
        </w:rPr>
        <w:t>, such other covenants shall apply with respect to such Participant in lieu of the covenants set forth herein.</w:t>
      </w:r>
    </w:p>
    <w:p>
      <w:pPr>
        <w:spacing w:after="0" w:line="103" w:lineRule="exact"/>
        <w:rPr>
          <w:rFonts w:ascii="Arial" w:cs="Arial" w:eastAsia="Arial" w:hAnsi="Arial"/>
          <w:sz w:val="16"/>
          <w:szCs w:val="16"/>
          <w:color w:val="auto"/>
        </w:rPr>
      </w:pPr>
    </w:p>
    <w:p>
      <w:pPr>
        <w:ind w:left="5540" w:hanging="111"/>
        <w:spacing w:after="0"/>
        <w:tabs>
          <w:tab w:leader="none" w:pos="5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5" w:name="page96"/>
    <w:bookmarkEnd w:id="95"/>
    <w:p>
      <w:pPr>
        <w:ind w:left="-8" w:right="60" w:firstLine="1917"/>
        <w:spacing w:after="0" w:line="269" w:lineRule="auto"/>
        <w:tabs>
          <w:tab w:leader="none" w:pos="2146"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a condition to exercise of any portion of any Option or Legacy Option held by Participant or the issuance of any shares of Common Stock by the Company under the Plan in respect of any Award: (i) Participant may be required to execute a counterpart to the Stockholders Agreement binding Participant to the terms and conditions contained therein, and (ii) in such an event, if Participant is married at the time of exercise, Participant shall deliver to the Company a counterpart to the Stockholders Agreement executed by Participant’s spouse binding Participant’s spouse to conditions contained therein. In addition, if Participant becomes legally married (whether in the first instance or to a different spouse) subsequent to exercise of any portion of any Option or Legacy Option held by Participant or subsequent to the issuance of any shares of Common Stock by the Company under the Plan in respect of any Award, but prior to the Termination Date, Participant may be required to cause Participant’s spouse to execute and deliver to the Company a counterpart to the Stockholders Agreement binding Participant’s spouse to the conditions contained therein. Following Participant’s execution of a counterpart to the Stockholders Agreement, in the event of a conflict between the Stockholders Agreement and the Plan, the provisions of the Stockholders Agreement shall prevail.</w:t>
      </w:r>
    </w:p>
    <w:p>
      <w:pPr>
        <w:spacing w:after="0" w:line="7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Repurchase Option</w:t>
      </w:r>
      <w:r>
        <w:rPr>
          <w:rFonts w:ascii="Arial" w:cs="Arial" w:eastAsia="Arial" w:hAnsi="Arial"/>
          <w:sz w:val="18"/>
          <w:szCs w:val="18"/>
          <w:color w:val="auto"/>
        </w:rPr>
        <w:t>.</w:t>
      </w:r>
    </w:p>
    <w:p>
      <w:pPr>
        <w:spacing w:after="0" w:line="117" w:lineRule="exact"/>
        <w:rPr>
          <w:sz w:val="20"/>
          <w:szCs w:val="20"/>
          <w:color w:val="auto"/>
        </w:rPr>
      </w:pPr>
    </w:p>
    <w:p>
      <w:pPr>
        <w:ind w:left="-8" w:firstLine="1917"/>
        <w:spacing w:after="0" w:line="293" w:lineRule="auto"/>
        <w:tabs>
          <w:tab w:leader="none" w:pos="214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Repurchase Option</w:t>
      </w:r>
      <w:r>
        <w:rPr>
          <w:rFonts w:ascii="Arial" w:cs="Arial" w:eastAsia="Arial" w:hAnsi="Arial"/>
          <w:sz w:val="16"/>
          <w:szCs w:val="16"/>
          <w:color w:val="auto"/>
        </w:rPr>
        <w:t xml:space="preserve">. If a Participant is no longer employed (or in the case of a Participant who was not an employee, the date on which such Participant is no longer acting as a director or officer of, or consultant or advisor to, the Company or any of its subsidiaries) by the Company or its subsidiaries for any reason, the Employee Shares (whether held by such Participant or one or more transferees of such Participant, other than the Company or any Investor (as defined in the Stockholders Agreement)) will be subject to repurchase by the Company and the Investors (each of the aforementioned solely at their option and the latter on a pro rata basis in accordance with their respective percentage of ownership of the Company’s Common Stock on a fully diluted and as-converted basis) pursuant to the terms and conditions set forth in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Repurchase Option</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8" w:firstLine="1917"/>
        <w:spacing w:after="0" w:line="286" w:lineRule="auto"/>
        <w:tabs>
          <w:tab w:leader="none" w:pos="215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Repurchase Price</w:t>
      </w:r>
      <w:r>
        <w:rPr>
          <w:rFonts w:ascii="Arial" w:cs="Arial" w:eastAsia="Arial" w:hAnsi="Arial"/>
          <w:sz w:val="16"/>
          <w:szCs w:val="16"/>
          <w:color w:val="auto"/>
        </w:rPr>
        <w:t>. Following the Termination Date of any Participant, the Company and the Investors may elect to repurchase all or any portion of the Employee Shares held by such Participant at a price per share equal to (i) in the event of such Participant’s termination for Cause, at the lower of Original Cost or Fair Market Value (as of the Termination Date) and (ii) otherwise (including, but not limited to, a resignation other than for Good Reason and termination without Cause), at Fair Market Value (as of the Termination Date). Notwithstanding the foregoing, in the event that</w:t>
      </w:r>
    </w:p>
    <w:p>
      <w:pPr>
        <w:spacing w:after="0" w:line="1" w:lineRule="exact"/>
        <w:rPr>
          <w:rFonts w:ascii="Arial" w:cs="Arial" w:eastAsia="Arial" w:hAnsi="Arial"/>
          <w:sz w:val="16"/>
          <w:szCs w:val="16"/>
          <w:color w:val="auto"/>
        </w:rPr>
      </w:pPr>
    </w:p>
    <w:p>
      <w:pPr>
        <w:jc w:val="both"/>
        <w:ind w:left="-8" w:right="40" w:firstLine="8"/>
        <w:spacing w:after="0" w:line="271" w:lineRule="auto"/>
        <w:tabs>
          <w:tab w:leader="none" w:pos="237"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Participant has previously received a dividend payment on account of Common Stock that was unvested at the time such dividend was declared (including, but not limited to, shares of Common Stock received on account of the exercise of unvested Options, shares of Common Stock received pursuant to the grant of an Award under the Plan designated as Restricted Stock, or otherwise), and (b) those shares of Common Stock do not subsequently vest prior to the time that the repurchase provisions in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apply, then the repurchase price for any shares of Common Stock otherwise subject to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shall be further reduced by the amount of such dividend.</w:t>
      </w:r>
    </w:p>
    <w:p>
      <w:pPr>
        <w:spacing w:after="0" w:line="110" w:lineRule="exact"/>
        <w:rPr>
          <w:rFonts w:ascii="Arial" w:cs="Arial" w:eastAsia="Arial" w:hAnsi="Arial"/>
          <w:sz w:val="17"/>
          <w:szCs w:val="17"/>
          <w:color w:val="auto"/>
        </w:rPr>
      </w:pPr>
    </w:p>
    <w:p>
      <w:pPr>
        <w:ind w:left="5532" w:hanging="108"/>
        <w:spacing w:after="0"/>
        <w:tabs>
          <w:tab w:leader="none" w:pos="5532" w:val="left"/>
        </w:tabs>
        <w:numPr>
          <w:ilvl w:val="2"/>
          <w:numId w:val="46"/>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657860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55" w:right="359" w:bottom="1440" w:gutter="0" w:footer="0" w:header="0"/>
        </w:sectPr>
      </w:pPr>
    </w:p>
    <w:bookmarkStart w:id="96" w:name="page97"/>
    <w:bookmarkEnd w:id="96"/>
    <w:p>
      <w:pPr>
        <w:ind w:left="-8" w:firstLine="1917"/>
        <w:spacing w:after="0" w:line="286" w:lineRule="auto"/>
        <w:tabs>
          <w:tab w:leader="none" w:pos="2146"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Repurchase Procedures</w:t>
      </w:r>
      <w:r>
        <w:rPr>
          <w:rFonts w:ascii="Arial" w:cs="Arial" w:eastAsia="Arial" w:hAnsi="Arial"/>
          <w:sz w:val="16"/>
          <w:szCs w:val="16"/>
          <w:color w:val="auto"/>
        </w:rPr>
        <w:t>. The Company may elect to exercise the Repurchase Option to purchase any amount of the Employee Shares subject to the Repurchase Option by delivering written notice (the “</w:t>
      </w:r>
      <w:r>
        <w:rPr>
          <w:rFonts w:ascii="Arial" w:cs="Arial" w:eastAsia="Arial" w:hAnsi="Arial"/>
          <w:sz w:val="16"/>
          <w:szCs w:val="16"/>
          <w:u w:val="single" w:color="auto"/>
          <w:color w:val="auto"/>
        </w:rPr>
        <w:t>Company Repurchase Notice</w:t>
      </w:r>
      <w:r>
        <w:rPr>
          <w:rFonts w:ascii="Arial" w:cs="Arial" w:eastAsia="Arial" w:hAnsi="Arial"/>
          <w:sz w:val="16"/>
          <w:szCs w:val="16"/>
          <w:color w:val="auto"/>
        </w:rPr>
        <w:t>”) to the holder or holders of the Employee Shares and the Investors no later than the later of (A) 90 days after the Termination Date and (B) 90 days after the acquisition of the Employee Shares subject to repurchase. To the extent that any portion of the Employee Shares are not being repurchased by the Company, the Investors may elect to exercise the Repurchase Option to purchase up to their respective pro rata share of the remaining Employee Shares by delivering written notice (an “</w:t>
      </w:r>
      <w:r>
        <w:rPr>
          <w:rFonts w:ascii="Arial" w:cs="Arial" w:eastAsia="Arial" w:hAnsi="Arial"/>
          <w:sz w:val="16"/>
          <w:szCs w:val="16"/>
          <w:u w:val="single" w:color="auto"/>
          <w:color w:val="auto"/>
        </w:rPr>
        <w:t>Investor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Repurchase Notice</w:t>
      </w:r>
      <w:r>
        <w:rPr>
          <w:rFonts w:ascii="Arial" w:cs="Arial" w:eastAsia="Arial" w:hAnsi="Arial"/>
          <w:sz w:val="16"/>
          <w:szCs w:val="16"/>
          <w:color w:val="auto"/>
        </w:rPr>
        <w:t>” and together with the Company Repurchase Notice,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to the holder or holders of the applicable Employee Shares within 10 business days of the expiration of the latest period during which the Company was entitled to deliver the Company Repurchase Notice. Each Repurchase Notice will set forth the number of Employee Shares to be acquired from such holder(s), the aggregate consideration to be paid for such Employee Shares and the time and place for the closing of the transaction. If any Employee Shares are held by any transferees of a Participant, the Investors and the Company, as the case may be, will purchase the shares elected to be purchased from such holder(s) of Employee Shares, pro rata according to the number of Employee Shares held by such holder(s) at the time of delivery of such Repurchase Notice (determined as nearly as practicable to the nearest share). If Employee Shares of different classes are to be purchased pursuant to the Repurchase Option and Employee Shares are held by any transferees of a Participant, the number of shares of each class of Employee Shares to be purchased will be allocated among such holders, pro rata according to the total number of Employee Shares to be purchased from such Persons.</w:t>
      </w:r>
    </w:p>
    <w:p>
      <w:pPr>
        <w:spacing w:after="0" w:line="62" w:lineRule="exact"/>
        <w:rPr>
          <w:rFonts w:ascii="Arial" w:cs="Arial" w:eastAsia="Arial" w:hAnsi="Arial"/>
          <w:sz w:val="16"/>
          <w:szCs w:val="16"/>
          <w:color w:val="auto"/>
        </w:rPr>
      </w:pPr>
    </w:p>
    <w:p>
      <w:pPr>
        <w:ind w:left="-8" w:right="80" w:firstLine="1917"/>
        <w:spacing w:after="0" w:line="284" w:lineRule="auto"/>
        <w:tabs>
          <w:tab w:leader="none" w:pos="2156"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The closing of the transactions contemplated by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will take place on the date designated in the applicable Repurchase Notice, which date will not be more than 90 days after the delivery of such notice. Each Investor will pay for the Employee Shares to be purchased by it by delivery of a check payable to the holder of such Employee Shares. The Company will pay for the Employee Shares to be purchased by it by first offsetting amounts outstanding under any bona fide debts owing by such Participant to the Company or any of its subsidiaries, now existing or hereinafter arising (irrespective as to whether such amounts are owing by the holder of such Employee Shares), and will pay the remainder of the purchase price by, at its option, delivery of (A) a check payable to the holder of such Employee Shares, (B) if payment in accordance with clause</w:t>
      </w:r>
    </w:p>
    <w:p>
      <w:pPr>
        <w:spacing w:after="0" w:line="4" w:lineRule="exact"/>
        <w:rPr>
          <w:rFonts w:ascii="Arial" w:cs="Arial" w:eastAsia="Arial" w:hAnsi="Arial"/>
          <w:sz w:val="16"/>
          <w:szCs w:val="16"/>
          <w:color w:val="auto"/>
        </w:rPr>
      </w:pPr>
    </w:p>
    <w:p>
      <w:pPr>
        <w:ind w:left="-8" w:right="80" w:firstLine="8"/>
        <w:spacing w:after="0" w:line="267" w:lineRule="auto"/>
        <w:tabs>
          <w:tab w:leader="none" w:pos="287"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would result in a breach or default under the Company’s debt financing agreements, if any, a subordinated promissory note with a maturity date that does not exceed three years from the closing of the transactions contemplated by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payable in equal monthly installments of principal and interest during the term of the note and bearing interest at a rate per annum equal to the greater of five percent (5%) and the then applicable short term federal rate, or (C) a combination of both (A) and (B), in the aggregate amount of the purchase price for such shares. Any notes issued by the Company pursuant to this </w:t>
      </w:r>
      <w:r>
        <w:rPr>
          <w:rFonts w:ascii="Arial" w:cs="Arial" w:eastAsia="Arial" w:hAnsi="Arial"/>
          <w:sz w:val="17"/>
          <w:szCs w:val="17"/>
          <w:u w:val="single" w:color="auto"/>
          <w:color w:val="auto"/>
        </w:rPr>
        <w:t>Section 6.10(d)</w:t>
      </w:r>
      <w:r>
        <w:rPr>
          <w:rFonts w:ascii="Arial" w:cs="Arial" w:eastAsia="Arial" w:hAnsi="Arial"/>
          <w:sz w:val="17"/>
          <w:szCs w:val="17"/>
          <w:color w:val="auto"/>
        </w:rPr>
        <w:t xml:space="preserve"> shall be subject to any restrictive covenants to which the Company or its subsidiaries are subject at the time of such purchase. Notwithstanding anything to the contrary contained herein, all repurchases of Employee Shares by the Company will be subject to applicable restrictions contained in the corporation law of the Company’s jurisdiction of incorporation and in the Company’s and its subsidiaries’ debt and equity financing agreements. If any such restrictions prohibit the repurchase of Employee Shares hereunder which the Company is otherwise entitled to make, the Company may make such repurchases as soon as it is permitted to do so under such restrictions. The Investors and/or the Company, as the case may be, will receive customary representations and warranties from each seller regarding the sale of the Employee Shares, including, but not limited to, representations that such seller has good and marketable title to the Employee Shares to be transferred free and clear of all liens, claims and other encumbrances.</w:t>
      </w:r>
    </w:p>
    <w:p>
      <w:pPr>
        <w:spacing w:after="0" w:line="116" w:lineRule="exact"/>
        <w:rPr>
          <w:rFonts w:ascii="Arial" w:cs="Arial" w:eastAsia="Arial" w:hAnsi="Arial"/>
          <w:sz w:val="17"/>
          <w:szCs w:val="17"/>
          <w:color w:val="auto"/>
        </w:rPr>
      </w:pPr>
    </w:p>
    <w:p>
      <w:pPr>
        <w:ind w:left="5532" w:hanging="111"/>
        <w:spacing w:after="0"/>
        <w:tabs>
          <w:tab w:leader="none" w:pos="5532" w:val="left"/>
        </w:tabs>
        <w:numPr>
          <w:ilvl w:val="2"/>
          <w:numId w:val="48"/>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657860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97" w:name="page98"/>
    <w:bookmarkEnd w:id="97"/>
    <w:p>
      <w:pPr>
        <w:ind w:right="480" w:firstLine="1917"/>
        <w:spacing w:after="0" w:line="277" w:lineRule="auto"/>
        <w:tabs>
          <w:tab w:leader="none" w:pos="21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shall terminate automatically and shall be of no further force and effect upon the earlier to occur of a consummation of a Public Offering or a Sale of the Company.</w:t>
      </w:r>
    </w:p>
    <w:p>
      <w:pPr>
        <w:spacing w:after="0" w:line="62" w:lineRule="exact"/>
        <w:rPr>
          <w:sz w:val="20"/>
          <w:szCs w:val="20"/>
          <w:color w:val="auto"/>
        </w:rPr>
      </w:pPr>
    </w:p>
    <w:p>
      <w:pPr>
        <w:ind w:firstLine="1322"/>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 reorganization, recapitalization, stock dividend or stock split, or combination or other change in the shares of Common Stock, the Board shall, in order to prevent the dilution or enlargement of rights under outstanding Awards, make such adjustments in the number and type of shares authorized by the Plan, the number and type of shares covered by outstanding Awards and the exercise prices of outstanding Options and Legacy Options as may be determined to be appropriate and equitable, but only if such adjustment to the Option and Legacy Option would not cause the Option or Legacy Option to be treated as providing for the impermissible deferral of compensation pursuant to Code §409A (or Treasury Regulations or other official IRS guidance issued under Code §409A).</w:t>
      </w:r>
    </w:p>
    <w:p>
      <w:pPr>
        <w:spacing w:after="0" w:line="70" w:lineRule="exact"/>
        <w:rPr>
          <w:sz w:val="20"/>
          <w:szCs w:val="20"/>
          <w:color w:val="auto"/>
        </w:rPr>
      </w:pPr>
    </w:p>
    <w:p>
      <w:pPr>
        <w:ind w:right="120" w:firstLine="1322"/>
        <w:spacing w:after="0" w:line="291"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Rights of Participants</w:t>
      </w:r>
      <w:r>
        <w:rPr>
          <w:rFonts w:ascii="Arial" w:cs="Arial" w:eastAsia="Arial" w:hAnsi="Arial"/>
          <w:sz w:val="16"/>
          <w:szCs w:val="16"/>
          <w:color w:val="auto"/>
        </w:rPr>
        <w:t>. Nothing in this Plan or in any Award Agreement shall interfere with or limit in any way the right of the Company to terminate any Participant’s employment or service at any time (with or without Cause), nor confer upon any Participant any right to continue in the employ or service of the Company for any period of time or to continue his present (or any other) rate of compensation, and except as otherwise provided under this Plan or by the Board in the applicable Award Agreement, in the event of any Participant’s termination of employment or service (including, but not limited to, the termination by the Company without Cause) any portion of such Participant’s Award(s) that were not previously vested and (in the case of Options) exercisable shall expire and be forfeited as of the date of such termination. No terminated employee or other service provider shall have a right to be selected as a Participant or, having been so selected, to be selected again as a Participant.</w:t>
      </w:r>
    </w:p>
    <w:p>
      <w:pPr>
        <w:spacing w:after="0" w:line="58" w:lineRule="exact"/>
        <w:rPr>
          <w:sz w:val="20"/>
          <w:szCs w:val="20"/>
          <w:color w:val="auto"/>
        </w:rPr>
      </w:pPr>
    </w:p>
    <w:p>
      <w:pPr>
        <w:ind w:right="80" w:firstLine="1322"/>
        <w:spacing w:after="0" w:line="289"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Amendment, Suspension and Termination of Plan</w:t>
      </w:r>
      <w:r>
        <w:rPr>
          <w:rFonts w:ascii="Arial" w:cs="Arial" w:eastAsia="Arial" w:hAnsi="Arial"/>
          <w:sz w:val="16"/>
          <w:szCs w:val="16"/>
          <w:color w:val="auto"/>
        </w:rPr>
        <w:t xml:space="preserve">. The Board may suspend or terminate the Plan or any portion thereof at any time and may amend it from time to time in such respects as the Board may deem advisable;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such amendment shall be made without stockholder approval to the extent such approval is required by law, agreement or the rules of any exchange upon which the Common Stock is listed, no such amendment, suspension or termination shall materially impair the rights of Participants under outstanding Awards without the consent of the Participants affected thereby and, subject to </w:t>
      </w:r>
      <w:r>
        <w:rPr>
          <w:rFonts w:ascii="Arial" w:cs="Arial" w:eastAsia="Arial" w:hAnsi="Arial"/>
          <w:sz w:val="16"/>
          <w:szCs w:val="16"/>
          <w:u w:val="single" w:color="auto"/>
          <w:color w:val="auto"/>
        </w:rPr>
        <w:t>Section 6.11</w:t>
      </w:r>
      <w:r>
        <w:rPr>
          <w:rFonts w:ascii="Arial" w:cs="Arial" w:eastAsia="Arial" w:hAnsi="Arial"/>
          <w:sz w:val="16"/>
          <w:szCs w:val="16"/>
          <w:color w:val="auto"/>
        </w:rPr>
        <w:t>, no such amendment shall increase the number of securities that may be issued by the Plan without the approval of the holders of at least 80% of the preferred stock of the Company. Notwithstanding the generality of the foregoing, the Plan shall terminate automatically upon the effectiveness of the Company’s 2020 Incentive Award Plan. No Awards may be granted under the Plan after the termination or expiration of the Plan. However, any Awards that, by their terms, remain outstanding as of the termination of the Plan shall remain outstanding and in full force and effect, and the terms and conditions of the Plan shall survive its termination and continue to apply to any such Awards.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98" w:name="page99"/>
    <w:bookmarkEnd w:id="98"/>
    <w:p>
      <w:pPr>
        <w:ind w:firstLine="1322"/>
        <w:spacing w:after="0" w:line="279"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Amendment, Modification and Cancellation of Outstanding Awards</w:t>
      </w:r>
      <w:r>
        <w:rPr>
          <w:rFonts w:ascii="Arial" w:cs="Arial" w:eastAsia="Arial" w:hAnsi="Arial"/>
          <w:sz w:val="17"/>
          <w:szCs w:val="17"/>
          <w:color w:val="auto"/>
        </w:rPr>
        <w:t xml:space="preserve">. The Board may amend or modify any Award in any manner to the extent that the Board would have had the authority under the Plan initially to grant such Award;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 such amendment or modification shall materially impair the rights of any Participant under any Award granted prior to the date of such amendment or modification without the consent of such Participant. With the Participant’s consent, the Board may cancel any Award and issue a new Award to such Participant.</w:t>
      </w:r>
    </w:p>
    <w:p>
      <w:pPr>
        <w:spacing w:after="0" w:line="63" w:lineRule="exact"/>
        <w:rPr>
          <w:sz w:val="20"/>
          <w:szCs w:val="20"/>
          <w:color w:val="auto"/>
        </w:rPr>
      </w:pPr>
    </w:p>
    <w:p>
      <w:pPr>
        <w:ind w:right="280" w:firstLine="1322"/>
        <w:spacing w:after="0" w:line="296"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Other Amendments</w:t>
      </w:r>
      <w:r>
        <w:rPr>
          <w:rFonts w:ascii="Arial" w:cs="Arial" w:eastAsia="Arial" w:hAnsi="Arial"/>
          <w:sz w:val="16"/>
          <w:szCs w:val="16"/>
          <w:color w:val="auto"/>
        </w:rPr>
        <w:t>. Notwithstanding any other provisions of the Plan, and in addition to the powers of amendment and modification set forth herein, the provisions hereof and the provisions of any Award granted hereunder may be amended unilaterally by the Board from time to time (but the Board shall have no obligation to do so) to the extent necessary (and only to the extent necessary) to prevent the implementation, application or existence (as the case may be) of any such provision from causing any Award granted hereunder to be treated as providing for the impermissible deferral of compensation pursuant to Code §409A (or Treasury Regulations or other official IRS guidance issued under Code §409A).</w:t>
      </w:r>
    </w:p>
    <w:p>
      <w:pPr>
        <w:spacing w:after="0" w:line="53" w:lineRule="exact"/>
        <w:rPr>
          <w:sz w:val="20"/>
          <w:szCs w:val="20"/>
          <w:color w:val="auto"/>
        </w:rPr>
      </w:pPr>
    </w:p>
    <w:p>
      <w:pPr>
        <w:ind w:right="60" w:firstLine="1322"/>
        <w:spacing w:after="0" w:line="269"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In addition to such other rights of indemnification as they may have as members of the Board, the members of the Board (or any committee appointed thereby) shall be indemnified by the Company against all costs and expenses reasonably incurred by them in connection with any action, suit or proceeding to which they or any of them may be party by reason of any action taken or failure to act under or in connection with the Plan or any Award granted thereunder, and against all amounts paid by them in settlement thereof (provided such settlement is approved by independent legal counsel selected by the Company) or paid by them in satisfaction of a judgment in any such action, suit or proceeding;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such Board member shall be entitled to the indemnification rights set forth in this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only if such member has acted in good faith and in a manner that such member reasonably believed to be in or not opposed to the best interests of the Company and, with respect to any criminal action or proceeding, had no reasonable cause to believe that such conduct was unlawful, and further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upon the institution of any such action, suit or proceeding, a Board member shall give the Company written notice thereof and an opportunity, at its own expense, to handle and defend the same before such Board member undertakes to handle and defend it on his own behalf.</w:t>
      </w:r>
    </w:p>
    <w:p>
      <w:pPr>
        <w:spacing w:after="0" w:line="77" w:lineRule="exact"/>
        <w:rPr>
          <w:sz w:val="20"/>
          <w:szCs w:val="20"/>
          <w:color w:val="auto"/>
        </w:rPr>
      </w:pPr>
    </w:p>
    <w:p>
      <w:pPr>
        <w:ind w:right="100" w:firstLine="1322"/>
        <w:spacing w:after="0" w:line="296"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Remedies</w:t>
      </w:r>
      <w:r>
        <w:rPr>
          <w:rFonts w:ascii="Arial" w:cs="Arial" w:eastAsia="Arial" w:hAnsi="Arial"/>
          <w:sz w:val="16"/>
          <w:szCs w:val="16"/>
          <w:color w:val="auto"/>
        </w:rPr>
        <w:t>. Each of the Company, any Participant and the Investors will be entitled to enforce its rights under this Plan specifically, to recover damages and costs (including reasonable attorneys’ fees) caused by any breach of any provision of this Plan and to exercise all other rights existing in its favor. Each Participant and the Company acknowledges and agrees that money damages may not be an adequate remedy for any breach of the provisions of this Plan and that any party may in its sole discretion apply to any court of law or equity of competent jurisdiction (without posting any bond or deposit) for specific performance and/or other injunctive relief in order to enforce or prevent any violations of the provisions of this Plan.</w:t>
      </w:r>
    </w:p>
    <w:p>
      <w:pPr>
        <w:spacing w:after="0" w:line="53" w:lineRule="exact"/>
        <w:rPr>
          <w:sz w:val="20"/>
          <w:szCs w:val="20"/>
          <w:color w:val="auto"/>
        </w:rPr>
      </w:pPr>
    </w:p>
    <w:p>
      <w:pPr>
        <w:ind w:right="20" w:firstLine="1322"/>
        <w:spacing w:after="0" w:line="263"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under this Plan or any agreement executed and delivered in connection with this Plan shall be in writing and shall be either personally delivered, or mailed by first class mail, return receipt requested, to any Participant at the address indicated in the Company’s records for such Person, and to the Company at the address below indicated: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99" w:name="page100"/>
    <w:bookmarkEnd w:id="99"/>
    <w:p>
      <w:pPr>
        <w:ind w:left="1320"/>
        <w:spacing w:after="0"/>
        <w:rPr>
          <w:sz w:val="20"/>
          <w:szCs w:val="20"/>
          <w:color w:val="auto"/>
        </w:rPr>
      </w:pPr>
      <w:r>
        <w:rPr>
          <w:rFonts w:ascii="Arial" w:cs="Arial" w:eastAsia="Arial" w:hAnsi="Arial"/>
          <w:sz w:val="18"/>
          <w:szCs w:val="18"/>
          <w:color w:val="auto"/>
        </w:rPr>
        <w:t>Notices to the Company:</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GoodRx Holdings,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233 Wilshire Blvd.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Santa Monica, CA 90401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General Counsel and VP</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or such other address or to the attention of such other person as the recipient party shall have specified by prior written notice to the sending party. Any notice under this Plan shall be deemed to have been given when so delivered or mailed.</w:t>
      </w:r>
    </w:p>
    <w:p>
      <w:pPr>
        <w:spacing w:after="0" w:line="62" w:lineRule="exact"/>
        <w:rPr>
          <w:sz w:val="20"/>
          <w:szCs w:val="20"/>
          <w:color w:val="auto"/>
        </w:rPr>
      </w:pPr>
    </w:p>
    <w:p>
      <w:pPr>
        <w:ind w:right="40" w:firstLine="1322"/>
        <w:spacing w:after="0" w:line="293" w:lineRule="auto"/>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Definition of Employee Shares</w:t>
      </w:r>
      <w:r>
        <w:rPr>
          <w:rFonts w:ascii="Arial" w:cs="Arial" w:eastAsia="Arial" w:hAnsi="Arial"/>
          <w:sz w:val="16"/>
          <w:szCs w:val="16"/>
          <w:color w:val="auto"/>
        </w:rPr>
        <w:t>. For all purposes of this Plan, Employee Shares will continue to be Employee Shares in the hands of any holder other than such Participant (except for the Company, the Investors (as defined in the Stockholders Agreement) or purchasers pursuant to an offering registered under the Securities Act or purchasers pursuant to a Rule 144 transaction (other than a Rule 144(k) transaction occurring prior to the time of a closing of an IPO)), and each such other holder of Employee Shares will succeed to all rights and obligations attributable to such Participant as a holder of Employee Shares hereunder and under any separate written agreement between the Company and such Participant. Employee Shares will also include shares of the Company’s capital stock issued with respect to Employee Shares by way of a share split, share dividend or other recapitalization.</w:t>
      </w:r>
    </w:p>
    <w:p>
      <w:pPr>
        <w:spacing w:after="0" w:line="56" w:lineRule="exact"/>
        <w:rPr>
          <w:sz w:val="20"/>
          <w:szCs w:val="20"/>
          <w:color w:val="auto"/>
        </w:rPr>
      </w:pPr>
    </w:p>
    <w:p>
      <w:pPr>
        <w:ind w:firstLine="1322"/>
        <w:spacing w:after="0" w:line="270" w:lineRule="auto"/>
        <w:rPr>
          <w:sz w:val="20"/>
          <w:szCs w:val="20"/>
          <w:color w:val="auto"/>
        </w:rPr>
      </w:pPr>
      <w:r>
        <w:rPr>
          <w:rFonts w:ascii="Arial" w:cs="Arial" w:eastAsia="Arial" w:hAnsi="Arial"/>
          <w:sz w:val="17"/>
          <w:szCs w:val="17"/>
          <w:color w:val="auto"/>
        </w:rPr>
        <w:t xml:space="preserve">6.20 </w:t>
      </w:r>
      <w:r>
        <w:rPr>
          <w:rFonts w:ascii="Arial" w:cs="Arial" w:eastAsia="Arial" w:hAnsi="Arial"/>
          <w:sz w:val="17"/>
          <w:szCs w:val="17"/>
          <w:u w:val="single" w:color="auto"/>
          <w:color w:val="auto"/>
        </w:rPr>
        <w:t>Governing Law</w:t>
      </w:r>
      <w:r>
        <w:rPr>
          <w:rFonts w:ascii="Arial" w:cs="Arial" w:eastAsia="Arial" w:hAnsi="Arial"/>
          <w:sz w:val="17"/>
          <w:szCs w:val="17"/>
          <w:color w:val="auto"/>
        </w:rPr>
        <w:t>. All issues concerning this Plan will be governed by and construed in accordance with the laws of the State of Delaware, without giving effect to any choice of law or conflict of law provision of rule (whether of the State of Delaware or any other jurisdiction) that would cause the application of the law of any jurisdiction other than the State of Delaware. Each of the Company and each Participant submits to the co-exclusive jurisdiction of the United States District Court and any Delaware state court sitting in Wilmington, Delaware over any lawsuit under this Plan and waives any objection based on venue or forum non conveniens with respect to any action instituted therein. Each of the Company and each Participant waives the necessity for personal service of any and all process upon it and consents that all such service of process may be made by registered or certified mail (return receipt requested), in each case directed to such party in accordance with the notice requirements set forth in this Plan, and service so made will be deemed to be completed on the date of actual receipt. Each of the Company and each Participant consents to service of process as aforesaid. Nothing in this Plan will prohibit personal service in lieu of the service by mail contemplated herein.</w:t>
      </w:r>
    </w:p>
    <w:p>
      <w:pPr>
        <w:spacing w:after="0" w:line="181" w:lineRule="exact"/>
        <w:rPr>
          <w:sz w:val="20"/>
          <w:szCs w:val="20"/>
          <w:color w:val="auto"/>
        </w:rPr>
      </w:pPr>
    </w:p>
    <w:p>
      <w:pPr>
        <w:ind w:left="4320"/>
        <w:spacing w:after="0"/>
        <w:tabs>
          <w:tab w:leader="none" w:pos="5100" w:val="left"/>
          <w:tab w:leader="none" w:pos="5960" w:val="left"/>
          <w:tab w:leader="none" w:pos="6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Legacy Plan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(See attached)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657860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OOD</w:t>
      </w:r>
      <w:r>
        <w:rPr>
          <w:rFonts w:ascii="Arial" w:cs="Arial" w:eastAsia="Arial" w:hAnsi="Arial"/>
          <w:sz w:val="18"/>
          <w:szCs w:val="18"/>
          <w:b w:val="1"/>
          <w:bCs w:val="1"/>
          <w:color w:val="auto"/>
        </w:rPr>
        <w:t>R</w:t>
      </w:r>
      <w:r>
        <w:rPr>
          <w:rFonts w:ascii="Arial" w:cs="Arial" w:eastAsia="Arial" w:hAnsi="Arial"/>
          <w:sz w:val="13"/>
          <w:szCs w:val="13"/>
          <w:b w:val="1"/>
          <w:bCs w:val="1"/>
          <w:color w:val="auto"/>
        </w:rPr>
        <w:t>X</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2"/>
          <w:szCs w:val="12"/>
          <w:b w:val="1"/>
          <w:bCs w:val="1"/>
          <w:color w:val="auto"/>
        </w:rPr>
        <w:t>DOPTED ON</w:t>
      </w:r>
      <w:r>
        <w:rPr>
          <w:rFonts w:ascii="Arial" w:cs="Arial" w:eastAsia="Arial" w:hAnsi="Arial"/>
          <w:sz w:val="17"/>
          <w:szCs w:val="17"/>
          <w:b w:val="1"/>
          <w:bCs w:val="1"/>
          <w:color w:val="auto"/>
        </w:rPr>
        <w:t xml:space="preserve"> O</w:t>
      </w:r>
      <w:r>
        <w:rPr>
          <w:rFonts w:ascii="Arial" w:cs="Arial" w:eastAsia="Arial" w:hAnsi="Arial"/>
          <w:sz w:val="12"/>
          <w:szCs w:val="12"/>
          <w:b w:val="1"/>
          <w:bCs w:val="1"/>
          <w:color w:val="auto"/>
        </w:rPr>
        <w:t>CTOBER</w:t>
      </w:r>
      <w:r>
        <w:rPr>
          <w:rFonts w:ascii="Arial" w:cs="Arial" w:eastAsia="Arial" w:hAnsi="Arial"/>
          <w:sz w:val="17"/>
          <w:szCs w:val="17"/>
          <w:b w:val="1"/>
          <w:bCs w:val="1"/>
          <w:color w:val="auto"/>
        </w:rPr>
        <w:t xml:space="preserve"> ___,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667385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560" w:type="dxa"/>
            <w:vAlign w:val="bottom"/>
          </w:tcPr>
          <w:p>
            <w:pPr>
              <w:jc w:val="right"/>
              <w:ind w:right="4510"/>
              <w:spacing w:after="0"/>
              <w:rPr>
                <w:sz w:val="20"/>
                <w:szCs w:val="20"/>
                <w:color w:val="auto"/>
              </w:rPr>
            </w:pPr>
            <w:r>
              <w:rPr>
                <w:rFonts w:ascii="Arial" w:cs="Arial" w:eastAsia="Arial" w:hAnsi="Arial"/>
                <w:sz w:val="18"/>
                <w:szCs w:val="18"/>
                <w:b w:val="1"/>
                <w:bCs w:val="1"/>
                <w:color w:val="auto"/>
                <w:w w:val="99"/>
              </w:rPr>
              <w:t>TABLE OF CONTENTS</w:t>
            </w:r>
          </w:p>
        </w:tc>
      </w:tr>
      <w:tr>
        <w:trPr>
          <w:trHeight w:val="649"/>
        </w:trPr>
        <w:tc>
          <w:tcPr>
            <w:tcW w:w="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SECTION 1. Establishment And Purpose</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SECTION 2. Administration</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3860" w:type="dxa"/>
            <w:vAlign w:val="bottom"/>
          </w:tcPr>
          <w:p>
            <w:pPr>
              <w:ind w:left="40"/>
              <w:spacing w:after="0"/>
              <w:rPr>
                <w:sz w:val="20"/>
                <w:szCs w:val="20"/>
                <w:color w:val="auto"/>
              </w:rPr>
            </w:pPr>
            <w:r>
              <w:rPr>
                <w:rFonts w:ascii="Arial" w:cs="Arial" w:eastAsia="Arial" w:hAnsi="Arial"/>
                <w:sz w:val="18"/>
                <w:szCs w:val="18"/>
                <w:color w:val="auto"/>
              </w:rPr>
              <w:t>Committees of the Board of Directors</w:t>
            </w:r>
          </w:p>
        </w:tc>
        <w:tc>
          <w:tcPr>
            <w:tcW w:w="6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3860" w:type="dxa"/>
            <w:vAlign w:val="bottom"/>
          </w:tcPr>
          <w:p>
            <w:pPr>
              <w:ind w:left="40"/>
              <w:spacing w:after="0"/>
              <w:rPr>
                <w:sz w:val="20"/>
                <w:szCs w:val="20"/>
                <w:color w:val="auto"/>
              </w:rPr>
            </w:pPr>
            <w:r>
              <w:rPr>
                <w:rFonts w:ascii="Arial" w:cs="Arial" w:eastAsia="Arial" w:hAnsi="Arial"/>
                <w:sz w:val="18"/>
                <w:szCs w:val="18"/>
                <w:color w:val="auto"/>
              </w:rPr>
              <w:t>Authority of the Board of Directors</w:t>
            </w:r>
          </w:p>
        </w:tc>
        <w:tc>
          <w:tcPr>
            <w:tcW w:w="6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SECTION 3. Eligibility</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3860" w:type="dxa"/>
            <w:vAlign w:val="bottom"/>
          </w:tcPr>
          <w:p>
            <w:pPr>
              <w:ind w:left="40"/>
              <w:spacing w:after="0"/>
              <w:rPr>
                <w:sz w:val="20"/>
                <w:szCs w:val="20"/>
                <w:color w:val="auto"/>
              </w:rPr>
            </w:pPr>
            <w:r>
              <w:rPr>
                <w:rFonts w:ascii="Arial" w:cs="Arial" w:eastAsia="Arial" w:hAnsi="Arial"/>
                <w:sz w:val="18"/>
                <w:szCs w:val="18"/>
                <w:color w:val="auto"/>
              </w:rPr>
              <w:t>General Rule</w:t>
            </w:r>
          </w:p>
        </w:tc>
        <w:tc>
          <w:tcPr>
            <w:tcW w:w="6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3860" w:type="dxa"/>
            <w:vAlign w:val="bottom"/>
          </w:tcPr>
          <w:p>
            <w:pPr>
              <w:ind w:left="40"/>
              <w:spacing w:after="0"/>
              <w:rPr>
                <w:sz w:val="20"/>
                <w:szCs w:val="20"/>
                <w:color w:val="auto"/>
              </w:rPr>
            </w:pPr>
            <w:r>
              <w:rPr>
                <w:rFonts w:ascii="Arial" w:cs="Arial" w:eastAsia="Arial" w:hAnsi="Arial"/>
                <w:sz w:val="18"/>
                <w:szCs w:val="18"/>
                <w:color w:val="auto"/>
              </w:rPr>
              <w:t>Ten-Percent Stockholders</w:t>
            </w:r>
          </w:p>
        </w:tc>
        <w:tc>
          <w:tcPr>
            <w:tcW w:w="6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SECTION 4. Stock Subject To Plan</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3860" w:type="dxa"/>
            <w:vAlign w:val="bottom"/>
          </w:tcPr>
          <w:p>
            <w:pPr>
              <w:ind w:left="40"/>
              <w:spacing w:after="0"/>
              <w:rPr>
                <w:sz w:val="20"/>
                <w:szCs w:val="20"/>
                <w:color w:val="auto"/>
              </w:rPr>
            </w:pPr>
            <w:r>
              <w:rPr>
                <w:rFonts w:ascii="Arial" w:cs="Arial" w:eastAsia="Arial" w:hAnsi="Arial"/>
                <w:sz w:val="18"/>
                <w:szCs w:val="18"/>
                <w:color w:val="auto"/>
              </w:rPr>
              <w:t>Basic Limitation</w:t>
            </w:r>
          </w:p>
        </w:tc>
        <w:tc>
          <w:tcPr>
            <w:tcW w:w="6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3860" w:type="dxa"/>
            <w:vAlign w:val="bottom"/>
          </w:tcPr>
          <w:p>
            <w:pPr>
              <w:ind w:left="40"/>
              <w:spacing w:after="0"/>
              <w:rPr>
                <w:sz w:val="20"/>
                <w:szCs w:val="20"/>
                <w:color w:val="auto"/>
              </w:rPr>
            </w:pPr>
            <w:r>
              <w:rPr>
                <w:rFonts w:ascii="Arial" w:cs="Arial" w:eastAsia="Arial" w:hAnsi="Arial"/>
                <w:sz w:val="18"/>
                <w:szCs w:val="18"/>
                <w:color w:val="auto"/>
              </w:rPr>
              <w:t>Additional Shares</w:t>
            </w:r>
          </w:p>
        </w:tc>
        <w:tc>
          <w:tcPr>
            <w:tcW w:w="6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w w:val="97"/>
              </w:rPr>
              <w:t>SECTION 5. Terms And Conditions Of Awards Or Sales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3860" w:type="dxa"/>
            <w:vAlign w:val="bottom"/>
          </w:tcPr>
          <w:p>
            <w:pPr>
              <w:ind w:left="40"/>
              <w:spacing w:after="0"/>
              <w:rPr>
                <w:sz w:val="20"/>
                <w:szCs w:val="20"/>
                <w:color w:val="auto"/>
              </w:rPr>
            </w:pPr>
            <w:r>
              <w:rPr>
                <w:rFonts w:ascii="Arial" w:cs="Arial" w:eastAsia="Arial" w:hAnsi="Arial"/>
                <w:sz w:val="18"/>
                <w:szCs w:val="18"/>
                <w:color w:val="auto"/>
              </w:rPr>
              <w:t>Stock Purchase Agreement</w:t>
            </w:r>
          </w:p>
        </w:tc>
        <w:tc>
          <w:tcPr>
            <w:tcW w:w="6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3860" w:type="dxa"/>
            <w:vAlign w:val="bottom"/>
          </w:tcPr>
          <w:p>
            <w:pPr>
              <w:ind w:left="40"/>
              <w:spacing w:after="0"/>
              <w:rPr>
                <w:sz w:val="20"/>
                <w:szCs w:val="20"/>
                <w:color w:val="auto"/>
              </w:rPr>
            </w:pPr>
            <w:r>
              <w:rPr>
                <w:rFonts w:ascii="Arial" w:cs="Arial" w:eastAsia="Arial" w:hAnsi="Arial"/>
                <w:sz w:val="18"/>
                <w:szCs w:val="18"/>
                <w:color w:val="auto"/>
                <w:w w:val="95"/>
              </w:rPr>
              <w:t>Duration of Offers and Nontransferability of Rights</w:t>
            </w:r>
          </w:p>
        </w:tc>
        <w:tc>
          <w:tcPr>
            <w:tcW w:w="6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(c)</w:t>
            </w:r>
          </w:p>
        </w:tc>
        <w:tc>
          <w:tcPr>
            <w:tcW w:w="3860" w:type="dxa"/>
            <w:vAlign w:val="bottom"/>
          </w:tcPr>
          <w:p>
            <w:pPr>
              <w:ind w:left="40"/>
              <w:spacing w:after="0"/>
              <w:rPr>
                <w:sz w:val="20"/>
                <w:szCs w:val="20"/>
                <w:color w:val="auto"/>
              </w:rPr>
            </w:pPr>
            <w:r>
              <w:rPr>
                <w:rFonts w:ascii="Arial" w:cs="Arial" w:eastAsia="Arial" w:hAnsi="Arial"/>
                <w:sz w:val="18"/>
                <w:szCs w:val="18"/>
                <w:color w:val="auto"/>
              </w:rPr>
              <w:t>Purchase Price</w:t>
            </w:r>
          </w:p>
        </w:tc>
        <w:tc>
          <w:tcPr>
            <w:tcW w:w="6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(d)</w:t>
            </w:r>
          </w:p>
        </w:tc>
        <w:tc>
          <w:tcPr>
            <w:tcW w:w="3860" w:type="dxa"/>
            <w:vAlign w:val="bottom"/>
          </w:tcPr>
          <w:p>
            <w:pPr>
              <w:ind w:left="40"/>
              <w:spacing w:after="0"/>
              <w:rPr>
                <w:sz w:val="20"/>
                <w:szCs w:val="20"/>
                <w:color w:val="auto"/>
              </w:rPr>
            </w:pPr>
            <w:r>
              <w:rPr>
                <w:rFonts w:ascii="Arial" w:cs="Arial" w:eastAsia="Arial" w:hAnsi="Arial"/>
                <w:sz w:val="18"/>
                <w:szCs w:val="18"/>
                <w:color w:val="auto"/>
              </w:rPr>
              <w:t>Withholding Taxes</w:t>
            </w:r>
          </w:p>
        </w:tc>
        <w:tc>
          <w:tcPr>
            <w:tcW w:w="6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60" w:type="dxa"/>
            <w:vAlign w:val="bottom"/>
          </w:tcPr>
          <w:p>
            <w:pPr>
              <w:ind w:left="440"/>
              <w:spacing w:after="0"/>
              <w:rPr>
                <w:sz w:val="20"/>
                <w:szCs w:val="20"/>
                <w:color w:val="auto"/>
              </w:rPr>
            </w:pPr>
            <w:r>
              <w:rPr>
                <w:rFonts w:ascii="Arial" w:cs="Arial" w:eastAsia="Arial" w:hAnsi="Arial"/>
                <w:sz w:val="18"/>
                <w:szCs w:val="18"/>
                <w:color w:val="auto"/>
              </w:rPr>
              <w:t>(e)</w:t>
            </w:r>
          </w:p>
        </w:tc>
        <w:tc>
          <w:tcPr>
            <w:tcW w:w="3860" w:type="dxa"/>
            <w:vAlign w:val="bottom"/>
          </w:tcPr>
          <w:p>
            <w:pPr>
              <w:ind w:left="40"/>
              <w:spacing w:after="0"/>
              <w:rPr>
                <w:sz w:val="20"/>
                <w:szCs w:val="20"/>
                <w:color w:val="auto"/>
              </w:rPr>
            </w:pPr>
            <w:r>
              <w:rPr>
                <w:rFonts w:ascii="Arial" w:cs="Arial" w:eastAsia="Arial" w:hAnsi="Arial"/>
                <w:sz w:val="18"/>
                <w:szCs w:val="18"/>
                <w:color w:val="auto"/>
              </w:rPr>
              <w:t>Restrictions on Transfer of Shares</w:t>
            </w:r>
          </w:p>
        </w:tc>
        <w:tc>
          <w:tcPr>
            <w:tcW w:w="6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SECTION 6. Terms And Conditions Of Options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3860" w:type="dxa"/>
            <w:vAlign w:val="bottom"/>
          </w:tcPr>
          <w:p>
            <w:pPr>
              <w:ind w:left="40"/>
              <w:spacing w:after="0"/>
              <w:rPr>
                <w:sz w:val="20"/>
                <w:szCs w:val="20"/>
                <w:color w:val="auto"/>
              </w:rPr>
            </w:pPr>
            <w:r>
              <w:rPr>
                <w:rFonts w:ascii="Arial" w:cs="Arial" w:eastAsia="Arial" w:hAnsi="Arial"/>
                <w:sz w:val="18"/>
                <w:szCs w:val="18"/>
                <w:color w:val="auto"/>
              </w:rPr>
              <w:t>Stock Option Agreement</w:t>
            </w:r>
          </w:p>
        </w:tc>
        <w:tc>
          <w:tcPr>
            <w:tcW w:w="6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3860" w:type="dxa"/>
            <w:vAlign w:val="bottom"/>
          </w:tcPr>
          <w:p>
            <w:pPr>
              <w:ind w:left="40"/>
              <w:spacing w:after="0"/>
              <w:rPr>
                <w:sz w:val="20"/>
                <w:szCs w:val="20"/>
                <w:color w:val="auto"/>
              </w:rPr>
            </w:pPr>
            <w:r>
              <w:rPr>
                <w:rFonts w:ascii="Arial" w:cs="Arial" w:eastAsia="Arial" w:hAnsi="Arial"/>
                <w:sz w:val="18"/>
                <w:szCs w:val="18"/>
                <w:color w:val="auto"/>
              </w:rPr>
              <w:t>Number of Shares</w:t>
            </w:r>
          </w:p>
        </w:tc>
        <w:tc>
          <w:tcPr>
            <w:tcW w:w="6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(c)</w:t>
            </w:r>
          </w:p>
        </w:tc>
        <w:tc>
          <w:tcPr>
            <w:tcW w:w="386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6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(d)</w:t>
            </w:r>
          </w:p>
        </w:tc>
        <w:tc>
          <w:tcPr>
            <w:tcW w:w="3860" w:type="dxa"/>
            <w:vAlign w:val="bottom"/>
          </w:tcPr>
          <w:p>
            <w:pPr>
              <w:ind w:left="40"/>
              <w:spacing w:after="0"/>
              <w:rPr>
                <w:sz w:val="20"/>
                <w:szCs w:val="20"/>
                <w:color w:val="auto"/>
              </w:rPr>
            </w:pPr>
            <w:r>
              <w:rPr>
                <w:rFonts w:ascii="Arial" w:cs="Arial" w:eastAsia="Arial" w:hAnsi="Arial"/>
                <w:sz w:val="18"/>
                <w:szCs w:val="18"/>
                <w:color w:val="auto"/>
              </w:rPr>
              <w:t>Exercisability</w:t>
            </w:r>
          </w:p>
        </w:tc>
        <w:tc>
          <w:tcPr>
            <w:tcW w:w="6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(e)</w:t>
            </w:r>
          </w:p>
        </w:tc>
        <w:tc>
          <w:tcPr>
            <w:tcW w:w="3860" w:type="dxa"/>
            <w:vAlign w:val="bottom"/>
          </w:tcPr>
          <w:p>
            <w:pPr>
              <w:ind w:left="40"/>
              <w:spacing w:after="0"/>
              <w:rPr>
                <w:sz w:val="20"/>
                <w:szCs w:val="20"/>
                <w:color w:val="auto"/>
              </w:rPr>
            </w:pPr>
            <w:r>
              <w:rPr>
                <w:rFonts w:ascii="Arial" w:cs="Arial" w:eastAsia="Arial" w:hAnsi="Arial"/>
                <w:sz w:val="18"/>
                <w:szCs w:val="18"/>
                <w:color w:val="auto"/>
              </w:rPr>
              <w:t>Basic Term</w:t>
            </w:r>
          </w:p>
        </w:tc>
        <w:tc>
          <w:tcPr>
            <w:tcW w:w="6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(f)</w:t>
            </w:r>
          </w:p>
        </w:tc>
        <w:tc>
          <w:tcPr>
            <w:tcW w:w="3860" w:type="dxa"/>
            <w:vAlign w:val="bottom"/>
          </w:tcPr>
          <w:p>
            <w:pPr>
              <w:ind w:left="40"/>
              <w:spacing w:after="0"/>
              <w:rPr>
                <w:sz w:val="20"/>
                <w:szCs w:val="20"/>
                <w:color w:val="auto"/>
              </w:rPr>
            </w:pPr>
            <w:r>
              <w:rPr>
                <w:rFonts w:ascii="Arial" w:cs="Arial" w:eastAsia="Arial" w:hAnsi="Arial"/>
                <w:sz w:val="18"/>
                <w:szCs w:val="18"/>
                <w:color w:val="auto"/>
              </w:rPr>
              <w:t>Termination of Service (Except by Death)</w:t>
            </w:r>
          </w:p>
        </w:tc>
        <w:tc>
          <w:tcPr>
            <w:tcW w:w="6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(g)</w:t>
            </w:r>
          </w:p>
        </w:tc>
        <w:tc>
          <w:tcPr>
            <w:tcW w:w="3860" w:type="dxa"/>
            <w:vAlign w:val="bottom"/>
          </w:tcPr>
          <w:p>
            <w:pPr>
              <w:ind w:left="40"/>
              <w:spacing w:after="0"/>
              <w:rPr>
                <w:sz w:val="20"/>
                <w:szCs w:val="20"/>
                <w:color w:val="auto"/>
              </w:rPr>
            </w:pPr>
            <w:r>
              <w:rPr>
                <w:rFonts w:ascii="Arial" w:cs="Arial" w:eastAsia="Arial" w:hAnsi="Arial"/>
                <w:sz w:val="18"/>
                <w:szCs w:val="18"/>
                <w:color w:val="auto"/>
              </w:rPr>
              <w:t>Leaves of Absence</w:t>
            </w:r>
          </w:p>
        </w:tc>
        <w:tc>
          <w:tcPr>
            <w:tcW w:w="6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(h)</w:t>
            </w:r>
          </w:p>
        </w:tc>
        <w:tc>
          <w:tcPr>
            <w:tcW w:w="3860" w:type="dxa"/>
            <w:vAlign w:val="bottom"/>
          </w:tcPr>
          <w:p>
            <w:pPr>
              <w:ind w:left="40"/>
              <w:spacing w:after="0"/>
              <w:rPr>
                <w:sz w:val="20"/>
                <w:szCs w:val="20"/>
                <w:color w:val="auto"/>
              </w:rPr>
            </w:pPr>
            <w:r>
              <w:rPr>
                <w:rFonts w:ascii="Arial" w:cs="Arial" w:eastAsia="Arial" w:hAnsi="Arial"/>
                <w:sz w:val="18"/>
                <w:szCs w:val="18"/>
                <w:color w:val="auto"/>
              </w:rPr>
              <w:t>Death of Optionee</w:t>
            </w:r>
          </w:p>
        </w:tc>
        <w:tc>
          <w:tcPr>
            <w:tcW w:w="6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(i)</w:t>
            </w:r>
          </w:p>
        </w:tc>
        <w:tc>
          <w:tcPr>
            <w:tcW w:w="3860" w:type="dxa"/>
            <w:vAlign w:val="bottom"/>
          </w:tcPr>
          <w:p>
            <w:pPr>
              <w:ind w:left="40"/>
              <w:spacing w:after="0"/>
              <w:rPr>
                <w:sz w:val="20"/>
                <w:szCs w:val="20"/>
                <w:color w:val="auto"/>
              </w:rPr>
            </w:pPr>
            <w:r>
              <w:rPr>
                <w:rFonts w:ascii="Arial" w:cs="Arial" w:eastAsia="Arial" w:hAnsi="Arial"/>
                <w:sz w:val="18"/>
                <w:szCs w:val="18"/>
                <w:color w:val="auto"/>
              </w:rPr>
              <w:t>Restrictions on Transfer of Shares</w:t>
            </w:r>
          </w:p>
        </w:tc>
        <w:tc>
          <w:tcPr>
            <w:tcW w:w="6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(j)</w:t>
            </w:r>
          </w:p>
        </w:tc>
        <w:tc>
          <w:tcPr>
            <w:tcW w:w="3860" w:type="dxa"/>
            <w:vAlign w:val="bottom"/>
          </w:tcPr>
          <w:p>
            <w:pPr>
              <w:ind w:left="40"/>
              <w:spacing w:after="0"/>
              <w:rPr>
                <w:sz w:val="20"/>
                <w:szCs w:val="20"/>
                <w:color w:val="auto"/>
              </w:rPr>
            </w:pPr>
            <w:r>
              <w:rPr>
                <w:rFonts w:ascii="Arial" w:cs="Arial" w:eastAsia="Arial" w:hAnsi="Arial"/>
                <w:sz w:val="18"/>
                <w:szCs w:val="18"/>
                <w:color w:val="auto"/>
              </w:rPr>
              <w:t>Transferability of Options</w:t>
            </w:r>
          </w:p>
        </w:tc>
        <w:tc>
          <w:tcPr>
            <w:tcW w:w="6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(k)</w:t>
            </w:r>
          </w:p>
        </w:tc>
        <w:tc>
          <w:tcPr>
            <w:tcW w:w="3860" w:type="dxa"/>
            <w:vAlign w:val="bottom"/>
          </w:tcPr>
          <w:p>
            <w:pPr>
              <w:ind w:left="40"/>
              <w:spacing w:after="0"/>
              <w:rPr>
                <w:sz w:val="20"/>
                <w:szCs w:val="20"/>
                <w:color w:val="auto"/>
              </w:rPr>
            </w:pPr>
            <w:r>
              <w:rPr>
                <w:rFonts w:ascii="Arial" w:cs="Arial" w:eastAsia="Arial" w:hAnsi="Arial"/>
                <w:sz w:val="18"/>
                <w:szCs w:val="18"/>
                <w:color w:val="auto"/>
              </w:rPr>
              <w:t>Withholding Taxes</w:t>
            </w: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(l)</w:t>
            </w:r>
          </w:p>
        </w:tc>
        <w:tc>
          <w:tcPr>
            <w:tcW w:w="3860" w:type="dxa"/>
            <w:vAlign w:val="bottom"/>
          </w:tcPr>
          <w:p>
            <w:pPr>
              <w:ind w:left="40"/>
              <w:spacing w:after="0"/>
              <w:rPr>
                <w:sz w:val="20"/>
                <w:szCs w:val="20"/>
                <w:color w:val="auto"/>
              </w:rPr>
            </w:pPr>
            <w:r>
              <w:rPr>
                <w:rFonts w:ascii="Arial" w:cs="Arial" w:eastAsia="Arial" w:hAnsi="Arial"/>
                <w:sz w:val="18"/>
                <w:szCs w:val="18"/>
                <w:color w:val="auto"/>
              </w:rPr>
              <w:t>No Rights as a Stockholder</w:t>
            </w: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0" w:type="dxa"/>
            <w:vAlign w:val="bottom"/>
          </w:tcPr>
          <w:p>
            <w:pPr>
              <w:ind w:left="440"/>
              <w:spacing w:after="0"/>
              <w:rPr>
                <w:sz w:val="20"/>
                <w:szCs w:val="20"/>
                <w:color w:val="auto"/>
              </w:rPr>
            </w:pPr>
            <w:r>
              <w:rPr>
                <w:rFonts w:ascii="Arial" w:cs="Arial" w:eastAsia="Arial" w:hAnsi="Arial"/>
                <w:sz w:val="18"/>
                <w:szCs w:val="18"/>
                <w:color w:val="auto"/>
              </w:rPr>
              <w:t>(m)</w:t>
            </w:r>
          </w:p>
        </w:tc>
        <w:tc>
          <w:tcPr>
            <w:tcW w:w="3860" w:type="dxa"/>
            <w:vAlign w:val="bottom"/>
          </w:tcPr>
          <w:p>
            <w:pPr>
              <w:ind w:left="40"/>
              <w:spacing w:after="0"/>
              <w:rPr>
                <w:sz w:val="20"/>
                <w:szCs w:val="20"/>
                <w:color w:val="auto"/>
              </w:rPr>
            </w:pPr>
            <w:r>
              <w:rPr>
                <w:rFonts w:ascii="Arial" w:cs="Arial" w:eastAsia="Arial" w:hAnsi="Arial"/>
                <w:sz w:val="18"/>
                <w:szCs w:val="18"/>
                <w:color w:val="auto"/>
                <w:w w:val="93"/>
              </w:rPr>
              <w:t>Modification, Extension and Assumption of Options</w:t>
            </w: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SECTION 7. Payment For Shares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3860" w:type="dxa"/>
            <w:vAlign w:val="bottom"/>
          </w:tcPr>
          <w:p>
            <w:pPr>
              <w:ind w:left="40"/>
              <w:spacing w:after="0"/>
              <w:rPr>
                <w:sz w:val="20"/>
                <w:szCs w:val="20"/>
                <w:color w:val="auto"/>
              </w:rPr>
            </w:pPr>
            <w:r>
              <w:rPr>
                <w:rFonts w:ascii="Arial" w:cs="Arial" w:eastAsia="Arial" w:hAnsi="Arial"/>
                <w:sz w:val="18"/>
                <w:szCs w:val="18"/>
                <w:color w:val="auto"/>
              </w:rPr>
              <w:t>General Rule</w:t>
            </w: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3860" w:type="dxa"/>
            <w:vAlign w:val="bottom"/>
          </w:tcPr>
          <w:p>
            <w:pPr>
              <w:ind w:left="40"/>
              <w:spacing w:after="0"/>
              <w:rPr>
                <w:sz w:val="20"/>
                <w:szCs w:val="20"/>
                <w:color w:val="auto"/>
              </w:rPr>
            </w:pPr>
            <w:r>
              <w:rPr>
                <w:rFonts w:ascii="Arial" w:cs="Arial" w:eastAsia="Arial" w:hAnsi="Arial"/>
                <w:sz w:val="18"/>
                <w:szCs w:val="18"/>
                <w:color w:val="auto"/>
              </w:rPr>
              <w:t>Surrender of Stock</w:t>
            </w: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(c)</w:t>
            </w:r>
          </w:p>
        </w:tc>
        <w:tc>
          <w:tcPr>
            <w:tcW w:w="3860" w:type="dxa"/>
            <w:vAlign w:val="bottom"/>
          </w:tcPr>
          <w:p>
            <w:pPr>
              <w:ind w:left="40"/>
              <w:spacing w:after="0"/>
              <w:rPr>
                <w:sz w:val="20"/>
                <w:szCs w:val="20"/>
                <w:color w:val="auto"/>
              </w:rPr>
            </w:pPr>
            <w:r>
              <w:rPr>
                <w:rFonts w:ascii="Arial" w:cs="Arial" w:eastAsia="Arial" w:hAnsi="Arial"/>
                <w:sz w:val="18"/>
                <w:szCs w:val="18"/>
                <w:color w:val="auto"/>
              </w:rPr>
              <w:t>Services Rendered</w:t>
            </w: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(d)</w:t>
            </w:r>
          </w:p>
        </w:tc>
        <w:tc>
          <w:tcPr>
            <w:tcW w:w="386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(e)</w:t>
            </w:r>
          </w:p>
        </w:tc>
        <w:tc>
          <w:tcPr>
            <w:tcW w:w="3860" w:type="dxa"/>
            <w:vAlign w:val="bottom"/>
          </w:tcPr>
          <w:p>
            <w:pPr>
              <w:ind w:left="40"/>
              <w:spacing w:after="0"/>
              <w:rPr>
                <w:sz w:val="20"/>
                <w:szCs w:val="20"/>
                <w:color w:val="auto"/>
              </w:rPr>
            </w:pPr>
            <w:r>
              <w:rPr>
                <w:rFonts w:ascii="Arial" w:cs="Arial" w:eastAsia="Arial" w:hAnsi="Arial"/>
                <w:sz w:val="18"/>
                <w:szCs w:val="18"/>
                <w:color w:val="auto"/>
              </w:rPr>
              <w:t>Exercise/Sale</w:t>
            </w: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(f)</w:t>
            </w:r>
          </w:p>
        </w:tc>
        <w:tc>
          <w:tcPr>
            <w:tcW w:w="3860" w:type="dxa"/>
            <w:vAlign w:val="bottom"/>
          </w:tcPr>
          <w:p>
            <w:pPr>
              <w:ind w:left="40"/>
              <w:spacing w:after="0"/>
              <w:rPr>
                <w:sz w:val="20"/>
                <w:szCs w:val="20"/>
                <w:color w:val="auto"/>
              </w:rPr>
            </w:pPr>
            <w:r>
              <w:rPr>
                <w:rFonts w:ascii="Arial" w:cs="Arial" w:eastAsia="Arial" w:hAnsi="Arial"/>
                <w:sz w:val="18"/>
                <w:szCs w:val="18"/>
                <w:color w:val="auto"/>
              </w:rPr>
              <w:t>Exercise/Pledge</w:t>
            </w: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60" w:type="dxa"/>
            <w:vAlign w:val="bottom"/>
          </w:tcPr>
          <w:p>
            <w:pPr>
              <w:ind w:left="440"/>
              <w:spacing w:after="0"/>
              <w:rPr>
                <w:sz w:val="20"/>
                <w:szCs w:val="20"/>
                <w:color w:val="auto"/>
              </w:rPr>
            </w:pPr>
            <w:r>
              <w:rPr>
                <w:rFonts w:ascii="Arial" w:cs="Arial" w:eastAsia="Arial" w:hAnsi="Arial"/>
                <w:sz w:val="18"/>
                <w:szCs w:val="18"/>
                <w:color w:val="auto"/>
              </w:rPr>
              <w:t>(g)</w:t>
            </w:r>
          </w:p>
        </w:tc>
        <w:tc>
          <w:tcPr>
            <w:tcW w:w="3860" w:type="dxa"/>
            <w:vAlign w:val="bottom"/>
          </w:tcPr>
          <w:p>
            <w:pPr>
              <w:ind w:left="40"/>
              <w:spacing w:after="0"/>
              <w:rPr>
                <w:sz w:val="20"/>
                <w:szCs w:val="20"/>
                <w:color w:val="auto"/>
              </w:rPr>
            </w:pPr>
            <w:r>
              <w:rPr>
                <w:rFonts w:ascii="Arial" w:cs="Arial" w:eastAsia="Arial" w:hAnsi="Arial"/>
                <w:sz w:val="18"/>
                <w:szCs w:val="18"/>
                <w:color w:val="auto"/>
              </w:rPr>
              <w:t>Other Forms of Payment</w:t>
            </w: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957580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0"/>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SECTION 8. Adjustment Of Shares</w:t>
            </w:r>
          </w:p>
        </w:tc>
        <w:tc>
          <w:tcPr>
            <w:tcW w:w="606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(a)</w:t>
            </w:r>
          </w:p>
        </w:tc>
        <w:tc>
          <w:tcPr>
            <w:tcW w:w="3180" w:type="dxa"/>
            <w:vAlign w:val="bottom"/>
          </w:tcPr>
          <w:p>
            <w:pPr>
              <w:ind w:left="60"/>
              <w:spacing w:after="0"/>
              <w:rPr>
                <w:sz w:val="20"/>
                <w:szCs w:val="20"/>
                <w:color w:val="auto"/>
              </w:rPr>
            </w:pPr>
            <w:r>
              <w:rPr>
                <w:rFonts w:ascii="Arial" w:cs="Arial" w:eastAsia="Arial" w:hAnsi="Arial"/>
                <w:sz w:val="18"/>
                <w:szCs w:val="18"/>
                <w:color w:val="auto"/>
              </w:rPr>
              <w:t>General</w:t>
            </w:r>
          </w:p>
        </w:tc>
        <w:tc>
          <w:tcPr>
            <w:tcW w:w="606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(b)</w:t>
            </w:r>
          </w:p>
        </w:tc>
        <w:tc>
          <w:tcPr>
            <w:tcW w:w="3180" w:type="dxa"/>
            <w:vAlign w:val="bottom"/>
          </w:tcPr>
          <w:p>
            <w:pPr>
              <w:ind w:left="60"/>
              <w:spacing w:after="0"/>
              <w:rPr>
                <w:sz w:val="20"/>
                <w:szCs w:val="20"/>
                <w:color w:val="auto"/>
              </w:rPr>
            </w:pPr>
            <w:r>
              <w:rPr>
                <w:rFonts w:ascii="Arial" w:cs="Arial" w:eastAsia="Arial" w:hAnsi="Arial"/>
                <w:sz w:val="18"/>
                <w:szCs w:val="18"/>
                <w:color w:val="auto"/>
              </w:rPr>
              <w:t>Mergers and Consolidations</w:t>
            </w:r>
          </w:p>
        </w:tc>
        <w:tc>
          <w:tcPr>
            <w:tcW w:w="606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30"/>
        </w:trPr>
        <w:tc>
          <w:tcPr>
            <w:tcW w:w="2020" w:type="dxa"/>
            <w:vAlign w:val="bottom"/>
          </w:tcPr>
          <w:p>
            <w:pPr>
              <w:ind w:left="440"/>
              <w:spacing w:after="0"/>
              <w:rPr>
                <w:sz w:val="20"/>
                <w:szCs w:val="20"/>
                <w:color w:val="auto"/>
              </w:rPr>
            </w:pPr>
            <w:r>
              <w:rPr>
                <w:rFonts w:ascii="Arial" w:cs="Arial" w:eastAsia="Arial" w:hAnsi="Arial"/>
                <w:sz w:val="18"/>
                <w:szCs w:val="18"/>
                <w:color w:val="auto"/>
              </w:rPr>
              <w:t>(c)</w:t>
            </w:r>
          </w:p>
        </w:tc>
        <w:tc>
          <w:tcPr>
            <w:tcW w:w="3180" w:type="dxa"/>
            <w:vAlign w:val="bottom"/>
          </w:tcPr>
          <w:p>
            <w:pPr>
              <w:ind w:left="60"/>
              <w:spacing w:after="0"/>
              <w:rPr>
                <w:sz w:val="20"/>
                <w:szCs w:val="20"/>
                <w:color w:val="auto"/>
              </w:rPr>
            </w:pPr>
            <w:r>
              <w:rPr>
                <w:rFonts w:ascii="Arial" w:cs="Arial" w:eastAsia="Arial" w:hAnsi="Arial"/>
                <w:sz w:val="18"/>
                <w:szCs w:val="18"/>
                <w:color w:val="auto"/>
              </w:rPr>
              <w:t>Reservation of Rights</w:t>
            </w:r>
          </w:p>
        </w:tc>
        <w:tc>
          <w:tcPr>
            <w:tcW w:w="606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SECTION 9. Drag Along Rights</w:t>
            </w:r>
          </w:p>
        </w:tc>
        <w:tc>
          <w:tcPr>
            <w:tcW w:w="60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r>
      <w:tr>
        <w:trPr>
          <w:trHeight w:val="432"/>
        </w:trPr>
        <w:tc>
          <w:tcPr>
            <w:tcW w:w="2020" w:type="dxa"/>
            <w:vAlign w:val="bottom"/>
          </w:tcPr>
          <w:p>
            <w:pPr>
              <w:spacing w:after="0"/>
              <w:rPr>
                <w:sz w:val="20"/>
                <w:szCs w:val="20"/>
                <w:color w:val="auto"/>
              </w:rPr>
            </w:pPr>
            <w:r>
              <w:rPr>
                <w:rFonts w:ascii="Arial" w:cs="Arial" w:eastAsia="Arial" w:hAnsi="Arial"/>
                <w:sz w:val="18"/>
                <w:szCs w:val="18"/>
                <w:b w:val="1"/>
                <w:bCs w:val="1"/>
                <w:color w:val="auto"/>
              </w:rPr>
              <w:t>SECTION 10. Proxy</w:t>
            </w:r>
          </w:p>
        </w:tc>
        <w:tc>
          <w:tcPr>
            <w:tcW w:w="3180" w:type="dxa"/>
            <w:vAlign w:val="bottom"/>
          </w:tcPr>
          <w:p>
            <w:pPr>
              <w:spacing w:after="0"/>
              <w:rPr>
                <w:sz w:val="24"/>
                <w:szCs w:val="24"/>
                <w:color w:val="auto"/>
              </w:rPr>
            </w:pPr>
          </w:p>
        </w:tc>
        <w:tc>
          <w:tcPr>
            <w:tcW w:w="60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SECTION 11. Securities Law Requirements</w:t>
            </w:r>
          </w:p>
        </w:tc>
        <w:tc>
          <w:tcPr>
            <w:tcW w:w="60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SECTION 12. No Guarantee of Continued Service</w:t>
            </w:r>
          </w:p>
        </w:tc>
        <w:tc>
          <w:tcPr>
            <w:tcW w:w="6060" w:type="dxa"/>
            <w:vAlign w:val="bottom"/>
          </w:tcPr>
          <w:p>
            <w:pPr>
              <w:jc w:val="right"/>
              <w:ind w:right="70"/>
              <w:spacing w:after="0"/>
              <w:rPr>
                <w:sz w:val="20"/>
                <w:szCs w:val="20"/>
                <w:color w:val="auto"/>
              </w:rPr>
            </w:pPr>
            <w:r>
              <w:rPr>
                <w:rFonts w:ascii="Arial" w:cs="Arial" w:eastAsia="Arial" w:hAnsi="Arial"/>
                <w:sz w:val="18"/>
                <w:szCs w:val="18"/>
                <w:b w:val="1"/>
                <w:bCs w:val="1"/>
                <w:color w:val="auto"/>
              </w:rPr>
              <w:t>9</w:t>
            </w:r>
          </w:p>
        </w:tc>
      </w:tr>
      <w:tr>
        <w:trPr>
          <w:trHeight w:val="418"/>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SECTION 13. Duration and Amendments</w:t>
            </w:r>
          </w:p>
        </w:tc>
        <w:tc>
          <w:tcPr>
            <w:tcW w:w="6060" w:type="dxa"/>
            <w:vAlign w:val="bottom"/>
          </w:tcPr>
          <w:p>
            <w:pPr>
              <w:jc w:val="right"/>
              <w:ind w:right="70"/>
              <w:spacing w:after="0"/>
              <w:rPr>
                <w:sz w:val="20"/>
                <w:szCs w:val="20"/>
                <w:color w:val="auto"/>
              </w:rPr>
            </w:pPr>
            <w:r>
              <w:rPr>
                <w:rFonts w:ascii="Arial" w:cs="Arial" w:eastAsia="Arial" w:hAnsi="Arial"/>
                <w:sz w:val="18"/>
                <w:szCs w:val="18"/>
                <w:b w:val="1"/>
                <w:bCs w:val="1"/>
                <w:color w:val="auto"/>
              </w:rPr>
              <w:t>9</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(a)</w:t>
            </w:r>
          </w:p>
        </w:tc>
        <w:tc>
          <w:tcPr>
            <w:tcW w:w="3180" w:type="dxa"/>
            <w:vAlign w:val="bottom"/>
          </w:tcPr>
          <w:p>
            <w:pPr>
              <w:ind w:left="60"/>
              <w:spacing w:after="0"/>
              <w:rPr>
                <w:sz w:val="20"/>
                <w:szCs w:val="20"/>
                <w:color w:val="auto"/>
              </w:rPr>
            </w:pPr>
            <w:r>
              <w:rPr>
                <w:rFonts w:ascii="Arial" w:cs="Arial" w:eastAsia="Arial" w:hAnsi="Arial"/>
                <w:sz w:val="18"/>
                <w:szCs w:val="18"/>
                <w:color w:val="auto"/>
              </w:rPr>
              <w:t>Term of the Plan</w:t>
            </w:r>
          </w:p>
        </w:tc>
        <w:tc>
          <w:tcPr>
            <w:tcW w:w="606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(b)</w:t>
            </w:r>
          </w:p>
        </w:tc>
        <w:tc>
          <w:tcPr>
            <w:tcW w:w="3180" w:type="dxa"/>
            <w:vAlign w:val="bottom"/>
          </w:tcPr>
          <w:p>
            <w:pPr>
              <w:ind w:left="60"/>
              <w:spacing w:after="0"/>
              <w:rPr>
                <w:sz w:val="20"/>
                <w:szCs w:val="20"/>
                <w:color w:val="auto"/>
              </w:rPr>
            </w:pPr>
            <w:r>
              <w:rPr>
                <w:rFonts w:ascii="Arial" w:cs="Arial" w:eastAsia="Arial" w:hAnsi="Arial"/>
                <w:sz w:val="18"/>
                <w:szCs w:val="18"/>
                <w:color w:val="auto"/>
              </w:rPr>
              <w:t>Right to Amend or Terminate the Plan</w:t>
            </w:r>
          </w:p>
        </w:tc>
        <w:tc>
          <w:tcPr>
            <w:tcW w:w="606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230"/>
        </w:trPr>
        <w:tc>
          <w:tcPr>
            <w:tcW w:w="2020" w:type="dxa"/>
            <w:vAlign w:val="bottom"/>
          </w:tcPr>
          <w:p>
            <w:pPr>
              <w:ind w:left="440"/>
              <w:spacing w:after="0"/>
              <w:rPr>
                <w:sz w:val="20"/>
                <w:szCs w:val="20"/>
                <w:color w:val="auto"/>
              </w:rPr>
            </w:pPr>
            <w:r>
              <w:rPr>
                <w:rFonts w:ascii="Arial" w:cs="Arial" w:eastAsia="Arial" w:hAnsi="Arial"/>
                <w:sz w:val="18"/>
                <w:szCs w:val="18"/>
                <w:color w:val="auto"/>
              </w:rPr>
              <w:t>(c)</w:t>
            </w:r>
          </w:p>
        </w:tc>
        <w:tc>
          <w:tcPr>
            <w:tcW w:w="3180" w:type="dxa"/>
            <w:vAlign w:val="bottom"/>
          </w:tcPr>
          <w:p>
            <w:pPr>
              <w:ind w:left="60"/>
              <w:spacing w:after="0"/>
              <w:rPr>
                <w:sz w:val="20"/>
                <w:szCs w:val="20"/>
                <w:color w:val="auto"/>
              </w:rPr>
            </w:pPr>
            <w:r>
              <w:rPr>
                <w:rFonts w:ascii="Arial" w:cs="Arial" w:eastAsia="Arial" w:hAnsi="Arial"/>
                <w:sz w:val="18"/>
                <w:szCs w:val="18"/>
                <w:color w:val="auto"/>
              </w:rPr>
              <w:t>Effect of Amendment or Termination</w:t>
            </w:r>
          </w:p>
        </w:tc>
        <w:tc>
          <w:tcPr>
            <w:tcW w:w="606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432"/>
        </w:trPr>
        <w:tc>
          <w:tcPr>
            <w:tcW w:w="2020" w:type="dxa"/>
            <w:vAlign w:val="bottom"/>
          </w:tcPr>
          <w:p>
            <w:pPr>
              <w:spacing w:after="0"/>
              <w:rPr>
                <w:sz w:val="20"/>
                <w:szCs w:val="20"/>
                <w:color w:val="auto"/>
              </w:rPr>
            </w:pPr>
            <w:r>
              <w:rPr>
                <w:rFonts w:ascii="Arial" w:cs="Arial" w:eastAsia="Arial" w:hAnsi="Arial"/>
                <w:sz w:val="18"/>
                <w:szCs w:val="18"/>
                <w:b w:val="1"/>
                <w:bCs w:val="1"/>
                <w:color w:val="auto"/>
                <w:w w:val="96"/>
              </w:rPr>
              <w:t>SECTION 14. Definitions</w:t>
            </w:r>
          </w:p>
        </w:tc>
        <w:tc>
          <w:tcPr>
            <w:tcW w:w="3180" w:type="dxa"/>
            <w:vAlign w:val="bottom"/>
          </w:tcPr>
          <w:p>
            <w:pPr>
              <w:spacing w:after="0"/>
              <w:rPr>
                <w:sz w:val="24"/>
                <w:szCs w:val="24"/>
                <w:color w:val="auto"/>
              </w:rPr>
            </w:pPr>
          </w:p>
        </w:tc>
        <w:tc>
          <w:tcPr>
            <w:tcW w:w="606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r>
      <w:tr>
        <w:trPr>
          <w:trHeight w:val="365"/>
        </w:trPr>
        <w:tc>
          <w:tcPr>
            <w:tcW w:w="2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60" w:type="dxa"/>
            <w:vAlign w:val="bottom"/>
          </w:tcPr>
          <w:p>
            <w:pPr>
              <w:jc w:val="right"/>
              <w:ind w:right="5490"/>
              <w:spacing w:after="0"/>
              <w:rPr>
                <w:sz w:val="20"/>
                <w:szCs w:val="20"/>
                <w:color w:val="auto"/>
              </w:rPr>
            </w:pPr>
            <w:r>
              <w:rPr>
                <w:rFonts w:ascii="Arial" w:cs="Arial" w:eastAsia="Arial" w:hAnsi="Arial"/>
                <w:sz w:val="18"/>
                <w:szCs w:val="18"/>
                <w:color w:val="auto"/>
              </w:rPr>
              <w:t>ii</w:t>
            </w:r>
          </w:p>
        </w:tc>
      </w:tr>
      <w:tr>
        <w:trPr>
          <w:trHeight w:val="1019"/>
        </w:trPr>
        <w:tc>
          <w:tcPr>
            <w:tcW w:w="20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OOD</w:t>
      </w:r>
      <w:r>
        <w:rPr>
          <w:rFonts w:ascii="Arial" w:cs="Arial" w:eastAsia="Arial" w:hAnsi="Arial"/>
          <w:sz w:val="18"/>
          <w:szCs w:val="18"/>
          <w:b w:val="1"/>
          <w:bCs w:val="1"/>
          <w:color w:val="auto"/>
        </w:rPr>
        <w:t>R</w:t>
      </w:r>
      <w:r>
        <w:rPr>
          <w:rFonts w:ascii="Arial" w:cs="Arial" w:eastAsia="Arial" w:hAnsi="Arial"/>
          <w:sz w:val="13"/>
          <w:szCs w:val="13"/>
          <w:b w:val="1"/>
          <w:bCs w:val="1"/>
          <w:color w:val="auto"/>
        </w:rPr>
        <w:t>X</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 2011 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121" w:lineRule="exact"/>
        <w:rPr>
          <w:sz w:val="20"/>
          <w:szCs w:val="20"/>
          <w:color w:val="auto"/>
        </w:rPr>
      </w:pPr>
    </w:p>
    <w:p>
      <w:pPr>
        <w:ind w:right="40" w:firstLine="1322"/>
        <w:spacing w:after="0" w:line="259" w:lineRule="auto"/>
        <w:rPr>
          <w:sz w:val="20"/>
          <w:szCs w:val="20"/>
          <w:color w:val="auto"/>
        </w:rPr>
      </w:pPr>
      <w:r>
        <w:rPr>
          <w:rFonts w:ascii="Arial" w:cs="Arial" w:eastAsia="Arial" w:hAnsi="Arial"/>
          <w:sz w:val="18"/>
          <w:szCs w:val="18"/>
          <w:color w:val="auto"/>
        </w:rPr>
        <w:t>The purpose of the Plan is to offer selected persons an opportunity to acquire a proprietary interest in the success of the Company, or to increase such interest, by purchasing Shares of the Company’s Stock. The Plan provides both for the direct award or sale of Shares and for the grant of Options to purchase Shares. Options granted under the Plan may include Nonstatutory Options as well as ISOs intended to qualify under Section 422 of the Code.</w:t>
      </w:r>
    </w:p>
    <w:p>
      <w:pPr>
        <w:spacing w:after="0" w:line="18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Capitalized terms are defined in Section 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ADMINISTRATION.</w:t>
      </w:r>
    </w:p>
    <w:p>
      <w:pPr>
        <w:spacing w:after="0" w:line="117" w:lineRule="exact"/>
        <w:rPr>
          <w:sz w:val="20"/>
          <w:szCs w:val="20"/>
          <w:color w:val="auto"/>
        </w:rPr>
      </w:pPr>
    </w:p>
    <w:p>
      <w:pPr>
        <w:ind w:right="20" w:firstLine="1330"/>
        <w:spacing w:after="0" w:line="258" w:lineRule="auto"/>
        <w:tabs>
          <w:tab w:leader="none" w:pos="1577"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Committees of the Board of Directors</w:t>
      </w:r>
      <w:r>
        <w:rPr>
          <w:rFonts w:ascii="Arial" w:cs="Arial" w:eastAsia="Arial" w:hAnsi="Arial"/>
          <w:sz w:val="18"/>
          <w:szCs w:val="18"/>
          <w:color w:val="auto"/>
        </w:rPr>
        <w:t>. The Plan may be administered by one or more Committees. Each Committee shall consist of</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75" w:lineRule="exact"/>
        <w:rPr>
          <w:rFonts w:ascii="Arial" w:cs="Arial" w:eastAsia="Arial" w:hAnsi="Arial"/>
          <w:sz w:val="18"/>
          <w:szCs w:val="18"/>
          <w:b w:val="1"/>
          <w:bCs w:val="1"/>
          <w:color w:val="auto"/>
        </w:rPr>
      </w:pPr>
    </w:p>
    <w:p>
      <w:pPr>
        <w:ind w:firstLine="1330"/>
        <w:spacing w:after="0" w:line="289" w:lineRule="auto"/>
        <w:tabs>
          <w:tab w:leader="none" w:pos="1587"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Authority of the Board of Directors. </w:t>
      </w:r>
      <w:r>
        <w:rPr>
          <w:rFonts w:ascii="Arial" w:cs="Arial" w:eastAsia="Arial" w:hAnsi="Arial"/>
          <w:sz w:val="17"/>
          <w:szCs w:val="17"/>
          <w:color w:val="auto"/>
        </w:rPr>
        <w:t>Subject to the provisions of the Plan, the Board of Directors shall have full authority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to take any actions it deems necessary or advisable for the administration of the Plan. All decisions, interpretations and other actions of the Board of Directors shall be final and binding on all Purchasers, all Optionees and all persons deriving their rights from a Purchaser or Optionee.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117" w:lineRule="exact"/>
        <w:rPr>
          <w:sz w:val="20"/>
          <w:szCs w:val="20"/>
          <w:color w:val="auto"/>
        </w:rPr>
      </w:pPr>
    </w:p>
    <w:p>
      <w:pPr>
        <w:ind w:right="400" w:firstLine="1330"/>
        <w:spacing w:after="0" w:line="282" w:lineRule="auto"/>
        <w:tabs>
          <w:tab w:leader="none" w:pos="157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Only Employees, Outside Directors and Consultants shall be eligible for the grant of Nonstatutory Options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 award or sale of Shares. Only Employees shall be eligible for the grant of ISOs.</w:t>
      </w:r>
    </w:p>
    <w:p>
      <w:pPr>
        <w:spacing w:after="0" w:line="53" w:lineRule="exact"/>
        <w:rPr>
          <w:rFonts w:ascii="Arial" w:cs="Arial" w:eastAsia="Arial" w:hAnsi="Arial"/>
          <w:sz w:val="18"/>
          <w:szCs w:val="18"/>
          <w:b w:val="1"/>
          <w:bCs w:val="1"/>
          <w:color w:val="auto"/>
        </w:rPr>
      </w:pPr>
    </w:p>
    <w:p>
      <w:pPr>
        <w:ind w:right="220" w:firstLine="1330"/>
        <w:spacing w:after="0" w:line="303" w:lineRule="auto"/>
        <w:tabs>
          <w:tab w:leader="none" w:pos="158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Ten-Percent Stockholders. </w:t>
      </w:r>
      <w:r>
        <w:rPr>
          <w:rFonts w:ascii="Arial" w:cs="Arial" w:eastAsia="Arial" w:hAnsi="Arial"/>
          <w:sz w:val="16"/>
          <w:szCs w:val="16"/>
          <w:color w:val="auto"/>
        </w:rPr>
        <w:t>A person who owns more than 10% of the total combined voting power of all classes of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stock 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Section 424(d) of the Code shall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SECTION 4. STOCK SUBJECT TO PLAN.</w:t>
      </w:r>
    </w:p>
    <w:p>
      <w:pPr>
        <w:spacing w:after="0" w:line="117" w:lineRule="exact"/>
        <w:rPr>
          <w:sz w:val="20"/>
          <w:szCs w:val="20"/>
          <w:color w:val="auto"/>
        </w:rPr>
      </w:pPr>
    </w:p>
    <w:p>
      <w:pPr>
        <w:jc w:val="both"/>
        <w:ind w:right="60" w:firstLine="1330"/>
        <w:spacing w:after="0" w:line="258" w:lineRule="auto"/>
        <w:tabs>
          <w:tab w:leader="none" w:pos="157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Limitation. </w:t>
      </w:r>
      <w:r>
        <w:rPr>
          <w:rFonts w:ascii="Arial" w:cs="Arial" w:eastAsia="Arial" w:hAnsi="Arial"/>
          <w:sz w:val="18"/>
          <w:szCs w:val="18"/>
          <w:color w:val="auto"/>
        </w:rPr>
        <w:t>Not more than one million (1,000,000) Shares may be issued under the Plan (subject to Subsection (b) below and</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8(a)). All of these Shares may be issued upon the exercise of ISOs. The number of Shares that are subject to Options or other rights outstanding at any time under the Plan shall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75" w:lineRule="exact"/>
        <w:rPr>
          <w:rFonts w:ascii="Arial" w:cs="Arial" w:eastAsia="Arial" w:hAnsi="Arial"/>
          <w:sz w:val="18"/>
          <w:szCs w:val="18"/>
          <w:b w:val="1"/>
          <w:bCs w:val="1"/>
          <w:color w:val="auto"/>
        </w:rPr>
      </w:pPr>
    </w:p>
    <w:p>
      <w:pPr>
        <w:ind w:right="80" w:firstLine="1330"/>
        <w:spacing w:after="0" w:line="261" w:lineRule="auto"/>
        <w:tabs>
          <w:tab w:leader="none" w:pos="158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Shares. </w:t>
      </w:r>
      <w:r>
        <w:rPr>
          <w:rFonts w:ascii="Arial" w:cs="Arial" w:eastAsia="Arial" w:hAnsi="Arial"/>
          <w:sz w:val="18"/>
          <w:szCs w:val="18"/>
          <w:color w:val="auto"/>
        </w:rPr>
        <w:t>In the event that Shares previously issued under the Plan are reacquired by the Company, such Shares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added to the number of Shares then available for issuance under the Plan. In the event that an outstanding Option or other right for any reason expires or is canceled, the Shares allocable to the unexercised portion of such Option or other right shall be added to the number of Shares then available for issuance under the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TERMS AND CONDITIONS OF AWARDS OR SALES.</w:t>
      </w:r>
    </w:p>
    <w:p>
      <w:pPr>
        <w:spacing w:after="0" w:line="117" w:lineRule="exact"/>
        <w:rPr>
          <w:sz w:val="20"/>
          <w:szCs w:val="20"/>
          <w:color w:val="auto"/>
        </w:rPr>
      </w:pPr>
    </w:p>
    <w:p>
      <w:pPr>
        <w:ind w:right="20" w:firstLine="1330"/>
        <w:spacing w:after="0" w:line="303" w:lineRule="auto"/>
        <w:tabs>
          <w:tab w:leader="none" w:pos="1577"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Purchase Agreement. </w:t>
      </w:r>
      <w:r>
        <w:rPr>
          <w:rFonts w:ascii="Arial" w:cs="Arial" w:eastAsia="Arial" w:hAnsi="Arial"/>
          <w:sz w:val="16"/>
          <w:szCs w:val="16"/>
          <w:color w:val="auto"/>
        </w:rPr>
        <w:t>Each award or sale of Shares under the Plan (other than upon exercise of an Option) shall be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Purchase Agreement. The provisions of the various Stock Purchase Agreements entered into under the Plan need not be identical.</w:t>
      </w:r>
    </w:p>
    <w:p>
      <w:pPr>
        <w:spacing w:after="0" w:line="42" w:lineRule="exact"/>
        <w:rPr>
          <w:rFonts w:ascii="Arial" w:cs="Arial" w:eastAsia="Arial" w:hAnsi="Arial"/>
          <w:sz w:val="16"/>
          <w:szCs w:val="16"/>
          <w:b w:val="1"/>
          <w:bCs w:val="1"/>
          <w:color w:val="auto"/>
        </w:rPr>
      </w:pPr>
    </w:p>
    <w:p>
      <w:pPr>
        <w:ind w:right="320" w:firstLine="1330"/>
        <w:spacing w:after="0" w:line="289" w:lineRule="auto"/>
        <w:tabs>
          <w:tab w:leader="none" w:pos="1587"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Duration of Offers and Nontransferability of Rights. </w:t>
      </w:r>
      <w:r>
        <w:rPr>
          <w:rFonts w:ascii="Arial" w:cs="Arial" w:eastAsia="Arial" w:hAnsi="Arial"/>
          <w:sz w:val="17"/>
          <w:szCs w:val="17"/>
          <w:color w:val="auto"/>
        </w:rPr>
        <w:t>Any right to acquire Shares under the Plan (other than an Option)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expire if not exercised by the Purchaser within 30 days after the grant of such right was communicated to the Purchaser by the Company. Such right shall not be transferable and shall be exercisable only by the Purchaser to whom such right was granted.</w:t>
      </w:r>
    </w:p>
    <w:p>
      <w:pPr>
        <w:spacing w:after="0" w:line="49" w:lineRule="exact"/>
        <w:rPr>
          <w:rFonts w:ascii="Arial" w:cs="Arial" w:eastAsia="Arial" w:hAnsi="Arial"/>
          <w:sz w:val="17"/>
          <w:szCs w:val="17"/>
          <w:b w:val="1"/>
          <w:bCs w:val="1"/>
          <w:color w:val="auto"/>
        </w:rPr>
      </w:pPr>
    </w:p>
    <w:p>
      <w:pPr>
        <w:ind w:right="720" w:firstLine="1330"/>
        <w:spacing w:after="0" w:line="282" w:lineRule="auto"/>
        <w:tabs>
          <w:tab w:leader="none" w:pos="156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Board of Directors shall determine the Purchase Price of Shares to be offered under the Plan at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The Purchase Price shall be payable in a form described in Section 7.</w:t>
      </w:r>
    </w:p>
    <w:p>
      <w:pPr>
        <w:spacing w:after="0" w:line="53" w:lineRule="exact"/>
        <w:rPr>
          <w:rFonts w:ascii="Arial" w:cs="Arial" w:eastAsia="Arial" w:hAnsi="Arial"/>
          <w:sz w:val="18"/>
          <w:szCs w:val="18"/>
          <w:b w:val="1"/>
          <w:bCs w:val="1"/>
          <w:color w:val="auto"/>
        </w:rPr>
      </w:pPr>
    </w:p>
    <w:p>
      <w:pPr>
        <w:ind w:right="60" w:firstLine="1330"/>
        <w:spacing w:after="0" w:line="347" w:lineRule="auto"/>
        <w:tabs>
          <w:tab w:leader="none" w:pos="1587"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As a condition to the purchase of Shares, the Purchaser shall make such arrangements as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may require for the satisfaction of any federal, state, local or foreign withholding tax obligations that may arise in connection with such purchase.</w:t>
      </w:r>
    </w:p>
    <w:p>
      <w:pPr>
        <w:spacing w:after="0" w:line="7" w:lineRule="exact"/>
        <w:rPr>
          <w:rFonts w:ascii="Arial" w:cs="Arial" w:eastAsia="Arial" w:hAnsi="Arial"/>
          <w:sz w:val="16"/>
          <w:szCs w:val="16"/>
          <w:b w:val="1"/>
          <w:bCs w:val="1"/>
          <w:color w:val="auto"/>
        </w:rPr>
      </w:pPr>
    </w:p>
    <w:p>
      <w:pPr>
        <w:ind w:firstLine="1330"/>
        <w:spacing w:after="0" w:line="289" w:lineRule="auto"/>
        <w:tabs>
          <w:tab w:leader="none" w:pos="1567"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Transfer of Shares. </w:t>
      </w:r>
      <w:r>
        <w:rPr>
          <w:rFonts w:ascii="Arial" w:cs="Arial" w:eastAsia="Arial" w:hAnsi="Arial"/>
          <w:sz w:val="17"/>
          <w:szCs w:val="17"/>
          <w:color w:val="auto"/>
        </w:rPr>
        <w:t>Any Shares awarded or sold under the Plan shall be subject to such special forfeiture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of repurchase, rights of first refusal and other transfer restrictions as the Board of Directors may determine. Such restrictions shall be set forth in the applicable Stock Purchase Agreement and shall apply in addition to any restrictions that may apply to holders of Shares generally.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SECTION 6. TERMS AND CONDITIONS OF OPTIONS.</w:t>
      </w:r>
    </w:p>
    <w:p>
      <w:pPr>
        <w:spacing w:after="0" w:line="117" w:lineRule="exact"/>
        <w:rPr>
          <w:sz w:val="20"/>
          <w:szCs w:val="20"/>
          <w:color w:val="auto"/>
        </w:rPr>
      </w:pPr>
    </w:p>
    <w:p>
      <w:pPr>
        <w:ind w:right="240" w:firstLine="1330"/>
        <w:spacing w:after="0" w:line="281" w:lineRule="auto"/>
        <w:tabs>
          <w:tab w:leader="none" w:pos="1577" w:val="left"/>
        </w:tabs>
        <w:numPr>
          <w:ilvl w:val="1"/>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Option Agreement. </w:t>
      </w:r>
      <w:r>
        <w:rPr>
          <w:rFonts w:ascii="Arial" w:cs="Arial" w:eastAsia="Arial" w:hAnsi="Arial"/>
          <w:sz w:val="17"/>
          <w:szCs w:val="17"/>
          <w:color w:val="auto"/>
        </w:rPr>
        <w:t>Each grant of an Option under the Plan shall be evidenced by a Stock Option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and the Company. The Option shall be subject to all applicable terms and conditions of the Plan and may be subject to any other terms and conditions which are not inconsistent with the Plan and which the Board of Directors deems appropriate for inclusion in a Stock Option Agreement. The provisions of the various Stock Option Agreements entered into under the Plan need not be identical.</w:t>
      </w:r>
    </w:p>
    <w:p>
      <w:pPr>
        <w:spacing w:after="0" w:line="56" w:lineRule="exact"/>
        <w:rPr>
          <w:rFonts w:ascii="Arial" w:cs="Arial" w:eastAsia="Arial" w:hAnsi="Arial"/>
          <w:sz w:val="17"/>
          <w:szCs w:val="17"/>
          <w:b w:val="1"/>
          <w:bCs w:val="1"/>
          <w:color w:val="auto"/>
        </w:rPr>
      </w:pPr>
    </w:p>
    <w:p>
      <w:pPr>
        <w:ind w:firstLine="1330"/>
        <w:spacing w:after="0" w:line="266" w:lineRule="auto"/>
        <w:tabs>
          <w:tab w:leader="none" w:pos="1587"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Each Stock Option Agreement shall specify the number of Shares that are subject to the Option and shall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adjustment of such number in accordance with Section 8. The Stock Option Agreement shall also specify whether the Option is an ISO or a Nonstatutory Option.</w:t>
      </w:r>
    </w:p>
    <w:p>
      <w:pPr>
        <w:spacing w:after="0" w:line="67" w:lineRule="exact"/>
        <w:rPr>
          <w:rFonts w:ascii="Arial" w:cs="Arial" w:eastAsia="Arial" w:hAnsi="Arial"/>
          <w:sz w:val="18"/>
          <w:szCs w:val="18"/>
          <w:b w:val="1"/>
          <w:bCs w:val="1"/>
          <w:color w:val="auto"/>
        </w:rPr>
      </w:pPr>
    </w:p>
    <w:p>
      <w:pPr>
        <w:ind w:right="60" w:firstLine="1330"/>
        <w:spacing w:after="0" w:line="261" w:lineRule="auto"/>
        <w:tabs>
          <w:tab w:leader="none" w:pos="1567"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Each Stock Option Agreement shall specify the Exercise Price. The Exercise Price of any Option shall not be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100% of the Fair Market Value of a Share on the date of grant, and in the case of an ISO a higher percentage may be required by Section 3(b). Subject to the preceding sentence, the Exercise Price shall be determined by the Board of Directors at its sole discretion. The Exercise Price shall be payable in a form described in Section 7.</w:t>
      </w:r>
    </w:p>
    <w:p>
      <w:pPr>
        <w:spacing w:after="0" w:line="71" w:lineRule="exact"/>
        <w:rPr>
          <w:rFonts w:ascii="Arial" w:cs="Arial" w:eastAsia="Arial" w:hAnsi="Arial"/>
          <w:sz w:val="18"/>
          <w:szCs w:val="18"/>
          <w:b w:val="1"/>
          <w:bCs w:val="1"/>
          <w:color w:val="auto"/>
        </w:rPr>
      </w:pPr>
    </w:p>
    <w:p>
      <w:pPr>
        <w:ind w:right="420" w:firstLine="1330"/>
        <w:spacing w:after="0" w:line="293" w:lineRule="auto"/>
        <w:tabs>
          <w:tab w:leader="none" w:pos="1587"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Exercisability. </w:t>
      </w:r>
      <w:r>
        <w:rPr>
          <w:rFonts w:ascii="Arial" w:cs="Arial" w:eastAsia="Arial" w:hAnsi="Arial"/>
          <w:sz w:val="16"/>
          <w:szCs w:val="16"/>
          <w:color w:val="auto"/>
        </w:rPr>
        <w:t>Each Stock Option Agreement shall specify the date when all or any installment of the Option is to become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No Option shall be exercisable unless the Optionee (i) has delivered an executed copy of the Stock Option Agreement to the Company or</w:t>
      </w:r>
    </w:p>
    <w:p>
      <w:pPr>
        <w:spacing w:after="0" w:line="1" w:lineRule="exact"/>
        <w:rPr>
          <w:rFonts w:ascii="Arial" w:cs="Arial" w:eastAsia="Arial" w:hAnsi="Arial"/>
          <w:sz w:val="16"/>
          <w:szCs w:val="16"/>
          <w:b w:val="1"/>
          <w:bCs w:val="1"/>
          <w:color w:val="auto"/>
        </w:rPr>
      </w:pPr>
    </w:p>
    <w:p>
      <w:pPr>
        <w:ind w:right="160" w:firstLine="8"/>
        <w:spacing w:after="0" w:line="290" w:lineRule="auto"/>
        <w:tabs>
          <w:tab w:leader="none" w:pos="265" w:val="left"/>
        </w:tabs>
        <w:numPr>
          <w:ilvl w:val="0"/>
          <w:numId w:val="55"/>
        </w:numPr>
        <w:rPr>
          <w:rFonts w:ascii="Arial" w:cs="Arial" w:eastAsia="Arial" w:hAnsi="Arial"/>
          <w:sz w:val="17"/>
          <w:szCs w:val="17"/>
          <w:color w:val="auto"/>
        </w:rPr>
      </w:pPr>
      <w:r>
        <w:rPr>
          <w:rFonts w:ascii="Arial" w:cs="Arial" w:eastAsia="Arial" w:hAnsi="Arial"/>
          <w:sz w:val="17"/>
          <w:szCs w:val="17"/>
          <w:color w:val="auto"/>
        </w:rPr>
        <w:t>otherwise agrees to be bound by the terms of the Stock Option Agreement. The Board of Directors shall determine the exercisability provisions of the Stock Option Agreement at its sole discretion. All of an Optionee’s Options shall become exercisable in full if Section 8(b)(iv) applies.</w:t>
      </w:r>
    </w:p>
    <w:p>
      <w:pPr>
        <w:spacing w:after="0" w:line="49" w:lineRule="exact"/>
        <w:rPr>
          <w:rFonts w:ascii="Arial" w:cs="Arial" w:eastAsia="Arial" w:hAnsi="Arial"/>
          <w:sz w:val="17"/>
          <w:szCs w:val="17"/>
          <w:color w:val="auto"/>
        </w:rPr>
      </w:pPr>
    </w:p>
    <w:p>
      <w:pPr>
        <w:ind w:right="180" w:firstLine="1330"/>
        <w:spacing w:after="0" w:line="266" w:lineRule="auto"/>
        <w:tabs>
          <w:tab w:leader="none" w:pos="1567"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The Stock Option Agreement shall specify the term of the Option. The term shall not exceed 10 years from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and in the case of an ISO a shorter term may be required by Section 3(b). Subject to the preceding sentence, the Board of Directors at its sole discretion shall determine when an Option is to expire.</w:t>
      </w:r>
    </w:p>
    <w:p>
      <w:pPr>
        <w:spacing w:after="0" w:line="67" w:lineRule="exact"/>
        <w:rPr>
          <w:rFonts w:ascii="Arial" w:cs="Arial" w:eastAsia="Arial" w:hAnsi="Arial"/>
          <w:sz w:val="18"/>
          <w:szCs w:val="18"/>
          <w:b w:val="1"/>
          <w:bCs w:val="1"/>
          <w:color w:val="auto"/>
        </w:rPr>
      </w:pPr>
    </w:p>
    <w:p>
      <w:pPr>
        <w:ind w:right="80" w:firstLine="1330"/>
        <w:spacing w:after="0" w:line="282" w:lineRule="auto"/>
        <w:tabs>
          <w:tab w:leader="none" w:pos="1547"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an Optionee’s Service terminates for any reason other than the Optionee’s death, then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Optionee’s Options shall expire on the earliest of the following occasions:</w:t>
      </w:r>
    </w:p>
    <w:p>
      <w:pPr>
        <w:spacing w:after="0" w:line="57" w:lineRule="exact"/>
        <w:rPr>
          <w:rFonts w:ascii="Arial" w:cs="Arial" w:eastAsia="Arial" w:hAnsi="Arial"/>
          <w:sz w:val="18"/>
          <w:szCs w:val="18"/>
          <w:b w:val="1"/>
          <w:bCs w:val="1"/>
          <w:color w:val="auto"/>
        </w:rPr>
      </w:pPr>
    </w:p>
    <w:p>
      <w:pPr>
        <w:ind w:left="2060" w:hanging="213"/>
        <w:spacing w:after="0"/>
        <w:tabs>
          <w:tab w:leader="none" w:pos="20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w:t>
      </w:r>
    </w:p>
    <w:p>
      <w:pPr>
        <w:spacing w:after="0" w:line="117" w:lineRule="exact"/>
        <w:rPr>
          <w:rFonts w:ascii="Arial" w:cs="Arial" w:eastAsia="Arial" w:hAnsi="Arial"/>
          <w:sz w:val="18"/>
          <w:szCs w:val="18"/>
          <w:color w:val="auto"/>
        </w:rPr>
      </w:pPr>
    </w:p>
    <w:p>
      <w:pPr>
        <w:ind w:left="600" w:right="20" w:firstLine="1247"/>
        <w:spacing w:after="0" w:line="277" w:lineRule="auto"/>
        <w:tabs>
          <w:tab w:leader="none" w:pos="2118"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 such later date as the Board of Directors may determine; or</w:t>
      </w:r>
    </w:p>
    <w:p>
      <w:pPr>
        <w:spacing w:after="0" w:line="62" w:lineRule="exact"/>
        <w:rPr>
          <w:rFonts w:ascii="Arial" w:cs="Arial" w:eastAsia="Arial" w:hAnsi="Arial"/>
          <w:sz w:val="18"/>
          <w:szCs w:val="18"/>
          <w:color w:val="auto"/>
        </w:rPr>
      </w:pPr>
    </w:p>
    <w:p>
      <w:pPr>
        <w:ind w:left="600" w:right="80" w:firstLine="1247"/>
        <w:spacing w:after="0" w:line="277" w:lineRule="auto"/>
        <w:tabs>
          <w:tab w:leader="none" w:pos="2168"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 or such later date as the Board of Directors may determine.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07" w:name="page108"/>
    <w:bookmarkEnd w:id="107"/>
    <w:p>
      <w:pPr>
        <w:spacing w:after="0" w:line="290" w:lineRule="auto"/>
        <w:rPr>
          <w:sz w:val="20"/>
          <w:szCs w:val="20"/>
          <w:color w:val="auto"/>
        </w:rPr>
      </w:pPr>
      <w:r>
        <w:rPr>
          <w:rFonts w:ascii="Arial" w:cs="Arial" w:eastAsia="Arial" w:hAnsi="Arial"/>
          <w:sz w:val="16"/>
          <w:szCs w:val="16"/>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53" w:lineRule="exact"/>
        <w:rPr>
          <w:sz w:val="20"/>
          <w:szCs w:val="20"/>
          <w:color w:val="auto"/>
        </w:rPr>
      </w:pPr>
    </w:p>
    <w:p>
      <w:pPr>
        <w:jc w:val="both"/>
        <w:ind w:right="100" w:firstLine="1330"/>
        <w:spacing w:after="0" w:line="266" w:lineRule="auto"/>
        <w:tabs>
          <w:tab w:leader="none" w:pos="1577"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Leaves of Absence. </w:t>
      </w:r>
      <w:r>
        <w:rPr>
          <w:rFonts w:ascii="Arial" w:cs="Arial" w:eastAsia="Arial" w:hAnsi="Arial"/>
          <w:sz w:val="18"/>
          <w:szCs w:val="18"/>
          <w:color w:val="auto"/>
        </w:rPr>
        <w:t>For purposes of Subsection (f) above, Service shall be deemed to continue while the Optionee is on a 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leave of absence, if such leave was approved by the Company in writing and if continued crediting of Service for this purpose is expressly required by the terms of such leave or by applicable law (as determined by the Company).</w:t>
      </w:r>
    </w:p>
    <w:p>
      <w:pPr>
        <w:spacing w:after="0" w:line="67" w:lineRule="exact"/>
        <w:rPr>
          <w:rFonts w:ascii="Arial" w:cs="Arial" w:eastAsia="Arial" w:hAnsi="Arial"/>
          <w:sz w:val="18"/>
          <w:szCs w:val="18"/>
          <w:b w:val="1"/>
          <w:bCs w:val="1"/>
          <w:color w:val="auto"/>
        </w:rPr>
      </w:pPr>
    </w:p>
    <w:p>
      <w:pPr>
        <w:ind w:left="1600" w:hanging="270"/>
        <w:spacing w:after="0"/>
        <w:tabs>
          <w:tab w:leader="none" w:pos="160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Optionee. </w:t>
      </w:r>
      <w:r>
        <w:rPr>
          <w:rFonts w:ascii="Arial" w:cs="Arial" w:eastAsia="Arial" w:hAnsi="Arial"/>
          <w:sz w:val="16"/>
          <w:szCs w:val="16"/>
          <w:color w:val="auto"/>
        </w:rPr>
        <w:t>If an Optionee dies while the Optionee is in Service, then the Optionee’s Options shall expire on the earlier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following dates:</w:t>
      </w:r>
    </w:p>
    <w:p>
      <w:pPr>
        <w:spacing w:after="0" w:line="102" w:lineRule="exact"/>
        <w:rPr>
          <w:rFonts w:ascii="Arial" w:cs="Arial" w:eastAsia="Arial" w:hAnsi="Arial"/>
          <w:sz w:val="16"/>
          <w:szCs w:val="16"/>
          <w:b w:val="1"/>
          <w:bCs w:val="1"/>
          <w:color w:val="auto"/>
        </w:rPr>
      </w:pPr>
    </w:p>
    <w:p>
      <w:pPr>
        <w:ind w:left="2060" w:hanging="213"/>
        <w:spacing w:after="0"/>
        <w:tabs>
          <w:tab w:leader="none" w:pos="20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 or</w:t>
      </w:r>
    </w:p>
    <w:p>
      <w:pPr>
        <w:spacing w:after="0" w:line="117" w:lineRule="exact"/>
        <w:rPr>
          <w:rFonts w:ascii="Arial" w:cs="Arial" w:eastAsia="Arial" w:hAnsi="Arial"/>
          <w:sz w:val="18"/>
          <w:szCs w:val="18"/>
          <w:color w:val="auto"/>
        </w:rPr>
      </w:pPr>
    </w:p>
    <w:p>
      <w:pPr>
        <w:ind w:left="2120" w:hanging="273"/>
        <w:spacing w:after="0"/>
        <w:tabs>
          <w:tab w:leader="none" w:pos="21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date 12 months after the Optionee’s death, or such later date as the Board of Directors may determine.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76" w:lineRule="exact"/>
        <w:rPr>
          <w:sz w:val="20"/>
          <w:szCs w:val="20"/>
          <w:color w:val="auto"/>
        </w:rPr>
      </w:pPr>
    </w:p>
    <w:p>
      <w:pPr>
        <w:ind w:right="80" w:firstLine="1330"/>
        <w:spacing w:after="0" w:line="289" w:lineRule="auto"/>
        <w:tabs>
          <w:tab w:leader="none" w:pos="1537" w:val="left"/>
        </w:tabs>
        <w:numPr>
          <w:ilvl w:val="1"/>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Transfer of Shares. </w:t>
      </w:r>
      <w:r>
        <w:rPr>
          <w:rFonts w:ascii="Arial" w:cs="Arial" w:eastAsia="Arial" w:hAnsi="Arial"/>
          <w:sz w:val="17"/>
          <w:szCs w:val="17"/>
          <w:color w:val="auto"/>
        </w:rPr>
        <w:t>Any Shares issued upon exercise of an Option shall be subject to such special 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rights of repurchase, rights of first refusal and other transfer restrictions as the Board of Directors may determine. Such restrictions shall be set forth in the applicable Stock Option Agreement and shall apply in addition to any restrictions that may apply to holders of Shares generally.</w:t>
      </w:r>
    </w:p>
    <w:p>
      <w:pPr>
        <w:spacing w:after="0" w:line="49" w:lineRule="exact"/>
        <w:rPr>
          <w:rFonts w:ascii="Arial" w:cs="Arial" w:eastAsia="Arial" w:hAnsi="Arial"/>
          <w:sz w:val="17"/>
          <w:szCs w:val="17"/>
          <w:b w:val="1"/>
          <w:bCs w:val="1"/>
          <w:color w:val="auto"/>
        </w:rPr>
      </w:pPr>
    </w:p>
    <w:p>
      <w:pPr>
        <w:ind w:left="1560" w:hanging="230"/>
        <w:spacing w:after="0"/>
        <w:tabs>
          <w:tab w:leader="none" w:pos="1560" w:val="left"/>
        </w:tabs>
        <w:numPr>
          <w:ilvl w:val="1"/>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Transferability of Options. </w:t>
      </w:r>
      <w:r>
        <w:rPr>
          <w:rFonts w:ascii="Arial" w:cs="Arial" w:eastAsia="Arial" w:hAnsi="Arial"/>
          <w:sz w:val="17"/>
          <w:szCs w:val="17"/>
          <w:color w:val="auto"/>
        </w:rPr>
        <w:t>An Option shall be transferable by the Optionee only by (i) a beneficiary designation, (ii) a will or</w:t>
      </w:r>
    </w:p>
    <w:p>
      <w:pPr>
        <w:spacing w:after="0" w:line="38" w:lineRule="exact"/>
        <w:rPr>
          <w:rFonts w:ascii="Arial" w:cs="Arial" w:eastAsia="Arial" w:hAnsi="Arial"/>
          <w:sz w:val="17"/>
          <w:szCs w:val="17"/>
          <w:b w:val="1"/>
          <w:bCs w:val="1"/>
          <w:color w:val="auto"/>
        </w:rPr>
      </w:pPr>
    </w:p>
    <w:p>
      <w:pPr>
        <w:ind w:right="160" w:firstLine="8"/>
        <w:spacing w:after="0" w:line="255" w:lineRule="auto"/>
        <w:tabs>
          <w:tab w:leader="none" w:pos="3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laws of descent and distribution, except as provided in the next sentence. If the applicable Stock Option Agreement so provides, a Nonstatutory Option shall also be transferable by gift or domestic relations order to a Family Member of the Optionee. An ISO may be exercised during the lifetime of the Optionee only by the Optionee or by the Optionee’s guardian or legal representative.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08" w:name="page109"/>
    <w:bookmarkEnd w:id="108"/>
    <w:p>
      <w:pPr>
        <w:ind w:right="60" w:firstLine="1330"/>
        <w:spacing w:after="0" w:line="281" w:lineRule="auto"/>
        <w:tabs>
          <w:tab w:leader="none" w:pos="1587"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As a condition to the exercise of an Option, the Optionee shall make such arrangements as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require for the satisfaction of any federal, state, local or foreign withholding tax obligations that may arise in connection with such exercise. The Optionee shall also make such arrangements as the Board of Directors may require for the satisfaction of any federal, state, local or foreign withholding tax obligations that may arise in connection with the disposition of Shares acquired by exercising an Option.</w:t>
      </w:r>
    </w:p>
    <w:p>
      <w:pPr>
        <w:spacing w:after="0" w:line="56" w:lineRule="exact"/>
        <w:rPr>
          <w:rFonts w:ascii="Arial" w:cs="Arial" w:eastAsia="Arial" w:hAnsi="Arial"/>
          <w:sz w:val="17"/>
          <w:szCs w:val="17"/>
          <w:b w:val="1"/>
          <w:bCs w:val="1"/>
          <w:color w:val="auto"/>
        </w:rPr>
      </w:pPr>
    </w:p>
    <w:p>
      <w:pPr>
        <w:jc w:val="both"/>
        <w:ind w:right="200" w:firstLine="1330"/>
        <w:spacing w:after="0" w:line="266" w:lineRule="auto"/>
        <w:tabs>
          <w:tab w:leader="none" w:pos="1537"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as a Stockholder. </w:t>
      </w:r>
      <w:r>
        <w:rPr>
          <w:rFonts w:ascii="Arial" w:cs="Arial" w:eastAsia="Arial" w:hAnsi="Arial"/>
          <w:sz w:val="18"/>
          <w:szCs w:val="18"/>
          <w:color w:val="auto"/>
        </w:rPr>
        <w:t>An Optionee, or a transferee of an Optionee, shall have no rights as a stockholder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covered by the Optionee’s Option until such person becomes entitled to receive such Shares by filing a notice of exercise and paying the Exercise Price pursuant to the terms of such Option.</w:t>
      </w:r>
    </w:p>
    <w:p>
      <w:pPr>
        <w:spacing w:after="0" w:line="67" w:lineRule="exact"/>
        <w:rPr>
          <w:rFonts w:ascii="Arial" w:cs="Arial" w:eastAsia="Arial" w:hAnsi="Arial"/>
          <w:sz w:val="18"/>
          <w:szCs w:val="18"/>
          <w:b w:val="1"/>
          <w:bCs w:val="1"/>
          <w:color w:val="auto"/>
        </w:rPr>
      </w:pPr>
    </w:p>
    <w:p>
      <w:pPr>
        <w:ind w:firstLine="1330"/>
        <w:spacing w:after="0" w:line="303" w:lineRule="auto"/>
        <w:tabs>
          <w:tab w:leader="none" w:pos="1637"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Modification, Extension and Assumption of Options. </w:t>
      </w:r>
      <w:r>
        <w:rPr>
          <w:rFonts w:ascii="Arial" w:cs="Arial" w:eastAsia="Arial" w:hAnsi="Arial"/>
          <w:sz w:val="16"/>
          <w:szCs w:val="16"/>
          <w:color w:val="auto"/>
        </w:rPr>
        <w:t>Within the limitations of the Plan, the Board of Directors may modify,</w:t>
      </w:r>
      <w:r>
        <w:rPr>
          <w:rFonts w:ascii="Arial" w:cs="Arial" w:eastAsia="Arial" w:hAnsi="Arial"/>
          <w:sz w:val="16"/>
          <w:szCs w:val="16"/>
          <w:b w:val="1"/>
          <w:bCs w:val="1"/>
          <w:color w:val="auto"/>
        </w:rPr>
        <w:t xml:space="preserve"> </w:t>
      </w:r>
      <w:r>
        <w:rPr>
          <w:rFonts w:ascii="Arial" w:cs="Arial" w:eastAsia="Arial" w:hAnsi="Arial"/>
          <w:sz w:val="16"/>
          <w:szCs w:val="16"/>
          <w:color w:val="auto"/>
        </w:rPr>
        <w:t>extend or assume outstanding Options or may accept the cancellation of outstanding Options (whether granted by the Company or another issuer) in return for the grant of new Options for the same or a different number of Shares and at the same or a different Exercise Price. The foregoing notwithstanding, no modification of an Option shall, without the consent of the Optionee, impair the Optionee’s rights or increase the Optionee’s obligations under such Option.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PAYMENT FOR SHARES.</w:t>
      </w:r>
    </w:p>
    <w:p>
      <w:pPr>
        <w:spacing w:after="0" w:line="117" w:lineRule="exact"/>
        <w:rPr>
          <w:sz w:val="20"/>
          <w:szCs w:val="20"/>
          <w:color w:val="auto"/>
        </w:rPr>
      </w:pPr>
    </w:p>
    <w:p>
      <w:pPr>
        <w:ind w:right="800" w:firstLine="1330"/>
        <w:spacing w:after="0" w:line="282" w:lineRule="auto"/>
        <w:tabs>
          <w:tab w:leader="none" w:pos="157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The entire Purchase Price or Exercise Price of Shares issued under the Plan shall be payable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at the time when such Shares are purchased, except as otherwise provided in this Section 7.</w:t>
      </w:r>
    </w:p>
    <w:p>
      <w:pPr>
        <w:spacing w:after="0" w:line="53" w:lineRule="exact"/>
        <w:rPr>
          <w:rFonts w:ascii="Arial" w:cs="Arial" w:eastAsia="Arial" w:hAnsi="Arial"/>
          <w:sz w:val="18"/>
          <w:szCs w:val="18"/>
          <w:b w:val="1"/>
          <w:bCs w:val="1"/>
          <w:color w:val="auto"/>
        </w:rPr>
      </w:pPr>
    </w:p>
    <w:p>
      <w:pPr>
        <w:ind w:right="40" w:firstLine="1330"/>
        <w:spacing w:after="0" w:line="258" w:lineRule="auto"/>
        <w:tabs>
          <w:tab w:leader="none" w:pos="158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Surrender of Stock. </w:t>
      </w:r>
      <w:r>
        <w:rPr>
          <w:rFonts w:ascii="Arial" w:cs="Arial" w:eastAsia="Arial" w:hAnsi="Arial"/>
          <w:sz w:val="18"/>
          <w:szCs w:val="18"/>
          <w:color w:val="auto"/>
        </w:rPr>
        <w:t>At the discretion of the Board of Directors, all or any part of the Exercise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on the date when the Option is exercised. The Optionee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75" w:lineRule="exact"/>
        <w:rPr>
          <w:rFonts w:ascii="Arial" w:cs="Arial" w:eastAsia="Arial" w:hAnsi="Arial"/>
          <w:sz w:val="18"/>
          <w:szCs w:val="18"/>
          <w:b w:val="1"/>
          <w:bCs w:val="1"/>
          <w:color w:val="auto"/>
        </w:rPr>
      </w:pPr>
    </w:p>
    <w:p>
      <w:pPr>
        <w:ind w:right="180" w:firstLine="1330"/>
        <w:spacing w:after="0" w:line="282" w:lineRule="auto"/>
        <w:tabs>
          <w:tab w:leader="none" w:pos="156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Rendered. </w:t>
      </w:r>
      <w:r>
        <w:rPr>
          <w:rFonts w:ascii="Arial" w:cs="Arial" w:eastAsia="Arial" w:hAnsi="Arial"/>
          <w:sz w:val="18"/>
          <w:szCs w:val="18"/>
          <w:color w:val="auto"/>
        </w:rPr>
        <w:t>At the discretion of the Board of Directors, Shares may be awarded under the Plan in consideration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to the Company, a Parent or a Subsidiary prior to the award.</w:t>
      </w:r>
    </w:p>
    <w:p>
      <w:pPr>
        <w:spacing w:after="0" w:line="53" w:lineRule="exact"/>
        <w:rPr>
          <w:rFonts w:ascii="Arial" w:cs="Arial" w:eastAsia="Arial" w:hAnsi="Arial"/>
          <w:sz w:val="18"/>
          <w:szCs w:val="18"/>
          <w:b w:val="1"/>
          <w:bCs w:val="1"/>
          <w:color w:val="auto"/>
        </w:rPr>
      </w:pPr>
    </w:p>
    <w:p>
      <w:pPr>
        <w:ind w:right="340" w:firstLine="1330"/>
        <w:spacing w:after="0" w:line="261" w:lineRule="auto"/>
        <w:tabs>
          <w:tab w:leader="none" w:pos="158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Promissory Note. </w:t>
      </w:r>
      <w:r>
        <w:rPr>
          <w:rFonts w:ascii="Arial" w:cs="Arial" w:eastAsia="Arial" w:hAnsi="Arial"/>
          <w:sz w:val="18"/>
          <w:szCs w:val="18"/>
          <w:color w:val="auto"/>
        </w:rPr>
        <w:t>At the discretion of the Board of Directors, all or a portion of the Exercise Price or Purchase Price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of Shares issued under the Plan may be paid with a full-recourse promissory note. The Shares shall be pledged as security for payment of the principal amount of the promissory note and interest thereon. The interest rate payable under the terms of the promissory note shall not be less than the minimum rate (if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18"/>
          <w:szCs w:val="18"/>
          <w:color w:val="auto"/>
        </w:rPr>
        <w:t>any) required to avoid (i) the imputation of additional interest under the Code and (ii) the recognition of compensation expense (or additional compensation expense) with respect to the Option for financial reporting purposes. Subject to the foregoing, the Board of Directors (at its sole discretion) shall specify the term, interest rate, amortization requirements (if any) and other provisions of such note.</w:t>
      </w:r>
    </w:p>
    <w:p>
      <w:pPr>
        <w:spacing w:after="0" w:line="72" w:lineRule="exact"/>
        <w:rPr>
          <w:sz w:val="20"/>
          <w:szCs w:val="20"/>
          <w:color w:val="auto"/>
        </w:rPr>
      </w:pPr>
    </w:p>
    <w:p>
      <w:pPr>
        <w:ind w:right="60" w:firstLine="1330"/>
        <w:spacing w:after="0" w:line="289" w:lineRule="auto"/>
        <w:tabs>
          <w:tab w:leader="none" w:pos="1567"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Exercise/Sale. </w:t>
      </w:r>
      <w:r>
        <w:rPr>
          <w:rFonts w:ascii="Arial" w:cs="Arial" w:eastAsia="Arial" w:hAnsi="Arial"/>
          <w:sz w:val="17"/>
          <w:szCs w:val="17"/>
          <w:color w:val="auto"/>
        </w:rPr>
        <w:t>To the extent that a Stock Option Agreement so provides, and if Stock is publicly traded, payment may be made all or</w:t>
      </w:r>
      <w:r>
        <w:rPr>
          <w:rFonts w:ascii="Arial" w:cs="Arial" w:eastAsia="Arial" w:hAnsi="Arial"/>
          <w:sz w:val="17"/>
          <w:szCs w:val="17"/>
          <w:b w:val="1"/>
          <w:bCs w:val="1"/>
          <w:color w:val="auto"/>
        </w:rPr>
        <w:t xml:space="preserve"> </w:t>
      </w:r>
      <w:r>
        <w:rPr>
          <w:rFonts w:ascii="Arial" w:cs="Arial" w:eastAsia="Arial" w:hAnsi="Arial"/>
          <w:sz w:val="17"/>
          <w:szCs w:val="17"/>
          <w:color w:val="auto"/>
        </w:rPr>
        <w:t>in part by the delivery (on a form prescribed by the Company) of an irrevocable direction to a securities broker approved by the Company to sell Shares and to deliver all or part of the sales proceeds to the Company in payment of all or part of the Exercise Price and any withholding taxes.</w:t>
      </w:r>
    </w:p>
    <w:p>
      <w:pPr>
        <w:spacing w:after="0" w:line="49" w:lineRule="exact"/>
        <w:rPr>
          <w:rFonts w:ascii="Arial" w:cs="Arial" w:eastAsia="Arial" w:hAnsi="Arial"/>
          <w:sz w:val="17"/>
          <w:szCs w:val="17"/>
          <w:b w:val="1"/>
          <w:bCs w:val="1"/>
          <w:color w:val="auto"/>
        </w:rPr>
      </w:pPr>
    </w:p>
    <w:p>
      <w:pPr>
        <w:ind w:right="80" w:firstLine="1330"/>
        <w:spacing w:after="0" w:line="261" w:lineRule="auto"/>
        <w:tabs>
          <w:tab w:leader="none" w:pos="1547"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Exercise/Pledge. </w:t>
      </w:r>
      <w:r>
        <w:rPr>
          <w:rFonts w:ascii="Arial" w:cs="Arial" w:eastAsia="Arial" w:hAnsi="Arial"/>
          <w:sz w:val="18"/>
          <w:szCs w:val="18"/>
          <w:color w:val="auto"/>
        </w:rPr>
        <w:t>To the extent that a Stock Option Agreement so provides, and if Stock is publicly traded, payment may be made all</w:t>
      </w:r>
      <w:r>
        <w:rPr>
          <w:rFonts w:ascii="Arial" w:cs="Arial" w:eastAsia="Arial" w:hAnsi="Arial"/>
          <w:sz w:val="18"/>
          <w:szCs w:val="18"/>
          <w:b w:val="1"/>
          <w:bCs w:val="1"/>
          <w:color w:val="auto"/>
        </w:rPr>
        <w:t xml:space="preserve"> </w:t>
      </w:r>
      <w:r>
        <w:rPr>
          <w:rFonts w:ascii="Arial" w:cs="Arial" w:eastAsia="Arial" w:hAnsi="Arial"/>
          <w:sz w:val="18"/>
          <w:szCs w:val="18"/>
          <w:color w:val="auto"/>
        </w:rPr>
        <w:t>or in part by the delivery (on a form prescribed by the Company) of an irrevocable direction to pledge Shares to a securities broker or lender approved by the Company, as security for a loan, and to deliver all or part of the loan proceeds to the Company in payment of all or part of the Exercise Price and any withholding taxes.</w:t>
      </w:r>
    </w:p>
    <w:p>
      <w:pPr>
        <w:spacing w:after="0" w:line="71" w:lineRule="exact"/>
        <w:rPr>
          <w:rFonts w:ascii="Arial" w:cs="Arial" w:eastAsia="Arial" w:hAnsi="Arial"/>
          <w:sz w:val="18"/>
          <w:szCs w:val="18"/>
          <w:b w:val="1"/>
          <w:bCs w:val="1"/>
          <w:color w:val="auto"/>
        </w:rPr>
      </w:pPr>
    </w:p>
    <w:p>
      <w:pPr>
        <w:ind w:right="200" w:firstLine="1330"/>
        <w:spacing w:after="0" w:line="282" w:lineRule="auto"/>
        <w:tabs>
          <w:tab w:leader="none" w:pos="1577"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Forms of Payment. </w:t>
      </w:r>
      <w:r>
        <w:rPr>
          <w:rFonts w:ascii="Arial" w:cs="Arial" w:eastAsia="Arial" w:hAnsi="Arial"/>
          <w:sz w:val="18"/>
          <w:szCs w:val="18"/>
          <w:color w:val="auto"/>
        </w:rPr>
        <w:t>At the discretion of the Board of Directors, the Purchase Price or Exercise Price of Shares issued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may be paid in any other form permitted by the Delaware General Corporation Law, as amended.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ADJUSTMENT OF SHARES.</w:t>
      </w:r>
    </w:p>
    <w:p>
      <w:pPr>
        <w:spacing w:after="0" w:line="117" w:lineRule="exact"/>
        <w:rPr>
          <w:sz w:val="20"/>
          <w:szCs w:val="20"/>
          <w:color w:val="auto"/>
        </w:rPr>
      </w:pPr>
    </w:p>
    <w:p>
      <w:pPr>
        <w:ind w:firstLine="1330"/>
        <w:spacing w:after="0" w:line="271" w:lineRule="auto"/>
        <w:tabs>
          <w:tab w:leader="none" w:pos="1577"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In the event of a subdivision of the outstanding Stock, a declaration of a dividend payable in Shares, a combination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of Shares available for future grants under Section 4, (ii) the number of Shares covered by each outstanding Option and (iii) the Exercise Price under each outstanding Option.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(i) the number of Shares available for future grants under Section 4, (ii) the number of Shares covered by each outstanding Option or (iii) the Exercise Price under each outstanding Option; provided, however, that the Board of Directors shall in any event make such adjustments as may be required by Section 25102(o) of the California Corporations Code.</w:t>
      </w:r>
    </w:p>
    <w:p>
      <w:pPr>
        <w:spacing w:after="0" w:line="65" w:lineRule="exact"/>
        <w:rPr>
          <w:rFonts w:ascii="Arial" w:cs="Arial" w:eastAsia="Arial" w:hAnsi="Arial"/>
          <w:sz w:val="17"/>
          <w:szCs w:val="17"/>
          <w:b w:val="1"/>
          <w:bCs w:val="1"/>
          <w:color w:val="auto"/>
        </w:rPr>
      </w:pPr>
    </w:p>
    <w:p>
      <w:pPr>
        <w:ind w:right="40" w:firstLine="1330"/>
        <w:spacing w:after="0" w:line="266" w:lineRule="auto"/>
        <w:tabs>
          <w:tab w:leader="none" w:pos="1587"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Mergers and Consolidations. </w:t>
      </w:r>
      <w:r>
        <w:rPr>
          <w:rFonts w:ascii="Arial" w:cs="Arial" w:eastAsia="Arial" w:hAnsi="Arial"/>
          <w:sz w:val="18"/>
          <w:szCs w:val="18"/>
          <w:color w:val="auto"/>
        </w:rPr>
        <w:t>In the event that the Company is a party to a merger or consolidation, all outstanding Options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agreement of merger or consolidation. Such agreement may provide for one or more of the following, without the consent of any of the Optionees:</w:t>
      </w:r>
    </w:p>
    <w:p>
      <w:pPr>
        <w:spacing w:after="0" w:line="71" w:lineRule="exact"/>
        <w:rPr>
          <w:rFonts w:ascii="Arial" w:cs="Arial" w:eastAsia="Arial" w:hAnsi="Arial"/>
          <w:sz w:val="18"/>
          <w:szCs w:val="18"/>
          <w:b w:val="1"/>
          <w:bCs w:val="1"/>
          <w:color w:val="auto"/>
        </w:rPr>
      </w:pPr>
    </w:p>
    <w:p>
      <w:pPr>
        <w:ind w:left="2060" w:hanging="213"/>
        <w:spacing w:after="0"/>
        <w:tabs>
          <w:tab w:leader="none" w:pos="2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continuation of any outstanding Options by the Company (if the Company is the surviving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10" w:name="page111"/>
    <w:bookmarkEnd w:id="110"/>
    <w:p>
      <w:pPr>
        <w:ind w:left="560" w:right="700" w:firstLine="1247"/>
        <w:spacing w:after="0" w:line="277" w:lineRule="auto"/>
        <w:tabs>
          <w:tab w:leader="none" w:pos="2078"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assumption of any outstanding Options by the surviving corporation or its parent in a manner that complies with Section 424(a) of the Code (whether or not such Options are ISOs).</w:t>
      </w:r>
    </w:p>
    <w:p>
      <w:pPr>
        <w:spacing w:after="0" w:line="62" w:lineRule="exact"/>
        <w:rPr>
          <w:rFonts w:ascii="Arial" w:cs="Arial" w:eastAsia="Arial" w:hAnsi="Arial"/>
          <w:sz w:val="18"/>
          <w:szCs w:val="18"/>
          <w:color w:val="auto"/>
        </w:rPr>
      </w:pPr>
    </w:p>
    <w:p>
      <w:pPr>
        <w:ind w:left="560" w:right="520" w:firstLine="1247"/>
        <w:spacing w:after="0" w:line="277" w:lineRule="auto"/>
        <w:tabs>
          <w:tab w:leader="none" w:pos="2128"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of new options for any outstanding Options in a manner that complies with Section 424(a) of the Code (whether or not such Options are ISOs).</w:t>
      </w:r>
    </w:p>
    <w:p>
      <w:pPr>
        <w:spacing w:after="0" w:line="62" w:lineRule="exact"/>
        <w:rPr>
          <w:rFonts w:ascii="Arial" w:cs="Arial" w:eastAsia="Arial" w:hAnsi="Arial"/>
          <w:sz w:val="18"/>
          <w:szCs w:val="18"/>
          <w:color w:val="auto"/>
        </w:rPr>
      </w:pPr>
    </w:p>
    <w:p>
      <w:pPr>
        <w:ind w:left="560" w:firstLine="1247"/>
        <w:spacing w:after="0" w:line="273" w:lineRule="auto"/>
        <w:tabs>
          <w:tab w:leader="none" w:pos="2118" w:val="left"/>
        </w:tabs>
        <w:numPr>
          <w:ilvl w:val="1"/>
          <w:numId w:val="63"/>
        </w:numPr>
        <w:rPr>
          <w:rFonts w:ascii="Arial" w:cs="Arial" w:eastAsia="Arial" w:hAnsi="Arial"/>
          <w:sz w:val="17"/>
          <w:szCs w:val="17"/>
          <w:color w:val="auto"/>
        </w:rPr>
      </w:pPr>
      <w:r>
        <w:rPr>
          <w:rFonts w:ascii="Arial" w:cs="Arial" w:eastAsia="Arial" w:hAnsi="Arial"/>
          <w:sz w:val="17"/>
          <w:szCs w:val="17"/>
          <w:color w:val="auto"/>
        </w:rPr>
        <w:t>Full exercisability of any outstanding Options and full vesting of the Shares subject to such Options, followed by the cancellation of such Options. The full exercisability of such Options and full vesting of the Shares subject to such Options may be contingent on the closing of such merger or consolidation. The Optionees shall be able to exercise such Options during a period of not less than five full business days preceding the closing date of such merger or consolidation, unless (A) a shorter period is required to permit a timely closing of such merger or consolidation and (B) such shorter period still offers the Optionees a reasonable opportunity to exercise such Options. Any exercise of such Options during such period may be contingent on the closing of such merger or consolidation.</w:t>
      </w:r>
    </w:p>
    <w:p>
      <w:pPr>
        <w:spacing w:after="0" w:line="69" w:lineRule="exact"/>
        <w:rPr>
          <w:rFonts w:ascii="Arial" w:cs="Arial" w:eastAsia="Arial" w:hAnsi="Arial"/>
          <w:sz w:val="17"/>
          <w:szCs w:val="17"/>
          <w:color w:val="auto"/>
        </w:rPr>
      </w:pPr>
    </w:p>
    <w:p>
      <w:pPr>
        <w:ind w:left="560" w:firstLine="1247"/>
        <w:spacing w:after="0" w:line="288" w:lineRule="auto"/>
        <w:tabs>
          <w:tab w:leader="none" w:pos="2068"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cancellation of any outstanding Options and a payment to the Optionees equal to the excess of (A) the Fair Market Value of the Shares subject to such Options (whether or not such Options are then exercisable or such Shares are then vested) as of the closing date of such merger or consolidation over (B) their Exercise Price. Such payment shall be made in the form of cash, cash equivalents, or securities of the surviving corporation or its parent with a Fair Market Value equal to the required amount. Subject to Section 409A of the Code, such payment may be made in installments and may be deferred until the date or dates when such Options would have become exercisable or such Shares would have vested. Such payment may be subject to vesting based on the Optionee’s continuing Service, provided that the vesting schedule shall not be less favorable to the Optionee than the schedule under which such Options would have become exercisable or such Shares would have vested. If the Exercise Price of the Shares subject to such Options exceeds the Fair Market Value of such Shares, then such Options may be cancelled without making a payment to the Optionees. For purposes of this Paragraph (v), the Fair Market Value of any security shall be determined without regard to any vesting conditions that may apply to such security.</w:t>
      </w:r>
    </w:p>
    <w:p>
      <w:pPr>
        <w:spacing w:after="0" w:line="56" w:lineRule="exact"/>
        <w:rPr>
          <w:rFonts w:ascii="Arial" w:cs="Arial" w:eastAsia="Arial" w:hAnsi="Arial"/>
          <w:sz w:val="16"/>
          <w:szCs w:val="16"/>
          <w:color w:val="auto"/>
        </w:rPr>
      </w:pPr>
    </w:p>
    <w:p>
      <w:pPr>
        <w:ind w:left="-40" w:right="100" w:firstLine="1330"/>
        <w:spacing w:after="0" w:line="261" w:lineRule="auto"/>
        <w:tabs>
          <w:tab w:leader="none" w:pos="1527"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Reservation of Rights. </w:t>
      </w:r>
      <w:r>
        <w:rPr>
          <w:rFonts w:ascii="Arial" w:cs="Arial" w:eastAsia="Arial" w:hAnsi="Arial"/>
          <w:sz w:val="18"/>
          <w:szCs w:val="18"/>
          <w:color w:val="auto"/>
        </w:rPr>
        <w:t>Except as provided in this Section 8, an Optionee or Purchaser shall have no rights by reason of (i) any</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657860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355" w:right="359" w:bottom="1440" w:gutter="0" w:footer="0" w:header="0"/>
        </w:sectPr>
      </w:pPr>
    </w:p>
    <w:bookmarkStart w:id="111" w:name="page112"/>
    <w:bookmarkEnd w:id="111"/>
    <w:p>
      <w:pPr>
        <w:spacing w:after="0" w:line="286" w:lineRule="auto"/>
        <w:rPr>
          <w:sz w:val="20"/>
          <w:szCs w:val="20"/>
          <w:color w:val="auto"/>
        </w:rPr>
      </w:pPr>
      <w:r>
        <w:rPr>
          <w:rFonts w:ascii="Arial" w:cs="Arial" w:eastAsia="Arial" w:hAnsi="Arial"/>
          <w:sz w:val="17"/>
          <w:szCs w:val="17"/>
          <w:color w:val="auto"/>
        </w:rPr>
        <w:t>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DRAG ALONG RIGHTS.</w:t>
      </w:r>
    </w:p>
    <w:p>
      <w:pPr>
        <w:spacing w:after="0" w:line="117" w:lineRule="exact"/>
        <w:rPr>
          <w:sz w:val="20"/>
          <w:szCs w:val="20"/>
          <w:color w:val="auto"/>
        </w:rPr>
      </w:pPr>
    </w:p>
    <w:p>
      <w:pPr>
        <w:ind w:firstLine="1322"/>
        <w:spacing w:after="0" w:line="289" w:lineRule="auto"/>
        <w:rPr>
          <w:sz w:val="20"/>
          <w:szCs w:val="20"/>
          <w:color w:val="auto"/>
        </w:rPr>
      </w:pPr>
      <w:r>
        <w:rPr>
          <w:rFonts w:ascii="Arial" w:cs="Arial" w:eastAsia="Arial" w:hAnsi="Arial"/>
          <w:sz w:val="16"/>
          <w:szCs w:val="16"/>
          <w:color w:val="auto"/>
        </w:rPr>
        <w:t>The common stockholders holding at least a majority of the outstanding common stock of the Company (the “</w:t>
      </w:r>
      <w:r>
        <w:rPr>
          <w:rFonts w:ascii="Arial" w:cs="Arial" w:eastAsia="Arial" w:hAnsi="Arial"/>
          <w:sz w:val="16"/>
          <w:szCs w:val="16"/>
          <w:b w:val="1"/>
          <w:bCs w:val="1"/>
          <w:u w:val="single" w:color="auto"/>
          <w:color w:val="auto"/>
        </w:rPr>
        <w:t>Majority in Interest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Stockholders</w:t>
      </w:r>
      <w:r>
        <w:rPr>
          <w:rFonts w:ascii="Arial" w:cs="Arial" w:eastAsia="Arial" w:hAnsi="Arial"/>
          <w:sz w:val="16"/>
          <w:szCs w:val="16"/>
          <w:color w:val="auto"/>
        </w:rPr>
        <w:t>”) shall have the right, subject to applicable law, to require each holder of Shares purchased under this Plan or issued upon exercise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(the “</w:t>
      </w:r>
      <w:r>
        <w:rPr>
          <w:rFonts w:ascii="Arial" w:cs="Arial" w:eastAsia="Arial" w:hAnsi="Arial"/>
          <w:sz w:val="16"/>
          <w:szCs w:val="16"/>
          <w:b w:val="1"/>
          <w:bCs w:val="1"/>
          <w:u w:val="single" w:color="auto"/>
          <w:color w:val="auto"/>
        </w:rPr>
        <w:t>Drag Along Shares</w:t>
      </w:r>
      <w:r>
        <w:rPr>
          <w:rFonts w:ascii="Arial" w:cs="Arial" w:eastAsia="Arial" w:hAnsi="Arial"/>
          <w:sz w:val="16"/>
          <w:szCs w:val="16"/>
          <w:color w:val="auto"/>
        </w:rPr>
        <w:t>”) to enter into a bona fide arm’s length transfer of all of the Drag Along Shares owned by such holder to a proposed transferee, on the same terms and conditions as applicable to the Majority in Interest of the Stockholders. To exercise this right, the Majority in Interest of the Stockholders shall give the holders of the Drag Along Shares written notice at least fifteen (15) days prior to the proposed transfer (the “</w:t>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The Notice shall set forth: (i) the name and address of the proposed transferee; (ii) the proposed amount and form of consideration to be paid for such shares and the terms and conditions of payment offered by each proposed transferee; and (iii) confirmation that the proposed transferee has been informed of the rights set forth in this Section 9 and has agreed to purchase the Drag Along Shares in accordance with the terms hereof. Each holder of Drag Along Shares shall thereafter be obligated to sell his or her Drag Along Shares to the proposed transferee and shall enter into a purchase agreement and any other relevant documents with the proposed transferee in form and substance as approved by the Majority in Interest of the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PROXY</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Each holder of Drag Along Shares hereby revokes all previous proxies and other rights granted to third persons with regard to the Drag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Along Shares (other than those arising hereunder) and any and all other securities issued in respect thereof or in substitution thereof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Subject Shares</w:t>
      </w:r>
      <w:r>
        <w:rPr>
          <w:rFonts w:ascii="Arial" w:cs="Arial" w:eastAsia="Arial" w:hAnsi="Arial"/>
          <w:sz w:val="16"/>
          <w:szCs w:val="16"/>
          <w:color w:val="auto"/>
        </w:rPr>
        <w:t>”) and hereby appoints the Majority in Interest of the Stockholders as such holder’s proxyholder, with full power of substitution, as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Subject Shares to exercise all rights of any nature whatsoever in respect of the Subject Shares and to execute any instrument in respect thereof,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without limitation to attend and vote at any meeting of the stockholders of the Company and any adjournment thereof, and to execute any and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consents of stockholders of the Company, with the same effect as if such holder had personally attended the meetings or had personally voted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Shares or had personally signed such written consents. This proxy is coupled with an interest and is irrevocable, and shall be binding upon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transferees receiving any Subject Shares.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SECURITIES LAW REQUIREMENTS.</w:t>
      </w:r>
    </w:p>
    <w:p>
      <w:pPr>
        <w:spacing w:after="0" w:line="121" w:lineRule="exact"/>
        <w:rPr>
          <w:sz w:val="20"/>
          <w:szCs w:val="20"/>
          <w:color w:val="auto"/>
        </w:rPr>
      </w:pPr>
    </w:p>
    <w:p>
      <w:pPr>
        <w:ind w:firstLine="1322"/>
        <w:spacing w:after="0" w:line="311" w:lineRule="auto"/>
        <w:rPr>
          <w:sz w:val="20"/>
          <w:szCs w:val="20"/>
          <w:color w:val="auto"/>
        </w:rPr>
      </w:pPr>
      <w:r>
        <w:rPr>
          <w:rFonts w:ascii="Arial" w:cs="Arial" w:eastAsia="Arial" w:hAnsi="Arial"/>
          <w:sz w:val="16"/>
          <w:szCs w:val="16"/>
          <w:color w:val="auto"/>
        </w:rPr>
        <w:t>Shares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SECTION 12. NO GUARANTEE OF CONTINUED SERVICE.</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EACH OPTIONEE AND EACH PURCHASER OF COMMON STOCK UNDER THIS PLAN ACKNOWLEDGES AND AGREES THAT THE VESTING OF ANY OPTION OR SHARES PURSUANT TO THE VESTING SCHEDULE OF THE APPLICABLE STOCK OPTION AGREEMENT OR STOCK PURCHASE AGREEMENT HEREUNDER IS CONTINGENT ON THEIR CONTINUED SERVICE AT THE WILL OF THE COMPANY OR SUBSIDIARY (NOT THROUGH THE ACT OF BEING HIRED, BEING GRANTED THIS GRANT OR ACQUIRING SHARES HEREUNDER). EACH SUCH OPTIONEE AND EACH SUCH PURCHASER FURTHER ACKNOWLEDGES AND AGREES THAT THIS PLAN, THE TRANSACTIONS CONTEMPLATED HEREUNDER AND THE VESTING SCHEDULE SET FORTH IN THE APPLICABLE STOCK OPTION AGREEMENT OR STOCK PURCHASE AGREEMENT DO NOT CONSTITUTE AN EXPRESS OR IMPLIED PROMISE OF CONTINUED SERVICE FOR THE VESTING PERIOD, FOR ANY PERIOD, OR AT ALL, AND SHALL NOT INTERFERE IN ANY WAY WITH EACH SUCH OPTIONEE’S OR EACH SUCH PURCHASER’S RIGHT OR THE COMPANY’S OR A SUBSIDIARY’S RIGHT TO TERMINATE SUCH OPTIONEE’S OR SUCH PURCHASER’S SERVICE AT ANY TIME, WITH OR WITHOUT CAUSE AND WITH OR WITHOUT NOTICE. DURATION AND AMENDMENTS.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DURATION AND AMENDMENTS.</w:t>
      </w:r>
    </w:p>
    <w:p>
      <w:pPr>
        <w:spacing w:after="0" w:line="117" w:lineRule="exact"/>
        <w:rPr>
          <w:sz w:val="20"/>
          <w:szCs w:val="20"/>
          <w:color w:val="auto"/>
        </w:rPr>
      </w:pPr>
    </w:p>
    <w:p>
      <w:pPr>
        <w:ind w:right="160" w:firstLine="1330"/>
        <w:spacing w:after="0" w:line="256" w:lineRule="auto"/>
        <w:tabs>
          <w:tab w:leader="none" w:pos="1577"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the Plan. </w:t>
      </w:r>
      <w:r>
        <w:rPr>
          <w:rFonts w:ascii="Arial" w:cs="Arial" w:eastAsia="Arial" w:hAnsi="Arial"/>
          <w:sz w:val="18"/>
          <w:szCs w:val="18"/>
          <w:color w:val="auto"/>
        </w:rPr>
        <w:t>The Plan, as set forth herein, shall become effective on the date of its adoption by the Board of Directors,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approval of the Company’s stockholders. If the stockholders fail to approve the Plan within 12 months after its adoption by the Board of Directors, then any grants, exercises or sales that have already occurred under the Plan shall be rescinded and no additional grants, exercises or sales shall thereafter be made under the Plan. The Plan shall terminate automatically 10 years after the later of (i) its adoption by the Board of Directors or (ii) the most recent increase in the number of Shares reserved under Section 4 that was approved by the Company’s stockholders. The Plan may be terminated on any earlier date pursuant to Subsection (b) below.</w:t>
      </w:r>
    </w:p>
    <w:p>
      <w:pPr>
        <w:spacing w:after="0" w:line="79" w:lineRule="exact"/>
        <w:rPr>
          <w:rFonts w:ascii="Arial" w:cs="Arial" w:eastAsia="Arial" w:hAnsi="Arial"/>
          <w:sz w:val="18"/>
          <w:szCs w:val="18"/>
          <w:b w:val="1"/>
          <w:bCs w:val="1"/>
          <w:color w:val="auto"/>
        </w:rPr>
      </w:pPr>
    </w:p>
    <w:p>
      <w:pPr>
        <w:ind w:firstLine="1330"/>
        <w:spacing w:after="0" w:line="294" w:lineRule="auto"/>
        <w:tabs>
          <w:tab w:leader="none" w:pos="1587"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to Amend or Terminate the Plan. </w:t>
      </w:r>
      <w:r>
        <w:rPr>
          <w:rFonts w:ascii="Arial" w:cs="Arial" w:eastAsia="Arial" w:hAnsi="Arial"/>
          <w:sz w:val="16"/>
          <w:szCs w:val="16"/>
          <w:color w:val="auto"/>
        </w:rPr>
        <w:t>The Board of Directors may amend, suspend or terminate the Plan at any time and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provided, however, that any amendment of the Plan shall be subject to the approval of the Company’s stockholders if it (i) increases the number of Shares available for issuance under the Plan (except as provided in Section 8) or (ii) materially changes the class of persons who are eligible for the grant of ISOs. Stockholder approval shall not be required for any other amendment of the Plan. If the stockholders fail to approve an increase in the number of Shares reserved under Section 4 within 12 months after its adoption by the Board of Directors, then any grants, exercises or sales that have already occurred in reliance on such increase shall be rescinded and no additional grants, exercises or sales shall thereafter be made in reliance on such increase.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3" w:name="page114"/>
    <w:bookmarkEnd w:id="113"/>
    <w:p>
      <w:pPr>
        <w:ind w:firstLine="1330"/>
        <w:spacing w:after="0" w:line="266" w:lineRule="auto"/>
        <w:tabs>
          <w:tab w:leader="none" w:pos="1567"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Amendment or Termination. </w:t>
      </w:r>
      <w:r>
        <w:rPr>
          <w:rFonts w:ascii="Arial" w:cs="Arial" w:eastAsia="Arial" w:hAnsi="Arial"/>
          <w:sz w:val="18"/>
          <w:szCs w:val="18"/>
          <w:color w:val="auto"/>
        </w:rPr>
        <w:t>No Shares shall be issued or sold under the Plan after the termination thereof, except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 granted prior to such termination. The termination of the Plan, or any amendment thereof, shall not affect any Share previously issued or any Option previously granted under the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DEFINITIONS.</w:t>
      </w:r>
    </w:p>
    <w:p>
      <w:pPr>
        <w:spacing w:after="0" w:line="117" w:lineRule="exact"/>
        <w:rPr>
          <w:sz w:val="20"/>
          <w:szCs w:val="20"/>
          <w:color w:val="auto"/>
        </w:rPr>
      </w:pPr>
    </w:p>
    <w:p>
      <w:pPr>
        <w:ind w:left="1580" w:hanging="250"/>
        <w:spacing w:after="0"/>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Company, as constituted from time to time.</w:t>
      </w:r>
    </w:p>
    <w:p>
      <w:pPr>
        <w:spacing w:after="0" w:line="117" w:lineRule="exact"/>
        <w:rPr>
          <w:rFonts w:ascii="Arial" w:cs="Arial" w:eastAsia="Arial" w:hAnsi="Arial"/>
          <w:sz w:val="18"/>
          <w:szCs w:val="18"/>
          <w:color w:val="auto"/>
        </w:rPr>
      </w:pPr>
    </w:p>
    <w:p>
      <w:pPr>
        <w:ind w:left="1580" w:hanging="250"/>
        <w:spacing w:after="0"/>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color w:val="auto"/>
        </w:rPr>
      </w:pPr>
    </w:p>
    <w:p>
      <w:pPr>
        <w:ind w:left="1580" w:hanging="250"/>
        <w:spacing w:after="0"/>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of Directors, as described in Section 2(a).</w:t>
      </w:r>
    </w:p>
    <w:p>
      <w:pPr>
        <w:spacing w:after="0" w:line="117" w:lineRule="exact"/>
        <w:rPr>
          <w:rFonts w:ascii="Arial" w:cs="Arial" w:eastAsia="Arial" w:hAnsi="Arial"/>
          <w:sz w:val="18"/>
          <w:szCs w:val="18"/>
          <w:color w:val="auto"/>
        </w:rPr>
      </w:pPr>
    </w:p>
    <w:p>
      <w:pPr>
        <w:ind w:left="1580" w:hanging="250"/>
        <w:spacing w:after="0"/>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GoodRx, Inc., a Delaware corporation.</w:t>
      </w:r>
    </w:p>
    <w:p>
      <w:pPr>
        <w:spacing w:after="0" w:line="117" w:lineRule="exact"/>
        <w:rPr>
          <w:rFonts w:ascii="Arial" w:cs="Arial" w:eastAsia="Arial" w:hAnsi="Arial"/>
          <w:sz w:val="18"/>
          <w:szCs w:val="18"/>
          <w:color w:val="auto"/>
        </w:rPr>
      </w:pPr>
    </w:p>
    <w:p>
      <w:pPr>
        <w:ind w:right="440" w:firstLine="1330"/>
        <w:spacing w:after="0" w:line="282" w:lineRule="auto"/>
        <w:tabs>
          <w:tab w:leader="none" w:pos="15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shall mean a person who performs bona fide services for the Company, a Parent or a Subsidiary as a consultant or advisor, excluding Employees and Outside Directors.</w:t>
      </w:r>
    </w:p>
    <w:p>
      <w:pPr>
        <w:spacing w:after="0" w:line="53" w:lineRule="exact"/>
        <w:rPr>
          <w:rFonts w:ascii="Arial" w:cs="Arial" w:eastAsia="Arial" w:hAnsi="Arial"/>
          <w:sz w:val="18"/>
          <w:szCs w:val="18"/>
          <w:color w:val="auto"/>
        </w:rPr>
      </w:pPr>
    </w:p>
    <w:p>
      <w:pPr>
        <w:ind w:right="820" w:firstLine="1330"/>
        <w:spacing w:after="0" w:line="282" w:lineRule="auto"/>
        <w:tabs>
          <w:tab w:leader="none" w:pos="15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shall mean that the Optionee is unable to engage in any substantial gainful activity by reason of any medically determinable physical or mental impairment.</w:t>
      </w:r>
    </w:p>
    <w:p>
      <w:pPr>
        <w:spacing w:after="0" w:line="53" w:lineRule="exact"/>
        <w:rPr>
          <w:rFonts w:ascii="Arial" w:cs="Arial" w:eastAsia="Arial" w:hAnsi="Arial"/>
          <w:sz w:val="18"/>
          <w:szCs w:val="18"/>
          <w:color w:val="auto"/>
        </w:rPr>
      </w:pPr>
    </w:p>
    <w:p>
      <w:pPr>
        <w:ind w:left="1580" w:hanging="250"/>
        <w:spacing w:after="0"/>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shall mean any individual who is a common-law employee of the Company, a Parent or a Subsidiary.</w:t>
      </w:r>
    </w:p>
    <w:p>
      <w:pPr>
        <w:spacing w:after="0" w:line="117" w:lineRule="exact"/>
        <w:rPr>
          <w:rFonts w:ascii="Arial" w:cs="Arial" w:eastAsia="Arial" w:hAnsi="Arial"/>
          <w:sz w:val="18"/>
          <w:szCs w:val="18"/>
          <w:color w:val="auto"/>
        </w:rPr>
      </w:pPr>
    </w:p>
    <w:p>
      <w:pPr>
        <w:ind w:right="480" w:firstLine="1330"/>
        <w:spacing w:after="0" w:line="282" w:lineRule="auto"/>
        <w:tabs>
          <w:tab w:leader="none" w:pos="15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amount for which one Share may be purchased upon exercise of an Option, as specified by the Board of Directors in the applicable Stock Option Agreement.</w:t>
      </w:r>
    </w:p>
    <w:p>
      <w:pPr>
        <w:spacing w:after="0" w:line="53" w:lineRule="exact"/>
        <w:rPr>
          <w:rFonts w:ascii="Arial" w:cs="Arial" w:eastAsia="Arial" w:hAnsi="Arial"/>
          <w:sz w:val="18"/>
          <w:szCs w:val="18"/>
          <w:color w:val="auto"/>
        </w:rPr>
      </w:pPr>
    </w:p>
    <w:p>
      <w:pPr>
        <w:ind w:right="580" w:firstLine="1330"/>
        <w:spacing w:after="0" w:line="282" w:lineRule="auto"/>
        <w:tabs>
          <w:tab w:leader="none" w:pos="15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the fair market value of a Share, as determined by the Board of Directors in accordance with applicable law. Such determination shall be conclusive and binding on all persons.</w:t>
      </w:r>
    </w:p>
    <w:p>
      <w:pPr>
        <w:spacing w:after="0" w:line="53" w:lineRule="exact"/>
        <w:rPr>
          <w:rFonts w:ascii="Arial" w:cs="Arial" w:eastAsia="Arial" w:hAnsi="Arial"/>
          <w:sz w:val="18"/>
          <w:szCs w:val="18"/>
          <w:color w:val="auto"/>
        </w:rPr>
      </w:pPr>
    </w:p>
    <w:p>
      <w:pPr>
        <w:ind w:right="160" w:firstLine="1330"/>
        <w:spacing w:after="0" w:line="277" w:lineRule="auto"/>
        <w:tabs>
          <w:tab w:leader="none" w:pos="1537" w:val="left"/>
        </w:tabs>
        <w:numPr>
          <w:ilvl w:val="0"/>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Family Member</w:t>
      </w:r>
      <w:r>
        <w:rPr>
          <w:rFonts w:ascii="Arial" w:cs="Arial" w:eastAsia="Arial" w:hAnsi="Arial"/>
          <w:sz w:val="17"/>
          <w:szCs w:val="17"/>
          <w:color w:val="auto"/>
        </w:rPr>
        <w:t>” shall mean (i) any child, stepchild, grandchild, parent, stepparent, grandparent, spouse, former spouse, sibling, niece, nephew, mother-in-law, father-in-law, son-in-law, daughter-in-law, brother-in-law or sister-in-law, including adoptive relationships, (ii) any person sharing the Optionee’s household (other than a tenant or employee), (iii) a trust in which persons described in Clause (i) or (ii) have more than 50% of the beneficial interest, (iv) a foundation in which persons described in Clause (i) or (ii) or the Optionee control the management of assets and (v) any other entity in which persons described in Clause (i) or (ii) or the Optionee own more than 50% of the voting interests.</w:t>
      </w:r>
    </w:p>
    <w:p>
      <w:pPr>
        <w:spacing w:after="0" w:line="59" w:lineRule="exact"/>
        <w:rPr>
          <w:rFonts w:ascii="Arial" w:cs="Arial" w:eastAsia="Arial" w:hAnsi="Arial"/>
          <w:sz w:val="17"/>
          <w:szCs w:val="17"/>
          <w:color w:val="auto"/>
        </w:rPr>
      </w:pPr>
    </w:p>
    <w:p>
      <w:pPr>
        <w:ind w:left="1580" w:hanging="250"/>
        <w:spacing w:after="0"/>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ISO</w:t>
      </w:r>
      <w:r>
        <w:rPr>
          <w:rFonts w:ascii="Arial" w:cs="Arial" w:eastAsia="Arial" w:hAnsi="Arial"/>
          <w:sz w:val="18"/>
          <w:szCs w:val="18"/>
          <w:color w:val="auto"/>
        </w:rPr>
        <w:t>” shall mean an employee incentive stock option described in Section 422(b) of the Code.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4" w:name="page115"/>
    <w:bookmarkEnd w:id="114"/>
    <w:p>
      <w:pPr>
        <w:ind w:left="1520" w:hanging="210"/>
        <w:spacing w:after="0"/>
        <w:tabs>
          <w:tab w:leader="none" w:pos="1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Nonstatutory Option</w:t>
      </w:r>
      <w:r>
        <w:rPr>
          <w:rFonts w:ascii="Arial" w:cs="Arial" w:eastAsia="Arial" w:hAnsi="Arial"/>
          <w:sz w:val="18"/>
          <w:szCs w:val="18"/>
          <w:color w:val="auto"/>
        </w:rPr>
        <w:t>” shall mean a stock option not described in Sections 422(b) or 423(b) of the Code.</w:t>
      </w:r>
    </w:p>
    <w:p>
      <w:pPr>
        <w:spacing w:after="0" w:line="117" w:lineRule="exact"/>
        <w:rPr>
          <w:rFonts w:ascii="Arial" w:cs="Arial" w:eastAsia="Arial" w:hAnsi="Arial"/>
          <w:sz w:val="18"/>
          <w:szCs w:val="18"/>
          <w:color w:val="auto"/>
        </w:rPr>
      </w:pPr>
    </w:p>
    <w:p>
      <w:pPr>
        <w:ind w:left="1620" w:hanging="31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shall mean an ISO or Nonstatutory Option granted under the Plan and entitling the holder to purchase Shares.</w:t>
      </w:r>
    </w:p>
    <w:p>
      <w:pPr>
        <w:spacing w:after="0" w:line="117" w:lineRule="exact"/>
        <w:rPr>
          <w:rFonts w:ascii="Arial" w:cs="Arial" w:eastAsia="Arial" w:hAnsi="Arial"/>
          <w:sz w:val="18"/>
          <w:szCs w:val="18"/>
          <w:color w:val="auto"/>
        </w:rPr>
      </w:pPr>
    </w:p>
    <w:p>
      <w:pPr>
        <w:ind w:left="1560" w:hanging="250"/>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shall mean a person who holds an Option.</w:t>
      </w:r>
    </w:p>
    <w:p>
      <w:pPr>
        <w:spacing w:after="0" w:line="117" w:lineRule="exact"/>
        <w:rPr>
          <w:rFonts w:ascii="Arial" w:cs="Arial" w:eastAsia="Arial" w:hAnsi="Arial"/>
          <w:sz w:val="18"/>
          <w:szCs w:val="18"/>
          <w:color w:val="auto"/>
        </w:rPr>
      </w:pPr>
    </w:p>
    <w:p>
      <w:pPr>
        <w:ind w:left="1560" w:hanging="250"/>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Director</w:t>
      </w:r>
      <w:r>
        <w:rPr>
          <w:rFonts w:ascii="Arial" w:cs="Arial" w:eastAsia="Arial" w:hAnsi="Arial"/>
          <w:sz w:val="18"/>
          <w:szCs w:val="18"/>
          <w:color w:val="auto"/>
        </w:rPr>
        <w:t>” shall mean a member of the Board of Directors who is not an Employee.</w:t>
      </w:r>
    </w:p>
    <w:p>
      <w:pPr>
        <w:spacing w:after="0" w:line="117" w:lineRule="exact"/>
        <w:rPr>
          <w:rFonts w:ascii="Arial" w:cs="Arial" w:eastAsia="Arial" w:hAnsi="Arial"/>
          <w:sz w:val="18"/>
          <w:szCs w:val="18"/>
          <w:color w:val="auto"/>
        </w:rPr>
      </w:pPr>
    </w:p>
    <w:p>
      <w:pPr>
        <w:ind w:left="-20" w:right="200" w:firstLine="1330"/>
        <w:spacing w:after="0" w:line="261" w:lineRule="auto"/>
        <w:tabs>
          <w:tab w:leader="none" w:pos="15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71" w:lineRule="exact"/>
        <w:rPr>
          <w:rFonts w:ascii="Arial" w:cs="Arial" w:eastAsia="Arial" w:hAnsi="Arial"/>
          <w:sz w:val="18"/>
          <w:szCs w:val="18"/>
          <w:color w:val="auto"/>
        </w:rPr>
      </w:pPr>
    </w:p>
    <w:p>
      <w:pPr>
        <w:ind w:left="1560" w:hanging="250"/>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this GoodRx, Inc. 2011 Stock Plan.</w:t>
      </w:r>
    </w:p>
    <w:p>
      <w:pPr>
        <w:spacing w:after="0" w:line="117" w:lineRule="exact"/>
        <w:rPr>
          <w:rFonts w:ascii="Arial" w:cs="Arial" w:eastAsia="Arial" w:hAnsi="Arial"/>
          <w:sz w:val="18"/>
          <w:szCs w:val="18"/>
          <w:color w:val="auto"/>
        </w:rPr>
      </w:pPr>
    </w:p>
    <w:p>
      <w:pPr>
        <w:ind w:left="-20" w:right="160" w:firstLine="1330"/>
        <w:spacing w:after="0" w:line="282" w:lineRule="auto"/>
        <w:tabs>
          <w:tab w:leader="none" w:pos="15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shall mean the consideration for which one Share may be acquired under the Plan (other than upon exercise of an Option), as specified by the Board of Directors.</w:t>
      </w:r>
    </w:p>
    <w:p>
      <w:pPr>
        <w:spacing w:after="0" w:line="53" w:lineRule="exact"/>
        <w:rPr>
          <w:rFonts w:ascii="Arial" w:cs="Arial" w:eastAsia="Arial" w:hAnsi="Arial"/>
          <w:sz w:val="18"/>
          <w:szCs w:val="18"/>
          <w:color w:val="auto"/>
        </w:rPr>
      </w:pPr>
    </w:p>
    <w:p>
      <w:pPr>
        <w:ind w:left="-20" w:right="200" w:firstLine="1330"/>
        <w:spacing w:after="0" w:line="282" w:lineRule="auto"/>
        <w:tabs>
          <w:tab w:leader="none" w:pos="15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shall mean a person to whom the Board of Directors has offered the right to acquire Shares under the Plan (other than upon exercise of an Option).</w:t>
      </w:r>
    </w:p>
    <w:p>
      <w:pPr>
        <w:spacing w:after="0" w:line="53" w:lineRule="exact"/>
        <w:rPr>
          <w:rFonts w:ascii="Arial" w:cs="Arial" w:eastAsia="Arial" w:hAnsi="Arial"/>
          <w:sz w:val="18"/>
          <w:szCs w:val="18"/>
          <w:color w:val="auto"/>
        </w:rPr>
      </w:pPr>
    </w:p>
    <w:p>
      <w:pPr>
        <w:ind w:left="1520" w:hanging="210"/>
        <w:spacing w:after="0"/>
        <w:tabs>
          <w:tab w:leader="none" w:pos="1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shall mean service as an Employee, Outside Director or Consultant.</w:t>
      </w:r>
    </w:p>
    <w:p>
      <w:pPr>
        <w:spacing w:after="0" w:line="117" w:lineRule="exact"/>
        <w:rPr>
          <w:rFonts w:ascii="Arial" w:cs="Arial" w:eastAsia="Arial" w:hAnsi="Arial"/>
          <w:sz w:val="18"/>
          <w:szCs w:val="18"/>
          <w:color w:val="auto"/>
        </w:rPr>
      </w:pPr>
    </w:p>
    <w:p>
      <w:pPr>
        <w:ind w:left="1560" w:hanging="250"/>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shall mean one share of Stock, as adjusted in accordance with Section 8 (if applicable).</w:t>
      </w:r>
    </w:p>
    <w:p>
      <w:pPr>
        <w:spacing w:after="0" w:line="117" w:lineRule="exact"/>
        <w:rPr>
          <w:rFonts w:ascii="Arial" w:cs="Arial" w:eastAsia="Arial" w:hAnsi="Arial"/>
          <w:sz w:val="18"/>
          <w:szCs w:val="18"/>
          <w:color w:val="auto"/>
        </w:rPr>
      </w:pPr>
    </w:p>
    <w:p>
      <w:pPr>
        <w:ind w:left="1560" w:hanging="250"/>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shall mean the Common Stock of the Company, with a par value of $0.0001 per Share.</w:t>
      </w:r>
    </w:p>
    <w:p>
      <w:pPr>
        <w:spacing w:after="0" w:line="117" w:lineRule="exact"/>
        <w:rPr>
          <w:rFonts w:ascii="Arial" w:cs="Arial" w:eastAsia="Arial" w:hAnsi="Arial"/>
          <w:sz w:val="18"/>
          <w:szCs w:val="18"/>
          <w:color w:val="auto"/>
        </w:rPr>
      </w:pPr>
    </w:p>
    <w:p>
      <w:pPr>
        <w:ind w:left="-20" w:right="260" w:firstLine="1330"/>
        <w:spacing w:after="0" w:line="282" w:lineRule="auto"/>
        <w:tabs>
          <w:tab w:leader="none" w:pos="15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Option Agreement</w:t>
      </w:r>
      <w:r>
        <w:rPr>
          <w:rFonts w:ascii="Arial" w:cs="Arial" w:eastAsia="Arial" w:hAnsi="Arial"/>
          <w:sz w:val="18"/>
          <w:szCs w:val="18"/>
          <w:color w:val="auto"/>
        </w:rPr>
        <w:t>” shall mean the agreement between the Company and an Optionee that contains the terms, conditions and restrictions pertaining to the Optionee’s Option.</w:t>
      </w:r>
    </w:p>
    <w:p>
      <w:pPr>
        <w:spacing w:after="0" w:line="53" w:lineRule="exact"/>
        <w:rPr>
          <w:rFonts w:ascii="Arial" w:cs="Arial" w:eastAsia="Arial" w:hAnsi="Arial"/>
          <w:sz w:val="18"/>
          <w:szCs w:val="18"/>
          <w:color w:val="auto"/>
        </w:rPr>
      </w:pPr>
    </w:p>
    <w:p>
      <w:pPr>
        <w:ind w:left="-20" w:right="80" w:firstLine="1330"/>
        <w:spacing w:after="0" w:line="282" w:lineRule="auto"/>
        <w:tabs>
          <w:tab w:leader="none" w:pos="15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Purchase Agreement</w:t>
      </w:r>
      <w:r>
        <w:rPr>
          <w:rFonts w:ascii="Arial" w:cs="Arial" w:eastAsia="Arial" w:hAnsi="Arial"/>
          <w:sz w:val="18"/>
          <w:szCs w:val="18"/>
          <w:color w:val="auto"/>
        </w:rPr>
        <w:t>” shall mean the agreement between the Company and a Purchaser who acquires Shares under the Plan that contains the terms, conditions and restrictions pertaining to the acquisition of such Shares.</w:t>
      </w:r>
    </w:p>
    <w:p>
      <w:pPr>
        <w:spacing w:after="0" w:line="53" w:lineRule="exact"/>
        <w:rPr>
          <w:rFonts w:ascii="Arial" w:cs="Arial" w:eastAsia="Arial" w:hAnsi="Arial"/>
          <w:sz w:val="18"/>
          <w:szCs w:val="18"/>
          <w:color w:val="auto"/>
        </w:rPr>
      </w:pPr>
    </w:p>
    <w:p>
      <w:pPr>
        <w:ind w:left="-20" w:firstLine="1330"/>
        <w:spacing w:after="0" w:line="261" w:lineRule="auto"/>
        <w:tabs>
          <w:tab w:leader="none" w:pos="15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351" w:right="35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AMENDMENT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GOODRX, INC. 2011 STOCK PLAN</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Pursuant to the Unanimous Written Consent of the Board of Directors of GoodRx, Inc. (the “</w:t>
      </w:r>
      <w:r>
        <w:rPr>
          <w:rFonts w:ascii="Arial" w:cs="Arial" w:eastAsia="Arial" w:hAnsi="Arial"/>
          <w:sz w:val="16"/>
          <w:szCs w:val="16"/>
          <w:u w:val="single" w:color="auto"/>
          <w:color w:val="auto"/>
        </w:rPr>
        <w:t>Company</w:t>
      </w:r>
      <w:r>
        <w:rPr>
          <w:rFonts w:ascii="Arial" w:cs="Arial" w:eastAsia="Arial" w:hAnsi="Arial"/>
          <w:sz w:val="16"/>
          <w:szCs w:val="16"/>
          <w:color w:val="auto"/>
        </w:rPr>
        <w:t>”) dated as of June 12, 2015,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GoodRx, Inc. 2011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is hereby amended as follows:</w:t>
      </w:r>
    </w:p>
    <w:p>
      <w:pPr>
        <w:spacing w:after="0" w:line="116" w:lineRule="exact"/>
        <w:rPr>
          <w:sz w:val="20"/>
          <w:szCs w:val="20"/>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8(b) is hereby amended and restated in its entirety by the following: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Sale.</w:t>
      </w:r>
      <w:r>
        <w:rPr>
          <w:rFonts w:ascii="Arial" w:cs="Arial" w:eastAsia="Arial" w:hAnsi="Arial"/>
          <w:sz w:val="16"/>
          <w:szCs w:val="16"/>
          <w:color w:val="auto"/>
        </w:rPr>
        <w:t xml:space="preserve"> All outstanding Options shall be subject to (i) an agreement of merger or consolidation if the Company is a party to such agreement or</w:t>
      </w:r>
    </w:p>
    <w:p>
      <w:pPr>
        <w:spacing w:after="0" w:line="50" w:lineRule="exact"/>
        <w:rPr>
          <w:sz w:val="20"/>
          <w:szCs w:val="20"/>
          <w:color w:val="auto"/>
        </w:rPr>
      </w:pPr>
    </w:p>
    <w:p>
      <w:pPr>
        <w:ind w:firstLine="8"/>
        <w:spacing w:after="0" w:line="253" w:lineRule="auto"/>
        <w:tabs>
          <w:tab w:leader="none" w:pos="2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stock purchase agreement entered into by a Majority in Interest of the Stockholders (defined in Section 9) pursuant to which more than fifty percent (50%) of the voting securities of the Company are being sold (a “</w:t>
      </w:r>
      <w:r>
        <w:rPr>
          <w:rFonts w:ascii="Arial" w:cs="Arial" w:eastAsia="Arial" w:hAnsi="Arial"/>
          <w:sz w:val="18"/>
          <w:szCs w:val="18"/>
          <w:b w:val="1"/>
          <w:bCs w:val="1"/>
          <w:color w:val="auto"/>
        </w:rPr>
        <w:t>Stock Sale</w:t>
      </w:r>
      <w:r>
        <w:rPr>
          <w:rFonts w:ascii="Arial" w:cs="Arial" w:eastAsia="Arial" w:hAnsi="Arial"/>
          <w:sz w:val="18"/>
          <w:szCs w:val="18"/>
          <w:color w:val="auto"/>
        </w:rPr>
        <w:t>” and collectively with a merger or consolidation described in clause (i) a “</w:t>
      </w:r>
      <w:r>
        <w:rPr>
          <w:rFonts w:ascii="Arial" w:cs="Arial" w:eastAsia="Arial" w:hAnsi="Arial"/>
          <w:sz w:val="18"/>
          <w:szCs w:val="18"/>
          <w:b w:val="1"/>
          <w:bCs w:val="1"/>
          <w:color w:val="auto"/>
        </w:rPr>
        <w:t>Company Sale</w:t>
      </w:r>
      <w:r>
        <w:rPr>
          <w:rFonts w:ascii="Arial" w:cs="Arial" w:eastAsia="Arial" w:hAnsi="Arial"/>
          <w:sz w:val="18"/>
          <w:szCs w:val="18"/>
          <w:color w:val="auto"/>
        </w:rPr>
        <w:t>”) to one or more third parties (each a “</w:t>
      </w:r>
      <w:r>
        <w:rPr>
          <w:rFonts w:ascii="Arial" w:cs="Arial" w:eastAsia="Arial" w:hAnsi="Arial"/>
          <w:sz w:val="18"/>
          <w:szCs w:val="18"/>
          <w:b w:val="1"/>
          <w:bCs w:val="1"/>
          <w:color w:val="auto"/>
        </w:rPr>
        <w:t>Stock Purchaser</w:t>
      </w:r>
      <w:r>
        <w:rPr>
          <w:rFonts w:ascii="Arial" w:cs="Arial" w:eastAsia="Arial" w:hAnsi="Arial"/>
          <w:sz w:val="18"/>
          <w:szCs w:val="18"/>
          <w:color w:val="auto"/>
        </w:rPr>
        <w:t>”). Such agreement may provide for one or more of the following, without the consent of any of the Optionees: The continuation of any outstanding Options by the Company (if, in the case of a merger or consolidation, the Company is the surviving corporation).</w:t>
      </w:r>
    </w:p>
    <w:p>
      <w:pPr>
        <w:spacing w:after="0" w:line="96" w:lineRule="exact"/>
        <w:rPr>
          <w:sz w:val="20"/>
          <w:szCs w:val="20"/>
          <w:color w:val="auto"/>
        </w:rPr>
      </w:pPr>
    </w:p>
    <w:p>
      <w:pPr>
        <w:ind w:left="460" w:right="52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merger or consolidation, the assumption of any outstanding Options by the surviving corporation or its parent in a manner that complies with Section 424(a) of the Code (whether or not such Options are ISOs).</w:t>
      </w:r>
    </w:p>
    <w:p>
      <w:pPr>
        <w:spacing w:after="0" w:line="75"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merger or consolidation, the substitution by the surviving corporation or its parent of new options for any outstanding Options in a manner that complies with Section 424(a) of the Code (whether or not such Options are ISOs).</w:t>
      </w:r>
    </w:p>
    <w:p>
      <w:pPr>
        <w:spacing w:after="0" w:line="75"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Stock Sale, the substitution by Purchaser, or its parent, of new options for any outstanding Options in a manner that complies with Section 424(a) of the Code (whether or not such Options are ISOs).</w:t>
      </w:r>
    </w:p>
    <w:p>
      <w:pPr>
        <w:spacing w:after="0" w:line="75"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Full exercisability of any outstanding Options and full vesting of the Shares subject to such Options, followed by the cancellation of such Options. The full exercisability of such Options and full vesting of the Shares subject to such Options may be contingent on the closing of such Company Sale. The Optionees shall be able to exercise such Options during a period of not less than five full business days preceding the closing date of such Company Sale, unless (A) a shorter period is required to permit a timely closing of such Company Sale and (B) such shorter period still offers the Optionees a reasonable opportunity to exercise such Options. Any exercise of such Options during such period may be contingent on the closing of such Company Sale.</w:t>
      </w:r>
    </w:p>
    <w:p>
      <w:pPr>
        <w:spacing w:after="0" w:line="97"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cancellation of any outstanding Options and a payment to the Optionees equal to the excess of (A) the Fair Market Value of the Shares subject to such Options (whether or not such Options are then exercisable or such Shares are then vested) as of the closing date of such Company Sale over</w:t>
      </w:r>
    </w:p>
    <w:p>
      <w:pPr>
        <w:ind w:left="460" w:right="120"/>
        <w:spacing w:after="0" w:line="260" w:lineRule="auto"/>
        <w:rPr>
          <w:rFonts w:ascii="Arial" w:cs="Arial" w:eastAsia="Arial" w:hAnsi="Arial"/>
          <w:sz w:val="16"/>
          <w:szCs w:val="16"/>
          <w:color w:val="auto"/>
        </w:rPr>
      </w:pPr>
      <w:r>
        <w:rPr>
          <w:rFonts w:ascii="Arial" w:cs="Arial" w:eastAsia="Arial" w:hAnsi="Arial"/>
          <w:sz w:val="18"/>
          <w:szCs w:val="18"/>
          <w:color w:val="auto"/>
        </w:rPr>
        <w:t>(B) their Exercise Price. Such payment shall be made in the form of cash, cash equivalents, or securities of the surviving corporation or its parent in the case of a merger or consolidation, or of a Purchaser or its parent in the case of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4" w:right="379" w:bottom="1440" w:gutter="0" w:footer="0" w:header="0"/>
        </w:sectPr>
      </w:pPr>
    </w:p>
    <w:bookmarkStart w:id="116" w:name="page117"/>
    <w:bookmarkEnd w:id="116"/>
    <w:p>
      <w:pPr>
        <w:ind w:left="200"/>
        <w:spacing w:after="0" w:line="272" w:lineRule="auto"/>
        <w:rPr>
          <w:sz w:val="20"/>
          <w:szCs w:val="20"/>
          <w:color w:val="auto"/>
        </w:rPr>
      </w:pPr>
      <w:r>
        <w:rPr>
          <w:rFonts w:ascii="Arial" w:cs="Arial" w:eastAsia="Arial" w:hAnsi="Arial"/>
          <w:sz w:val="17"/>
          <w:szCs w:val="17"/>
          <w:color w:val="auto"/>
        </w:rPr>
        <w:t>Sale with a Fair Market Value equal to the required amount. Subject to Section 409A of the Code, such payment may be made in installments and may be deferred until the date or dates when such Options would have become exercisable or such Shares would have vested. Such payment may be subject to vesting based on the Optionee’s continuing Service, provided that the vesting schedule shall not be less favorable to the Optionee than the schedule under which such Options would have become exercisable or such Shares would have vested. If the Exercise Price of the Shares subject to such Options exceeds the Fair Market Value of such Shares, then such Options may be cancelled without making a payment to the Optionees. For purposes of this Paragraph (vi), the Fair Market Value of any security shall be determined without regard to any vesting conditions that may apply to such security.”</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Secretary of the Company hereby certifies that the foregoing is a true and correct amendment of the Plan.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WITNESS the signature of the undersigned as of June 12, 2015.</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4771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Trevor Bezdek,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675005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598" w:right="35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Spousal Consent</w:t>
      </w:r>
    </w:p>
    <w:p>
      <w:pPr>
        <w:spacing w:after="0" w:line="22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The undersigned spouse hereby acknowledges that I have read the following plans, arrangements and agreements to which my spouse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party or subject:</w:t>
      </w:r>
    </w:p>
    <w:p>
      <w:pPr>
        <w:spacing w:after="0" w:line="9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GoodRx Holdings, Inc. [________] Agreement, dated ___________</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GoodRx Holdings, Inc. Fifth Amended and Restated 2015 Equity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and that I understand their contents. I am aware that such plans, arrangements and agreements (i) provide for the repurchase, under certain circumstances, of any and all shares of capital stock of GoodRx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that are ever acquired by my spouse pursuant to the Plan and (ii) impose certain obligations upon my spouse and restrictions on transfer of my spouse’s shares of capital stock of the Company under certain circumstances. I agree that my spouse’s interest in the capital stock of the Company is subject to the documents referred to above and the other agreements referred to therein and any interest I may have in the Company or in such capital stock shall be irrevocably bound by these agreements and the other agreements referred to therein, and further agree that any community property interest of mine (if any) shall be similarly bound by these agreements.</w:t>
      </w:r>
    </w:p>
    <w:p>
      <w:pPr>
        <w:spacing w:after="0" w:line="56" w:lineRule="exact"/>
        <w:rPr>
          <w:sz w:val="20"/>
          <w:szCs w:val="20"/>
          <w:color w:val="auto"/>
        </w:rPr>
      </w:pPr>
    </w:p>
    <w:p>
      <w:pPr>
        <w:ind w:right="440" w:firstLine="1322"/>
        <w:spacing w:after="0" w:line="291" w:lineRule="auto"/>
        <w:rPr>
          <w:sz w:val="20"/>
          <w:szCs w:val="20"/>
          <w:color w:val="auto"/>
        </w:rPr>
      </w:pPr>
      <w:r>
        <w:rPr>
          <w:rFonts w:ascii="Arial" w:cs="Arial" w:eastAsia="Arial" w:hAnsi="Arial"/>
          <w:sz w:val="16"/>
          <w:szCs w:val="16"/>
          <w:color w:val="auto"/>
        </w:rPr>
        <w:t>For the benefit of the Company (which is relying hereon), the undersigned spouse irrevocably constitutes and appoints, on behalf of himself or herself and his or her heirs, legatees and assigns, ______________, who is the spouse of the undersigned (the “</w:t>
      </w:r>
      <w:r>
        <w:rPr>
          <w:rFonts w:ascii="Arial" w:cs="Arial" w:eastAsia="Arial" w:hAnsi="Arial"/>
          <w:sz w:val="16"/>
          <w:szCs w:val="16"/>
          <w:u w:val="single" w:color="auto"/>
          <w:color w:val="auto"/>
        </w:rPr>
        <w:t>Participant</w:t>
      </w:r>
      <w:r>
        <w:rPr>
          <w:rFonts w:ascii="Arial" w:cs="Arial" w:eastAsia="Arial" w:hAnsi="Arial"/>
          <w:sz w:val="16"/>
          <w:szCs w:val="16"/>
          <w:color w:val="auto"/>
        </w:rPr>
        <w:t>”), as the</w:t>
      </w:r>
    </w:p>
    <w:p>
      <w:pPr>
        <w:ind w:right="120"/>
        <w:spacing w:after="0" w:line="268" w:lineRule="auto"/>
        <w:rPr>
          <w:sz w:val="20"/>
          <w:szCs w:val="20"/>
          <w:color w:val="auto"/>
        </w:rPr>
      </w:pPr>
      <w:r>
        <w:rPr>
          <w:rFonts w:ascii="Arial" w:cs="Arial" w:eastAsia="Arial" w:hAnsi="Arial"/>
          <w:sz w:val="17"/>
          <w:szCs w:val="17"/>
          <w:color w:val="auto"/>
        </w:rPr>
        <w:t>undersigned’s true and lawful attorney and proxy in his or her name, place and stead to sign, make, execute, acknowledge, deliver, file and record all documents which may be required, and to manage, vote, act and make all decisions with respect to (whether necessary, incidental, convenient or otherwise), any and all shares or capital stock or options to acquire capital stock of the Company in which the undersigned now has or hereafter acquires any interest and in any and all shares of the Company now or hereafter held of record by the Participant (including but not limited to the right, without further signature, consent or knowledge of the undersigned spouse, to exercise or not to exercise any and all options under any appropriate agreements and to exercise amendments and modifications of and to terminate the foregoing agreements and to dispose of any and all shares of capital stock or options to acquire capital stock of the Company), with all powers the undersigned spouse would possess if personally present, it being expressly understood and intended by the undersigned that the foregoing power of attorney and proxy is coupled with an interest; and this power of attorney is a durable power of attorney and will not be affected by disability, incapacity or death of the Participant, or dissolution of marriage and this proxy will not terminate without consent of the Participant and the Company.</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Plan Participant:</w:t>
            </w:r>
          </w:p>
        </w:tc>
        <w:tc>
          <w:tcPr>
            <w:tcW w:w="7740" w:type="dxa"/>
            <w:vAlign w:val="bottom"/>
          </w:tcPr>
          <w:p>
            <w:pPr>
              <w:ind w:left="2340"/>
              <w:spacing w:after="0"/>
              <w:rPr>
                <w:sz w:val="20"/>
                <w:szCs w:val="20"/>
                <w:color w:val="auto"/>
              </w:rPr>
            </w:pPr>
            <w:r>
              <w:rPr>
                <w:rFonts w:ascii="Arial" w:cs="Arial" w:eastAsia="Arial" w:hAnsi="Arial"/>
                <w:sz w:val="18"/>
                <w:szCs w:val="18"/>
                <w:color w:val="auto"/>
              </w:rPr>
              <w:t>Spouse of Plan Participant:</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Signature</w:t>
            </w:r>
          </w:p>
        </w:tc>
        <w:tc>
          <w:tcPr>
            <w:tcW w:w="7740" w:type="dxa"/>
            <w:vAlign w:val="bottom"/>
          </w:tcPr>
          <w:p>
            <w:pPr>
              <w:ind w:left="2340"/>
              <w:spacing w:after="0"/>
              <w:rPr>
                <w:sz w:val="20"/>
                <w:szCs w:val="20"/>
                <w:color w:val="auto"/>
              </w:rPr>
            </w:pPr>
            <w:r>
              <w:rPr>
                <w:rFonts w:ascii="Arial" w:cs="Arial" w:eastAsia="Arial" w:hAnsi="Arial"/>
                <w:sz w:val="18"/>
                <w:szCs w:val="18"/>
                <w:color w:val="auto"/>
              </w:rPr>
              <w:t>Signature</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Printed Name</w:t>
            </w:r>
          </w:p>
        </w:tc>
        <w:tc>
          <w:tcPr>
            <w:tcW w:w="7740" w:type="dxa"/>
            <w:vAlign w:val="bottom"/>
          </w:tcPr>
          <w:p>
            <w:pPr>
              <w:ind w:left="2340"/>
              <w:spacing w:after="0"/>
              <w:rPr>
                <w:sz w:val="20"/>
                <w:szCs w:val="20"/>
                <w:color w:val="auto"/>
              </w:rPr>
            </w:pPr>
            <w:r>
              <w:rPr>
                <w:rFonts w:ascii="Arial" w:cs="Arial" w:eastAsia="Arial" w:hAnsi="Arial"/>
                <w:sz w:val="18"/>
                <w:szCs w:val="18"/>
                <w:color w:val="auto"/>
              </w:rPr>
              <w:t>Printed Name</w:t>
            </w:r>
          </w:p>
        </w:tc>
      </w:tr>
      <w:tr>
        <w:trPr>
          <w:trHeight w:val="1046"/>
        </w:trPr>
        <w:tc>
          <w:tcPr>
            <w:tcW w:w="35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118" w:name="page119"/>
    <w:bookmarkEnd w:id="118"/>
    <w:p>
      <w:pPr>
        <w:ind w:left="10020"/>
        <w:spacing w:after="0"/>
        <w:rPr>
          <w:sz w:val="20"/>
          <w:szCs w:val="20"/>
          <w:color w:val="auto"/>
        </w:rPr>
      </w:pPr>
      <w:r>
        <w:rPr>
          <w:rFonts w:ascii="Arial" w:cs="Arial" w:eastAsia="Arial" w:hAnsi="Arial"/>
          <w:sz w:val="17"/>
          <w:szCs w:val="17"/>
          <w:u w:val="single" w:color="auto"/>
          <w:color w:val="auto"/>
        </w:rPr>
        <w:t>VESTED ONLY</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GOODRX HOLDINGS,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2015 EQUITY INCENTIVE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w:t>
      </w:r>
    </w:p>
    <w:p>
      <w:pPr>
        <w:spacing w:after="0" w:line="1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You have been granted an option to purchase Common Stock of GoodRx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ind w:left="580"/>
              <w:spacing w:after="0"/>
              <w:rPr>
                <w:sz w:val="20"/>
                <w:szCs w:val="20"/>
                <w:color w:val="auto"/>
              </w:rPr>
            </w:pPr>
            <w:r>
              <w:rPr>
                <w:rFonts w:ascii="Arial" w:cs="Arial" w:eastAsia="Arial" w:hAnsi="Arial"/>
                <w:sz w:val="18"/>
                <w:szCs w:val="18"/>
                <w:color w:val="auto"/>
              </w:rPr>
              <w:t>Date of Grant:</w:t>
            </w:r>
          </w:p>
        </w:tc>
        <w:tc>
          <w:tcPr>
            <w:tcW w:w="7060" w:type="dxa"/>
            <w:vAlign w:val="bottom"/>
          </w:tcPr>
          <w:p>
            <w:pPr>
              <w:ind w:left="200"/>
              <w:spacing w:after="0"/>
              <w:rPr>
                <w:sz w:val="20"/>
                <w:szCs w:val="20"/>
                <w:color w:val="auto"/>
              </w:rPr>
            </w:pPr>
            <w:r>
              <w:rPr>
                <w:rFonts w:ascii="Arial" w:cs="Arial" w:eastAsia="Arial" w:hAnsi="Arial"/>
                <w:sz w:val="18"/>
                <w:szCs w:val="18"/>
                <w:color w:val="auto"/>
              </w:rPr>
              <w:t>See eshares</w:t>
            </w:r>
          </w:p>
        </w:tc>
      </w:tr>
      <w:tr>
        <w:trPr>
          <w:trHeight w:val="432"/>
        </w:trPr>
        <w:tc>
          <w:tcPr>
            <w:tcW w:w="4200" w:type="dxa"/>
            <w:vAlign w:val="bottom"/>
          </w:tcPr>
          <w:p>
            <w:pPr>
              <w:ind w:left="580"/>
              <w:spacing w:after="0"/>
              <w:rPr>
                <w:sz w:val="20"/>
                <w:szCs w:val="20"/>
                <w:color w:val="auto"/>
              </w:rPr>
            </w:pPr>
            <w:r>
              <w:rPr>
                <w:rFonts w:ascii="Arial" w:cs="Arial" w:eastAsia="Arial" w:hAnsi="Arial"/>
                <w:sz w:val="18"/>
                <w:szCs w:val="18"/>
                <w:color w:val="auto"/>
              </w:rPr>
              <w:t>Exercise Price Per Share:</w:t>
            </w:r>
          </w:p>
        </w:tc>
        <w:tc>
          <w:tcPr>
            <w:tcW w:w="7060" w:type="dxa"/>
            <w:vAlign w:val="bottom"/>
          </w:tcPr>
          <w:p>
            <w:pPr>
              <w:ind w:left="200"/>
              <w:spacing w:after="0"/>
              <w:rPr>
                <w:sz w:val="20"/>
                <w:szCs w:val="20"/>
                <w:color w:val="auto"/>
              </w:rPr>
            </w:pPr>
            <w:r>
              <w:rPr>
                <w:rFonts w:ascii="Arial" w:cs="Arial" w:eastAsia="Arial" w:hAnsi="Arial"/>
                <w:sz w:val="18"/>
                <w:szCs w:val="18"/>
                <w:color w:val="auto"/>
              </w:rPr>
              <w:t>See eshares</w:t>
            </w:r>
          </w:p>
        </w:tc>
      </w:tr>
      <w:tr>
        <w:trPr>
          <w:trHeight w:val="418"/>
        </w:trPr>
        <w:tc>
          <w:tcPr>
            <w:tcW w:w="4200" w:type="dxa"/>
            <w:vAlign w:val="bottom"/>
          </w:tcPr>
          <w:p>
            <w:pPr>
              <w:ind w:left="580"/>
              <w:spacing w:after="0"/>
              <w:rPr>
                <w:sz w:val="20"/>
                <w:szCs w:val="20"/>
                <w:color w:val="auto"/>
              </w:rPr>
            </w:pPr>
            <w:r>
              <w:rPr>
                <w:rFonts w:ascii="Arial" w:cs="Arial" w:eastAsia="Arial" w:hAnsi="Arial"/>
                <w:sz w:val="18"/>
                <w:szCs w:val="18"/>
                <w:color w:val="auto"/>
                <w:w w:val="95"/>
              </w:rPr>
              <w:t>Total Number of Shares of Common Stock (the</w:t>
            </w:r>
          </w:p>
        </w:tc>
        <w:tc>
          <w:tcPr>
            <w:tcW w:w="7060" w:type="dxa"/>
            <w:vAlign w:val="bottom"/>
          </w:tcPr>
          <w:p>
            <w:pPr>
              <w:ind w:left="200"/>
              <w:spacing w:after="0"/>
              <w:rPr>
                <w:sz w:val="20"/>
                <w:szCs w:val="20"/>
                <w:color w:val="auto"/>
              </w:rPr>
            </w:pPr>
            <w:r>
              <w:rPr>
                <w:rFonts w:ascii="Arial" w:cs="Arial" w:eastAsia="Arial" w:hAnsi="Arial"/>
                <w:sz w:val="18"/>
                <w:szCs w:val="18"/>
                <w:color w:val="auto"/>
              </w:rPr>
              <w:t>See eshares</w:t>
            </w:r>
          </w:p>
        </w:tc>
      </w:tr>
      <w:tr>
        <w:trPr>
          <w:trHeight w:val="230"/>
        </w:trPr>
        <w:tc>
          <w:tcPr>
            <w:tcW w:w="4200" w:type="dxa"/>
            <w:vAlign w:val="bottom"/>
          </w:tcPr>
          <w:p>
            <w:pPr>
              <w:ind w:left="580"/>
              <w:spacing w:after="0"/>
              <w:rPr>
                <w:sz w:val="20"/>
                <w:szCs w:val="20"/>
                <w:color w:val="auto"/>
              </w:rPr>
            </w:pPr>
            <w:r>
              <w:rPr>
                <w:rFonts w:ascii="Arial" w:cs="Arial" w:eastAsia="Arial" w:hAnsi="Arial"/>
                <w:sz w:val="18"/>
                <w:szCs w:val="18"/>
                <w:color w:val="auto"/>
              </w:rPr>
              <w:t>“Shares”):</w:t>
            </w:r>
          </w:p>
        </w:tc>
        <w:tc>
          <w:tcPr>
            <w:tcW w:w="7060" w:type="dxa"/>
            <w:vAlign w:val="bottom"/>
          </w:tcPr>
          <w:p>
            <w:pPr>
              <w:spacing w:after="0"/>
              <w:rPr>
                <w:sz w:val="20"/>
                <w:szCs w:val="20"/>
                <w:color w:val="auto"/>
              </w:rPr>
            </w:pPr>
          </w:p>
        </w:tc>
      </w:tr>
      <w:tr>
        <w:trPr>
          <w:trHeight w:val="432"/>
        </w:trPr>
        <w:tc>
          <w:tcPr>
            <w:tcW w:w="4200" w:type="dxa"/>
            <w:vAlign w:val="bottom"/>
          </w:tcPr>
          <w:p>
            <w:pPr>
              <w:ind w:left="580"/>
              <w:spacing w:after="0"/>
              <w:rPr>
                <w:sz w:val="20"/>
                <w:szCs w:val="20"/>
                <w:color w:val="auto"/>
              </w:rPr>
            </w:pPr>
            <w:r>
              <w:rPr>
                <w:rFonts w:ascii="Arial" w:cs="Arial" w:eastAsia="Arial" w:hAnsi="Arial"/>
                <w:sz w:val="18"/>
                <w:szCs w:val="18"/>
                <w:color w:val="auto"/>
              </w:rPr>
              <w:t>Type of Option:</w:t>
            </w:r>
          </w:p>
        </w:tc>
        <w:tc>
          <w:tcPr>
            <w:tcW w:w="7060" w:type="dxa"/>
            <w:vAlign w:val="bottom"/>
          </w:tcPr>
          <w:p>
            <w:pPr>
              <w:ind w:left="200"/>
              <w:spacing w:after="0"/>
              <w:rPr>
                <w:sz w:val="20"/>
                <w:szCs w:val="20"/>
                <w:color w:val="auto"/>
              </w:rPr>
            </w:pPr>
            <w:r>
              <w:rPr>
                <w:rFonts w:ascii="Arial" w:cs="Arial" w:eastAsia="Arial" w:hAnsi="Arial"/>
                <w:sz w:val="18"/>
                <w:szCs w:val="18"/>
                <w:color w:val="auto"/>
              </w:rPr>
              <w:t>Nonstatutory Stock Option</w:t>
            </w:r>
          </w:p>
        </w:tc>
      </w:tr>
      <w:tr>
        <w:trPr>
          <w:trHeight w:val="418"/>
        </w:trPr>
        <w:tc>
          <w:tcPr>
            <w:tcW w:w="4200" w:type="dxa"/>
            <w:vAlign w:val="bottom"/>
          </w:tcPr>
          <w:p>
            <w:pPr>
              <w:ind w:left="580"/>
              <w:spacing w:after="0"/>
              <w:rPr>
                <w:sz w:val="20"/>
                <w:szCs w:val="20"/>
                <w:color w:val="auto"/>
              </w:rPr>
            </w:pPr>
            <w:r>
              <w:rPr>
                <w:rFonts w:ascii="Arial" w:cs="Arial" w:eastAsia="Arial" w:hAnsi="Arial"/>
                <w:sz w:val="18"/>
                <w:szCs w:val="18"/>
                <w:color w:val="auto"/>
              </w:rPr>
              <w:t>Expiration Date:</w:t>
            </w:r>
          </w:p>
        </w:tc>
        <w:tc>
          <w:tcPr>
            <w:tcW w:w="7060" w:type="dxa"/>
            <w:vAlign w:val="bottom"/>
          </w:tcPr>
          <w:p>
            <w:pPr>
              <w:ind w:left="200"/>
              <w:spacing w:after="0"/>
              <w:rPr>
                <w:sz w:val="20"/>
                <w:szCs w:val="20"/>
                <w:color w:val="auto"/>
              </w:rPr>
            </w:pPr>
            <w:r>
              <w:rPr>
                <w:rFonts w:ascii="Arial" w:cs="Arial" w:eastAsia="Arial" w:hAnsi="Arial"/>
                <w:sz w:val="18"/>
                <w:szCs w:val="18"/>
                <w:color w:val="auto"/>
                <w:w w:val="90"/>
              </w:rPr>
              <w:t>See eshares. This Option expires earlier if Optionee’s service terminates earlier, as provided in</w:t>
            </w:r>
          </w:p>
        </w:tc>
      </w:tr>
      <w:tr>
        <w:trPr>
          <w:trHeight w:val="230"/>
        </w:trPr>
        <w:tc>
          <w:tcPr>
            <w:tcW w:w="4200" w:type="dxa"/>
            <w:vAlign w:val="bottom"/>
          </w:tcPr>
          <w:p>
            <w:pPr>
              <w:spacing w:after="0"/>
              <w:rPr>
                <w:sz w:val="20"/>
                <w:szCs w:val="20"/>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the Option Agreement.</w:t>
            </w:r>
          </w:p>
        </w:tc>
      </w:tr>
      <w:tr>
        <w:trPr>
          <w:trHeight w:val="432"/>
        </w:trPr>
        <w:tc>
          <w:tcPr>
            <w:tcW w:w="4200" w:type="dxa"/>
            <w:vAlign w:val="bottom"/>
          </w:tcPr>
          <w:p>
            <w:pPr>
              <w:ind w:left="580"/>
              <w:spacing w:after="0"/>
              <w:rPr>
                <w:sz w:val="20"/>
                <w:szCs w:val="20"/>
                <w:color w:val="auto"/>
              </w:rPr>
            </w:pPr>
            <w:r>
              <w:rPr>
                <w:rFonts w:ascii="Arial" w:cs="Arial" w:eastAsia="Arial" w:hAnsi="Arial"/>
                <w:sz w:val="18"/>
                <w:szCs w:val="18"/>
                <w:color w:val="auto"/>
              </w:rPr>
              <w:t>Vesting Commencement Date:</w:t>
            </w:r>
          </w:p>
        </w:tc>
        <w:tc>
          <w:tcPr>
            <w:tcW w:w="7060" w:type="dxa"/>
            <w:vAlign w:val="bottom"/>
          </w:tcPr>
          <w:p>
            <w:pPr>
              <w:ind w:left="200"/>
              <w:spacing w:after="0"/>
              <w:rPr>
                <w:sz w:val="20"/>
                <w:szCs w:val="20"/>
                <w:color w:val="auto"/>
              </w:rPr>
            </w:pPr>
            <w:r>
              <w:rPr>
                <w:rFonts w:ascii="Arial" w:cs="Arial" w:eastAsia="Arial" w:hAnsi="Arial"/>
                <w:sz w:val="18"/>
                <w:szCs w:val="18"/>
                <w:color w:val="auto"/>
              </w:rPr>
              <w:t>See eshares</w:t>
            </w:r>
          </w:p>
        </w:tc>
      </w:tr>
      <w:tr>
        <w:trPr>
          <w:trHeight w:val="432"/>
        </w:trPr>
        <w:tc>
          <w:tcPr>
            <w:tcW w:w="4200" w:type="dxa"/>
            <w:vAlign w:val="bottom"/>
          </w:tcPr>
          <w:p>
            <w:pPr>
              <w:ind w:left="580"/>
              <w:spacing w:after="0"/>
              <w:rPr>
                <w:sz w:val="20"/>
                <w:szCs w:val="20"/>
                <w:color w:val="auto"/>
              </w:rPr>
            </w:pPr>
            <w:r>
              <w:rPr>
                <w:rFonts w:ascii="Arial" w:cs="Arial" w:eastAsia="Arial" w:hAnsi="Arial"/>
                <w:sz w:val="18"/>
                <w:szCs w:val="18"/>
                <w:color w:val="auto"/>
              </w:rPr>
              <w:t>Exercisability:</w:t>
            </w:r>
          </w:p>
        </w:tc>
        <w:tc>
          <w:tcPr>
            <w:tcW w:w="7060" w:type="dxa"/>
            <w:vAlign w:val="bottom"/>
          </w:tcPr>
          <w:p>
            <w:pPr>
              <w:ind w:left="200"/>
              <w:spacing w:after="0"/>
              <w:rPr>
                <w:sz w:val="20"/>
                <w:szCs w:val="20"/>
                <w:color w:val="auto"/>
              </w:rPr>
            </w:pPr>
            <w:r>
              <w:rPr>
                <w:rFonts w:ascii="Arial" w:cs="Arial" w:eastAsia="Arial" w:hAnsi="Arial"/>
                <w:sz w:val="18"/>
                <w:szCs w:val="18"/>
                <w:color w:val="auto"/>
              </w:rPr>
              <w:t>Only vested Shares may be exercised.</w:t>
            </w:r>
          </w:p>
        </w:tc>
      </w:tr>
      <w:tr>
        <w:trPr>
          <w:trHeight w:val="432"/>
        </w:trPr>
        <w:tc>
          <w:tcPr>
            <w:tcW w:w="4200" w:type="dxa"/>
            <w:vAlign w:val="bottom"/>
          </w:tcPr>
          <w:p>
            <w:pPr>
              <w:ind w:left="580"/>
              <w:spacing w:after="0"/>
              <w:rPr>
                <w:sz w:val="20"/>
                <w:szCs w:val="20"/>
                <w:color w:val="auto"/>
              </w:rPr>
            </w:pPr>
            <w:r>
              <w:rPr>
                <w:rFonts w:ascii="Arial" w:cs="Arial" w:eastAsia="Arial" w:hAnsi="Arial"/>
                <w:sz w:val="18"/>
                <w:szCs w:val="18"/>
                <w:color w:val="auto"/>
              </w:rPr>
              <w:t>Vesting/Exercise Schedule:</w:t>
            </w:r>
          </w:p>
        </w:tc>
        <w:tc>
          <w:tcPr>
            <w:tcW w:w="7060" w:type="dxa"/>
            <w:vAlign w:val="bottom"/>
          </w:tcPr>
          <w:p>
            <w:pPr>
              <w:ind w:left="200"/>
              <w:spacing w:after="0"/>
              <w:rPr>
                <w:sz w:val="20"/>
                <w:szCs w:val="20"/>
                <w:color w:val="auto"/>
              </w:rPr>
            </w:pPr>
            <w:r>
              <w:rPr>
                <w:rFonts w:ascii="Arial" w:cs="Arial" w:eastAsia="Arial" w:hAnsi="Arial"/>
                <w:sz w:val="18"/>
                <w:szCs w:val="18"/>
                <w:color w:val="auto"/>
              </w:rPr>
              <w:t>See eshares. Acceleration – yes, see eshares.</w:t>
            </w:r>
          </w:p>
        </w:tc>
      </w:tr>
      <w:tr>
        <w:trPr>
          <w:trHeight w:val="418"/>
        </w:trPr>
        <w:tc>
          <w:tcPr>
            <w:tcW w:w="4200" w:type="dxa"/>
            <w:vAlign w:val="bottom"/>
          </w:tcPr>
          <w:p>
            <w:pPr>
              <w:ind w:left="580"/>
              <w:spacing w:after="0"/>
              <w:rPr>
                <w:sz w:val="20"/>
                <w:szCs w:val="20"/>
                <w:color w:val="auto"/>
              </w:rPr>
            </w:pPr>
            <w:r>
              <w:rPr>
                <w:rFonts w:ascii="Arial" w:cs="Arial" w:eastAsia="Arial" w:hAnsi="Arial"/>
                <w:sz w:val="18"/>
                <w:szCs w:val="18"/>
                <w:color w:val="auto"/>
              </w:rPr>
              <w:t>Termination Period:</w:t>
            </w:r>
          </w:p>
        </w:tc>
        <w:tc>
          <w:tcPr>
            <w:tcW w:w="7060" w:type="dxa"/>
            <w:vAlign w:val="bottom"/>
          </w:tcPr>
          <w:p>
            <w:pPr>
              <w:ind w:left="200"/>
              <w:spacing w:after="0"/>
              <w:rPr>
                <w:sz w:val="20"/>
                <w:szCs w:val="20"/>
                <w:color w:val="auto"/>
              </w:rPr>
            </w:pPr>
            <w:r>
              <w:rPr>
                <w:rFonts w:ascii="Arial" w:cs="Arial" w:eastAsia="Arial" w:hAnsi="Arial"/>
                <w:sz w:val="18"/>
                <w:szCs w:val="18"/>
                <w:color w:val="auto"/>
                <w:w w:val="92"/>
              </w:rPr>
              <w:t>The Option may be exercised for one (1) month after termination of employment or consulting</w:t>
            </w:r>
          </w:p>
        </w:tc>
      </w:tr>
      <w:tr>
        <w:trPr>
          <w:trHeight w:val="216"/>
        </w:trPr>
        <w:tc>
          <w:tcPr>
            <w:tcW w:w="420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w w:val="93"/>
              </w:rPr>
              <w:t>relationship except as set out in Section 3 of the Option Agreement (but in no event after the</w:t>
            </w:r>
          </w:p>
        </w:tc>
      </w:tr>
      <w:tr>
        <w:trPr>
          <w:trHeight w:val="216"/>
        </w:trPr>
        <w:tc>
          <w:tcPr>
            <w:tcW w:w="420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w w:val="94"/>
              </w:rPr>
              <w:t>Expiration Date). Optionee is solely responsible for keeping track of these exercise periods</w:t>
            </w:r>
          </w:p>
        </w:tc>
      </w:tr>
      <w:tr>
        <w:trPr>
          <w:trHeight w:val="216"/>
        </w:trPr>
        <w:tc>
          <w:tcPr>
            <w:tcW w:w="420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following termination for any reason of his or her relationship with the Company. The</w:t>
            </w:r>
          </w:p>
        </w:tc>
      </w:tr>
      <w:tr>
        <w:trPr>
          <w:trHeight w:val="230"/>
        </w:trPr>
        <w:tc>
          <w:tcPr>
            <w:tcW w:w="4200" w:type="dxa"/>
            <w:vAlign w:val="bottom"/>
          </w:tcPr>
          <w:p>
            <w:pPr>
              <w:spacing w:after="0"/>
              <w:rPr>
                <w:sz w:val="20"/>
                <w:szCs w:val="20"/>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Company will not provide further notice of such periods.</w:t>
            </w:r>
          </w:p>
        </w:tc>
      </w:tr>
      <w:tr>
        <w:trPr>
          <w:trHeight w:val="1046"/>
        </w:trPr>
        <w:tc>
          <w:tcPr>
            <w:tcW w:w="420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19" w:name="page120"/>
    <w:bookmarkEnd w:id="119"/>
    <w:p>
      <w:pPr>
        <w:jc w:val="both"/>
        <w:spacing w:after="0" w:line="263" w:lineRule="auto"/>
        <w:rPr>
          <w:sz w:val="20"/>
          <w:szCs w:val="20"/>
          <w:color w:val="auto"/>
        </w:rPr>
      </w:pPr>
      <w:r>
        <w:rPr>
          <w:rFonts w:ascii="Arial" w:cs="Arial" w:eastAsia="Arial" w:hAnsi="Arial"/>
          <w:sz w:val="18"/>
          <w:szCs w:val="18"/>
          <w:color w:val="auto"/>
        </w:rPr>
        <w:t>By your signature and the signature of the Company’s representative below, you and the Company agree that this Option is granted under and governed by the terms and conditions of the GoodRx Holdings, Inc. 2015 Equity Incentive Plan and Option Agreement, both of which are attached to and made a part of this document.</w:t>
      </w:r>
    </w:p>
    <w:p>
      <w:pPr>
        <w:spacing w:after="0" w:line="184"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88" w:lineRule="exact"/>
        <w:rPr>
          <w:sz w:val="20"/>
          <w:szCs w:val="20"/>
          <w:color w:val="auto"/>
        </w:rPr>
      </w:pPr>
    </w:p>
    <w:p>
      <w:pPr>
        <w:ind w:right="220" w:firstLine="589"/>
        <w:spacing w:after="0" w:line="273" w:lineRule="auto"/>
        <w:rPr>
          <w:sz w:val="20"/>
          <w:szCs w:val="20"/>
          <w:color w:val="auto"/>
        </w:rPr>
      </w:pPr>
      <w:r>
        <w:rPr>
          <w:rFonts w:ascii="Arial" w:cs="Arial" w:eastAsia="Arial" w:hAnsi="Arial"/>
          <w:sz w:val="17"/>
          <w:szCs w:val="17"/>
          <w:color w:val="auto"/>
        </w:rPr>
        <w:t>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its Board, officers, employees and agents shall not be held liable for any applicable costs, taxes, or penalties associated with this Option if, in fact, the IRS or any other person (including, without limitation, a successor corporation or an acquirer in a Sale of the Company) were to determine that this Option constitutes deferred compensation under Section 409A of the Code. You should consult with your own tax advisor concerning the tax consequences of such a determination by the IRS.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GOODRX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u w:val="single" w:color="auto"/>
          <w:color w:val="auto"/>
        </w:rPr>
        <w:t>OPTION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OOD</w:t>
      </w:r>
      <w:r>
        <w:rPr>
          <w:rFonts w:ascii="Arial" w:cs="Arial" w:eastAsia="Arial" w:hAnsi="Arial"/>
          <w:sz w:val="18"/>
          <w:szCs w:val="18"/>
          <w:b w:val="1"/>
          <w:bCs w:val="1"/>
          <w:color w:val="auto"/>
        </w:rPr>
        <w:t>R</w:t>
      </w:r>
      <w:r>
        <w:rPr>
          <w:rFonts w:ascii="Arial" w:cs="Arial" w:eastAsia="Arial" w:hAnsi="Arial"/>
          <w:sz w:val="13"/>
          <w:szCs w:val="13"/>
          <w:b w:val="1"/>
          <w:bCs w:val="1"/>
          <w:color w:val="auto"/>
        </w:rPr>
        <w:t>X</w:t>
      </w:r>
      <w:r>
        <w:rPr>
          <w:rFonts w:ascii="Arial" w:cs="Arial" w:eastAsia="Arial" w:hAnsi="Arial"/>
          <w:sz w:val="18"/>
          <w:szCs w:val="18"/>
          <w:b w:val="1"/>
          <w:bCs w:val="1"/>
          <w:color w:val="auto"/>
        </w:rPr>
        <w:t xml:space="preserve"> H</w:t>
      </w:r>
      <w:r>
        <w:rPr>
          <w:rFonts w:ascii="Arial" w:cs="Arial" w:eastAsia="Arial" w:hAnsi="Arial"/>
          <w:sz w:val="13"/>
          <w:szCs w:val="13"/>
          <w:b w:val="1"/>
          <w:bCs w:val="1"/>
          <w:color w:val="auto"/>
        </w:rPr>
        <w:t>OLDINGS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3"/>
          <w:szCs w:val="13"/>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p>
    <w:p>
      <w:pPr>
        <w:spacing w:after="0" w:line="229" w:lineRule="exact"/>
        <w:rPr>
          <w:sz w:val="20"/>
          <w:szCs w:val="20"/>
          <w:color w:val="auto"/>
        </w:rPr>
      </w:pPr>
    </w:p>
    <w:p>
      <w:pPr>
        <w:jc w:val="both"/>
        <w:ind w:right="60" w:firstLine="589"/>
        <w:spacing w:after="0" w:line="301" w:lineRule="auto"/>
        <w:rPr>
          <w:sz w:val="20"/>
          <w:szCs w:val="20"/>
          <w:color w:val="auto"/>
        </w:rPr>
      </w:pPr>
      <w:r>
        <w:rPr>
          <w:rFonts w:ascii="Arial" w:cs="Arial" w:eastAsia="Arial" w:hAnsi="Arial"/>
          <w:sz w:val="16"/>
          <w:szCs w:val="16"/>
          <w:color w:val="auto"/>
        </w:rPr>
        <w:t>This Option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the date of grant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set forth on the Notice of Stock Option Grant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by and between GoodRx Holdings, Inc., a Delaware corporation (together with any successor thereto,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optionee named on the Grant Notice (the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Capitalized terms not defined in this Agreement shall have the meaning ascribed to them in the GoodRx Holdings, Inc. 2015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or in the Grant Notice, as applicable.</w:t>
      </w:r>
    </w:p>
    <w:p>
      <w:pPr>
        <w:spacing w:after="0" w:line="45" w:lineRule="exact"/>
        <w:rPr>
          <w:sz w:val="20"/>
          <w:szCs w:val="20"/>
          <w:color w:val="auto"/>
        </w:rPr>
      </w:pPr>
    </w:p>
    <w:p>
      <w:pPr>
        <w:ind w:right="100" w:firstLine="597"/>
        <w:spacing w:after="0" w:line="289" w:lineRule="auto"/>
        <w:tabs>
          <w:tab w:leader="none" w:pos="768"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GRANT OF OPTION</w:t>
      </w:r>
      <w:r>
        <w:rPr>
          <w:rFonts w:ascii="Arial" w:cs="Arial" w:eastAsia="Arial" w:hAnsi="Arial"/>
          <w:sz w:val="17"/>
          <w:szCs w:val="17"/>
          <w:color w:val="auto"/>
        </w:rPr>
        <w:t>. The Company hereby grants to Optionee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up to the total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of the Company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set forth in the Grant Notice as the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at the Exercise Price Per Share set forth in the Grant Notice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subject to all of the terms and conditions of the Grant Notice, this Agreement and the Plan.</w:t>
      </w:r>
    </w:p>
    <w:p>
      <w:pPr>
        <w:spacing w:after="0" w:line="49" w:lineRule="exact"/>
        <w:rPr>
          <w:rFonts w:ascii="Arial" w:cs="Arial" w:eastAsia="Arial" w:hAnsi="Arial"/>
          <w:sz w:val="17"/>
          <w:szCs w:val="17"/>
          <w:b w:val="1"/>
          <w:bCs w:val="1"/>
          <w:color w:val="auto"/>
        </w:rPr>
      </w:pPr>
    </w:p>
    <w:p>
      <w:pPr>
        <w:ind w:left="780" w:hanging="183"/>
        <w:spacing w:after="0"/>
        <w:tabs>
          <w:tab w:leader="none" w:pos="7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PERIOD</w:t>
      </w:r>
      <w:r>
        <w:rPr>
          <w:rFonts w:ascii="Arial" w:cs="Arial" w:eastAsia="Arial" w:hAnsi="Arial"/>
          <w:sz w:val="18"/>
          <w:szCs w:val="18"/>
          <w:color w:val="auto"/>
        </w:rPr>
        <w:t>.</w:t>
      </w:r>
    </w:p>
    <w:p>
      <w:pPr>
        <w:spacing w:after="0" w:line="117" w:lineRule="exact"/>
        <w:rPr>
          <w:sz w:val="20"/>
          <w:szCs w:val="20"/>
          <w:color w:val="auto"/>
        </w:rPr>
      </w:pPr>
    </w:p>
    <w:p>
      <w:pPr>
        <w:jc w:val="both"/>
        <w:ind w:right="100" w:firstLine="1322"/>
        <w:spacing w:after="0" w:line="261"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Exercise Period of Option</w:t>
      </w:r>
      <w:r>
        <w:rPr>
          <w:rFonts w:ascii="Arial" w:cs="Arial" w:eastAsia="Arial" w:hAnsi="Arial"/>
          <w:sz w:val="18"/>
          <w:szCs w:val="18"/>
          <w:color w:val="auto"/>
        </w:rPr>
        <w:t>. Subject to the conditions set forth in this Agreement, this Option shall be exercisable during its term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Vesting/Exercise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72" w:lineRule="exact"/>
        <w:rPr>
          <w:sz w:val="20"/>
          <w:szCs w:val="20"/>
          <w:color w:val="auto"/>
        </w:rPr>
      </w:pPr>
    </w:p>
    <w:p>
      <w:pPr>
        <w:ind w:right="20" w:firstLine="1322"/>
        <w:spacing w:after="0" w:line="289"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Vesting of Option Shares</w:t>
      </w:r>
      <w:r>
        <w:rPr>
          <w:rFonts w:ascii="Arial" w:cs="Arial" w:eastAsia="Arial" w:hAnsi="Arial"/>
          <w:sz w:val="17"/>
          <w:szCs w:val="17"/>
          <w:color w:val="auto"/>
        </w:rPr>
        <w:t>. Shares with respect to which this Option is vested and exercisable at a given time pursuant to the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set forth in the Grant Notice are referred to herein as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Shares with respect to which this Option is not vested or exercisable at a given time pursuant to the Vesting Schedule set forth in the Grant Notice are referred to herein as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50"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Expiration</w:t>
      </w:r>
      <w:r>
        <w:rPr>
          <w:rFonts w:ascii="Arial" w:cs="Arial" w:eastAsia="Arial" w:hAnsi="Arial"/>
          <w:sz w:val="16"/>
          <w:szCs w:val="16"/>
          <w:color w:val="auto"/>
        </w:rPr>
        <w:t>. The Option shall expire on the Expiration Date set forth in the Grant Notice or earlier as provided in Section 3 below.</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3. TERMINATION</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3"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Termination for Any Reason Except Death, Disability or Cause</w:t>
      </w:r>
      <w:r>
        <w:rPr>
          <w:rFonts w:ascii="Arial" w:cs="Arial" w:eastAsia="Arial" w:hAnsi="Arial"/>
          <w:sz w:val="17"/>
          <w:szCs w:val="17"/>
          <w:color w:val="auto"/>
        </w:rPr>
        <w:t>. Except as provided in subsection 3.2 in a case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dies within three (3) months after Optionee’s service as an executive, director, consultant, other service provider or key employee of the Company (“</w:t>
      </w:r>
      <w:r>
        <w:rPr>
          <w:rFonts w:ascii="Arial" w:cs="Arial" w:eastAsia="Arial" w:hAnsi="Arial"/>
          <w:sz w:val="17"/>
          <w:szCs w:val="17"/>
          <w:b w:val="1"/>
          <w:bCs w:val="1"/>
          <w:i w:val="1"/>
          <w:iCs w:val="1"/>
          <w:color w:val="auto"/>
        </w:rPr>
        <w:t>Service</w:t>
      </w:r>
      <w:r>
        <w:rPr>
          <w:rFonts w:ascii="Arial" w:cs="Arial" w:eastAsia="Arial" w:hAnsi="Arial"/>
          <w:sz w:val="17"/>
          <w:szCs w:val="17"/>
          <w:color w:val="auto"/>
        </w:rPr>
        <w:t>”) is terminated other than for Cause, if Optionee’s Service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no later than one (1) month after Optionee’s Termination Date (but in no event may this Option be exercised after the Expiration Date).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21" w:name="page122"/>
    <w:bookmarkEnd w:id="121"/>
    <w:p>
      <w:pPr>
        <w:ind w:right="60" w:firstLine="1322"/>
        <w:spacing w:after="0" w:line="274"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Termination Because of Death or Disability</w:t>
      </w:r>
      <w:r>
        <w:rPr>
          <w:rFonts w:ascii="Arial" w:cs="Arial" w:eastAsia="Arial" w:hAnsi="Arial"/>
          <w:sz w:val="17"/>
          <w:szCs w:val="17"/>
          <w:color w:val="auto"/>
        </w:rPr>
        <w:t>. If Optionee’s Service is terminated because of Optionee’s death or Disability (or if</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dies within three (3) months of the date Optionee’s Service terminates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six (6) months after Optionee’s Termination Date, but in no event later than the Expiration Date.</w:t>
      </w:r>
    </w:p>
    <w:p>
      <w:pPr>
        <w:spacing w:after="0" w:line="65" w:lineRule="exact"/>
        <w:rPr>
          <w:sz w:val="20"/>
          <w:szCs w:val="20"/>
          <w:color w:val="auto"/>
        </w:rPr>
      </w:pPr>
    </w:p>
    <w:p>
      <w:pPr>
        <w:ind w:right="20" w:firstLine="1322"/>
        <w:spacing w:after="0" w:line="258"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Termination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If Optionee’s Service terminates for Cause, then Optionee may exercise this Option, but only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Shares that are Vested Shares on Optionee’s Termination Date, and this Option shall expire on Optionee’s Termination Date, or at such later time and on such conditions as may be affirmatively determined by the Board. On and after Optionee’s Termination Date, this Option shall expire immediately with respect to any Shares that are Unvested Shares and may not be exercised with respect to any Shares that are Unvested Shares on Optionee’s Termination Date.</w:t>
      </w:r>
    </w:p>
    <w:p>
      <w:pPr>
        <w:spacing w:after="0" w:line="75" w:lineRule="exact"/>
        <w:rPr>
          <w:sz w:val="20"/>
          <w:szCs w:val="20"/>
          <w:color w:val="auto"/>
        </w:rPr>
      </w:pPr>
    </w:p>
    <w:p>
      <w:pPr>
        <w:ind w:firstLine="1322"/>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No Obligation to Employ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this Agreement shall confer on Optionee any right to continue in the employ of,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relationship with, the Company, or limit in any way the right of the Company to terminate Optionee’s employment or other relationship at any time, with or without Cause.</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4. MANNER OF EXERCISE</w:t>
      </w:r>
      <w:r>
        <w:rPr>
          <w:rFonts w:ascii="Arial" w:cs="Arial" w:eastAsia="Arial" w:hAnsi="Arial"/>
          <w:sz w:val="18"/>
          <w:szCs w:val="18"/>
          <w:color w:val="auto"/>
        </w:rPr>
        <w:t>.</w:t>
      </w:r>
    </w:p>
    <w:p>
      <w:pPr>
        <w:spacing w:after="0" w:line="117" w:lineRule="exact"/>
        <w:rPr>
          <w:sz w:val="20"/>
          <w:szCs w:val="20"/>
          <w:color w:val="auto"/>
        </w:rPr>
      </w:pPr>
    </w:p>
    <w:p>
      <w:pPr>
        <w:ind w:right="100" w:firstLine="1322"/>
        <w:spacing w:after="0" w:line="287"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Stock Option Exercise Notice and Agreement</w:t>
      </w:r>
      <w:r>
        <w:rPr>
          <w:rFonts w:ascii="Arial" w:cs="Arial" w:eastAsia="Arial" w:hAnsi="Arial"/>
          <w:sz w:val="16"/>
          <w:szCs w:val="16"/>
          <w:color w:val="auto"/>
        </w:rPr>
        <w:t>. To exercise this Option, Optionee (or in the case of exercise after Optionee’s death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incapacity, Optionee’s executor, administrator, heir or legatee, as the case may be) must deliver to the Company an executed Stock Option Exercise Notice and Agreement in the form attached hereto as </w:t>
      </w:r>
      <w:r>
        <w:rPr>
          <w:rFonts w:ascii="Arial" w:cs="Arial" w:eastAsia="Arial" w:hAnsi="Arial"/>
          <w:sz w:val="16"/>
          <w:szCs w:val="16"/>
          <w:b w:val="1"/>
          <w:bCs w:val="1"/>
          <w:u w:val="single" w:color="auto"/>
          <w:color w:val="auto"/>
        </w:rPr>
        <w:t>Annex A</w:t>
      </w:r>
      <w:r>
        <w:rPr>
          <w:rFonts w:ascii="Arial" w:cs="Arial" w:eastAsia="Arial" w:hAnsi="Arial"/>
          <w:sz w:val="16"/>
          <w:szCs w:val="16"/>
          <w:color w:val="auto"/>
        </w:rPr>
        <w:t>,or in such other form as may be approved by the Board from time to time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payment for the shares being purchased in accordance with this Agreement. The Exercise Agreement shall set forth, among other things,</w:t>
      </w:r>
    </w:p>
    <w:p>
      <w:pPr>
        <w:spacing w:after="0" w:line="2" w:lineRule="exact"/>
        <w:rPr>
          <w:sz w:val="20"/>
          <w:szCs w:val="20"/>
          <w:color w:val="auto"/>
        </w:rPr>
      </w:pPr>
    </w:p>
    <w:p>
      <w:pPr>
        <w:ind w:right="240" w:firstLine="8"/>
        <w:spacing w:after="0" w:line="270" w:lineRule="auto"/>
        <w:tabs>
          <w:tab w:leader="none" w:pos="215" w:val="left"/>
        </w:tabs>
        <w:numPr>
          <w:ilvl w:val="0"/>
          <w:numId w:val="73"/>
        </w:numPr>
        <w:rPr>
          <w:rFonts w:ascii="Arial" w:cs="Arial" w:eastAsia="Arial" w:hAnsi="Arial"/>
          <w:sz w:val="17"/>
          <w:szCs w:val="17"/>
          <w:color w:val="auto"/>
        </w:rPr>
      </w:pPr>
      <w:r>
        <w:rPr>
          <w:rFonts w:ascii="Arial" w:cs="Arial" w:eastAsia="Arial" w:hAnsi="Arial"/>
          <w:sz w:val="17"/>
          <w:szCs w:val="17"/>
          <w:color w:val="auto"/>
        </w:rPr>
        <w:t>Optionee’s election to exercise this Option, (ii) the number of Vested Shares being purchased, (iii) any representations, warranties and agreements regarding Optionee’s investment intent and access to information as may be required by the Company to comply with applicable securities laws in connection with any exercise of this Option, (iv) any other agreements required by the Company, and (v) Optionee’s obligation to execute and deliver certain Stock Powers and Assignments Separate from Stock Certificate to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66" w:lineRule="exact"/>
        <w:rPr>
          <w:sz w:val="20"/>
          <w:szCs w:val="20"/>
          <w:color w:val="auto"/>
        </w:rPr>
      </w:pPr>
    </w:p>
    <w:p>
      <w:pPr>
        <w:ind w:right="300" w:firstLine="1322"/>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color w:val="auto"/>
        </w:rPr>
        <w:t>. This Option may not be exercised unless such exercise is in compliance with all applicable federal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state securities laws, as they are in effect on the date of exercise.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2" w:name="page123"/>
    <w:bookmarkEnd w:id="122"/>
    <w:p>
      <w:pPr>
        <w:ind w:right="280" w:firstLine="1322"/>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The Exercise Agreement shall be accompanied by full payment of the Exercise Price for the shares being purchased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(by check or wire transfer), or where permitted by law:</w:t>
      </w:r>
    </w:p>
    <w:p>
      <w:pPr>
        <w:spacing w:after="0" w:line="58" w:lineRule="exact"/>
        <w:rPr>
          <w:sz w:val="20"/>
          <w:szCs w:val="20"/>
          <w:color w:val="auto"/>
        </w:rPr>
      </w:pPr>
    </w:p>
    <w:p>
      <w:pPr>
        <w:ind w:right="160" w:firstLine="1917"/>
        <w:spacing w:after="0" w:line="259" w:lineRule="auto"/>
        <w:tabs>
          <w:tab w:leader="none" w:pos="2154"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 surrender of shares of the Company held for at least six months by the Optionee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78" w:lineRule="exact"/>
        <w:rPr>
          <w:rFonts w:ascii="Arial" w:cs="Arial" w:eastAsia="Arial" w:hAnsi="Arial"/>
          <w:sz w:val="18"/>
          <w:szCs w:val="18"/>
          <w:color w:val="auto"/>
        </w:rPr>
      </w:pPr>
    </w:p>
    <w:p>
      <w:pPr>
        <w:ind w:right="60" w:firstLine="1917"/>
        <w:spacing w:after="0" w:line="259" w:lineRule="auto"/>
        <w:tabs>
          <w:tab w:leader="none" w:pos="21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provided that a public market for the Common Stock exists,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78" w:lineRule="exact"/>
        <w:rPr>
          <w:rFonts w:ascii="Arial" w:cs="Arial" w:eastAsia="Arial" w:hAnsi="Arial"/>
          <w:sz w:val="18"/>
          <w:szCs w:val="18"/>
          <w:color w:val="auto"/>
        </w:rPr>
      </w:pPr>
    </w:p>
    <w:p>
      <w:pPr>
        <w:ind w:right="860" w:firstLine="1917"/>
        <w:spacing w:after="0" w:line="277" w:lineRule="auto"/>
        <w:tabs>
          <w:tab w:leader="none" w:pos="2154"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 any combination of the foregoing or any other method of payment approved by the Board that constitutes legal consideration for the issuance of Shares.</w:t>
      </w:r>
    </w:p>
    <w:p>
      <w:pPr>
        <w:spacing w:after="0" w:line="58" w:lineRule="exact"/>
        <w:rPr>
          <w:sz w:val="20"/>
          <w:szCs w:val="20"/>
          <w:color w:val="auto"/>
        </w:rPr>
      </w:pPr>
    </w:p>
    <w:p>
      <w:pPr>
        <w:ind w:right="60" w:firstLine="1322"/>
        <w:spacing w:after="0" w:line="255"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Prior to the issuance of the Shares upon exercise of the Option, Optionee must pay or provide for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and local withholding obligations of the Company. If the Board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the Optionee by deducting the Shares retained from the Shares issuable upon exercise.</w:t>
      </w:r>
    </w:p>
    <w:p>
      <w:pPr>
        <w:spacing w:after="0" w:line="81" w:lineRule="exact"/>
        <w:rPr>
          <w:sz w:val="20"/>
          <w:szCs w:val="20"/>
          <w:color w:val="auto"/>
        </w:rPr>
      </w:pPr>
    </w:p>
    <w:p>
      <w:pPr>
        <w:ind w:right="300" w:firstLine="1322"/>
        <w:spacing w:after="0" w:line="314"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Issuance of Shares</w:t>
      </w:r>
      <w:r>
        <w:rPr>
          <w:rFonts w:ascii="Arial" w:cs="Arial" w:eastAsia="Arial" w:hAnsi="Arial"/>
          <w:sz w:val="16"/>
          <w:szCs w:val="16"/>
          <w:color w:val="auto"/>
        </w:rPr>
        <w:t>. Provided that the Exercise Agreement and payment are in form and substance satisfactory to counsel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34" w:lineRule="exact"/>
        <w:rPr>
          <w:sz w:val="20"/>
          <w:szCs w:val="20"/>
          <w:color w:val="auto"/>
        </w:rPr>
      </w:pPr>
    </w:p>
    <w:p>
      <w:pPr>
        <w:ind w:firstLine="597"/>
        <w:spacing w:after="0" w:line="272" w:lineRule="auto"/>
        <w:tabs>
          <w:tab w:leader="none" w:pos="768"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LAWS AND REGULATIONS. </w:t>
      </w:r>
      <w:r>
        <w:rPr>
          <w:rFonts w:ascii="Arial" w:cs="Arial" w:eastAsia="Arial" w:hAnsi="Arial"/>
          <w:sz w:val="17"/>
          <w:szCs w:val="17"/>
          <w:color w:val="auto"/>
        </w:rPr>
        <w:t>The Plan and this Agreement are intended to comply with Section 25102(o)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Corporations Code (“</w:t>
      </w:r>
      <w:r>
        <w:rPr>
          <w:rFonts w:ascii="Arial" w:cs="Arial" w:eastAsia="Arial" w:hAnsi="Arial"/>
          <w:sz w:val="17"/>
          <w:szCs w:val="17"/>
          <w:b w:val="1"/>
          <w:bCs w:val="1"/>
          <w:i w:val="1"/>
          <w:iCs w:val="1"/>
          <w:color w:val="auto"/>
        </w:rPr>
        <w:t>Section 25102(o)</w:t>
      </w:r>
      <w:r>
        <w:rPr>
          <w:rFonts w:ascii="Arial" w:cs="Arial" w:eastAsia="Arial" w:hAnsi="Arial"/>
          <w:sz w:val="17"/>
          <w:szCs w:val="17"/>
          <w:color w:val="auto"/>
        </w:rPr>
        <w:t xml:space="preserve">”) and Rule 701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promulgated by the Securities and Exchange Commission under the Securities Act of 1933, as amended (“</w:t>
      </w:r>
      <w:r>
        <w:rPr>
          <w:rFonts w:ascii="Arial" w:cs="Arial" w:eastAsia="Arial" w:hAnsi="Arial"/>
          <w:sz w:val="17"/>
          <w:szCs w:val="17"/>
          <w:b w:val="1"/>
          <w:bCs w:val="1"/>
          <w:i w:val="1"/>
          <w:iCs w:val="1"/>
          <w:color w:val="auto"/>
        </w:rPr>
        <w:t>Rule 701</w:t>
      </w:r>
      <w:r>
        <w:rPr>
          <w:rFonts w:ascii="Arial" w:cs="Arial" w:eastAsia="Arial" w:hAnsi="Arial"/>
          <w:sz w:val="17"/>
          <w:szCs w:val="17"/>
          <w:color w:val="auto"/>
        </w:rPr>
        <w:t>”). Any provision of this Agreement that is inconsistent with Section 25102(o) or Rule 701 shall, without further act or amendment by the Company or the Board,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any state securities commission or any stock exchange to effect such compliance.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23" w:name="page124"/>
    <w:bookmarkEnd w:id="123"/>
    <w:p>
      <w:pPr>
        <w:ind w:right="120" w:firstLine="597"/>
        <w:spacing w:after="0" w:line="289" w:lineRule="auto"/>
        <w:tabs>
          <w:tab w:leader="none" w:pos="768"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NONTRANSFERABILITY OF OPTION. </w:t>
      </w:r>
      <w:r>
        <w:rPr>
          <w:rFonts w:ascii="Arial" w:cs="Arial" w:eastAsia="Arial" w:hAnsi="Arial"/>
          <w:sz w:val="17"/>
          <w:szCs w:val="17"/>
          <w:color w:val="auto"/>
        </w:rPr>
        <w:t>This Option may not be transferred in any manner other than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49" w:lineRule="exact"/>
        <w:rPr>
          <w:rFonts w:ascii="Arial" w:cs="Arial" w:eastAsia="Arial" w:hAnsi="Arial"/>
          <w:sz w:val="17"/>
          <w:szCs w:val="17"/>
          <w:b w:val="1"/>
          <w:bCs w:val="1"/>
          <w:color w:val="auto"/>
        </w:rPr>
      </w:pPr>
    </w:p>
    <w:p>
      <w:pPr>
        <w:ind w:left="780" w:hanging="183"/>
        <w:spacing w:after="0"/>
        <w:tabs>
          <w:tab w:leader="none" w:pos="7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 OF SHARES</w:t>
      </w:r>
      <w:r>
        <w:rPr>
          <w:rFonts w:ascii="Arial" w:cs="Arial" w:eastAsia="Arial" w:hAnsi="Arial"/>
          <w:sz w:val="18"/>
          <w:szCs w:val="18"/>
          <w:color w:val="auto"/>
        </w:rPr>
        <w:t>.</w:t>
      </w:r>
    </w:p>
    <w:p>
      <w:pPr>
        <w:spacing w:after="0" w:line="117" w:lineRule="exact"/>
        <w:rPr>
          <w:sz w:val="20"/>
          <w:szCs w:val="20"/>
          <w:color w:val="auto"/>
        </w:rPr>
      </w:pPr>
    </w:p>
    <w:p>
      <w:pPr>
        <w:ind w:right="120" w:firstLine="1322"/>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Optionee agrees that Optionee shall not transfer, assign, grant a lien or security interest in, pledge, hypothecate,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dispose of (including, without limitation, a transfer by gift or operation of law)(collectively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any of the Shares (or any interest therein) unless and until:</w:t>
      </w:r>
    </w:p>
    <w:p>
      <w:pPr>
        <w:spacing w:after="0" w:line="72" w:lineRule="exact"/>
        <w:rPr>
          <w:sz w:val="20"/>
          <w:szCs w:val="20"/>
          <w:color w:val="auto"/>
        </w:rPr>
      </w:pPr>
    </w:p>
    <w:p>
      <w:pPr>
        <w:ind w:right="620" w:firstLine="1917"/>
        <w:spacing w:after="0" w:line="277" w:lineRule="auto"/>
        <w:tabs>
          <w:tab w:leader="none" w:pos="2154" w:val="left"/>
        </w:tabs>
        <w:numPr>
          <w:ilvl w:val="1"/>
          <w:numId w:val="77"/>
        </w:numPr>
        <w:rPr>
          <w:rFonts w:ascii="Arial" w:cs="Arial" w:eastAsia="Arial" w:hAnsi="Arial"/>
          <w:sz w:val="18"/>
          <w:szCs w:val="18"/>
          <w:color w:val="auto"/>
        </w:rPr>
      </w:pPr>
      <w:r>
        <w:rPr>
          <w:rFonts w:ascii="Arial" w:cs="Arial" w:eastAsia="Arial" w:hAnsi="Arial"/>
          <w:sz w:val="18"/>
          <w:szCs w:val="18"/>
          <w:color w:val="auto"/>
        </w:rPr>
        <w:t>Optionee shall have notified the Company of the proposed Transfer and provided a written summary of the terms and conditions of the proposed disposition;</w:t>
      </w:r>
    </w:p>
    <w:p>
      <w:pPr>
        <w:spacing w:after="0" w:line="62" w:lineRule="exact"/>
        <w:rPr>
          <w:rFonts w:ascii="Arial" w:cs="Arial" w:eastAsia="Arial" w:hAnsi="Arial"/>
          <w:sz w:val="18"/>
          <w:szCs w:val="18"/>
          <w:color w:val="auto"/>
        </w:rPr>
      </w:pPr>
    </w:p>
    <w:p>
      <w:pPr>
        <w:ind w:right="940" w:firstLine="1917"/>
        <w:spacing w:after="0" w:line="277" w:lineRule="auto"/>
        <w:tabs>
          <w:tab w:leader="none" w:pos="21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Optionee shall have complied with all requirements of this Agreement, the Company’s Bylaws and Certificate of Incorporation, the Stockholders Agreement and other agreements applicable to the Transfer of the Shares;</w:t>
      </w:r>
    </w:p>
    <w:p>
      <w:pPr>
        <w:spacing w:after="0" w:line="62" w:lineRule="exact"/>
        <w:rPr>
          <w:rFonts w:ascii="Arial" w:cs="Arial" w:eastAsia="Arial" w:hAnsi="Arial"/>
          <w:sz w:val="18"/>
          <w:szCs w:val="18"/>
          <w:color w:val="auto"/>
        </w:rPr>
      </w:pPr>
    </w:p>
    <w:p>
      <w:pPr>
        <w:ind w:firstLine="1917"/>
        <w:spacing w:after="0" w:line="286" w:lineRule="auto"/>
        <w:tabs>
          <w:tab w:leader="none" w:pos="2154" w:val="left"/>
        </w:tabs>
        <w:numPr>
          <w:ilvl w:val="1"/>
          <w:numId w:val="77"/>
        </w:numPr>
        <w:rPr>
          <w:rFonts w:ascii="Arial" w:cs="Arial" w:eastAsia="Arial" w:hAnsi="Arial"/>
          <w:sz w:val="16"/>
          <w:szCs w:val="16"/>
          <w:color w:val="auto"/>
        </w:rPr>
      </w:pPr>
      <w:r>
        <w:rPr>
          <w:rFonts w:ascii="Arial" w:cs="Arial" w:eastAsia="Arial" w:hAnsi="Arial"/>
          <w:sz w:val="16"/>
          <w:szCs w:val="16"/>
          <w:color w:val="auto"/>
        </w:rPr>
        <w:t>Optionee shall have provided the Company with written assurances, in form and substance satisfactory to counsel for the Company, which may include without limitation an opinion of counsel, that (i) the proposed disposition does not require registration of the Shares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under any applicable state securities laws and (ii) all appropriate actions necessary for compliance with the registration requirements of the Securities Act or of any exemption from registration available under the Securities Act (including Rule</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or applicable state securities laws have been taken; and</w:t>
      </w:r>
    </w:p>
    <w:p>
      <w:pPr>
        <w:spacing w:after="0" w:line="102" w:lineRule="exact"/>
        <w:rPr>
          <w:rFonts w:ascii="Arial" w:cs="Arial" w:eastAsia="Arial" w:hAnsi="Arial"/>
          <w:sz w:val="18"/>
          <w:szCs w:val="18"/>
          <w:color w:val="auto"/>
        </w:rPr>
      </w:pPr>
    </w:p>
    <w:p>
      <w:pPr>
        <w:ind w:right="300" w:firstLine="1917"/>
        <w:spacing w:after="0" w:line="296" w:lineRule="auto"/>
        <w:tabs>
          <w:tab w:leader="none" w:pos="2164" w:val="left"/>
        </w:tabs>
        <w:numPr>
          <w:ilvl w:val="1"/>
          <w:numId w:val="78"/>
        </w:numPr>
        <w:rPr>
          <w:rFonts w:ascii="Arial" w:cs="Arial" w:eastAsia="Arial" w:hAnsi="Arial"/>
          <w:sz w:val="16"/>
          <w:szCs w:val="16"/>
          <w:color w:val="auto"/>
        </w:rPr>
      </w:pPr>
      <w:r>
        <w:rPr>
          <w:rFonts w:ascii="Arial" w:cs="Arial" w:eastAsia="Arial" w:hAnsi="Arial"/>
          <w:sz w:val="16"/>
          <w:szCs w:val="16"/>
          <w:color w:val="auto"/>
        </w:rPr>
        <w:t>Optionee shall have provided the Company with written assurances, in form and substance satisfactory to the Company, which may include without limitation an opinion of counsel,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49" w:lineRule="exact"/>
        <w:rPr>
          <w:sz w:val="20"/>
          <w:szCs w:val="20"/>
          <w:color w:val="auto"/>
        </w:rPr>
      </w:pPr>
    </w:p>
    <w:p>
      <w:pPr>
        <w:ind w:right="100" w:firstLine="1322"/>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u w:val="single" w:color="auto"/>
          <w:color w:val="auto"/>
        </w:rPr>
        <w:t>Restriction on Transfer</w:t>
      </w:r>
      <w:r>
        <w:rPr>
          <w:rFonts w:ascii="Arial" w:cs="Arial" w:eastAsia="Arial" w:hAnsi="Arial"/>
          <w:sz w:val="17"/>
          <w:szCs w:val="17"/>
          <w:color w:val="auto"/>
        </w:rPr>
        <w:t>. Optionee shall not Transfer any of the Shares (or any interest therein) which are subject to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Option or the Stockholders Agreement, except as permitted by this Agreement and the Stockholders Agreement.</w:t>
      </w:r>
    </w:p>
    <w:p>
      <w:pPr>
        <w:spacing w:after="0" w:line="32" w:lineRule="exact"/>
        <w:rPr>
          <w:sz w:val="20"/>
          <w:szCs w:val="20"/>
          <w:color w:val="auto"/>
        </w:rPr>
      </w:pPr>
    </w:p>
    <w:p>
      <w:pPr>
        <w:ind w:right="100" w:firstLine="1322"/>
        <w:spacing w:after="0" w:line="258"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Transferee Obligations</w:t>
      </w:r>
      <w:r>
        <w:rPr>
          <w:rFonts w:ascii="Arial" w:cs="Arial" w:eastAsia="Arial" w:hAnsi="Arial"/>
          <w:sz w:val="18"/>
          <w:szCs w:val="18"/>
          <w:color w:val="auto"/>
        </w:rPr>
        <w:t>. Each person (other than the Company) to whom the Shares (or any interest therein) are Transferred by</w:t>
      </w:r>
      <w:r>
        <w:rPr>
          <w:rFonts w:ascii="Arial" w:cs="Arial" w:eastAsia="Arial" w:hAnsi="Arial"/>
          <w:sz w:val="18"/>
          <w:szCs w:val="18"/>
          <w:b w:val="1"/>
          <w:bCs w:val="1"/>
          <w:color w:val="auto"/>
        </w:rPr>
        <w:t xml:space="preserve"> </w:t>
      </w:r>
      <w:r>
        <w:rPr>
          <w:rFonts w:ascii="Arial" w:cs="Arial" w:eastAsia="Arial" w:hAnsi="Arial"/>
          <w:sz w:val="18"/>
          <w:szCs w:val="18"/>
          <w:color w:val="auto"/>
        </w:rPr>
        <w:t>means of one of the permitted transfers specified in this Agreement or the Stockholders Agreement must, as a condition precedent to the validity of such transfer, acknowledge in writing satisfactory to the Company that such person is bound by the provisions of this Agreement and that the transferred Shares are subject to (i) each the Company’s Repurchase Option and the Stockholders Agreement and (ii) the market stand-off provisions of Section 8 below, to the same extent such Shares would be so subject if retained by Optionee.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4" w:name="page125"/>
    <w:bookmarkEnd w:id="124"/>
    <w:p>
      <w:pPr>
        <w:ind w:firstLine="597"/>
        <w:spacing w:after="0" w:line="285" w:lineRule="auto"/>
        <w:tabs>
          <w:tab w:leader="none" w:pos="768"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STANDOFF AGREEMENT. </w:t>
      </w:r>
      <w:r>
        <w:rPr>
          <w:rFonts w:ascii="Arial" w:cs="Arial" w:eastAsia="Arial" w:hAnsi="Arial"/>
          <w:sz w:val="16"/>
          <w:szCs w:val="16"/>
          <w:color w:val="auto"/>
        </w:rPr>
        <w:t>In connection with the initial public offering of the Company’s securities and upon request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underwriters managing such offering of the Company’s securities, Optionee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In addition, upon request of the Company or the underwriters managing a public offering of the Company’s securities (other than the initial public offering), Optionee hereby agrees to be bound by similar restrictions, and to sign a similar agreement as may be requested by the underwriters,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foregoing covenants, the Company shall have the right to place restrictive legends on the certificates representing the Shares subject to this Section and to impose stop transfer instructions with respect to the Shares until the end of such period.</w:t>
      </w:r>
    </w:p>
    <w:p>
      <w:pPr>
        <w:spacing w:after="0" w:line="63" w:lineRule="exact"/>
        <w:rPr>
          <w:rFonts w:ascii="Arial" w:cs="Arial" w:eastAsia="Arial" w:hAnsi="Arial"/>
          <w:sz w:val="16"/>
          <w:szCs w:val="16"/>
          <w:b w:val="1"/>
          <w:bCs w:val="1"/>
          <w:color w:val="auto"/>
        </w:rPr>
      </w:pPr>
    </w:p>
    <w:p>
      <w:pPr>
        <w:ind w:left="780" w:hanging="183"/>
        <w:spacing w:after="0"/>
        <w:tabs>
          <w:tab w:leader="none" w:pos="7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right="20" w:firstLine="1322"/>
        <w:spacing w:after="0" w:line="255" w:lineRule="auto"/>
        <w:rPr>
          <w:sz w:val="20"/>
          <w:szCs w:val="20"/>
          <w:color w:val="auto"/>
        </w:rPr>
      </w:pPr>
      <w:r>
        <w:rPr>
          <w:rFonts w:ascii="Arial" w:cs="Arial" w:eastAsia="Arial" w:hAnsi="Arial"/>
          <w:sz w:val="18"/>
          <w:szCs w:val="18"/>
          <w:color w:val="auto"/>
        </w:rPr>
        <w:t>Concurrent with Optionee’s exercise of all or any portion of the Option, Optionee and, if married, his or her spouse, shall execute and deliver to the Company a counterpart to the Stockholders Agreement, as amended, binding the Optionee and his or her spouse to the terms contained therein. If Optionee becomes legally married (whether in the first instance or to a different spouse) subsequent to the exercise of all or any portion of the Option, but prior to the Termination Date, Optionee shall cause Optionee’s spouse to execute and deliver to the Company a counterpart to the Stockholders Agreement, as amended. In the event of a conflict between such Stockholders Agreement, the Plan and this Agreement, the Stockholders Agreement shall prevail.</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10. REPURCHASE OPTION</w:t>
      </w:r>
      <w:r>
        <w:rPr>
          <w:rFonts w:ascii="Arial" w:cs="Arial" w:eastAsia="Arial" w:hAnsi="Arial"/>
          <w:sz w:val="18"/>
          <w:szCs w:val="18"/>
          <w:color w:val="auto"/>
        </w:rPr>
        <w:t>.</w:t>
      </w:r>
    </w:p>
    <w:p>
      <w:pPr>
        <w:spacing w:after="0" w:line="117" w:lineRule="exact"/>
        <w:rPr>
          <w:sz w:val="20"/>
          <w:szCs w:val="20"/>
          <w:color w:val="auto"/>
        </w:rPr>
      </w:pPr>
    </w:p>
    <w:p>
      <w:pPr>
        <w:ind w:right="120" w:firstLine="1322"/>
        <w:spacing w:after="0" w:line="289"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Repurchase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Optionee is no longer employed (or in the case of an Optionee who was not an employee, the date 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such Optionee is no longer acting as a director or officer of, or consultant or advisor to, the Company or any of its subsidiaries) by the Company or its subsidiaries for any reason, the Shares (whether held by such Optionee or one or more transferees of such</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94" w:right="399" w:bottom="1440" w:gutter="0" w:footer="0" w:header="0"/>
        </w:sectPr>
      </w:pPr>
    </w:p>
    <w:bookmarkStart w:id="125" w:name="page126"/>
    <w:bookmarkEnd w:id="125"/>
    <w:p>
      <w:pPr>
        <w:ind w:right="20"/>
        <w:spacing w:after="0" w:line="259" w:lineRule="auto"/>
        <w:rPr>
          <w:sz w:val="20"/>
          <w:szCs w:val="20"/>
          <w:color w:val="auto"/>
        </w:rPr>
      </w:pPr>
      <w:r>
        <w:rPr>
          <w:rFonts w:ascii="Arial" w:cs="Arial" w:eastAsia="Arial" w:hAnsi="Arial"/>
          <w:sz w:val="18"/>
          <w:szCs w:val="18"/>
          <w:color w:val="auto"/>
        </w:rPr>
        <w:t>Optionee, other than the Company or any Investor (as defined in the Stockholders Agreement)) will be subject to repurchase by the Company and the Investors (each of the aforementioned solely at their option and the latter on a pro rata basis in accordance with their respective percentage of ownership of the Company’s Common Stock on a fully diluted and as-converted basis) pursuant to the terms and conditions set forth in this Section 10 (the “</w:t>
      </w:r>
      <w:r>
        <w:rPr>
          <w:rFonts w:ascii="Arial" w:cs="Arial" w:eastAsia="Arial" w:hAnsi="Arial"/>
          <w:sz w:val="18"/>
          <w:szCs w:val="18"/>
          <w:b w:val="1"/>
          <w:bCs w:val="1"/>
          <w:i w:val="1"/>
          <w:iCs w:val="1"/>
          <w:color w:val="auto"/>
        </w:rPr>
        <w:t>Repurchase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75" w:lineRule="exact"/>
        <w:rPr>
          <w:sz w:val="20"/>
          <w:szCs w:val="20"/>
          <w:color w:val="auto"/>
        </w:rPr>
      </w:pPr>
    </w:p>
    <w:p>
      <w:pPr>
        <w:ind w:right="40" w:firstLine="1322"/>
        <w:spacing w:after="0" w:line="261"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Repurchase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Termination Date of any Optionee, the Company and the Investors may elect to repurchase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portion of the Shares held by such Optionee at a price per share equal to (i) in the event of such Optionee’s termination for Cause, at the lower of Original Cost or Fair Market Value (as of the Termination Date) and (ii) otherwise (including, but not limited to, a resignation other than for Good Reason and termination without Cause), at Fair Market Value (as of the Termination Date).</w:t>
      </w:r>
    </w:p>
    <w:p>
      <w:pPr>
        <w:spacing w:after="0" w:line="72" w:lineRule="exact"/>
        <w:rPr>
          <w:sz w:val="20"/>
          <w:szCs w:val="20"/>
          <w:color w:val="auto"/>
        </w:rPr>
      </w:pPr>
    </w:p>
    <w:p>
      <w:pPr>
        <w:ind w:firstLine="1322"/>
        <w:spacing w:after="0" w:line="287"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b w:val="1"/>
          <w:bCs w:val="1"/>
          <w:u w:val="single" w:color="auto"/>
          <w:color w:val="auto"/>
        </w:rPr>
        <w:t>Repurchase Procedures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elect to exercise the Repurchase Option to purchase any amount of the Shares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Repurchase Option by delivering written notice (the “</w:t>
      </w:r>
      <w:r>
        <w:rPr>
          <w:rFonts w:ascii="Arial" w:cs="Arial" w:eastAsia="Arial" w:hAnsi="Arial"/>
          <w:sz w:val="16"/>
          <w:szCs w:val="16"/>
          <w:b w:val="1"/>
          <w:bCs w:val="1"/>
          <w:i w:val="1"/>
          <w:iCs w:val="1"/>
          <w:color w:val="auto"/>
        </w:rPr>
        <w:t>Company Repurchase Notice</w:t>
      </w:r>
      <w:r>
        <w:rPr>
          <w:rFonts w:ascii="Arial" w:cs="Arial" w:eastAsia="Arial" w:hAnsi="Arial"/>
          <w:sz w:val="16"/>
          <w:szCs w:val="16"/>
          <w:color w:val="auto"/>
        </w:rPr>
        <w:t>”) to the holder or holders of the Shares and the Investors no later than the later of (A) 90 days after the Termination Date and (B) 90 days after the acquisition of the Shares subject to repurchase. To the extent that any portion of the Shares are not being repurchased by the Company, the Investors may elect to exercise the Repurchase Option to purchase up to their respective pro rata share of the remaining Shares by delivering written notice (an “</w:t>
      </w:r>
      <w:r>
        <w:rPr>
          <w:rFonts w:ascii="Arial" w:cs="Arial" w:eastAsia="Arial" w:hAnsi="Arial"/>
          <w:sz w:val="16"/>
          <w:szCs w:val="16"/>
          <w:b w:val="1"/>
          <w:bCs w:val="1"/>
          <w:i w:val="1"/>
          <w:iCs w:val="1"/>
          <w:color w:val="auto"/>
        </w:rPr>
        <w:t>Investor Repurchase Notice</w:t>
      </w:r>
      <w:r>
        <w:rPr>
          <w:rFonts w:ascii="Arial" w:cs="Arial" w:eastAsia="Arial" w:hAnsi="Arial"/>
          <w:sz w:val="16"/>
          <w:szCs w:val="16"/>
          <w:color w:val="auto"/>
        </w:rPr>
        <w:t>” and together with the Company Repurchase Notice, a “</w:t>
      </w:r>
      <w:r>
        <w:rPr>
          <w:rFonts w:ascii="Arial" w:cs="Arial" w:eastAsia="Arial" w:hAnsi="Arial"/>
          <w:sz w:val="16"/>
          <w:szCs w:val="16"/>
          <w:b w:val="1"/>
          <w:bCs w:val="1"/>
          <w:i w:val="1"/>
          <w:iCs w:val="1"/>
          <w:color w:val="auto"/>
        </w:rPr>
        <w:t>Repurchase Notice</w:t>
      </w:r>
      <w:r>
        <w:rPr>
          <w:rFonts w:ascii="Arial" w:cs="Arial" w:eastAsia="Arial" w:hAnsi="Arial"/>
          <w:sz w:val="16"/>
          <w:szCs w:val="16"/>
          <w:color w:val="auto"/>
        </w:rPr>
        <w:t>”) to the holder or holders of the applicable Shares within 10 business days of the expiration of the latest period during which the Company was entitled to deliver the Company Repurchase Notice. Each Repurchase Notice will set forth the number of Shares to be acquired from such holder(s), the aggregate consideration to be paid for such Shares and the time and place for the closing of the transaction. If any Shares are held by any transferees of Optionee, the Investors and the Company, as the case may be, will purchase the Shares elected to be purchased from such holder(s) of Shares, pro rata according to the number of Shares held by such holder(s) at the time of delivery of such Repurchase Notice (determined as nearly as practicable to the nearest share). If Shares of different classes are to be purchased pursuant to the Repurchase Option and Shares are held by any transferees of Optionee, the number of Shares of each class of Shares to be purchased will be allocated among such holders, pro rata according to the total number of Shares to be purchased from such Persons.</w:t>
      </w:r>
    </w:p>
    <w:p>
      <w:pPr>
        <w:spacing w:after="0" w:line="56" w:lineRule="exact"/>
        <w:rPr>
          <w:sz w:val="20"/>
          <w:szCs w:val="20"/>
          <w:color w:val="auto"/>
        </w:rPr>
      </w:pPr>
    </w:p>
    <w:p>
      <w:pPr>
        <w:ind w:firstLine="1322"/>
        <w:spacing w:after="0" w:line="289" w:lineRule="auto"/>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b w:val="1"/>
          <w:bCs w:val="1"/>
          <w:u w:val="single" w:color="auto"/>
          <w:color w:val="auto"/>
        </w:rPr>
        <w:t>Closing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of the transactions contemplated by this Section 10 will take place on the date designated in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Notice, which date will not be more than 90 days after the delivery of such notice. Each Investor will pay for the Shares to be purchased by it by delivery of a check payable to the holder of such Shares. The Company will pay for the Shares to be purchased by it by first offsetting amounts outstanding under any bona fide debts owing by such Optionee to the Company or any of its subsidiaries, now existing or hereinafter arising (irrespective as to whether such amounts are owing by the holder of such Shares), and will pay the remainder of the purchase price by, at its option, delivery of (A) a check payable to the holder of such Shares, (B) if payment in accordance with clause (A) would result in a breach or default under the Company’s debt financing agreements, if any, a subordinated promissory note with a maturity date that does not exceed three years from the closing of the transactions contemplated by this Section 10, payable in equal monthly installments of principal and interest during the term of the note and bearing interest at a rate per annum equal to the greater of five percent (5%) and the then applicable short term federal rate, or (C) a combination of both (A) and (B), in the aggregate amount of the purchase price for such Shares. Any notes issued by the Company pursuant to this Section 10 shall be subject to any restrictive covenants 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26" w:name="page127"/>
    <w:bookmarkEnd w:id="126"/>
    <w:p>
      <w:pPr>
        <w:ind w:right="60"/>
        <w:spacing w:after="0" w:line="254" w:lineRule="auto"/>
        <w:rPr>
          <w:sz w:val="20"/>
          <w:szCs w:val="20"/>
          <w:color w:val="auto"/>
        </w:rPr>
      </w:pPr>
      <w:r>
        <w:rPr>
          <w:rFonts w:ascii="Arial" w:cs="Arial" w:eastAsia="Arial" w:hAnsi="Arial"/>
          <w:sz w:val="18"/>
          <w:szCs w:val="18"/>
          <w:color w:val="auto"/>
        </w:rPr>
        <w:t>which the Company or its subsidiaries are subject at the time of such purchase. Notwithstanding anything to the contrary contained herein, all repurchases of Shares by the Company will be subject to applicable restrictions contained in the corporation law of the Company’s jurisdiction of incorporation and in the Company’s and its subsidiaries’ debt and equity financing agreements. If any such restrictions prohibit the repurchase of Shares hereunder which the Company is otherwise entitled to make, the Company may make such repurchases as soon as it is permitted to do so under such restrictions. The Investors and/or the Company, as the case may be, will receive customary representations and warranties from each seller regarding the sale of the Shares, including, but not limited to, representations that such seller has good and marketable title to the Shares to be transferred free and clear of all liens, claims and other encumbrances.</w:t>
      </w:r>
    </w:p>
    <w:p>
      <w:pPr>
        <w:spacing w:after="0" w:line="83" w:lineRule="exact"/>
        <w:rPr>
          <w:sz w:val="20"/>
          <w:szCs w:val="20"/>
          <w:color w:val="auto"/>
        </w:rPr>
      </w:pPr>
    </w:p>
    <w:p>
      <w:pPr>
        <w:ind w:right="1080" w:firstLine="1322"/>
        <w:spacing w:after="0" w:line="282"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This Section 10 shall terminate automatically and shall be of no further force and effect upon the earlier to occur of a</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a Public Offering or a Sale of the Company.</w:t>
      </w:r>
    </w:p>
    <w:p>
      <w:pPr>
        <w:spacing w:after="0" w:line="54" w:lineRule="exact"/>
        <w:rPr>
          <w:sz w:val="20"/>
          <w:szCs w:val="20"/>
          <w:color w:val="auto"/>
        </w:rPr>
      </w:pPr>
    </w:p>
    <w:p>
      <w:pPr>
        <w:ind w:right="20" w:firstLine="597"/>
        <w:spacing w:after="0" w:line="272" w:lineRule="auto"/>
        <w:tabs>
          <w:tab w:leader="none" w:pos="848"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Optionee shall not have any of the rights of a stockholder with respect to any Shares unless and until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rights under the Stockholders Agreement. Upon an exercise of the rights under the Stockholders Agreement or Repurchase Option, Optionee will have no further rights as a holder of the Shares so purchased upon such exercise, other than the right to receive payment for the Shares so purchased in accordance with the provisions of this Agreement and the Stockholders Agreement, and Optionee will promptly surrender the stock certificate(s) evidencing the Shares so purchased to the Company for transfer or cancellation.</w:t>
      </w:r>
    </w:p>
    <w:p>
      <w:pPr>
        <w:spacing w:after="0" w:line="63" w:lineRule="exact"/>
        <w:rPr>
          <w:rFonts w:ascii="Arial" w:cs="Arial" w:eastAsia="Arial" w:hAnsi="Arial"/>
          <w:sz w:val="17"/>
          <w:szCs w:val="17"/>
          <w:b w:val="1"/>
          <w:bCs w:val="1"/>
          <w:color w:val="auto"/>
        </w:rPr>
      </w:pPr>
    </w:p>
    <w:p>
      <w:pPr>
        <w:ind w:firstLine="597"/>
        <w:spacing w:after="0" w:line="288" w:lineRule="auto"/>
        <w:tabs>
          <w:tab w:leader="none" w:pos="858"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As security for Optionee’s faithful performance of this Agreement, Optionee agrees, immediately upon receipt of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evidencing the Shares, to deliver such certificate(s), together with two (2) copies of a blank Stock Power and Assignment Separate from Stock Certificate in the form attached to the Exercise Agreement (the “</w:t>
      </w:r>
      <w:r>
        <w:rPr>
          <w:rFonts w:ascii="Arial" w:cs="Arial" w:eastAsia="Arial" w:hAnsi="Arial"/>
          <w:sz w:val="16"/>
          <w:szCs w:val="16"/>
          <w:b w:val="1"/>
          <w:bCs w:val="1"/>
          <w:i w:val="1"/>
          <w:iCs w:val="1"/>
          <w:color w:val="auto"/>
        </w:rPr>
        <w:t>Stock Powers</w:t>
      </w:r>
      <w:r>
        <w:rPr>
          <w:rFonts w:ascii="Arial" w:cs="Arial" w:eastAsia="Arial" w:hAnsi="Arial"/>
          <w:sz w:val="16"/>
          <w:szCs w:val="16"/>
          <w:color w:val="auto"/>
        </w:rPr>
        <w:t>”), both executed by Optionee (and Optionee’s spouse, if any) (with the transferee, certificate number, date and number of Shares left blank), to the Secretary of the Company or other designee of the Company (the “</w:t>
      </w:r>
      <w:r>
        <w:rPr>
          <w:rFonts w:ascii="Arial" w:cs="Arial" w:eastAsia="Arial" w:hAnsi="Arial"/>
          <w:sz w:val="16"/>
          <w:szCs w:val="16"/>
          <w:b w:val="1"/>
          <w:bCs w:val="1"/>
          <w:i w:val="1"/>
          <w:iCs w:val="1"/>
          <w:color w:val="auto"/>
        </w:rPr>
        <w:t>Escrow</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who is hereby appointed to hold such certificate(s) and Stock Powers in escrow and to take all such actions and to effectuate all such transfers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of the Stockholders Agreement and Repurchase Option.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7" w:name="page128"/>
    <w:bookmarkEnd w:id="127"/>
    <w:p>
      <w:pPr>
        <w:ind w:left="600"/>
        <w:spacing w:after="0"/>
        <w:rPr>
          <w:sz w:val="20"/>
          <w:szCs w:val="20"/>
          <w:color w:val="auto"/>
        </w:rPr>
      </w:pPr>
      <w:r>
        <w:rPr>
          <w:rFonts w:ascii="Arial" w:cs="Arial" w:eastAsia="Arial" w:hAnsi="Arial"/>
          <w:sz w:val="18"/>
          <w:szCs w:val="18"/>
          <w:b w:val="1"/>
          <w:bCs w:val="1"/>
          <w:color w:val="auto"/>
        </w:rPr>
        <w:t>13. RESTRICTIVE LEGENDS AND STOP-TRANSFER ORDERS</w:t>
      </w:r>
      <w:r>
        <w:rPr>
          <w:rFonts w:ascii="Arial" w:cs="Arial" w:eastAsia="Arial" w:hAnsi="Arial"/>
          <w:sz w:val="18"/>
          <w:szCs w:val="18"/>
          <w:color w:val="auto"/>
        </w:rPr>
        <w:t>.</w:t>
      </w:r>
    </w:p>
    <w:p>
      <w:pPr>
        <w:spacing w:after="0" w:line="117" w:lineRule="exact"/>
        <w:rPr>
          <w:sz w:val="20"/>
          <w:szCs w:val="20"/>
          <w:color w:val="auto"/>
        </w:rPr>
      </w:pPr>
    </w:p>
    <w:p>
      <w:pPr>
        <w:ind w:right="40" w:firstLine="1322"/>
        <w:spacing w:after="0" w:line="277"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understands and agrees that the Company will place the legends set forth below or similar legends on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evidencing the Shares, together with any other legends that may be required by state or U.S. Federal securities laws, the Company’s Certificate of Incorporation or Bylaws, the Stockholders Agreement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64" w:lineRule="exact"/>
        <w:rPr>
          <w:sz w:val="20"/>
          <w:szCs w:val="20"/>
          <w:color w:val="auto"/>
        </w:rPr>
      </w:pPr>
    </w:p>
    <w:p>
      <w:pPr>
        <w:ind w:right="40" w:firstLine="1917"/>
        <w:spacing w:after="0" w:line="271" w:lineRule="auto"/>
        <w:tabs>
          <w:tab w:leader="none" w:pos="215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70" w:lineRule="exact"/>
        <w:rPr>
          <w:rFonts w:ascii="Arial" w:cs="Arial" w:eastAsia="Arial" w:hAnsi="Arial"/>
          <w:sz w:val="17"/>
          <w:szCs w:val="17"/>
          <w:color w:val="auto"/>
        </w:rPr>
      </w:pPr>
    </w:p>
    <w:p>
      <w:pPr>
        <w:ind w:right="140" w:firstLine="1917"/>
        <w:spacing w:after="0" w:line="257" w:lineRule="auto"/>
        <w:tabs>
          <w:tab w:leader="none" w:pos="21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TRANSFER OF THE SECURITIES REPRESENTED BY THIS CERTIFICATE IS SUBJECT TO A STOCKHOLDERS AGREEMENT DATED AS OF OCTOBER 7, 2015, AMONG THE ISSUER OF SUCH SECURITIES (THE “COMPANY”) AND CERTAIN OF THE COMPANY’S STOCKHOLDERS, AS THE SAME MAY BE AMENDED OR MODIFIED FROM TIME TO TIME. A COPY OF SUCH STOCKHOLDERS AGREEMENT SHALL BE FURNISHED WITHOUT CHARGE BY THE COMPANY TO THE HOLDER HEREOF UPON WRITTEN REQUEST.</w:t>
      </w:r>
    </w:p>
    <w:p>
      <w:pPr>
        <w:spacing w:after="0" w:line="79" w:lineRule="exact"/>
        <w:rPr>
          <w:rFonts w:ascii="Arial" w:cs="Arial" w:eastAsia="Arial" w:hAnsi="Arial"/>
          <w:sz w:val="18"/>
          <w:szCs w:val="18"/>
          <w:color w:val="auto"/>
        </w:rPr>
      </w:pPr>
    </w:p>
    <w:p>
      <w:pPr>
        <w:ind w:firstLine="1917"/>
        <w:spacing w:after="0" w:line="257" w:lineRule="auto"/>
        <w:tabs>
          <w:tab w:leader="none" w:pos="21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CERTAIN RESTRICTIONS ON RESALE AND TRANSFER, INCLUDING THE REPURCHASE OPTION HELD BY THE ISSUER AND/OR ITS ASSIGNEE(S) AS SET FORTH IN A STOCK AGREEMENT BETWEEN THE ISSUER AND THE ORIGINAL HOLDER OF THESE SHARES, A COPY OF WHICH MAY BE OBTAINED AT THE PRINCIPAL OFFICE OF THE ISSUER. SUCH SALE AND TRANSFER RESTRICTIONS, INCLUDING THE REPURCHASE OPTION, ARE BINDING ON TRANSFEREES OF THESE SHARES.</w:t>
      </w:r>
    </w:p>
    <w:p>
      <w:pPr>
        <w:spacing w:after="0" w:line="79" w:lineRule="exact"/>
        <w:rPr>
          <w:rFonts w:ascii="Arial" w:cs="Arial" w:eastAsia="Arial" w:hAnsi="Arial"/>
          <w:sz w:val="18"/>
          <w:szCs w:val="18"/>
          <w:color w:val="auto"/>
        </w:rPr>
      </w:pPr>
    </w:p>
    <w:p>
      <w:pPr>
        <w:ind w:right="120" w:firstLine="1917"/>
        <w:spacing w:after="0" w:line="255" w:lineRule="auto"/>
        <w:tabs>
          <w:tab w:leader="none" w:pos="21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80" w:lineRule="exact"/>
        <w:rPr>
          <w:sz w:val="20"/>
          <w:szCs w:val="20"/>
          <w:color w:val="auto"/>
        </w:rPr>
      </w:pPr>
    </w:p>
    <w:p>
      <w:pPr>
        <w:jc w:val="both"/>
        <w:ind w:right="440" w:firstLine="1322"/>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Stop-Transfer Instructions</w:t>
      </w:r>
      <w:r>
        <w:rPr>
          <w:rFonts w:ascii="Arial" w:cs="Arial" w:eastAsia="Arial" w:hAnsi="Arial"/>
          <w:sz w:val="18"/>
          <w:szCs w:val="18"/>
          <w:color w:val="auto"/>
        </w:rPr>
        <w:t>. Optionee agrees that, to ensure compliance with the restrictions imposed by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issue appropriate “stop-transfer” instructions to its transfer agent, if any, and if the Company transfers its own securities, it may make appropriate notations to the same effect in its own records.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28" w:name="page129"/>
    <w:bookmarkEnd w:id="128"/>
    <w:p>
      <w:pPr>
        <w:ind w:right="100" w:firstLine="1322"/>
        <w:spacing w:after="0" w:line="266"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be required (i) to transfer on its books any Shares that have been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76" w:lineRule="exact"/>
        <w:rPr>
          <w:sz w:val="20"/>
          <w:szCs w:val="20"/>
          <w:color w:val="auto"/>
        </w:rPr>
      </w:pPr>
    </w:p>
    <w:p>
      <w:pPr>
        <w:ind w:right="20" w:firstLine="597"/>
        <w:spacing w:after="0" w:line="269" w:lineRule="auto"/>
        <w:tabs>
          <w:tab w:leader="none" w:pos="858"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STATUTORY INFORMATION RIGHTS. </w:t>
      </w:r>
      <w:r>
        <w:rPr>
          <w:rFonts w:ascii="Arial" w:cs="Arial" w:eastAsia="Arial" w:hAnsi="Arial"/>
          <w:sz w:val="17"/>
          <w:szCs w:val="17"/>
          <w:color w:val="auto"/>
        </w:rPr>
        <w:t>Optionee acknowledges and understands that, but for the waiver made herein,</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Optionee as may be provided for in Section 220, the “</w:t>
      </w:r>
      <w:r>
        <w:rPr>
          <w:rFonts w:ascii="Arial" w:cs="Arial" w:eastAsia="Arial" w:hAnsi="Arial"/>
          <w:sz w:val="17"/>
          <w:szCs w:val="17"/>
          <w:u w:val="single" w:color="auto"/>
          <w:color w:val="auto"/>
        </w:rPr>
        <w:t>Inspection Rights</w:t>
      </w:r>
      <w:r>
        <w:rPr>
          <w:rFonts w:ascii="Arial" w:cs="Arial" w:eastAsia="Arial" w:hAnsi="Arial"/>
          <w:sz w:val="17"/>
          <w:szCs w:val="17"/>
          <w:color w:val="auto"/>
        </w:rPr>
        <w:t>”). In light of the foregoing, until the first sale of Common Stock of the Company to the general public pursuant to a registration statement filed with and declared effective by the SEC under the Securities Act,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Optionee in Optionee’s capacity as a stockholder and shall not affect any rights of a director, in his or her capacity as such, under Section 220. The foregoing waiver shall not apply to any contractual inspection rights of Optionee under any written agreement with the Company.</w:t>
      </w:r>
    </w:p>
    <w:p>
      <w:pPr>
        <w:spacing w:after="0" w:line="70" w:lineRule="exact"/>
        <w:rPr>
          <w:rFonts w:ascii="Arial" w:cs="Arial" w:eastAsia="Arial" w:hAnsi="Arial"/>
          <w:sz w:val="17"/>
          <w:szCs w:val="17"/>
          <w:b w:val="1"/>
          <w:bCs w:val="1"/>
          <w:color w:val="auto"/>
        </w:rPr>
      </w:pPr>
    </w:p>
    <w:p>
      <w:pPr>
        <w:ind w:left="860" w:hanging="263"/>
        <w:spacing w:after="0"/>
        <w:tabs>
          <w:tab w:leader="none" w:pos="8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17" w:lineRule="exact"/>
        <w:rPr>
          <w:sz w:val="20"/>
          <w:szCs w:val="20"/>
          <w:color w:val="auto"/>
        </w:rPr>
      </w:pPr>
    </w:p>
    <w:p>
      <w:pPr>
        <w:ind w:right="120" w:firstLine="1322"/>
        <w:spacing w:after="0" w:line="312"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regarding the interpretation of this Agreement shall be submitted by Optionee or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for review. The resolution of such a dispute by the Committee shall be final and binding on the Company and Optionee.</w:t>
      </w:r>
    </w:p>
    <w:p>
      <w:pPr>
        <w:spacing w:after="0" w:line="32" w:lineRule="exact"/>
        <w:rPr>
          <w:sz w:val="20"/>
          <w:szCs w:val="20"/>
          <w:color w:val="auto"/>
        </w:rPr>
      </w:pPr>
    </w:p>
    <w:p>
      <w:pPr>
        <w:ind w:right="200" w:firstLine="1322"/>
        <w:spacing w:after="0" w:line="261"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Grant Notice and the Exercise Agreement are each incorporated herein by reference.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Grant Notice, the Plan and the Exercise Agreement constitute the entire agreement of the parties with respect to the subject matter hereof and supersede all prior undertakings and agreements with respect to such subject matter. This Agreement may only be modified or amended in writing signed by the Company and Optionee.</w:t>
      </w:r>
    </w:p>
    <w:p>
      <w:pPr>
        <w:spacing w:after="0" w:line="72" w:lineRule="exact"/>
        <w:rPr>
          <w:sz w:val="20"/>
          <w:szCs w:val="20"/>
          <w:color w:val="auto"/>
        </w:rPr>
      </w:pPr>
    </w:p>
    <w:p>
      <w:pPr>
        <w:ind w:left="860" w:hanging="263"/>
        <w:spacing w:after="0"/>
        <w:tabs>
          <w:tab w:leader="none" w:pos="8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firstLine="1330"/>
        <w:spacing w:after="0" w:line="263" w:lineRule="auto"/>
        <w:tabs>
          <w:tab w:leader="none" w:pos="1592"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Any notice required or permitted under this Agreement or any agreement executed and delivered in connection with this Agreement shall be in writing and shall be either personally delivered, or mailed by first class mail, return receipt requested, to Purchaser at the address indicated in the Company’s records for such Person, and to the Company at the address below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Notices to the Company:</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GoodRx Holdings, Inc.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Francisco Partners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One Letterman Drive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Building C, Suite 410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29" w:name="page130"/>
    <w:bookmarkEnd w:id="129"/>
    <w:p>
      <w:pPr>
        <w:ind w:left="1340"/>
        <w:spacing w:after="0"/>
        <w:rPr>
          <w:sz w:val="20"/>
          <w:szCs w:val="20"/>
          <w:color w:val="auto"/>
        </w:rPr>
      </w:pPr>
      <w:r>
        <w:rPr>
          <w:rFonts w:ascii="Arial" w:cs="Arial" w:eastAsia="Arial" w:hAnsi="Arial"/>
          <w:sz w:val="18"/>
          <w:szCs w:val="18"/>
          <w:color w:val="auto"/>
        </w:rPr>
        <w:t>San Francisco, CA 94129</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Chris Adams and Adam Solomon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(415) 418-2999</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GoodRx Holdings, Inc.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Spectrum Equity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140 New Montgomery, 20th Fl.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Stephen LeSieur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(415) 464-4600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M&amp;H, LLP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525 Middlefield Road, Suite 250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Kerry Smith</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(650) 3317001</w:t>
      </w:r>
    </w:p>
    <w:p>
      <w:pPr>
        <w:spacing w:after="0" w:line="103" w:lineRule="exact"/>
        <w:rPr>
          <w:sz w:val="20"/>
          <w:szCs w:val="20"/>
          <w:color w:val="auto"/>
        </w:rPr>
      </w:pPr>
    </w:p>
    <w:p>
      <w:pPr>
        <w:ind w:right="220" w:firstLine="597"/>
        <w:spacing w:after="0" w:line="277" w:lineRule="auto"/>
        <w:tabs>
          <w:tab w:leader="none" w:pos="858"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or such other address or to the attention of such other person as the recipient party shall have specified by prior written notice to the sending party. Any notice under this Agreement shall be deemed to have been given when so delivered or mailed.</w:t>
      </w:r>
    </w:p>
    <w:p>
      <w:pPr>
        <w:spacing w:after="0" w:line="58" w:lineRule="exact"/>
        <w:rPr>
          <w:rFonts w:ascii="Arial" w:cs="Arial" w:eastAsia="Arial" w:hAnsi="Arial"/>
          <w:sz w:val="18"/>
          <w:szCs w:val="18"/>
          <w:b w:val="1"/>
          <w:bCs w:val="1"/>
          <w:color w:val="auto"/>
        </w:rPr>
      </w:pPr>
    </w:p>
    <w:p>
      <w:pPr>
        <w:jc w:val="both"/>
        <w:ind w:firstLine="597"/>
        <w:spacing w:after="0" w:line="303" w:lineRule="auto"/>
        <w:tabs>
          <w:tab w:leader="none" w:pos="858"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The Company may, in its sole discretion, assign any of its rights under this Agreement and the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its rights to purchase Shares under both the Right of Repurchase and Repurchase Option. This Agreement shall be binding upon and inure to the benefit of the successors and assigns of the Company. Subject to the restrictions set forth herein and in the Stockholders Agreement, this Agreement shall be binding upon Optionee and Optionee’s heirs, executors, administrators, legal representatives, successors and assigns.</w:t>
      </w:r>
    </w:p>
    <w:p>
      <w:pPr>
        <w:spacing w:after="0" w:line="42" w:lineRule="exact"/>
        <w:rPr>
          <w:rFonts w:ascii="Arial" w:cs="Arial" w:eastAsia="Arial" w:hAnsi="Arial"/>
          <w:sz w:val="16"/>
          <w:szCs w:val="16"/>
          <w:b w:val="1"/>
          <w:bCs w:val="1"/>
          <w:color w:val="auto"/>
        </w:rPr>
      </w:pPr>
    </w:p>
    <w:p>
      <w:pPr>
        <w:ind w:right="260" w:firstLine="597"/>
        <w:spacing w:after="0" w:line="261" w:lineRule="auto"/>
        <w:tabs>
          <w:tab w:leader="none" w:pos="858"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internal laws of the State of Delaware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laws are applied to agreements between Delaware residents entered into and to be performed entirely within Delaware. If any provision of this Agreement is determined by a court of law to be illegal or unenforceable, then such provision will be enforced to the maximum extent possible and the other provisions will remain fully effective and enforceable.</w:t>
      </w:r>
    </w:p>
    <w:p>
      <w:pPr>
        <w:spacing w:after="0" w:line="71" w:lineRule="exact"/>
        <w:rPr>
          <w:rFonts w:ascii="Arial" w:cs="Arial" w:eastAsia="Arial" w:hAnsi="Arial"/>
          <w:sz w:val="18"/>
          <w:szCs w:val="18"/>
          <w:b w:val="1"/>
          <w:bCs w:val="1"/>
          <w:color w:val="auto"/>
        </w:rPr>
      </w:pPr>
    </w:p>
    <w:p>
      <w:pPr>
        <w:ind w:right="80" w:firstLine="597"/>
        <w:spacing w:after="0" w:line="282" w:lineRule="auto"/>
        <w:tabs>
          <w:tab w:leader="none" w:pos="858"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53" w:lineRule="exact"/>
        <w:rPr>
          <w:rFonts w:ascii="Arial" w:cs="Arial" w:eastAsia="Arial" w:hAnsi="Arial"/>
          <w:sz w:val="18"/>
          <w:szCs w:val="18"/>
          <w:b w:val="1"/>
          <w:bCs w:val="1"/>
          <w:color w:val="auto"/>
        </w:rPr>
      </w:pPr>
    </w:p>
    <w:p>
      <w:pPr>
        <w:ind w:right="80" w:firstLine="597"/>
        <w:spacing w:after="0" w:line="266" w:lineRule="auto"/>
        <w:tabs>
          <w:tab w:leader="none" w:pos="858"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TITLES AND HEADINGS. </w:t>
      </w:r>
      <w:r>
        <w:rPr>
          <w:rFonts w:ascii="Arial" w:cs="Arial" w:eastAsia="Arial" w:hAnsi="Arial"/>
          <w:sz w:val="18"/>
          <w:szCs w:val="18"/>
          <w:color w:val="auto"/>
        </w:rPr>
        <w:t>The titles, captions and headings of this Agreement are included for ease of reference only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disregarded in interpreting or construing this Agreement. Unless otherwise specifically stated, all references herein to “sections” and “exhibits” will mean “sections” and “exhibits” to this Agreement.</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130" w:name="page131"/>
    <w:bookmarkEnd w:id="130"/>
    <w:p>
      <w:pPr>
        <w:ind w:right="160" w:firstLine="597"/>
        <w:spacing w:after="0" w:line="282" w:lineRule="auto"/>
        <w:tabs>
          <w:tab w:leader="none" w:pos="858"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53" w:lineRule="exact"/>
        <w:rPr>
          <w:rFonts w:ascii="Arial" w:cs="Arial" w:eastAsia="Arial" w:hAnsi="Arial"/>
          <w:sz w:val="18"/>
          <w:szCs w:val="18"/>
          <w:b w:val="1"/>
          <w:bCs w:val="1"/>
          <w:color w:val="auto"/>
        </w:rPr>
      </w:pPr>
    </w:p>
    <w:p>
      <w:pPr>
        <w:ind w:firstLine="597"/>
        <w:spacing w:after="0" w:line="255" w:lineRule="auto"/>
        <w:tabs>
          <w:tab w:leader="none" w:pos="858"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is determined by any court or arbitrator of competent jurisdiction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92" w:lineRule="exact"/>
        <w:rPr>
          <w:rFonts w:ascii="Arial" w:cs="Arial" w:eastAsia="Arial" w:hAnsi="Arial"/>
          <w:sz w:val="18"/>
          <w:szCs w:val="18"/>
          <w:b w:val="1"/>
          <w:bCs w:val="1"/>
          <w:color w:val="auto"/>
        </w:rPr>
      </w:pPr>
    </w:p>
    <w:p>
      <w:pPr>
        <w:ind w:left="504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 A</w:t>
      </w:r>
      <w:r>
        <w:rPr>
          <w:rFonts w:ascii="Arial" w:cs="Arial" w:eastAsia="Arial" w:hAnsi="Arial"/>
          <w:sz w:val="18"/>
          <w:szCs w:val="18"/>
          <w:color w:val="auto"/>
        </w:rPr>
        <w:t>: Form of Stock Option Exercise Notice and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4" w:right="37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STOCK OPTION EXERCISE NOTICE AND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520700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u w:val="single" w:color="auto"/>
          <w:color w:val="auto"/>
        </w:rPr>
        <w:t>ANNEX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VESTED ONLY</w:t>
      </w:r>
    </w:p>
    <w:p>
      <w:pPr>
        <w:spacing w:after="0" w:line="200" w:lineRule="exact"/>
        <w:rPr>
          <w:sz w:val="20"/>
          <w:szCs w:val="20"/>
          <w:color w:val="auto"/>
        </w:rPr>
      </w:pPr>
    </w:p>
    <w:p>
      <w:pPr>
        <w:spacing w:after="0" w:line="290" w:lineRule="exact"/>
        <w:rPr>
          <w:sz w:val="20"/>
          <w:szCs w:val="20"/>
          <w:color w:val="auto"/>
        </w:rPr>
      </w:pPr>
    </w:p>
    <w:p>
      <w:pPr>
        <w:ind w:left="2460" w:hanging="657"/>
        <w:spacing w:after="0"/>
        <w:tabs>
          <w:tab w:leader="none" w:pos="246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 EXERCISE NOTICE AND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OOD</w:t>
      </w:r>
      <w:r>
        <w:rPr>
          <w:rFonts w:ascii="Arial" w:cs="Arial" w:eastAsia="Arial" w:hAnsi="Arial"/>
          <w:sz w:val="18"/>
          <w:szCs w:val="18"/>
          <w:b w:val="1"/>
          <w:bCs w:val="1"/>
          <w:color w:val="auto"/>
        </w:rPr>
        <w:t>R</w:t>
      </w:r>
      <w:r>
        <w:rPr>
          <w:rFonts w:ascii="Arial" w:cs="Arial" w:eastAsia="Arial" w:hAnsi="Arial"/>
          <w:sz w:val="13"/>
          <w:szCs w:val="13"/>
          <w:b w:val="1"/>
          <w:bCs w:val="1"/>
          <w:color w:val="auto"/>
        </w:rPr>
        <w:t>X</w:t>
      </w:r>
      <w:r>
        <w:rPr>
          <w:rFonts w:ascii="Arial" w:cs="Arial" w:eastAsia="Arial" w:hAnsi="Arial"/>
          <w:sz w:val="18"/>
          <w:szCs w:val="18"/>
          <w:b w:val="1"/>
          <w:bCs w:val="1"/>
          <w:color w:val="auto"/>
        </w:rPr>
        <w:t xml:space="preserve"> H</w:t>
      </w:r>
      <w:r>
        <w:rPr>
          <w:rFonts w:ascii="Arial" w:cs="Arial" w:eastAsia="Arial" w:hAnsi="Arial"/>
          <w:sz w:val="13"/>
          <w:szCs w:val="13"/>
          <w:b w:val="1"/>
          <w:bCs w:val="1"/>
          <w:color w:val="auto"/>
        </w:rPr>
        <w:t>OLDINGS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3"/>
          <w:szCs w:val="13"/>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p>
    <w:p>
      <w:pPr>
        <w:spacing w:after="0" w:line="229" w:lineRule="exact"/>
        <w:rPr>
          <w:sz w:val="20"/>
          <w:szCs w:val="20"/>
          <w:color w:val="auto"/>
        </w:rPr>
      </w:pPr>
    </w:p>
    <w:p>
      <w:pPr>
        <w:jc w:val="center"/>
        <w:ind w:right="3060"/>
        <w:spacing w:after="0"/>
        <w:rPr>
          <w:sz w:val="20"/>
          <w:szCs w:val="20"/>
          <w:color w:val="auto"/>
        </w:rPr>
      </w:pPr>
      <w:r>
        <w:rPr>
          <w:rFonts w:ascii="Arial" w:cs="Arial" w:eastAsia="Arial" w:hAnsi="Arial"/>
          <w:sz w:val="15"/>
          <w:szCs w:val="15"/>
          <w:b w:val="1"/>
          <w:bCs w:val="1"/>
          <w:i w:val="1"/>
          <w:iCs w:val="1"/>
          <w:color w:val="auto"/>
        </w:rPr>
        <w:t xml:space="preserve">*NOTE: You </w:t>
      </w:r>
      <w:r>
        <w:rPr>
          <w:rFonts w:ascii="Arial" w:cs="Arial" w:eastAsia="Arial" w:hAnsi="Arial"/>
          <w:sz w:val="15"/>
          <w:szCs w:val="15"/>
          <w:b w:val="1"/>
          <w:bCs w:val="1"/>
          <w:i w:val="1"/>
          <w:iCs w:val="1"/>
          <w:u w:val="single" w:color="auto"/>
          <w:color w:val="auto"/>
        </w:rPr>
        <w:t>must</w:t>
      </w:r>
      <w:r>
        <w:rPr>
          <w:rFonts w:ascii="Arial" w:cs="Arial" w:eastAsia="Arial" w:hAnsi="Arial"/>
          <w:sz w:val="15"/>
          <w:szCs w:val="15"/>
          <w:b w:val="1"/>
          <w:bCs w:val="1"/>
          <w:i w:val="1"/>
          <w:iCs w:val="1"/>
          <w:color w:val="auto"/>
        </w:rPr>
        <w:t xml:space="preserve"> sign this Notice on Page 4 before submitting it to GoodRx Holdings, Inc. (the “Company”).</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3"/>
          <w:szCs w:val="13"/>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the following information about yourself (“</w:t>
      </w:r>
      <w:r>
        <w:rPr>
          <w:rFonts w:ascii="Arial" w:cs="Arial" w:eastAsia="Arial" w:hAnsi="Arial"/>
          <w:sz w:val="18"/>
          <w:szCs w:val="18"/>
          <w:b w:val="1"/>
          <w:bCs w:val="1"/>
          <w:i w:val="1"/>
          <w:iCs w:val="1"/>
          <w:color w:val="auto"/>
        </w:rPr>
        <w:t>Optionee</w:t>
      </w:r>
      <w:r>
        <w:rPr>
          <w:rFonts w:ascii="Arial" w:cs="Arial" w:eastAsia="Arial" w:hAnsi="Arial"/>
          <w:sz w:val="18"/>
          <w:szCs w:val="18"/>
          <w:i w:val="1"/>
          <w:iCs w:val="1"/>
          <w:color w:val="auto"/>
        </w:rPr>
        <w:t>”)</w:t>
      </w:r>
      <w:r>
        <w:rPr>
          <w:rFonts w:ascii="Arial" w:cs="Arial" w:eastAsia="Arial" w:hAnsi="Arial"/>
          <w:sz w:val="18"/>
          <w:szCs w:val="18"/>
          <w:color w:val="auto"/>
        </w:rPr>
        <w:t>:</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Number:</w:t>
      </w:r>
    </w:p>
    <w:p>
      <w:pPr>
        <w:spacing w:after="0" w:line="200" w:lineRule="exact"/>
        <w:rPr>
          <w:sz w:val="20"/>
          <w:szCs w:val="20"/>
          <w:color w:val="auto"/>
        </w:rPr>
      </w:pPr>
    </w:p>
    <w:p>
      <w:pPr>
        <w:sectPr>
          <w:pgSz w:w="11900" w:h="16838" w:orient="portrait"/>
          <w:cols w:equalWidth="0" w:num="2">
            <w:col w:w="5140" w:space="720"/>
            <w:col w:w="5380"/>
          </w:cols>
          <w:pgMar w:left="320" w:top="59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Employee Number:</w:t>
      </w:r>
    </w:p>
    <w:p>
      <w:pPr>
        <w:spacing w:after="0" w:line="200" w:lineRule="exact"/>
        <w:rPr>
          <w:sz w:val="20"/>
          <w:szCs w:val="20"/>
          <w:color w:val="auto"/>
        </w:rPr>
      </w:pPr>
    </w:p>
    <w:p>
      <w:pPr>
        <w:sectPr>
          <w:pgSz w:w="11900" w:h="16838" w:orient="portrait"/>
          <w:cols w:equalWidth="0" w:num="2">
            <w:col w:w="5140" w:space="720"/>
            <w:col w:w="5380"/>
          </w:cols>
          <w:pgMar w:left="320" w:top="598"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3"/>
          <w:szCs w:val="13"/>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this information on the option being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the “</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Arial" w:cs="Arial" w:eastAsia="Arial" w:hAnsi="Arial"/>
                <w:sz w:val="18"/>
                <w:szCs w:val="18"/>
                <w:color w:val="auto"/>
                <w:w w:val="95"/>
              </w:rPr>
              <w:t>Date of Grant:</w:t>
            </w:r>
          </w:p>
        </w:tc>
        <w:tc>
          <w:tcPr>
            <w:tcW w:w="1080" w:type="dxa"/>
            <w:vAlign w:val="bottom"/>
            <w:tcBorders>
              <w:bottom w:val="single" w:sz="8" w:color="auto"/>
            </w:tcBorders>
            <w:gridSpan w:val="2"/>
          </w:tcPr>
          <w:p>
            <w:pPr>
              <w:spacing w:after="0"/>
              <w:rPr>
                <w:sz w:val="17"/>
                <w:szCs w:val="17"/>
                <w:color w:val="auto"/>
              </w:rPr>
            </w:pPr>
          </w:p>
        </w:tc>
        <w:tc>
          <w:tcPr>
            <w:tcW w:w="3360" w:type="dxa"/>
            <w:vAlign w:val="bottom"/>
          </w:tcPr>
          <w:p>
            <w:pPr>
              <w:spacing w:after="0"/>
              <w:rPr>
                <w:sz w:val="17"/>
                <w:szCs w:val="17"/>
                <w:color w:val="auto"/>
              </w:rPr>
            </w:pPr>
          </w:p>
        </w:tc>
        <w:tc>
          <w:tcPr>
            <w:tcW w:w="2120" w:type="dxa"/>
            <w:vAlign w:val="bottom"/>
          </w:tcPr>
          <w:p>
            <w:pPr>
              <w:ind w:left="320"/>
              <w:spacing w:after="0"/>
              <w:rPr>
                <w:sz w:val="20"/>
                <w:szCs w:val="20"/>
                <w:color w:val="auto"/>
              </w:rPr>
            </w:pPr>
            <w:r>
              <w:rPr>
                <w:rFonts w:ascii="Arial" w:cs="Arial" w:eastAsia="Arial" w:hAnsi="Arial"/>
                <w:sz w:val="18"/>
                <w:szCs w:val="18"/>
                <w:color w:val="auto"/>
              </w:rPr>
              <w:t>Type of Stock Option:</w:t>
            </w:r>
          </w:p>
        </w:tc>
      </w:tr>
      <w:tr>
        <w:trPr>
          <w:trHeight w:val="222"/>
        </w:trPr>
        <w:tc>
          <w:tcPr>
            <w:tcW w:w="5540" w:type="dxa"/>
            <w:vAlign w:val="bottom"/>
            <w:gridSpan w:val="5"/>
          </w:tcPr>
          <w:p>
            <w:pPr>
              <w:spacing w:after="0"/>
              <w:rPr>
                <w:sz w:val="20"/>
                <w:szCs w:val="20"/>
                <w:color w:val="auto"/>
              </w:rPr>
            </w:pPr>
            <w:r>
              <w:rPr>
                <w:rFonts w:ascii="Arial" w:cs="Arial" w:eastAsia="Arial" w:hAnsi="Arial"/>
                <w:sz w:val="18"/>
                <w:szCs w:val="18"/>
                <w:color w:val="auto"/>
              </w:rPr>
              <w:t>Exercise Price per Share: $______</w:t>
            </w:r>
          </w:p>
        </w:tc>
        <w:tc>
          <w:tcPr>
            <w:tcW w:w="21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Nonqualified (NQSO)</w:t>
            </w:r>
          </w:p>
        </w:tc>
      </w:tr>
      <w:tr>
        <w:trPr>
          <w:trHeight w:val="216"/>
        </w:trPr>
        <w:tc>
          <w:tcPr>
            <w:tcW w:w="5540" w:type="dxa"/>
            <w:vAlign w:val="bottom"/>
            <w:gridSpan w:val="5"/>
          </w:tcPr>
          <w:p>
            <w:pPr>
              <w:spacing w:after="0"/>
              <w:rPr>
                <w:sz w:val="20"/>
                <w:szCs w:val="20"/>
                <w:color w:val="auto"/>
              </w:rPr>
            </w:pPr>
            <w:r>
              <w:rPr>
                <w:rFonts w:ascii="Arial" w:cs="Arial" w:eastAsia="Arial" w:hAnsi="Arial"/>
                <w:sz w:val="18"/>
                <w:szCs w:val="18"/>
                <w:color w:val="auto"/>
                <w:w w:val="95"/>
              </w:rPr>
              <w:t>Total number of shares of Common Stock of the Company subject to the</w:t>
            </w:r>
          </w:p>
        </w:tc>
        <w:tc>
          <w:tcPr>
            <w:tcW w:w="212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9"/>
              </w:rPr>
              <w:t>Option:</w:t>
            </w:r>
          </w:p>
        </w:tc>
        <w:tc>
          <w:tcPr>
            <w:tcW w:w="900" w:type="dxa"/>
            <w:vAlign w:val="bottom"/>
            <w:tcBorders>
              <w:bottom w:val="single" w:sz="8" w:color="auto"/>
            </w:tcBorders>
            <w:gridSpan w:val="2"/>
          </w:tcPr>
          <w:p>
            <w:pPr>
              <w:spacing w:after="0"/>
              <w:rPr>
                <w:sz w:val="16"/>
                <w:szCs w:val="16"/>
                <w:color w:val="auto"/>
              </w:rPr>
            </w:pPr>
          </w:p>
        </w:tc>
        <w:tc>
          <w:tcPr>
            <w:tcW w:w="4040" w:type="dxa"/>
            <w:vAlign w:val="bottom"/>
            <w:gridSpan w:val="2"/>
          </w:tcPr>
          <w:p>
            <w:pPr>
              <w:spacing w:after="0"/>
              <w:rPr>
                <w:sz w:val="16"/>
                <w:szCs w:val="16"/>
                <w:color w:val="auto"/>
              </w:rPr>
            </w:pPr>
          </w:p>
        </w:tc>
        <w:tc>
          <w:tcPr>
            <w:tcW w:w="2120" w:type="dxa"/>
            <w:vAlign w:val="bottom"/>
          </w:tcPr>
          <w:p>
            <w:pPr>
              <w:spacing w:after="0"/>
              <w:rPr>
                <w:sz w:val="16"/>
                <w:szCs w:val="16"/>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of the Company for which the Option is now being exercised: __________________. (These shares are referred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 as the “</w:t>
      </w:r>
      <w:r>
        <w:rPr>
          <w:rFonts w:ascii="Arial" w:cs="Arial" w:eastAsia="Arial" w:hAnsi="Arial"/>
          <w:sz w:val="18"/>
          <w:szCs w:val="18"/>
          <w:b w:val="1"/>
          <w:bCs w:val="1"/>
          <w:i w:val="1"/>
          <w:iCs w:val="1"/>
          <w:color w:val="auto"/>
        </w:rPr>
        <w:t>Purchased Shares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Exercise Price being paid for the Purchased Shares: $______________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87"/>
        </w:numPr>
        <w:rPr>
          <w:rFonts w:ascii="MS PGothic" w:cs="MS PGothic" w:eastAsia="MS PGothic" w:hAnsi="MS PGothic"/>
          <w:sz w:val="18"/>
          <w:szCs w:val="18"/>
          <w:color w:val="auto"/>
        </w:rPr>
      </w:pPr>
      <w:r>
        <w:rPr>
          <w:rFonts w:ascii="Arial" w:cs="Arial" w:eastAsia="Arial" w:hAnsi="Arial"/>
          <w:sz w:val="18"/>
          <w:szCs w:val="18"/>
          <w:color w:val="auto"/>
        </w:rPr>
        <w:t>Check for $____________, payable to “</w:t>
      </w:r>
      <w:r>
        <w:rPr>
          <w:rFonts w:ascii="Arial" w:cs="Arial" w:eastAsia="Arial" w:hAnsi="Arial"/>
          <w:sz w:val="18"/>
          <w:szCs w:val="18"/>
          <w:i w:val="1"/>
          <w:iCs w:val="1"/>
          <w:color w:val="auto"/>
        </w:rPr>
        <w:t>GoodRx Holdings, Inc</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87"/>
        </w:numPr>
        <w:rPr>
          <w:rFonts w:ascii="MS PGothic" w:cs="MS PGothic" w:eastAsia="MS PGothic" w:hAnsi="MS PGothic"/>
          <w:sz w:val="18"/>
          <w:szCs w:val="18"/>
          <w:color w:val="auto"/>
        </w:rPr>
      </w:pPr>
      <w:r>
        <w:rPr>
          <w:rFonts w:ascii="Arial" w:cs="Arial" w:eastAsia="Arial" w:hAnsi="Arial"/>
          <w:sz w:val="18"/>
          <w:szCs w:val="18"/>
          <w:color w:val="auto"/>
        </w:rPr>
        <w:t>Wire transfer to the Company for $____________.</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87"/>
        </w:numPr>
        <w:rPr>
          <w:rFonts w:ascii="MS PGothic" w:cs="MS PGothic" w:eastAsia="MS PGothic" w:hAnsi="MS PGothic"/>
          <w:sz w:val="18"/>
          <w:szCs w:val="18"/>
          <w:color w:val="auto"/>
        </w:rPr>
      </w:pPr>
      <w:r>
        <w:rPr>
          <w:rFonts w:ascii="Arial" w:cs="Arial" w:eastAsia="Arial" w:hAnsi="Arial"/>
          <w:sz w:val="18"/>
          <w:szCs w:val="18"/>
          <w:color w:val="auto"/>
        </w:rPr>
        <w:t>Other form of consideration as permitted by the Option Agreement. Please describe:</w:t>
      </w:r>
    </w:p>
    <w:p>
      <w:pPr>
        <w:spacing w:after="0" w:line="117" w:lineRule="exact"/>
        <w:rPr>
          <w:rFonts w:ascii="MS PGothic" w:cs="MS PGothic" w:eastAsia="MS PGothic" w:hAnsi="MS PGothic"/>
          <w:sz w:val="18"/>
          <w:szCs w:val="18"/>
          <w:color w:val="auto"/>
        </w:rPr>
      </w:pPr>
    </w:p>
    <w:p>
      <w:pPr>
        <w:ind w:left="600"/>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________________________________________________________________________.</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w:t>
      </w:r>
      <w:r>
        <w:rPr>
          <w:rFonts w:ascii="Arial" w:cs="Arial" w:eastAsia="Arial" w:hAnsi="Arial"/>
          <w:sz w:val="13"/>
          <w:szCs w:val="13"/>
          <w:color w:val="auto"/>
        </w:rPr>
        <w:t>GREEMENTS</w:t>
      </w:r>
      <w:r>
        <w:rPr>
          <w:rFonts w:ascii="Arial" w:cs="Arial" w:eastAsia="Arial" w:hAnsi="Arial"/>
          <w:sz w:val="18"/>
          <w:szCs w:val="18"/>
          <w:color w:val="auto"/>
        </w:rPr>
        <w:t>, R</w:t>
      </w:r>
      <w:r>
        <w:rPr>
          <w:rFonts w:ascii="Arial" w:cs="Arial" w:eastAsia="Arial" w:hAnsi="Arial"/>
          <w:sz w:val="13"/>
          <w:szCs w:val="13"/>
          <w:color w:val="auto"/>
        </w:rPr>
        <w:t>EPRESENTATIONS AND</w:t>
      </w:r>
      <w:r>
        <w:rPr>
          <w:rFonts w:ascii="Arial" w:cs="Arial" w:eastAsia="Arial" w:hAnsi="Arial"/>
          <w:sz w:val="18"/>
          <w:szCs w:val="18"/>
          <w:color w:val="auto"/>
        </w:rPr>
        <w:t xml:space="preserve"> A</w:t>
      </w:r>
      <w:r>
        <w:rPr>
          <w:rFonts w:ascii="Arial" w:cs="Arial" w:eastAsia="Arial" w:hAnsi="Arial"/>
          <w:sz w:val="13"/>
          <w:szCs w:val="13"/>
          <w:color w:val="auto"/>
        </w:rPr>
        <w:t>CKNOWLEDGMENTS OF</w:t>
      </w:r>
      <w:r>
        <w:rPr>
          <w:rFonts w:ascii="Arial" w:cs="Arial" w:eastAsia="Arial" w:hAnsi="Arial"/>
          <w:sz w:val="18"/>
          <w:szCs w:val="18"/>
          <w:color w:val="auto"/>
        </w:rPr>
        <w:t xml:space="preserve"> O</w:t>
      </w:r>
      <w:r>
        <w:rPr>
          <w:rFonts w:ascii="Arial" w:cs="Arial" w:eastAsia="Arial" w:hAnsi="Arial"/>
          <w:sz w:val="13"/>
          <w:szCs w:val="13"/>
          <w:color w:val="auto"/>
        </w:rPr>
        <w:t>PTIONEE</w:t>
      </w:r>
      <w:r>
        <w:rPr>
          <w:rFonts w:ascii="Arial" w:cs="Arial" w:eastAsia="Arial" w:hAnsi="Arial"/>
          <w:sz w:val="18"/>
          <w:szCs w:val="18"/>
          <w:color w:val="auto"/>
        </w:rPr>
        <w:t>: By signing this Stock Option Exercise Notice and Agreement, Optionee hereby agrees with, and represents to, the Company as follows:</w:t>
      </w:r>
    </w:p>
    <w:p>
      <w:pPr>
        <w:spacing w:after="0" w:line="72" w:lineRule="exact"/>
        <w:rPr>
          <w:sz w:val="20"/>
          <w:szCs w:val="20"/>
          <w:color w:val="auto"/>
        </w:rPr>
      </w:pPr>
    </w:p>
    <w:p>
      <w:pPr>
        <w:ind w:left="460" w:right="40" w:hanging="452"/>
        <w:spacing w:after="0" w:line="266" w:lineRule="auto"/>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Terms Governing</w:t>
      </w:r>
      <w:r>
        <w:rPr>
          <w:rFonts w:ascii="Arial" w:cs="Arial" w:eastAsia="Arial" w:hAnsi="Arial"/>
          <w:sz w:val="18"/>
          <w:szCs w:val="18"/>
          <w:color w:val="auto"/>
        </w:rPr>
        <w:t>. I acknowledge and agree with the Company that I am acquiring the Purchased Shares by exercise of the Option subject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terms and conditions of the Notice of Stock Option Grant and the Stock Option Agreement that govern the Option, including without limitation the terms of the Company’s 2015 Equity Incentive Plan, as it may be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33" w:name="page134"/>
    <w:bookmarkEnd w:id="133"/>
    <w:p>
      <w:pPr>
        <w:ind w:left="452" w:hanging="452"/>
        <w:spacing w:after="0" w:line="273" w:lineRule="auto"/>
        <w:tabs>
          <w:tab w:leader="none" w:pos="452"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Intent; Securities Law Restrictions</w:t>
      </w:r>
      <w:r>
        <w:rPr>
          <w:rFonts w:ascii="Arial" w:cs="Arial" w:eastAsia="Arial" w:hAnsi="Arial"/>
          <w:sz w:val="17"/>
          <w:szCs w:val="17"/>
          <w:color w:val="auto"/>
        </w:rPr>
        <w:t>. I represent and warrant to the Company that I am acquiring and will hold the Purchased Shares for</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for my account only, and not with a view to, or for resale in connection with, any “distribution” of the Purchased Shares within the meaning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77" w:lineRule="exact"/>
        <w:rPr>
          <w:rFonts w:ascii="Arial" w:cs="Arial" w:eastAsia="Arial" w:hAnsi="Arial"/>
          <w:sz w:val="17"/>
          <w:szCs w:val="17"/>
          <w:b w:val="1"/>
          <w:bCs w:val="1"/>
          <w:color w:val="auto"/>
        </w:rPr>
      </w:pPr>
    </w:p>
    <w:p>
      <w:pPr>
        <w:ind w:left="452" w:right="20" w:hanging="452"/>
        <w:spacing w:after="0" w:line="271" w:lineRule="auto"/>
        <w:tabs>
          <w:tab w:leader="none" w:pos="452"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on Transfer; Rule 144</w:t>
      </w:r>
      <w:r>
        <w:rPr>
          <w:rFonts w:ascii="Arial" w:cs="Arial" w:eastAsia="Arial" w:hAnsi="Arial"/>
          <w:sz w:val="17"/>
          <w:szCs w:val="17"/>
          <w:color w:val="auto"/>
        </w:rPr>
        <w:t>. I acknowledge that the Purchased Shares are subject to the restrictions on Transfer set forth in the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 Grant and the Stock Option Agreement that govern the Option. I will not sell, transfer or otherwise dispose of the Purchased Shares in violation of the Securities Act, the 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79" w:lineRule="exact"/>
        <w:rPr>
          <w:rFonts w:ascii="Arial" w:cs="Arial" w:eastAsia="Arial" w:hAnsi="Arial"/>
          <w:sz w:val="17"/>
          <w:szCs w:val="17"/>
          <w:b w:val="1"/>
          <w:bCs w:val="1"/>
          <w:color w:val="auto"/>
        </w:rPr>
      </w:pPr>
    </w:p>
    <w:p>
      <w:pPr>
        <w:ind w:left="452" w:hanging="452"/>
        <w:spacing w:after="0" w:line="298" w:lineRule="auto"/>
        <w:tabs>
          <w:tab w:leader="none" w:pos="452"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Access to Information; Understanding of Risk in Investment</w:t>
      </w:r>
      <w:r>
        <w:rPr>
          <w:rFonts w:ascii="Arial" w:cs="Arial" w:eastAsia="Arial" w:hAnsi="Arial"/>
          <w:sz w:val="16"/>
          <w:szCs w:val="16"/>
          <w:color w:val="auto"/>
        </w:rPr>
        <w:t>. I acknowledge that I have received and had access to such information as I consider</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59" w:lineRule="exact"/>
        <w:rPr>
          <w:rFonts w:ascii="Arial" w:cs="Arial" w:eastAsia="Arial" w:hAnsi="Arial"/>
          <w:sz w:val="16"/>
          <w:szCs w:val="16"/>
          <w:b w:val="1"/>
          <w:bCs w:val="1"/>
          <w:color w:val="auto"/>
        </w:rPr>
      </w:pPr>
    </w:p>
    <w:p>
      <w:pPr>
        <w:ind w:left="452" w:right="260" w:hanging="452"/>
        <w:spacing w:after="0" w:line="289" w:lineRule="auto"/>
        <w:tabs>
          <w:tab w:leader="none" w:pos="452"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Agreement; Repurchase Option; Market Stand-off</w:t>
      </w:r>
      <w:r>
        <w:rPr>
          <w:rFonts w:ascii="Arial" w:cs="Arial" w:eastAsia="Arial" w:hAnsi="Arial"/>
          <w:sz w:val="17"/>
          <w:szCs w:val="17"/>
          <w:color w:val="auto"/>
        </w:rPr>
        <w:t>. I acknowledge that the Purchased Shares remain subject to the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amended, the Company’s Repurchase Option and the market stand-off covenants (sometimes referred to as the “lock-up”), all in accordance with the Notice of Stock Option Grant and the Option Agreement that govern the Option</w:t>
      </w:r>
    </w:p>
    <w:p>
      <w:pPr>
        <w:spacing w:after="0" w:line="63" w:lineRule="exact"/>
        <w:rPr>
          <w:rFonts w:ascii="Arial" w:cs="Arial" w:eastAsia="Arial" w:hAnsi="Arial"/>
          <w:sz w:val="17"/>
          <w:szCs w:val="17"/>
          <w:b w:val="1"/>
          <w:bCs w:val="1"/>
          <w:color w:val="auto"/>
        </w:rPr>
      </w:pPr>
    </w:p>
    <w:p>
      <w:pPr>
        <w:jc w:val="both"/>
        <w:ind w:left="452" w:right="300" w:hanging="452"/>
        <w:spacing w:after="0" w:line="303" w:lineRule="auto"/>
        <w:tabs>
          <w:tab w:leader="none" w:pos="452"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Form of Ownership</w:t>
      </w:r>
      <w:r>
        <w:rPr>
          <w:rFonts w:ascii="Arial" w:cs="Arial" w:eastAsia="Arial" w:hAnsi="Arial"/>
          <w:sz w:val="16"/>
          <w:szCs w:val="16"/>
          <w:color w:val="auto"/>
        </w:rPr>
        <w:t>. I acknowledge that the Company has encouraged me to consult my own adviser to determine the form of ownership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unfavorable tax consequences may occur.</w:t>
      </w:r>
    </w:p>
    <w:p>
      <w:pPr>
        <w:spacing w:after="0" w:line="56" w:lineRule="exact"/>
        <w:rPr>
          <w:rFonts w:ascii="Arial" w:cs="Arial" w:eastAsia="Arial" w:hAnsi="Arial"/>
          <w:sz w:val="16"/>
          <w:szCs w:val="16"/>
          <w:b w:val="1"/>
          <w:bCs w:val="1"/>
          <w:color w:val="auto"/>
        </w:rPr>
      </w:pPr>
    </w:p>
    <w:p>
      <w:pPr>
        <w:ind w:left="452" w:right="800" w:hanging="452"/>
        <w:spacing w:after="0" w:line="282" w:lineRule="auto"/>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Investigation of Tax Consequences. </w:t>
      </w:r>
      <w:r>
        <w:rPr>
          <w:rFonts w:ascii="Arial" w:cs="Arial" w:eastAsia="Arial" w:hAnsi="Arial"/>
          <w:sz w:val="18"/>
          <w:szCs w:val="18"/>
          <w:color w:val="auto"/>
        </w:rPr>
        <w:t>I acknowledge that the Company has encouraged me to consult my own advisor to determine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acquiring the Purchased Shares at this time.</w:t>
      </w:r>
    </w:p>
    <w:p>
      <w:pPr>
        <w:spacing w:after="0" w:line="67" w:lineRule="exact"/>
        <w:rPr>
          <w:rFonts w:ascii="Arial" w:cs="Arial" w:eastAsia="Arial" w:hAnsi="Arial"/>
          <w:sz w:val="18"/>
          <w:szCs w:val="18"/>
          <w:b w:val="1"/>
          <w:bCs w:val="1"/>
          <w:color w:val="auto"/>
        </w:rPr>
      </w:pPr>
    </w:p>
    <w:p>
      <w:pPr>
        <w:ind w:left="452" w:right="80" w:hanging="452"/>
        <w:spacing w:after="0" w:line="289" w:lineRule="auto"/>
        <w:tabs>
          <w:tab w:leader="none" w:pos="452"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Tax Matters. </w:t>
      </w:r>
      <w:r>
        <w:rPr>
          <w:rFonts w:ascii="Arial" w:cs="Arial" w:eastAsia="Arial" w:hAnsi="Arial"/>
          <w:sz w:val="17"/>
          <w:szCs w:val="17"/>
          <w:color w:val="auto"/>
        </w:rPr>
        <w:t>I agree that the Company does not have a duty to design or administer the Plan or its other compensation programs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that minimizes my tax liabilities. I will not make any claim against the Company or its Board, officers or employees related to tax liabilities arising from my options or my other compensation. In particular, I acknowledge that my options (including the</w:t>
      </w:r>
    </w:p>
    <w:p>
      <w:pPr>
        <w:spacing w:after="0" w:line="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51" w:right="359" w:bottom="1440" w:gutter="0" w:footer="0" w:header="0"/>
        </w:sectPr>
      </w:pPr>
    </w:p>
    <w:bookmarkStart w:id="134" w:name="page135"/>
    <w:bookmarkEnd w:id="134"/>
    <w:p>
      <w:pPr>
        <w:ind w:left="452" w:right="40"/>
        <w:spacing w:after="0" w:line="255" w:lineRule="auto"/>
        <w:rPr>
          <w:sz w:val="20"/>
          <w:szCs w:val="20"/>
          <w:color w:val="auto"/>
        </w:rPr>
      </w:pPr>
      <w:r>
        <w:rPr>
          <w:rFonts w:ascii="Arial" w:cs="Arial" w:eastAsia="Arial" w:hAnsi="Arial"/>
          <w:sz w:val="18"/>
          <w:szCs w:val="18"/>
          <w:color w:val="auto"/>
        </w:rPr>
        <w:t>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94" w:lineRule="exact"/>
        <w:rPr>
          <w:sz w:val="20"/>
          <w:szCs w:val="20"/>
          <w:color w:val="auto"/>
        </w:rPr>
      </w:pPr>
    </w:p>
    <w:p>
      <w:pPr>
        <w:ind w:left="452" w:right="80" w:hanging="452"/>
        <w:spacing w:after="0" w:line="266" w:lineRule="auto"/>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Powers. </w:t>
      </w:r>
      <w:r>
        <w:rPr>
          <w:rFonts w:ascii="Arial" w:cs="Arial" w:eastAsia="Arial" w:hAnsi="Arial"/>
          <w:sz w:val="18"/>
          <w:szCs w:val="18"/>
          <w:color w:val="auto"/>
        </w:rPr>
        <w:t>As security for my faithful performance of this Agreement, including the Notice of Stock Option Grant and the Option Agreement,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my spouse, if any) have executed and deliver herewith two copies of the Stock Power and Assignment Separate from Stock Certificate, in the form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(with the date and number of shares left blank) (the “</w:t>
      </w:r>
      <w:r>
        <w:rPr>
          <w:rFonts w:ascii="Arial" w:cs="Arial" w:eastAsia="Arial" w:hAnsi="Arial"/>
          <w:sz w:val="18"/>
          <w:szCs w:val="18"/>
          <w:b w:val="1"/>
          <w:bCs w:val="1"/>
          <w:i w:val="1"/>
          <w:iCs w:val="1"/>
          <w:color w:val="auto"/>
        </w:rPr>
        <w:t>Stock Powers</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452" w:right="60" w:hanging="452"/>
        <w:spacing w:after="0" w:line="258" w:lineRule="auto"/>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To the extent not covered by an existing agreement concerning confidentiality or non-disclosure between me and the Company, I</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I shall at all times hold in strict confidence and not disclose to any individual or entity, and shall not use for any purpose other than for the benefit of the Company, all non-public information of the Company received by me (including without limitation information disclosed to me in connection with the Option Agreement, exercise of my option, or my being an option holder or stockholder of the Company) except upon the prior written authorization of the Company.</w:t>
      </w:r>
    </w:p>
    <w:p>
      <w:pPr>
        <w:spacing w:after="0" w:line="88" w:lineRule="exact"/>
        <w:rPr>
          <w:rFonts w:ascii="Arial" w:cs="Arial" w:eastAsia="Arial" w:hAnsi="Arial"/>
          <w:sz w:val="18"/>
          <w:szCs w:val="18"/>
          <w:b w:val="1"/>
          <w:bCs w:val="1"/>
          <w:color w:val="auto"/>
        </w:rPr>
      </w:pPr>
    </w:p>
    <w:p>
      <w:pPr>
        <w:ind w:left="452" w:right="300" w:hanging="452"/>
        <w:spacing w:after="0" w:line="312" w:lineRule="auto"/>
        <w:tabs>
          <w:tab w:leader="none" w:pos="452"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Escrow. </w:t>
      </w:r>
      <w:r>
        <w:rPr>
          <w:rFonts w:ascii="Arial" w:cs="Arial" w:eastAsia="Arial" w:hAnsi="Arial"/>
          <w:sz w:val="17"/>
          <w:szCs w:val="17"/>
          <w:color w:val="auto"/>
        </w:rPr>
        <w:t>Immediately upon receipt of the stock certificate evidencing the Shares, I will deliver such certificate to the Escrow Holder to be held in</w:t>
      </w:r>
      <w:r>
        <w:rPr>
          <w:rFonts w:ascii="Arial" w:cs="Arial" w:eastAsia="Arial" w:hAnsi="Arial"/>
          <w:sz w:val="17"/>
          <w:szCs w:val="17"/>
          <w:b w:val="1"/>
          <w:bCs w:val="1"/>
          <w:color w:val="auto"/>
        </w:rPr>
        <w:t xml:space="preserve"> </w:t>
      </w:r>
      <w:r>
        <w:rPr>
          <w:rFonts w:ascii="Arial" w:cs="Arial" w:eastAsia="Arial" w:hAnsi="Arial"/>
          <w:sz w:val="17"/>
          <w:szCs w:val="17"/>
          <w:color w:val="auto"/>
        </w:rPr>
        <w:t>escrow in accordance with the terms of the Notice of Stock Option Grant and the Option Agreement and this Agreement.</w:t>
      </w:r>
    </w:p>
    <w:p>
      <w:pPr>
        <w:spacing w:after="0" w:line="45" w:lineRule="exact"/>
        <w:rPr>
          <w:rFonts w:ascii="Arial" w:cs="Arial" w:eastAsia="Arial" w:hAnsi="Arial"/>
          <w:sz w:val="17"/>
          <w:szCs w:val="17"/>
          <w:b w:val="1"/>
          <w:bCs w:val="1"/>
          <w:color w:val="auto"/>
        </w:rPr>
      </w:pPr>
    </w:p>
    <w:p>
      <w:pPr>
        <w:ind w:left="452" w:right="220" w:hanging="452"/>
        <w:spacing w:after="0" w:line="312" w:lineRule="auto"/>
        <w:tabs>
          <w:tab w:leader="none" w:pos="452"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Consent of Spouse. </w:t>
      </w:r>
      <w:r>
        <w:rPr>
          <w:rFonts w:ascii="Arial" w:cs="Arial" w:eastAsia="Arial" w:hAnsi="Arial"/>
          <w:sz w:val="17"/>
          <w:szCs w:val="17"/>
          <w:color w:val="auto"/>
        </w:rPr>
        <w:t>As a further condition to the Company’s obligations under this Agreement, I deliver herewith the Consent of Spouse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hereto as </w:t>
      </w:r>
      <w:r>
        <w:rPr>
          <w:rFonts w:ascii="Arial" w:cs="Arial" w:eastAsia="Arial" w:hAnsi="Arial"/>
          <w:sz w:val="17"/>
          <w:szCs w:val="17"/>
          <w:u w:val="single" w:color="auto"/>
          <w:color w:val="auto"/>
        </w:rPr>
        <w:t>Exhibit 2</w:t>
      </w:r>
      <w:r>
        <w:rPr>
          <w:rFonts w:ascii="Arial" w:cs="Arial" w:eastAsia="Arial" w:hAnsi="Arial"/>
          <w:sz w:val="17"/>
          <w:szCs w:val="17"/>
          <w:color w:val="auto"/>
        </w:rPr>
        <w:t xml:space="preserve"> executed by my spouse (or appropriated marked and executed by me if I do not have a spouse).</w:t>
      </w:r>
    </w:p>
    <w:p>
      <w:pPr>
        <w:spacing w:after="0" w:line="45" w:lineRule="exact"/>
        <w:rPr>
          <w:rFonts w:ascii="Arial" w:cs="Arial" w:eastAsia="Arial" w:hAnsi="Arial"/>
          <w:sz w:val="17"/>
          <w:szCs w:val="17"/>
          <w:b w:val="1"/>
          <w:bCs w:val="1"/>
          <w:color w:val="auto"/>
        </w:rPr>
      </w:pPr>
    </w:p>
    <w:p>
      <w:pPr>
        <w:ind w:left="452" w:hanging="452"/>
        <w:spacing w:after="0" w:line="256" w:lineRule="auto"/>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 California Corporate Securities Law. </w:t>
      </w:r>
      <w:r>
        <w:rPr>
          <w:rFonts w:ascii="Arial" w:cs="Arial" w:eastAsia="Arial" w:hAnsi="Arial"/>
          <w:sz w:val="18"/>
          <w:szCs w:val="18"/>
          <w:color w:val="auto"/>
        </w:rPr>
        <w:t>THE SALE OF THE SECURITIES WHICH ARE THE SUBJECT OF THIS AGREEMENT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92" w:lineRule="exact"/>
        <w:rPr>
          <w:rFonts w:ascii="Arial" w:cs="Arial" w:eastAsia="Arial" w:hAnsi="Arial"/>
          <w:sz w:val="18"/>
          <w:szCs w:val="18"/>
          <w:b w:val="1"/>
          <w:bCs w:val="1"/>
          <w:color w:val="auto"/>
        </w:rPr>
      </w:pPr>
    </w:p>
    <w:p>
      <w:pPr>
        <w:ind w:left="452" w:right="20" w:hanging="452"/>
        <w:spacing w:after="0" w:line="266" w:lineRule="auto"/>
        <w:tabs>
          <w:tab w:leader="none" w:pos="452"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14. Tax Withholding</w:t>
      </w:r>
      <w:r>
        <w:rPr>
          <w:rFonts w:ascii="Arial" w:cs="Arial" w:eastAsia="Arial" w:hAnsi="Arial"/>
          <w:sz w:val="18"/>
          <w:szCs w:val="18"/>
          <w:color w:val="auto"/>
        </w:rPr>
        <w:t>. As a condition of exercising the Option, I agree to make adequate provision for foreign, federal, state or other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if any, which arise upon the grant, vesting or exercise of this Option, or disposition of the Purchased Shares, whether by withholding, direct payment to the Company, or otherwise.</w:t>
      </w:r>
    </w:p>
    <w:p>
      <w:pPr>
        <w:spacing w:after="0" w:line="67" w:lineRule="exact"/>
        <w:rPr>
          <w:rFonts w:ascii="Arial" w:cs="Arial" w:eastAsia="Arial" w:hAnsi="Arial"/>
          <w:sz w:val="18"/>
          <w:szCs w:val="18"/>
          <w:color w:val="auto"/>
        </w:rPr>
      </w:pPr>
    </w:p>
    <w:p>
      <w:pPr>
        <w:ind w:left="-8" w:right="240" w:firstLine="8"/>
        <w:spacing w:after="0" w:line="266" w:lineRule="auto"/>
        <w:tabs>
          <w:tab w:leader="none" w:pos="26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xml:space="preserve">: </w:t>
      </w:r>
      <w:r>
        <w:rPr>
          <w:rFonts w:ascii="Arial" w:cs="Arial" w:eastAsia="Arial" w:hAnsi="Arial"/>
          <w:sz w:val="18"/>
          <w:szCs w:val="18"/>
          <w:color w:val="auto"/>
        </w:rPr>
        <w:t>I HAVE REVIEWED WITH MY OWN TAX ADVISORS THE FEDERAL, STATE, LOCAL AND FOREIGN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THIS INVESTMENT AND THE TRANSACTIONS CONTEMPLATED BY THIS AGREEMENT. I AM RELYING SOLELY ON SUCH ADVISORS AND NOT ON ANY STATEMENTS OR REPRESENTATIONS OF THE COMPANY OR ITS AGENTS.</w:t>
      </w:r>
    </w:p>
    <w:p>
      <w:pPr>
        <w:spacing w:after="0" w:line="11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92"/>
          </w:cols>
          <w:pgMar w:left="328" w:top="355" w:right="37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The undersigned hereby executes and delivers this Stock Option Exercise Notice and Agreement and agrees to be bound by its terms</w:t>
      </w:r>
    </w:p>
    <w:p>
      <w:pPr>
        <w:spacing w:after="0" w:line="200" w:lineRule="exact"/>
        <w:rPr>
          <w:sz w:val="20"/>
          <w:szCs w:val="20"/>
          <w:color w:val="auto"/>
        </w:rPr>
      </w:pPr>
    </w:p>
    <w:p>
      <w:pPr>
        <w:spacing w:after="0" w:line="314"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D</w:t>
      </w:r>
      <w:r>
        <w:rPr>
          <w:rFonts w:ascii="Arial" w:cs="Arial" w:eastAsia="Arial" w:hAnsi="Arial"/>
          <w:sz w:val="12"/>
          <w:szCs w:val="12"/>
          <w:b w:val="1"/>
          <w:bCs w:val="1"/>
          <w:color w:val="auto"/>
        </w:rPr>
        <w:t>ATE</w:t>
      </w:r>
      <w:r>
        <w:rPr>
          <w:rFonts w:ascii="Arial" w:cs="Arial" w:eastAsia="Arial" w:hAnsi="Arial"/>
          <w:sz w:val="17"/>
          <w:szCs w:val="17"/>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48602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4860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w:t>
      </w:r>
      <w:r>
        <w:rPr>
          <w:rFonts w:ascii="Arial" w:cs="Arial" w:eastAsia="Arial" w:hAnsi="Arial"/>
          <w:sz w:val="18"/>
          <w:szCs w:val="18"/>
          <w:color w:val="auto"/>
        </w:rPr>
        <w:t>– Stock Powers and Assignments Separate from Stock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w:t>
      </w:r>
      <w:r>
        <w:rPr>
          <w:rFonts w:ascii="Arial" w:cs="Arial" w:eastAsia="Arial" w:hAnsi="Arial"/>
          <w:sz w:val="18"/>
          <w:szCs w:val="18"/>
          <w:color w:val="auto"/>
        </w:rPr>
        <w:t>– Spousal Consent</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[Signature Page to Stock Option Exercise Notice and Agreement]</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STOCK POWERS AND ASSIGNMENTS SEPARATE FROM STOCK CERTIFICATE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520700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137" w:name="page138"/>
    <w:bookmarkEnd w:id="137"/>
    <w:p>
      <w:pPr>
        <w:jc w:val="center"/>
        <w:ind w:right="-319"/>
        <w:spacing w:after="0"/>
        <w:rPr>
          <w:sz w:val="20"/>
          <w:szCs w:val="20"/>
          <w:color w:val="auto"/>
        </w:rPr>
      </w:pPr>
      <w:r>
        <w:rPr>
          <w:rFonts w:ascii="Arial" w:cs="Arial" w:eastAsia="Arial" w:hAnsi="Arial"/>
          <w:sz w:val="18"/>
          <w:szCs w:val="18"/>
          <w:b w:val="1"/>
          <w:bCs w:val="1"/>
          <w:u w:val="single" w:color="auto"/>
          <w:color w:val="auto"/>
        </w:rPr>
        <w:t>Stock Power And Assignment</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Separate From Stock Certificate</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VALUE RECEIVED and pursuant to that certain Stock Option Exercise Notice and Agreement, dated as of _______________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undersigned hereby sells, assigns and transfers unto ___________________________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__________ shares of the</w:t>
      </w:r>
    </w:p>
    <w:p>
      <w:pPr>
        <w:spacing w:after="0" w:line="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Common Stock of GoodRx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standing in the undersigned’s name on the books of the Company represented by Certificate No(s).________ delivered herewith, and does hereby irrevocably constitute and appoint the Secretary of the Company as the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undersigned’s attorney-in-fact, with full power of substitution, to transfer said stock on the books of the Company. </w:t>
      </w:r>
      <w:r>
        <w:rPr>
          <w:rFonts w:ascii="Arial" w:cs="Arial" w:eastAsia="Arial" w:hAnsi="Arial"/>
          <w:sz w:val="18"/>
          <w:szCs w:val="18"/>
          <w:i w:val="1"/>
          <w:iCs w:val="1"/>
          <w:color w:val="auto"/>
        </w:rPr>
        <w:t>THIS ASSIGNMENT MAY ONLY BE</w:t>
      </w:r>
      <w:r>
        <w:rPr>
          <w:rFonts w:ascii="Arial" w:cs="Arial" w:eastAsia="Arial" w:hAnsi="Arial"/>
          <w:sz w:val="18"/>
          <w:szCs w:val="18"/>
          <w:color w:val="auto"/>
        </w:rPr>
        <w:t xml:space="preserve"> </w:t>
      </w:r>
      <w:r>
        <w:rPr>
          <w:rFonts w:ascii="Arial" w:cs="Arial" w:eastAsia="Arial" w:hAnsi="Arial"/>
          <w:sz w:val="18"/>
          <w:szCs w:val="18"/>
          <w:i w:val="1"/>
          <w:iCs w:val="1"/>
          <w:color w:val="auto"/>
        </w:rPr>
        <w:t>USED AS AUTHORIZED BY THE AGREEMENT AND ANY EXHIBITS THERETO</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460375</wp:posOffset>
            </wp:positionV>
            <wp:extent cx="28460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-10160</wp:posOffset>
            </wp:positionV>
            <wp:extent cx="571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(Signature)(Purchaser’s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(Please Print Name)</w:t>
      </w:r>
    </w:p>
    <w:p>
      <w:pPr>
        <w:spacing w:after="0" w:line="221"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u w:val="single" w:color="auto"/>
          <w:color w:val="auto"/>
        </w:rPr>
        <w:t>Instruction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Please do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fill in any blanks other than the signature line. The purpose of this Stock Power and Assignment is to enable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and/or its assignee(s) to acquire the shares upon exercise of its rights under the Agreement, as set forth in the Agreement, without requiring additional signatures on the part of Purchaser or Purchaser’s Spouse.</w:t>
      </w:r>
    </w:p>
    <w:p>
      <w:pPr>
        <w:spacing w:after="0" w:line="1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594" w:right="639" w:bottom="1440" w:gutter="0" w:footer="0" w:header="0"/>
        </w:sectPr>
      </w:pPr>
    </w:p>
    <w:bookmarkStart w:id="138" w:name="page139"/>
    <w:bookmarkEnd w:id="138"/>
    <w:p>
      <w:pPr>
        <w:jc w:val="center"/>
        <w:ind w:right="-319"/>
        <w:spacing w:after="0"/>
        <w:rPr>
          <w:sz w:val="20"/>
          <w:szCs w:val="20"/>
          <w:color w:val="auto"/>
        </w:rPr>
      </w:pPr>
      <w:r>
        <w:rPr>
          <w:rFonts w:ascii="Arial" w:cs="Arial" w:eastAsia="Arial" w:hAnsi="Arial"/>
          <w:sz w:val="18"/>
          <w:szCs w:val="18"/>
          <w:b w:val="1"/>
          <w:bCs w:val="1"/>
          <w:u w:val="single" w:color="auto"/>
          <w:color w:val="auto"/>
        </w:rPr>
        <w:t>Stock Power And Assignment</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Separate From Stock Certificate</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VALUE RECEIVED and pursuant to that certain Stock Option Exercise Notice and Agreement, dated as of _______________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undersigned hereby sells, assigns and transfers unto ___________________________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__________ shares of the</w:t>
      </w:r>
    </w:p>
    <w:p>
      <w:pPr>
        <w:spacing w:after="0" w:line="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Common Stock of GoodRx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standing in the undersigned’s name on the books of the Company represented by Certificate No(s).________ delivered herewith, and does hereby irrevocably constitute and appoint the Secretary of the Company as the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undersigned’s attorney-in-fact, with full power of substitution, to transfer said stock on the books of the Company. </w:t>
      </w:r>
      <w:r>
        <w:rPr>
          <w:rFonts w:ascii="Arial" w:cs="Arial" w:eastAsia="Arial" w:hAnsi="Arial"/>
          <w:sz w:val="18"/>
          <w:szCs w:val="18"/>
          <w:i w:val="1"/>
          <w:iCs w:val="1"/>
          <w:color w:val="auto"/>
        </w:rPr>
        <w:t>THIS ASSIGNMENT MAY ONLY BE</w:t>
      </w:r>
      <w:r>
        <w:rPr>
          <w:rFonts w:ascii="Arial" w:cs="Arial" w:eastAsia="Arial" w:hAnsi="Arial"/>
          <w:sz w:val="18"/>
          <w:szCs w:val="18"/>
          <w:color w:val="auto"/>
        </w:rPr>
        <w:t xml:space="preserve"> </w:t>
      </w:r>
      <w:r>
        <w:rPr>
          <w:rFonts w:ascii="Arial" w:cs="Arial" w:eastAsia="Arial" w:hAnsi="Arial"/>
          <w:sz w:val="18"/>
          <w:szCs w:val="18"/>
          <w:i w:val="1"/>
          <w:iCs w:val="1"/>
          <w:color w:val="auto"/>
        </w:rPr>
        <w:t>USED AS AUTHORIZED BY THE AGREEMENT AND ANY EXHIBITS THERETO</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460375</wp:posOffset>
            </wp:positionV>
            <wp:extent cx="28460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-10160</wp:posOffset>
            </wp:positionV>
            <wp:extent cx="571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(Signature)(Purchaser’s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(Please Print Name)</w:t>
      </w:r>
    </w:p>
    <w:p>
      <w:pPr>
        <w:spacing w:after="0" w:line="221"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u w:val="single" w:color="auto"/>
          <w:color w:val="auto"/>
        </w:rPr>
        <w:t>Instruction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Please do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fill in any blanks other than the signature line. The purpose of this Stock Power and Assignment is to enable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and/or its assignee(s) to acquire the shares upon exercise of its rights under the Agreement, as set forth in the Agreement, without requiring additional signatures on the part of Purchaser or Purchaser’s Spouse.</w:t>
      </w:r>
    </w:p>
    <w:p>
      <w:pPr>
        <w:spacing w:after="0" w:line="1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594" w:right="6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CONSENT OF SPOUSE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520700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8"/>
          <w:szCs w:val="18"/>
          <w:b w:val="1"/>
          <w:bCs w:val="1"/>
          <w:u w:val="single" w:color="auto"/>
          <w:color w:val="auto"/>
        </w:rPr>
        <w:t>CONSENT OF SPOUSE</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undersigned spouse hereby acknowledges that I have read the following plans, arrangements and agreements to which my spouse is a party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subject: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GoodRx Holdings, Inc. [Option][Stock] Agreement, dated _________, ____ GoodRx Holdings, Inc. 2015 Equity Incentive Plan (the “</w:t>
      </w:r>
      <w:r>
        <w:rPr>
          <w:rFonts w:ascii="Arial" w:cs="Arial" w:eastAsia="Arial" w:hAnsi="Arial"/>
          <w:sz w:val="17"/>
          <w:szCs w:val="17"/>
          <w:b w:val="1"/>
          <w:bCs w:val="1"/>
          <w:u w:val="single" w:color="auto"/>
          <w:color w:val="auto"/>
        </w:rPr>
        <w:t>Pla</w:t>
      </w:r>
      <w:r>
        <w:rPr>
          <w:rFonts w:ascii="Arial" w:cs="Arial" w:eastAsia="Arial" w:hAnsi="Arial"/>
          <w:sz w:val="17"/>
          <w:szCs w:val="17"/>
          <w:b w:val="1"/>
          <w:bCs w:val="1"/>
          <w:color w:val="auto"/>
        </w:rPr>
        <w:t>n”)</w:t>
      </w:r>
    </w:p>
    <w:p>
      <w:pPr>
        <w:spacing w:after="0" w:line="2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and that I understand their contents. I am aware that such plans, arrangements and agreements (i) provide for the repurchase, under certain circumstances, of any and all shares of capital stock of GoodRx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that are ever acquired by my spouse pursuant to the Plan and (ii) impose certain obligations upon my spouse and restrictions on transfer of my spouse’s shares of capital stock of the Company under certain circumstances. I agree that my spouse’s interest in the capital stock of the Company is subject to the documents referred to above and the other agreements referred to therein and any interest I may have in the Company or in such capital stock shall be irrevocably bound by these agreements and the other agreements referred to therein, and further agree that any community property interest of mine (if any) shall be similarly bound by these agreements.</w:t>
      </w:r>
    </w:p>
    <w:p>
      <w:pPr>
        <w:spacing w:after="0" w:line="164" w:lineRule="exact"/>
        <w:rPr>
          <w:sz w:val="20"/>
          <w:szCs w:val="20"/>
          <w:color w:val="auto"/>
        </w:rPr>
      </w:pPr>
    </w:p>
    <w:p>
      <w:pPr>
        <w:ind w:right="340" w:firstLine="589"/>
        <w:spacing w:after="0" w:line="291" w:lineRule="auto"/>
        <w:rPr>
          <w:sz w:val="20"/>
          <w:szCs w:val="20"/>
          <w:color w:val="auto"/>
        </w:rPr>
      </w:pPr>
      <w:r>
        <w:rPr>
          <w:rFonts w:ascii="Arial" w:cs="Arial" w:eastAsia="Arial" w:hAnsi="Arial"/>
          <w:sz w:val="16"/>
          <w:szCs w:val="16"/>
          <w:color w:val="auto"/>
        </w:rPr>
        <w:t>For the benefit of the Company (which is relying hereon), the undersigned spouse irrevocably constitutes and appoints, on behalf of himself or herself and his or her heirs, legatees and assigns, ___________________, who is the spouse of the undersigned (the “</w:t>
      </w:r>
      <w:r>
        <w:rPr>
          <w:rFonts w:ascii="Arial" w:cs="Arial" w:eastAsia="Arial" w:hAnsi="Arial"/>
          <w:sz w:val="16"/>
          <w:szCs w:val="16"/>
          <w:u w:val="single" w:color="auto"/>
          <w:color w:val="auto"/>
        </w:rPr>
        <w:t>Participant</w:t>
      </w:r>
      <w:r>
        <w:rPr>
          <w:rFonts w:ascii="Arial" w:cs="Arial" w:eastAsia="Arial" w:hAnsi="Arial"/>
          <w:sz w:val="16"/>
          <w:szCs w:val="16"/>
          <w:color w:val="auto"/>
        </w:rPr>
        <w:t>”), as the undersigned’s</w:t>
      </w:r>
    </w:p>
    <w:p>
      <w:pPr>
        <w:ind w:right="20"/>
        <w:spacing w:after="0" w:line="268" w:lineRule="auto"/>
        <w:rPr>
          <w:sz w:val="20"/>
          <w:szCs w:val="20"/>
          <w:color w:val="auto"/>
        </w:rPr>
      </w:pPr>
      <w:r>
        <w:rPr>
          <w:rFonts w:ascii="Arial" w:cs="Arial" w:eastAsia="Arial" w:hAnsi="Arial"/>
          <w:sz w:val="17"/>
          <w:szCs w:val="17"/>
          <w:color w:val="auto"/>
        </w:rPr>
        <w:t>true and lawful attorney and proxy in his or her name, place and stead to sign, make, execute, acknowledge, deliver, file and record all documents which may be required, and to manage, vote, act and make all decisions with respect to (whether necessary, incidental, convenient or otherwise), any and all shares or capital stock or options to acquire capital stock of the Company in which the undersigned now has or hereafter acquires any interest and in any and all shares of the Company now or hereafter held of record by the Participant (including but not limited to the right, without further signature, consent or knowledge of the undersigned spouse, to exercise or not to exercise any and all options under any appropriate agreements and to exercise amendments and modifications of and to terminate the foregoing agreements and to dispose of any and all shares of capital stock or options to acquire capital stock of the Company), with all powers the undersigned spouse would possess if personally present, it being expressly understood and intended by the undersigned that the foregoing power of attorney and proxy is coupled with an interest; and this power of attorney is a durable power of attorney and will not be affected by disability, incapacity or death of the Participant, or dissolution of marriage and this proxy will not terminate without consent of the Participant and the Company.</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Plan Participant: _________________</w:t>
            </w:r>
          </w:p>
        </w:tc>
        <w:tc>
          <w:tcPr>
            <w:tcW w:w="7060" w:type="dxa"/>
            <w:vAlign w:val="bottom"/>
          </w:tcPr>
          <w:p>
            <w:pPr>
              <w:ind w:left="1660"/>
              <w:spacing w:after="0"/>
              <w:rPr>
                <w:sz w:val="20"/>
                <w:szCs w:val="20"/>
                <w:color w:val="auto"/>
              </w:rPr>
            </w:pPr>
            <w:r>
              <w:rPr>
                <w:rFonts w:ascii="Arial" w:cs="Arial" w:eastAsia="Arial" w:hAnsi="Arial"/>
                <w:sz w:val="18"/>
                <w:szCs w:val="18"/>
                <w:color w:val="auto"/>
              </w:rPr>
              <w:t>Spouse of Plan Participant: ____________</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Signature: ______________________</w:t>
            </w:r>
          </w:p>
        </w:tc>
        <w:tc>
          <w:tcPr>
            <w:tcW w:w="7060" w:type="dxa"/>
            <w:vAlign w:val="bottom"/>
          </w:tcPr>
          <w:p>
            <w:pPr>
              <w:ind w:left="1660"/>
              <w:spacing w:after="0"/>
              <w:rPr>
                <w:sz w:val="20"/>
                <w:szCs w:val="20"/>
                <w:color w:val="auto"/>
              </w:rPr>
            </w:pPr>
            <w:r>
              <w:rPr>
                <w:rFonts w:ascii="Arial" w:cs="Arial" w:eastAsia="Arial" w:hAnsi="Arial"/>
                <w:sz w:val="18"/>
                <w:szCs w:val="18"/>
                <w:color w:val="auto"/>
              </w:rPr>
              <w:t>Signature: __________________________</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Printed Name: ___________________</w:t>
            </w:r>
          </w:p>
        </w:tc>
        <w:tc>
          <w:tcPr>
            <w:tcW w:w="7060" w:type="dxa"/>
            <w:vAlign w:val="bottom"/>
          </w:tcPr>
          <w:p>
            <w:pPr>
              <w:ind w:left="1660"/>
              <w:spacing w:after="0"/>
              <w:rPr>
                <w:sz w:val="20"/>
                <w:szCs w:val="20"/>
                <w:color w:val="auto"/>
              </w:rPr>
            </w:pPr>
            <w:r>
              <w:rPr>
                <w:rFonts w:ascii="Arial" w:cs="Arial" w:eastAsia="Arial" w:hAnsi="Arial"/>
                <w:sz w:val="18"/>
                <w:szCs w:val="18"/>
                <w:color w:val="auto"/>
              </w:rPr>
              <w:t>Printed Name: _______________________</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  ] I do not have a spouse.</w:t>
            </w:r>
          </w:p>
        </w:tc>
        <w:tc>
          <w:tcPr>
            <w:tcW w:w="7060" w:type="dxa"/>
            <w:vAlign w:val="bottom"/>
          </w:tcPr>
          <w:p>
            <w:pPr>
              <w:spacing w:after="0"/>
              <w:rPr>
                <w:sz w:val="24"/>
                <w:szCs w:val="24"/>
                <w:color w:val="auto"/>
              </w:rPr>
            </w:pPr>
          </w:p>
        </w:tc>
      </w:tr>
      <w:tr>
        <w:trPr>
          <w:trHeight w:val="365"/>
        </w:trPr>
        <w:tc>
          <w:tcPr>
            <w:tcW w:w="4200" w:type="dxa"/>
            <w:vAlign w:val="bottom"/>
          </w:tcPr>
          <w:p>
            <w:pPr>
              <w:spacing w:after="0"/>
              <w:rPr>
                <w:sz w:val="24"/>
                <w:szCs w:val="24"/>
                <w:color w:val="auto"/>
              </w:rPr>
            </w:pPr>
          </w:p>
        </w:tc>
        <w:tc>
          <w:tcPr>
            <w:tcW w:w="7060" w:type="dxa"/>
            <w:vAlign w:val="bottom"/>
          </w:tcPr>
          <w:p>
            <w:pPr>
              <w:jc w:val="right"/>
              <w:ind w:right="5510"/>
              <w:spacing w:after="0"/>
              <w:rPr>
                <w:sz w:val="20"/>
                <w:szCs w:val="20"/>
                <w:color w:val="auto"/>
              </w:rPr>
            </w:pPr>
            <w:r>
              <w:rPr>
                <w:rFonts w:ascii="Arial" w:cs="Arial" w:eastAsia="Arial" w:hAnsi="Arial"/>
                <w:sz w:val="18"/>
                <w:szCs w:val="18"/>
                <w:color w:val="auto"/>
              </w:rPr>
              <w:t>9</w:t>
            </w:r>
          </w:p>
        </w:tc>
      </w:tr>
      <w:tr>
        <w:trPr>
          <w:trHeight w:val="803"/>
        </w:trPr>
        <w:tc>
          <w:tcPr>
            <w:tcW w:w="420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Sign if box above is checked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14605</wp:posOffset>
            </wp:positionV>
            <wp:extent cx="27089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841" w:right="1440" w:bottom="1440" w:gutter="0" w:footer="0" w:header="0"/>
        </w:sectPr>
      </w:pPr>
    </w:p>
    <w:bookmarkStart w:id="142" w:name="page143"/>
    <w:bookmarkEnd w:id="142"/>
    <w:p>
      <w:pPr>
        <w:ind w:left="10020"/>
        <w:spacing w:after="0"/>
        <w:rPr>
          <w:sz w:val="20"/>
          <w:szCs w:val="20"/>
          <w:color w:val="auto"/>
        </w:rPr>
      </w:pPr>
      <w:r>
        <w:rPr>
          <w:rFonts w:ascii="Arial" w:cs="Arial" w:eastAsia="Arial" w:hAnsi="Arial"/>
          <w:sz w:val="17"/>
          <w:szCs w:val="17"/>
          <w:u w:val="single" w:color="auto"/>
          <w:color w:val="auto"/>
        </w:rPr>
        <w:t>VESTED ONLY</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GOODRX HOLDINGS,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2015 EQUITY INCENTIVE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117475</wp:posOffset>
            </wp:positionV>
            <wp:extent cx="11995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You have been granted an option to purchase Common Stock of GoodRx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460"/>
              <w:spacing w:after="0"/>
              <w:rPr>
                <w:sz w:val="20"/>
                <w:szCs w:val="20"/>
                <w:color w:val="auto"/>
              </w:rPr>
            </w:pPr>
            <w:r>
              <w:rPr>
                <w:rFonts w:ascii="Arial" w:cs="Arial" w:eastAsia="Arial" w:hAnsi="Arial"/>
                <w:sz w:val="18"/>
                <w:szCs w:val="18"/>
                <w:color w:val="auto"/>
              </w:rPr>
              <w:t>Date of Grant:</w:t>
            </w:r>
          </w:p>
        </w:tc>
        <w:tc>
          <w:tcPr>
            <w:tcW w:w="7580" w:type="dxa"/>
            <w:vAlign w:val="bottom"/>
          </w:tcPr>
          <w:p>
            <w:pPr>
              <w:ind w:left="140"/>
              <w:spacing w:after="0"/>
              <w:rPr>
                <w:sz w:val="20"/>
                <w:szCs w:val="20"/>
                <w:color w:val="auto"/>
              </w:rPr>
            </w:pPr>
            <w:r>
              <w:rPr>
                <w:rFonts w:ascii="Arial" w:cs="Arial" w:eastAsia="Arial" w:hAnsi="Arial"/>
                <w:sz w:val="18"/>
                <w:szCs w:val="18"/>
                <w:color w:val="auto"/>
              </w:rPr>
              <w:t>See eshares</w:t>
            </w:r>
          </w:p>
        </w:tc>
      </w:tr>
      <w:tr>
        <w:trPr>
          <w:trHeight w:val="432"/>
        </w:trPr>
        <w:tc>
          <w:tcPr>
            <w:tcW w:w="3680" w:type="dxa"/>
            <w:vAlign w:val="bottom"/>
          </w:tcPr>
          <w:p>
            <w:pPr>
              <w:ind w:left="460"/>
              <w:spacing w:after="0"/>
              <w:rPr>
                <w:sz w:val="20"/>
                <w:szCs w:val="20"/>
                <w:color w:val="auto"/>
              </w:rPr>
            </w:pPr>
            <w:r>
              <w:rPr>
                <w:rFonts w:ascii="Arial" w:cs="Arial" w:eastAsia="Arial" w:hAnsi="Arial"/>
                <w:sz w:val="18"/>
                <w:szCs w:val="18"/>
                <w:color w:val="auto"/>
              </w:rPr>
              <w:t>Exercise Price Per Share:</w:t>
            </w:r>
          </w:p>
        </w:tc>
        <w:tc>
          <w:tcPr>
            <w:tcW w:w="7580" w:type="dxa"/>
            <w:vAlign w:val="bottom"/>
          </w:tcPr>
          <w:p>
            <w:pPr>
              <w:ind w:left="140"/>
              <w:spacing w:after="0"/>
              <w:rPr>
                <w:sz w:val="20"/>
                <w:szCs w:val="20"/>
                <w:color w:val="auto"/>
              </w:rPr>
            </w:pPr>
            <w:r>
              <w:rPr>
                <w:rFonts w:ascii="Arial" w:cs="Arial" w:eastAsia="Arial" w:hAnsi="Arial"/>
                <w:sz w:val="18"/>
                <w:szCs w:val="18"/>
                <w:color w:val="auto"/>
              </w:rPr>
              <w:t>See eshares</w:t>
            </w:r>
          </w:p>
        </w:tc>
      </w:tr>
      <w:tr>
        <w:trPr>
          <w:trHeight w:val="418"/>
        </w:trPr>
        <w:tc>
          <w:tcPr>
            <w:tcW w:w="3680" w:type="dxa"/>
            <w:vAlign w:val="bottom"/>
          </w:tcPr>
          <w:p>
            <w:pPr>
              <w:ind w:left="460"/>
              <w:spacing w:after="0"/>
              <w:rPr>
                <w:sz w:val="20"/>
                <w:szCs w:val="20"/>
                <w:color w:val="auto"/>
              </w:rPr>
            </w:pPr>
            <w:r>
              <w:rPr>
                <w:rFonts w:ascii="Arial" w:cs="Arial" w:eastAsia="Arial" w:hAnsi="Arial"/>
                <w:sz w:val="18"/>
                <w:szCs w:val="18"/>
                <w:color w:val="auto"/>
                <w:w w:val="94"/>
              </w:rPr>
              <w:t>Total Number of Shares of Common Stock</w:t>
            </w:r>
          </w:p>
        </w:tc>
        <w:tc>
          <w:tcPr>
            <w:tcW w:w="7580" w:type="dxa"/>
            <w:vAlign w:val="bottom"/>
          </w:tcPr>
          <w:p>
            <w:pPr>
              <w:ind w:left="140"/>
              <w:spacing w:after="0"/>
              <w:rPr>
                <w:sz w:val="20"/>
                <w:szCs w:val="20"/>
                <w:color w:val="auto"/>
              </w:rPr>
            </w:pPr>
            <w:r>
              <w:rPr>
                <w:rFonts w:ascii="Arial" w:cs="Arial" w:eastAsia="Arial" w:hAnsi="Arial"/>
                <w:sz w:val="18"/>
                <w:szCs w:val="18"/>
                <w:color w:val="auto"/>
              </w:rPr>
              <w:t>See eshares</w:t>
            </w:r>
          </w:p>
        </w:tc>
      </w:tr>
      <w:tr>
        <w:trPr>
          <w:trHeight w:val="230"/>
        </w:trPr>
        <w:tc>
          <w:tcPr>
            <w:tcW w:w="3680" w:type="dxa"/>
            <w:vAlign w:val="bottom"/>
          </w:tcPr>
          <w:p>
            <w:pPr>
              <w:ind w:left="460"/>
              <w:spacing w:after="0"/>
              <w:rPr>
                <w:sz w:val="20"/>
                <w:szCs w:val="20"/>
                <w:color w:val="auto"/>
              </w:rPr>
            </w:pPr>
            <w:r>
              <w:rPr>
                <w:rFonts w:ascii="Arial" w:cs="Arial" w:eastAsia="Arial" w:hAnsi="Arial"/>
                <w:sz w:val="18"/>
                <w:szCs w:val="18"/>
                <w:color w:val="auto"/>
              </w:rPr>
              <w:t>(the “Shares”):</w:t>
            </w:r>
          </w:p>
        </w:tc>
        <w:tc>
          <w:tcPr>
            <w:tcW w:w="7580" w:type="dxa"/>
            <w:vAlign w:val="bottom"/>
          </w:tcPr>
          <w:p>
            <w:pPr>
              <w:spacing w:after="0"/>
              <w:rPr>
                <w:sz w:val="20"/>
                <w:szCs w:val="20"/>
                <w:color w:val="auto"/>
              </w:rPr>
            </w:pPr>
          </w:p>
        </w:tc>
      </w:tr>
      <w:tr>
        <w:trPr>
          <w:trHeight w:val="432"/>
        </w:trPr>
        <w:tc>
          <w:tcPr>
            <w:tcW w:w="3680" w:type="dxa"/>
            <w:vAlign w:val="bottom"/>
          </w:tcPr>
          <w:p>
            <w:pPr>
              <w:ind w:left="460"/>
              <w:spacing w:after="0"/>
              <w:rPr>
                <w:sz w:val="20"/>
                <w:szCs w:val="20"/>
                <w:color w:val="auto"/>
              </w:rPr>
            </w:pPr>
            <w:r>
              <w:rPr>
                <w:rFonts w:ascii="Arial" w:cs="Arial" w:eastAsia="Arial" w:hAnsi="Arial"/>
                <w:sz w:val="18"/>
                <w:szCs w:val="18"/>
                <w:color w:val="auto"/>
              </w:rPr>
              <w:t>Type of Option:</w:t>
            </w:r>
          </w:p>
        </w:tc>
        <w:tc>
          <w:tcPr>
            <w:tcW w:w="7580" w:type="dxa"/>
            <w:vAlign w:val="bottom"/>
          </w:tcPr>
          <w:p>
            <w:pPr>
              <w:ind w:left="140"/>
              <w:spacing w:after="0"/>
              <w:rPr>
                <w:sz w:val="20"/>
                <w:szCs w:val="20"/>
                <w:color w:val="auto"/>
              </w:rPr>
            </w:pPr>
            <w:r>
              <w:rPr>
                <w:rFonts w:ascii="Arial" w:cs="Arial" w:eastAsia="Arial" w:hAnsi="Arial"/>
                <w:sz w:val="18"/>
                <w:szCs w:val="18"/>
                <w:color w:val="auto"/>
              </w:rPr>
              <w:t>Nonstatutory Stock Option</w:t>
            </w:r>
          </w:p>
        </w:tc>
      </w:tr>
      <w:tr>
        <w:trPr>
          <w:trHeight w:val="418"/>
        </w:trPr>
        <w:tc>
          <w:tcPr>
            <w:tcW w:w="3680" w:type="dxa"/>
            <w:vAlign w:val="bottom"/>
          </w:tcPr>
          <w:p>
            <w:pPr>
              <w:ind w:left="460"/>
              <w:spacing w:after="0"/>
              <w:rPr>
                <w:sz w:val="20"/>
                <w:szCs w:val="20"/>
                <w:color w:val="auto"/>
              </w:rPr>
            </w:pPr>
            <w:r>
              <w:rPr>
                <w:rFonts w:ascii="Arial" w:cs="Arial" w:eastAsia="Arial" w:hAnsi="Arial"/>
                <w:sz w:val="18"/>
                <w:szCs w:val="18"/>
                <w:color w:val="auto"/>
              </w:rPr>
              <w:t>Expiration Date:</w:t>
            </w:r>
          </w:p>
        </w:tc>
        <w:tc>
          <w:tcPr>
            <w:tcW w:w="7580" w:type="dxa"/>
            <w:vAlign w:val="bottom"/>
          </w:tcPr>
          <w:p>
            <w:pPr>
              <w:ind w:left="140"/>
              <w:spacing w:after="0"/>
              <w:rPr>
                <w:sz w:val="20"/>
                <w:szCs w:val="20"/>
                <w:color w:val="auto"/>
              </w:rPr>
            </w:pPr>
            <w:r>
              <w:rPr>
                <w:rFonts w:ascii="Arial" w:cs="Arial" w:eastAsia="Arial" w:hAnsi="Arial"/>
                <w:sz w:val="18"/>
                <w:szCs w:val="18"/>
                <w:color w:val="auto"/>
                <w:w w:val="94"/>
              </w:rPr>
              <w:t>See eshares. This Option expires earlier if Optionee’s service terminates earlier, as provided in the</w:t>
            </w:r>
          </w:p>
        </w:tc>
      </w:tr>
      <w:tr>
        <w:trPr>
          <w:trHeight w:val="230"/>
        </w:trPr>
        <w:tc>
          <w:tcPr>
            <w:tcW w:w="3680" w:type="dxa"/>
            <w:vAlign w:val="bottom"/>
          </w:tcPr>
          <w:p>
            <w:pPr>
              <w:spacing w:after="0"/>
              <w:rPr>
                <w:sz w:val="20"/>
                <w:szCs w:val="20"/>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Option Agreement.</w:t>
            </w:r>
          </w:p>
        </w:tc>
      </w:tr>
      <w:tr>
        <w:trPr>
          <w:trHeight w:val="432"/>
        </w:trPr>
        <w:tc>
          <w:tcPr>
            <w:tcW w:w="3680" w:type="dxa"/>
            <w:vAlign w:val="bottom"/>
          </w:tcPr>
          <w:p>
            <w:pPr>
              <w:ind w:left="460"/>
              <w:spacing w:after="0"/>
              <w:rPr>
                <w:sz w:val="20"/>
                <w:szCs w:val="20"/>
                <w:color w:val="auto"/>
              </w:rPr>
            </w:pPr>
            <w:r>
              <w:rPr>
                <w:rFonts w:ascii="Arial" w:cs="Arial" w:eastAsia="Arial" w:hAnsi="Arial"/>
                <w:sz w:val="18"/>
                <w:szCs w:val="18"/>
                <w:color w:val="auto"/>
              </w:rPr>
              <w:t>Vesting Commencement Date:</w:t>
            </w:r>
          </w:p>
        </w:tc>
        <w:tc>
          <w:tcPr>
            <w:tcW w:w="7580" w:type="dxa"/>
            <w:vAlign w:val="bottom"/>
          </w:tcPr>
          <w:p>
            <w:pPr>
              <w:ind w:left="140"/>
              <w:spacing w:after="0"/>
              <w:rPr>
                <w:sz w:val="20"/>
                <w:szCs w:val="20"/>
                <w:color w:val="auto"/>
              </w:rPr>
            </w:pPr>
            <w:r>
              <w:rPr>
                <w:rFonts w:ascii="Arial" w:cs="Arial" w:eastAsia="Arial" w:hAnsi="Arial"/>
                <w:sz w:val="18"/>
                <w:szCs w:val="18"/>
                <w:color w:val="auto"/>
              </w:rPr>
              <w:t>See eshares</w:t>
            </w:r>
          </w:p>
        </w:tc>
      </w:tr>
      <w:tr>
        <w:trPr>
          <w:trHeight w:val="432"/>
        </w:trPr>
        <w:tc>
          <w:tcPr>
            <w:tcW w:w="3680" w:type="dxa"/>
            <w:vAlign w:val="bottom"/>
          </w:tcPr>
          <w:p>
            <w:pPr>
              <w:ind w:left="460"/>
              <w:spacing w:after="0"/>
              <w:rPr>
                <w:sz w:val="20"/>
                <w:szCs w:val="20"/>
                <w:color w:val="auto"/>
              </w:rPr>
            </w:pPr>
            <w:r>
              <w:rPr>
                <w:rFonts w:ascii="Arial" w:cs="Arial" w:eastAsia="Arial" w:hAnsi="Arial"/>
                <w:sz w:val="18"/>
                <w:szCs w:val="18"/>
                <w:color w:val="auto"/>
              </w:rPr>
              <w:t>Exercisability:</w:t>
            </w:r>
          </w:p>
        </w:tc>
        <w:tc>
          <w:tcPr>
            <w:tcW w:w="7580" w:type="dxa"/>
            <w:vAlign w:val="bottom"/>
          </w:tcPr>
          <w:p>
            <w:pPr>
              <w:ind w:left="140"/>
              <w:spacing w:after="0"/>
              <w:rPr>
                <w:sz w:val="20"/>
                <w:szCs w:val="20"/>
                <w:color w:val="auto"/>
              </w:rPr>
            </w:pPr>
            <w:r>
              <w:rPr>
                <w:rFonts w:ascii="Arial" w:cs="Arial" w:eastAsia="Arial" w:hAnsi="Arial"/>
                <w:sz w:val="18"/>
                <w:szCs w:val="18"/>
                <w:color w:val="auto"/>
              </w:rPr>
              <w:t>Only vested Shares may be exercised.</w:t>
            </w:r>
          </w:p>
        </w:tc>
      </w:tr>
      <w:tr>
        <w:trPr>
          <w:trHeight w:val="432"/>
        </w:trPr>
        <w:tc>
          <w:tcPr>
            <w:tcW w:w="3680" w:type="dxa"/>
            <w:vAlign w:val="bottom"/>
          </w:tcPr>
          <w:p>
            <w:pPr>
              <w:ind w:left="460"/>
              <w:spacing w:after="0"/>
              <w:rPr>
                <w:sz w:val="20"/>
                <w:szCs w:val="20"/>
                <w:color w:val="auto"/>
              </w:rPr>
            </w:pPr>
            <w:r>
              <w:rPr>
                <w:rFonts w:ascii="Arial" w:cs="Arial" w:eastAsia="Arial" w:hAnsi="Arial"/>
                <w:sz w:val="18"/>
                <w:szCs w:val="18"/>
                <w:color w:val="auto"/>
              </w:rPr>
              <w:t>Vesting/Exercise Schedule:</w:t>
            </w:r>
          </w:p>
        </w:tc>
        <w:tc>
          <w:tcPr>
            <w:tcW w:w="7580" w:type="dxa"/>
            <w:vAlign w:val="bottom"/>
          </w:tcPr>
          <w:p>
            <w:pPr>
              <w:ind w:left="140"/>
              <w:spacing w:after="0"/>
              <w:rPr>
                <w:sz w:val="20"/>
                <w:szCs w:val="20"/>
                <w:color w:val="auto"/>
              </w:rPr>
            </w:pPr>
            <w:r>
              <w:rPr>
                <w:rFonts w:ascii="Arial" w:cs="Arial" w:eastAsia="Arial" w:hAnsi="Arial"/>
                <w:sz w:val="18"/>
                <w:szCs w:val="18"/>
                <w:color w:val="auto"/>
              </w:rPr>
              <w:t>See eshares</w:t>
            </w:r>
          </w:p>
        </w:tc>
      </w:tr>
      <w:tr>
        <w:trPr>
          <w:trHeight w:val="418"/>
        </w:trPr>
        <w:tc>
          <w:tcPr>
            <w:tcW w:w="3680" w:type="dxa"/>
            <w:vAlign w:val="bottom"/>
          </w:tcPr>
          <w:p>
            <w:pPr>
              <w:ind w:left="460"/>
              <w:spacing w:after="0"/>
              <w:rPr>
                <w:sz w:val="20"/>
                <w:szCs w:val="20"/>
                <w:color w:val="auto"/>
              </w:rPr>
            </w:pPr>
            <w:r>
              <w:rPr>
                <w:rFonts w:ascii="Arial" w:cs="Arial" w:eastAsia="Arial" w:hAnsi="Arial"/>
                <w:sz w:val="18"/>
                <w:szCs w:val="18"/>
                <w:color w:val="auto"/>
              </w:rPr>
              <w:t>Termination Period:</w:t>
            </w:r>
          </w:p>
        </w:tc>
        <w:tc>
          <w:tcPr>
            <w:tcW w:w="7580" w:type="dxa"/>
            <w:vAlign w:val="bottom"/>
          </w:tcPr>
          <w:p>
            <w:pPr>
              <w:ind w:left="140"/>
              <w:spacing w:after="0"/>
              <w:rPr>
                <w:sz w:val="20"/>
                <w:szCs w:val="20"/>
                <w:color w:val="auto"/>
              </w:rPr>
            </w:pPr>
            <w:r>
              <w:rPr>
                <w:rFonts w:ascii="Arial" w:cs="Arial" w:eastAsia="Arial" w:hAnsi="Arial"/>
                <w:sz w:val="18"/>
                <w:szCs w:val="18"/>
                <w:color w:val="auto"/>
                <w:w w:val="99"/>
              </w:rPr>
              <w:t>The Option may be exercised for one (1) month after termination of employment or consulting</w:t>
            </w:r>
          </w:p>
        </w:tc>
      </w:tr>
      <w:tr>
        <w:trPr>
          <w:trHeight w:val="216"/>
        </w:trPr>
        <w:tc>
          <w:tcPr>
            <w:tcW w:w="368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relationship except as set out in Section 3 of the Option Agreement (but in no event after the</w:t>
            </w:r>
          </w:p>
        </w:tc>
      </w:tr>
      <w:tr>
        <w:trPr>
          <w:trHeight w:val="216"/>
        </w:trPr>
        <w:tc>
          <w:tcPr>
            <w:tcW w:w="368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3"/>
              </w:rPr>
              <w:t>Expiration Date). Optionee is solely responsible for keeping track of these exercise periods following</w:t>
            </w:r>
          </w:p>
        </w:tc>
      </w:tr>
      <w:tr>
        <w:trPr>
          <w:trHeight w:val="216"/>
        </w:trPr>
        <w:tc>
          <w:tcPr>
            <w:tcW w:w="368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termination for any reason of his or her relationship with the Company. The Company will not provide</w:t>
            </w:r>
          </w:p>
        </w:tc>
      </w:tr>
      <w:tr>
        <w:trPr>
          <w:trHeight w:val="230"/>
        </w:trPr>
        <w:tc>
          <w:tcPr>
            <w:tcW w:w="3680" w:type="dxa"/>
            <w:vAlign w:val="bottom"/>
          </w:tcPr>
          <w:p>
            <w:pPr>
              <w:spacing w:after="0"/>
              <w:rPr>
                <w:sz w:val="20"/>
                <w:szCs w:val="20"/>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further notice of such periods.</w:t>
            </w:r>
          </w:p>
        </w:tc>
      </w:tr>
      <w:tr>
        <w:trPr>
          <w:trHeight w:val="1046"/>
        </w:trPr>
        <w:tc>
          <w:tcPr>
            <w:tcW w:w="36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43" w:name="page144"/>
    <w:bookmarkEnd w:id="143"/>
    <w:p>
      <w:pPr>
        <w:jc w:val="both"/>
        <w:spacing w:after="0" w:line="263" w:lineRule="auto"/>
        <w:rPr>
          <w:sz w:val="20"/>
          <w:szCs w:val="20"/>
          <w:color w:val="auto"/>
        </w:rPr>
      </w:pPr>
      <w:r>
        <w:rPr>
          <w:rFonts w:ascii="Arial" w:cs="Arial" w:eastAsia="Arial" w:hAnsi="Arial"/>
          <w:sz w:val="18"/>
          <w:szCs w:val="18"/>
          <w:color w:val="auto"/>
        </w:rPr>
        <w:t>By your signature and the signature of the Company’s representative below, you and the Company agree that this Option is granted under and governed by the terms and conditions of the GoodRx Holdings, Inc. 2015 Equity Incentive Plan and Option Agreement, both of which are attached to and made a part of this document.</w:t>
      </w:r>
    </w:p>
    <w:p>
      <w:pPr>
        <w:spacing w:after="0" w:line="184"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88" w:lineRule="exact"/>
        <w:rPr>
          <w:sz w:val="20"/>
          <w:szCs w:val="20"/>
          <w:color w:val="auto"/>
        </w:rPr>
      </w:pPr>
    </w:p>
    <w:p>
      <w:pPr>
        <w:ind w:right="220" w:firstLine="589"/>
        <w:spacing w:after="0" w:line="273" w:lineRule="auto"/>
        <w:rPr>
          <w:sz w:val="20"/>
          <w:szCs w:val="20"/>
          <w:color w:val="auto"/>
        </w:rPr>
      </w:pPr>
      <w:r>
        <w:rPr>
          <w:rFonts w:ascii="Arial" w:cs="Arial" w:eastAsia="Arial" w:hAnsi="Arial"/>
          <w:sz w:val="17"/>
          <w:szCs w:val="17"/>
          <w:color w:val="auto"/>
        </w:rPr>
        <w:t>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its Board, officers, employees and agents shall not be held liable for any applicable costs, taxes, or penalties associated with this Option if, in fact, the IRS or any other person (including, without limitation, a successor corporation or an acquirer in a Sale of the Company) were to determine that this Option constitutes deferred compensation under Section 409A of the Code. You should consult with your own tax advisor concerning the tax consequences of such a determination by the IRS.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GOODRX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OPTIONEE: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b w:val="1"/>
          <w:bCs w:val="1"/>
          <w:u w:val="single" w:color="auto"/>
          <w:color w:val="auto"/>
        </w:rPr>
        <w:t>OPTION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OOD</w:t>
      </w:r>
      <w:r>
        <w:rPr>
          <w:rFonts w:ascii="Arial" w:cs="Arial" w:eastAsia="Arial" w:hAnsi="Arial"/>
          <w:sz w:val="18"/>
          <w:szCs w:val="18"/>
          <w:b w:val="1"/>
          <w:bCs w:val="1"/>
          <w:color w:val="auto"/>
        </w:rPr>
        <w:t>R</w:t>
      </w:r>
      <w:r>
        <w:rPr>
          <w:rFonts w:ascii="Arial" w:cs="Arial" w:eastAsia="Arial" w:hAnsi="Arial"/>
          <w:sz w:val="13"/>
          <w:szCs w:val="13"/>
          <w:b w:val="1"/>
          <w:bCs w:val="1"/>
          <w:color w:val="auto"/>
        </w:rPr>
        <w:t>X</w:t>
      </w:r>
      <w:r>
        <w:rPr>
          <w:rFonts w:ascii="Arial" w:cs="Arial" w:eastAsia="Arial" w:hAnsi="Arial"/>
          <w:sz w:val="18"/>
          <w:szCs w:val="18"/>
          <w:b w:val="1"/>
          <w:bCs w:val="1"/>
          <w:color w:val="auto"/>
        </w:rPr>
        <w:t xml:space="preserve"> H</w:t>
      </w:r>
      <w:r>
        <w:rPr>
          <w:rFonts w:ascii="Arial" w:cs="Arial" w:eastAsia="Arial" w:hAnsi="Arial"/>
          <w:sz w:val="13"/>
          <w:szCs w:val="13"/>
          <w:b w:val="1"/>
          <w:bCs w:val="1"/>
          <w:color w:val="auto"/>
        </w:rPr>
        <w:t>OLDINGS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3"/>
          <w:szCs w:val="13"/>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p>
    <w:p>
      <w:pPr>
        <w:spacing w:after="0" w:line="229" w:lineRule="exact"/>
        <w:rPr>
          <w:sz w:val="20"/>
          <w:szCs w:val="20"/>
          <w:color w:val="auto"/>
        </w:rPr>
      </w:pPr>
    </w:p>
    <w:p>
      <w:pPr>
        <w:jc w:val="both"/>
        <w:ind w:right="60" w:firstLine="589"/>
        <w:spacing w:after="0" w:line="301" w:lineRule="auto"/>
        <w:rPr>
          <w:sz w:val="20"/>
          <w:szCs w:val="20"/>
          <w:color w:val="auto"/>
        </w:rPr>
      </w:pPr>
      <w:r>
        <w:rPr>
          <w:rFonts w:ascii="Arial" w:cs="Arial" w:eastAsia="Arial" w:hAnsi="Arial"/>
          <w:sz w:val="16"/>
          <w:szCs w:val="16"/>
          <w:color w:val="auto"/>
        </w:rPr>
        <w:t>This Option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the date of grant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set forth on the Notice of Stock Option Grant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by and between GoodRx Holdings, Inc., a Delaware corporation (together with any successor thereto,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optionee named on the Grant Notice (the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Capitalized terms not defined in this Agreement shall have the meaning ascribed to them in the GoodRx Holdings, Inc. 2015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or in the Grant Notice, as applicable.</w:t>
      </w:r>
    </w:p>
    <w:p>
      <w:pPr>
        <w:spacing w:after="0" w:line="153" w:lineRule="exact"/>
        <w:rPr>
          <w:sz w:val="20"/>
          <w:szCs w:val="20"/>
          <w:color w:val="auto"/>
        </w:rPr>
      </w:pPr>
    </w:p>
    <w:p>
      <w:pPr>
        <w:ind w:right="100" w:firstLine="597"/>
        <w:spacing w:after="0" w:line="289" w:lineRule="auto"/>
        <w:tabs>
          <w:tab w:leader="none" w:pos="768"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GRANT OF OPTION</w:t>
      </w:r>
      <w:r>
        <w:rPr>
          <w:rFonts w:ascii="Arial" w:cs="Arial" w:eastAsia="Arial" w:hAnsi="Arial"/>
          <w:sz w:val="17"/>
          <w:szCs w:val="17"/>
          <w:color w:val="auto"/>
        </w:rPr>
        <w:t>. The Company hereby grants to Optionee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up to the total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of the Company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set forth in the Grant Notice as the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at the Exercise Price Per Share set forth in the Grant Notice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subject to all of the terms and conditions of the Grant Notice, this Agreement and the Plan.</w:t>
      </w:r>
    </w:p>
    <w:p>
      <w:pPr>
        <w:spacing w:after="0" w:line="157" w:lineRule="exact"/>
        <w:rPr>
          <w:rFonts w:ascii="Arial" w:cs="Arial" w:eastAsia="Arial" w:hAnsi="Arial"/>
          <w:sz w:val="17"/>
          <w:szCs w:val="17"/>
          <w:b w:val="1"/>
          <w:bCs w:val="1"/>
          <w:color w:val="auto"/>
        </w:rPr>
      </w:pPr>
    </w:p>
    <w:p>
      <w:pPr>
        <w:ind w:left="780" w:hanging="183"/>
        <w:spacing w:after="0"/>
        <w:tabs>
          <w:tab w:leader="none" w:pos="7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PERIOD</w:t>
      </w:r>
      <w:r>
        <w:rPr>
          <w:rFonts w:ascii="Arial" w:cs="Arial" w:eastAsia="Arial" w:hAnsi="Arial"/>
          <w:sz w:val="18"/>
          <w:szCs w:val="18"/>
          <w:color w:val="auto"/>
        </w:rPr>
        <w:t>.</w:t>
      </w:r>
    </w:p>
    <w:p>
      <w:pPr>
        <w:spacing w:after="0" w:line="117" w:lineRule="exact"/>
        <w:rPr>
          <w:sz w:val="20"/>
          <w:szCs w:val="20"/>
          <w:color w:val="auto"/>
        </w:rPr>
      </w:pPr>
    </w:p>
    <w:p>
      <w:pPr>
        <w:jc w:val="both"/>
        <w:ind w:right="100" w:firstLine="1322"/>
        <w:spacing w:after="0" w:line="261"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Exercise Period of Option</w:t>
      </w:r>
      <w:r>
        <w:rPr>
          <w:rFonts w:ascii="Arial" w:cs="Arial" w:eastAsia="Arial" w:hAnsi="Arial"/>
          <w:sz w:val="18"/>
          <w:szCs w:val="18"/>
          <w:color w:val="auto"/>
        </w:rPr>
        <w:t>. Subject to the conditions set forth in this Agreement, this Option shall be exercisable during its term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Vesting/Exercise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80" w:lineRule="exact"/>
        <w:rPr>
          <w:sz w:val="20"/>
          <w:szCs w:val="20"/>
          <w:color w:val="auto"/>
        </w:rPr>
      </w:pPr>
    </w:p>
    <w:p>
      <w:pPr>
        <w:ind w:right="20" w:firstLine="1322"/>
        <w:spacing w:after="0" w:line="289"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Vesting of Option Shares</w:t>
      </w:r>
      <w:r>
        <w:rPr>
          <w:rFonts w:ascii="Arial" w:cs="Arial" w:eastAsia="Arial" w:hAnsi="Arial"/>
          <w:sz w:val="17"/>
          <w:szCs w:val="17"/>
          <w:color w:val="auto"/>
        </w:rPr>
        <w:t>. Shares with respect to which this Option is vested and exercisable at a given time pursuant to the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set forth in the Grant Notice are referred to herein as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Shares with respect to which this Option is not vested or exercisable at a given time pursuant to the Vesting Schedule set forth in the Grant Notice are referred to herein as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Expiration</w:t>
      </w:r>
      <w:r>
        <w:rPr>
          <w:rFonts w:ascii="Arial" w:cs="Arial" w:eastAsia="Arial" w:hAnsi="Arial"/>
          <w:sz w:val="16"/>
          <w:szCs w:val="16"/>
          <w:color w:val="auto"/>
        </w:rPr>
        <w:t>. The Option shall expire on the Expiration Date set forth in the Grant Notice or earlier as provided in Section 3 below.</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3. TERMINATION</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3"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Termination for Any Reason Except Death, Disability or Cause</w:t>
      </w:r>
      <w:r>
        <w:rPr>
          <w:rFonts w:ascii="Arial" w:cs="Arial" w:eastAsia="Arial" w:hAnsi="Arial"/>
          <w:sz w:val="17"/>
          <w:szCs w:val="17"/>
          <w:color w:val="auto"/>
        </w:rPr>
        <w:t>. Except as provided in subsection 3.2 in a case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dies within three (3) months after Optionee’s service as an executive, director, consultant, other service provider or key employee of the Company (“</w:t>
      </w:r>
      <w:r>
        <w:rPr>
          <w:rFonts w:ascii="Arial" w:cs="Arial" w:eastAsia="Arial" w:hAnsi="Arial"/>
          <w:sz w:val="17"/>
          <w:szCs w:val="17"/>
          <w:b w:val="1"/>
          <w:bCs w:val="1"/>
          <w:i w:val="1"/>
          <w:iCs w:val="1"/>
          <w:color w:val="auto"/>
        </w:rPr>
        <w:t>Service</w:t>
      </w:r>
      <w:r>
        <w:rPr>
          <w:rFonts w:ascii="Arial" w:cs="Arial" w:eastAsia="Arial" w:hAnsi="Arial"/>
          <w:sz w:val="17"/>
          <w:szCs w:val="17"/>
          <w:color w:val="auto"/>
        </w:rPr>
        <w:t>”) is terminated other than for Cause, if Optionee’s Service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no later than one (1) month after Optionee’s Termination Date (but in no event may this Option be exercised after the Expiration Date).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45" w:name="page146"/>
    <w:bookmarkEnd w:id="145"/>
    <w:p>
      <w:pPr>
        <w:ind w:right="60" w:firstLine="1322"/>
        <w:spacing w:after="0" w:line="274"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Termination Because of Death or Disability</w:t>
      </w:r>
      <w:r>
        <w:rPr>
          <w:rFonts w:ascii="Arial" w:cs="Arial" w:eastAsia="Arial" w:hAnsi="Arial"/>
          <w:sz w:val="17"/>
          <w:szCs w:val="17"/>
          <w:color w:val="auto"/>
        </w:rPr>
        <w:t>. If Optionee’s Service is terminated because of Optionee’s death or Disability (or if</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dies within three (3) months of the date Optionee’s Service terminates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six (6) months after Optionee’s Termination Date, but in no event later than the Expiration Date.</w:t>
      </w:r>
    </w:p>
    <w:p>
      <w:pPr>
        <w:spacing w:after="0" w:line="173" w:lineRule="exact"/>
        <w:rPr>
          <w:sz w:val="20"/>
          <w:szCs w:val="20"/>
          <w:color w:val="auto"/>
        </w:rPr>
      </w:pPr>
    </w:p>
    <w:p>
      <w:pPr>
        <w:ind w:right="20" w:firstLine="1322"/>
        <w:spacing w:after="0" w:line="258"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Termination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If Optionee’s Service terminates for Cause, then Optionee may exercise this Option, but only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Shares that are Vested Shares on Optionee’s Termination Date, and this Option shall expire on Optionee’s Termination Date, or at such later time and on such conditions as may be affirmatively determined by the Board. On and after Optionee’s Termination Date, this Option shall expire immediately with respect to any Shares that are Unvested Shares and may not be exercised with respect to any Shares that are Unvested Shares on Optionee’s Termination Date.</w:t>
      </w:r>
    </w:p>
    <w:p>
      <w:pPr>
        <w:spacing w:after="0" w:line="183" w:lineRule="exact"/>
        <w:rPr>
          <w:sz w:val="20"/>
          <w:szCs w:val="20"/>
          <w:color w:val="auto"/>
        </w:rPr>
      </w:pPr>
    </w:p>
    <w:p>
      <w:pPr>
        <w:ind w:firstLine="1322"/>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No Obligation to Employ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this Agreement shall confer on Optionee any right to continue in the employ of,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relationship with, the Company, or limit in any way the right of the Company to terminate Optionee’s employment or other relationship at any time, with or without Cause.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4. MANNER OF EXERCISE</w:t>
      </w:r>
      <w:r>
        <w:rPr>
          <w:rFonts w:ascii="Arial" w:cs="Arial" w:eastAsia="Arial" w:hAnsi="Arial"/>
          <w:sz w:val="18"/>
          <w:szCs w:val="18"/>
          <w:color w:val="auto"/>
        </w:rPr>
        <w:t>.</w:t>
      </w:r>
    </w:p>
    <w:p>
      <w:pPr>
        <w:spacing w:after="0" w:line="117" w:lineRule="exact"/>
        <w:rPr>
          <w:sz w:val="20"/>
          <w:szCs w:val="20"/>
          <w:color w:val="auto"/>
        </w:rPr>
      </w:pPr>
    </w:p>
    <w:p>
      <w:pPr>
        <w:ind w:right="100" w:firstLine="1322"/>
        <w:spacing w:after="0" w:line="287"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Stock Option Exercise Notice and Agreement</w:t>
      </w:r>
      <w:r>
        <w:rPr>
          <w:rFonts w:ascii="Arial" w:cs="Arial" w:eastAsia="Arial" w:hAnsi="Arial"/>
          <w:sz w:val="16"/>
          <w:szCs w:val="16"/>
          <w:color w:val="auto"/>
        </w:rPr>
        <w:t>. To exercise this Option, Optionee (or in the case of exercise after Optionee’s death</w:t>
      </w:r>
      <w:r>
        <w:rPr>
          <w:rFonts w:ascii="Arial" w:cs="Arial" w:eastAsia="Arial" w:hAnsi="Arial"/>
          <w:sz w:val="16"/>
          <w:szCs w:val="16"/>
          <w:b w:val="1"/>
          <w:bCs w:val="1"/>
          <w:color w:val="auto"/>
        </w:rPr>
        <w:t xml:space="preserve"> </w:t>
      </w:r>
      <w:r>
        <w:rPr>
          <w:rFonts w:ascii="Arial" w:cs="Arial" w:eastAsia="Arial" w:hAnsi="Arial"/>
          <w:sz w:val="16"/>
          <w:szCs w:val="16"/>
          <w:color w:val="auto"/>
        </w:rPr>
        <w:t>or incapacity, Optionee’s executor, administrator, heir or legatee, as the case may be) must deliver to the Company an executed Stock Option Exercise Notice and Agreement in the form attached hereto as Annex A, or in such other form as may be approved by the Board from time to time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payment for the shares being purchased in accordance with this Agreement. The Exercise Agreement shall set forth, among other things,</w:t>
      </w:r>
    </w:p>
    <w:p>
      <w:pPr>
        <w:spacing w:after="0" w:line="2" w:lineRule="exact"/>
        <w:rPr>
          <w:sz w:val="20"/>
          <w:szCs w:val="20"/>
          <w:color w:val="auto"/>
        </w:rPr>
      </w:pPr>
    </w:p>
    <w:p>
      <w:pPr>
        <w:ind w:right="240" w:firstLine="8"/>
        <w:spacing w:after="0" w:line="270" w:lineRule="auto"/>
        <w:tabs>
          <w:tab w:leader="none" w:pos="215" w:val="left"/>
        </w:tabs>
        <w:numPr>
          <w:ilvl w:val="0"/>
          <w:numId w:val="92"/>
        </w:numPr>
        <w:rPr>
          <w:rFonts w:ascii="Arial" w:cs="Arial" w:eastAsia="Arial" w:hAnsi="Arial"/>
          <w:sz w:val="17"/>
          <w:szCs w:val="17"/>
          <w:color w:val="auto"/>
        </w:rPr>
      </w:pPr>
      <w:r>
        <w:rPr>
          <w:rFonts w:ascii="Arial" w:cs="Arial" w:eastAsia="Arial" w:hAnsi="Arial"/>
          <w:sz w:val="17"/>
          <w:szCs w:val="17"/>
          <w:color w:val="auto"/>
        </w:rPr>
        <w:t>Optionee’s election to exercise this Option, (ii) the number of Vested Shares being purchased, (iii) any representations, warranties and agreements regarding Optionee’s investment intent and access to information as may be required by the Company to comply with applicable securities laws in connection with any exercise of this Option, (iv) any other agreements required by the Company, and (v) Optionee’s obligation to execute and deliver certain Stock Powers and Assignments Separate from Stock Certificate to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174" w:lineRule="exact"/>
        <w:rPr>
          <w:sz w:val="20"/>
          <w:szCs w:val="20"/>
          <w:color w:val="auto"/>
        </w:rPr>
      </w:pPr>
    </w:p>
    <w:p>
      <w:pPr>
        <w:ind w:right="300" w:firstLine="1322"/>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color w:val="auto"/>
        </w:rPr>
        <w:t>. This Option may not be exercised unless such exercise is in compliance with all applicable federal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state securities laws, as they are in effect on the date of exercise.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46" w:name="page147"/>
    <w:bookmarkEnd w:id="146"/>
    <w:p>
      <w:pPr>
        <w:ind w:right="280" w:firstLine="1322"/>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The Exercise Agreement shall be accompanied by full payment of the Exercise Price for the shares being purchased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(by check or wire transfer), or where permitted by law:</w:t>
      </w:r>
    </w:p>
    <w:p>
      <w:pPr>
        <w:spacing w:after="0" w:line="58" w:lineRule="exact"/>
        <w:rPr>
          <w:sz w:val="20"/>
          <w:szCs w:val="20"/>
          <w:color w:val="auto"/>
        </w:rPr>
      </w:pPr>
    </w:p>
    <w:p>
      <w:pPr>
        <w:ind w:right="160" w:firstLine="1917"/>
        <w:spacing w:after="0" w:line="259" w:lineRule="auto"/>
        <w:tabs>
          <w:tab w:leader="none" w:pos="2154" w:val="left"/>
        </w:tabs>
        <w:numPr>
          <w:ilvl w:val="0"/>
          <w:numId w:val="93"/>
        </w:numPr>
        <w:rPr>
          <w:rFonts w:ascii="Arial" w:cs="Arial" w:eastAsia="Arial" w:hAnsi="Arial"/>
          <w:sz w:val="18"/>
          <w:szCs w:val="18"/>
          <w:color w:val="auto"/>
        </w:rPr>
      </w:pPr>
      <w:r>
        <w:rPr>
          <w:rFonts w:ascii="Arial" w:cs="Arial" w:eastAsia="Arial" w:hAnsi="Arial"/>
          <w:sz w:val="18"/>
          <w:szCs w:val="18"/>
          <w:color w:val="auto"/>
        </w:rPr>
        <w:t>by surrender of shares of the Company held for at least six months by the Optionee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78" w:lineRule="exact"/>
        <w:rPr>
          <w:rFonts w:ascii="Arial" w:cs="Arial" w:eastAsia="Arial" w:hAnsi="Arial"/>
          <w:sz w:val="18"/>
          <w:szCs w:val="18"/>
          <w:color w:val="auto"/>
        </w:rPr>
      </w:pPr>
    </w:p>
    <w:p>
      <w:pPr>
        <w:ind w:right="60" w:firstLine="1917"/>
        <w:spacing w:after="0" w:line="259" w:lineRule="auto"/>
        <w:tabs>
          <w:tab w:leader="none" w:pos="21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provided that a public market for the Common Stock exists,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78" w:lineRule="exact"/>
        <w:rPr>
          <w:rFonts w:ascii="Arial" w:cs="Arial" w:eastAsia="Arial" w:hAnsi="Arial"/>
          <w:sz w:val="18"/>
          <w:szCs w:val="18"/>
          <w:color w:val="auto"/>
        </w:rPr>
      </w:pPr>
    </w:p>
    <w:p>
      <w:pPr>
        <w:ind w:right="860" w:firstLine="1917"/>
        <w:spacing w:after="0" w:line="277" w:lineRule="auto"/>
        <w:tabs>
          <w:tab w:leader="none" w:pos="2154" w:val="left"/>
        </w:tabs>
        <w:numPr>
          <w:ilvl w:val="0"/>
          <w:numId w:val="93"/>
        </w:numPr>
        <w:rPr>
          <w:rFonts w:ascii="Arial" w:cs="Arial" w:eastAsia="Arial" w:hAnsi="Arial"/>
          <w:sz w:val="18"/>
          <w:szCs w:val="18"/>
          <w:color w:val="auto"/>
        </w:rPr>
      </w:pPr>
      <w:r>
        <w:rPr>
          <w:rFonts w:ascii="Arial" w:cs="Arial" w:eastAsia="Arial" w:hAnsi="Arial"/>
          <w:sz w:val="18"/>
          <w:szCs w:val="18"/>
          <w:color w:val="auto"/>
        </w:rPr>
        <w:t>by any combination of the foregoing or any other method of payment approved by the Board that constitutes legal consideration for the issuance of Shares.</w:t>
      </w:r>
    </w:p>
    <w:p>
      <w:pPr>
        <w:spacing w:after="0" w:line="166" w:lineRule="exact"/>
        <w:rPr>
          <w:sz w:val="20"/>
          <w:szCs w:val="20"/>
          <w:color w:val="auto"/>
        </w:rPr>
      </w:pPr>
    </w:p>
    <w:p>
      <w:pPr>
        <w:ind w:right="60" w:firstLine="1322"/>
        <w:spacing w:after="0" w:line="255"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Prior to the issuance of the Shares upon exercise of the Option, Optionee must pay or provide for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and local withholding obligations of the Company. If the Board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the Optionee by deducting the Shares retained from the Shares issuable upon exercise.</w:t>
      </w:r>
    </w:p>
    <w:p>
      <w:pPr>
        <w:spacing w:after="0" w:line="189" w:lineRule="exact"/>
        <w:rPr>
          <w:sz w:val="20"/>
          <w:szCs w:val="20"/>
          <w:color w:val="auto"/>
        </w:rPr>
      </w:pPr>
    </w:p>
    <w:p>
      <w:pPr>
        <w:ind w:right="300" w:firstLine="1322"/>
        <w:spacing w:after="0" w:line="314"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Issuance of Shares</w:t>
      </w:r>
      <w:r>
        <w:rPr>
          <w:rFonts w:ascii="Arial" w:cs="Arial" w:eastAsia="Arial" w:hAnsi="Arial"/>
          <w:sz w:val="16"/>
          <w:szCs w:val="16"/>
          <w:color w:val="auto"/>
        </w:rPr>
        <w:t>. Provided that the Exercise Agreement and payment are in form and substance satisfactory to counsel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42" w:lineRule="exact"/>
        <w:rPr>
          <w:sz w:val="20"/>
          <w:szCs w:val="20"/>
          <w:color w:val="auto"/>
        </w:rPr>
      </w:pPr>
    </w:p>
    <w:p>
      <w:pPr>
        <w:ind w:firstLine="597"/>
        <w:spacing w:after="0" w:line="272" w:lineRule="auto"/>
        <w:tabs>
          <w:tab w:leader="none" w:pos="768"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LAWS AND REGULATIONS. </w:t>
      </w:r>
      <w:r>
        <w:rPr>
          <w:rFonts w:ascii="Arial" w:cs="Arial" w:eastAsia="Arial" w:hAnsi="Arial"/>
          <w:sz w:val="17"/>
          <w:szCs w:val="17"/>
          <w:color w:val="auto"/>
        </w:rPr>
        <w:t>The Plan and this Agreement are intended to comply with Section 25102(o)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Corporations Code (“</w:t>
      </w:r>
      <w:r>
        <w:rPr>
          <w:rFonts w:ascii="Arial" w:cs="Arial" w:eastAsia="Arial" w:hAnsi="Arial"/>
          <w:sz w:val="17"/>
          <w:szCs w:val="17"/>
          <w:b w:val="1"/>
          <w:bCs w:val="1"/>
          <w:i w:val="1"/>
          <w:iCs w:val="1"/>
          <w:color w:val="auto"/>
        </w:rPr>
        <w:t>Section 25102(o)</w:t>
      </w:r>
      <w:r>
        <w:rPr>
          <w:rFonts w:ascii="Arial" w:cs="Arial" w:eastAsia="Arial" w:hAnsi="Arial"/>
          <w:sz w:val="17"/>
          <w:szCs w:val="17"/>
          <w:color w:val="auto"/>
        </w:rPr>
        <w:t xml:space="preserve">”) and Rule 701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promulgated by the Securities and Exchange Commission under the Securities Act of 1933, as amended (“</w:t>
      </w:r>
      <w:r>
        <w:rPr>
          <w:rFonts w:ascii="Arial" w:cs="Arial" w:eastAsia="Arial" w:hAnsi="Arial"/>
          <w:sz w:val="17"/>
          <w:szCs w:val="17"/>
          <w:b w:val="1"/>
          <w:bCs w:val="1"/>
          <w:i w:val="1"/>
          <w:iCs w:val="1"/>
          <w:color w:val="auto"/>
        </w:rPr>
        <w:t>Rule 701</w:t>
      </w:r>
      <w:r>
        <w:rPr>
          <w:rFonts w:ascii="Arial" w:cs="Arial" w:eastAsia="Arial" w:hAnsi="Arial"/>
          <w:sz w:val="17"/>
          <w:szCs w:val="17"/>
          <w:color w:val="auto"/>
        </w:rPr>
        <w:t>”). Any provision of this Agreement that is inconsistent with Section 25102(o) or Rule 701 shall, without further act or amendment by the Company or the Board,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any state securities commission or any stock exchange to effect such compliance.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47" w:name="page148"/>
    <w:bookmarkEnd w:id="147"/>
    <w:p>
      <w:pPr>
        <w:ind w:right="120" w:firstLine="597"/>
        <w:spacing w:after="0" w:line="289" w:lineRule="auto"/>
        <w:tabs>
          <w:tab w:leader="none" w:pos="768"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NONTRANSFERABILITY OF OPTION. </w:t>
      </w:r>
      <w:r>
        <w:rPr>
          <w:rFonts w:ascii="Arial" w:cs="Arial" w:eastAsia="Arial" w:hAnsi="Arial"/>
          <w:sz w:val="17"/>
          <w:szCs w:val="17"/>
          <w:color w:val="auto"/>
        </w:rPr>
        <w:t>This Option may not be transferred in any manner other than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57" w:lineRule="exact"/>
        <w:rPr>
          <w:rFonts w:ascii="Arial" w:cs="Arial" w:eastAsia="Arial" w:hAnsi="Arial"/>
          <w:sz w:val="17"/>
          <w:szCs w:val="17"/>
          <w:b w:val="1"/>
          <w:bCs w:val="1"/>
          <w:color w:val="auto"/>
        </w:rPr>
      </w:pPr>
    </w:p>
    <w:p>
      <w:pPr>
        <w:ind w:left="780" w:hanging="183"/>
        <w:spacing w:after="0"/>
        <w:tabs>
          <w:tab w:leader="none" w:pos="7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 OF SHARES</w:t>
      </w:r>
      <w:r>
        <w:rPr>
          <w:rFonts w:ascii="Arial" w:cs="Arial" w:eastAsia="Arial" w:hAnsi="Arial"/>
          <w:sz w:val="18"/>
          <w:szCs w:val="18"/>
          <w:color w:val="auto"/>
        </w:rPr>
        <w:t>.</w:t>
      </w:r>
    </w:p>
    <w:p>
      <w:pPr>
        <w:spacing w:after="0" w:line="117" w:lineRule="exact"/>
        <w:rPr>
          <w:sz w:val="20"/>
          <w:szCs w:val="20"/>
          <w:color w:val="auto"/>
        </w:rPr>
      </w:pPr>
    </w:p>
    <w:p>
      <w:pPr>
        <w:ind w:right="120" w:firstLine="1322"/>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Optionee agrees that Optionee shall not transfer, assign, grant a lien or security interest in, pledge, hypothecate,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dispose of (including, without limitation, a transfer by gift or operation of law)(collectively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any of the Shares (or any interest therein) unless and until:</w:t>
      </w:r>
    </w:p>
    <w:p>
      <w:pPr>
        <w:spacing w:after="0" w:line="72" w:lineRule="exact"/>
        <w:rPr>
          <w:sz w:val="20"/>
          <w:szCs w:val="20"/>
          <w:color w:val="auto"/>
        </w:rPr>
      </w:pPr>
    </w:p>
    <w:p>
      <w:pPr>
        <w:ind w:right="620" w:firstLine="1917"/>
        <w:spacing w:after="0" w:line="277" w:lineRule="auto"/>
        <w:tabs>
          <w:tab w:leader="none" w:pos="2154" w:val="left"/>
        </w:tabs>
        <w:numPr>
          <w:ilvl w:val="1"/>
          <w:numId w:val="96"/>
        </w:numPr>
        <w:rPr>
          <w:rFonts w:ascii="Arial" w:cs="Arial" w:eastAsia="Arial" w:hAnsi="Arial"/>
          <w:sz w:val="18"/>
          <w:szCs w:val="18"/>
          <w:color w:val="auto"/>
        </w:rPr>
      </w:pPr>
      <w:r>
        <w:rPr>
          <w:rFonts w:ascii="Arial" w:cs="Arial" w:eastAsia="Arial" w:hAnsi="Arial"/>
          <w:sz w:val="18"/>
          <w:szCs w:val="18"/>
          <w:color w:val="auto"/>
        </w:rPr>
        <w:t>Optionee shall have notified the Company of the proposed Transfer and provided a written summary of the terms and conditions of the proposed disposition;</w:t>
      </w:r>
    </w:p>
    <w:p>
      <w:pPr>
        <w:spacing w:after="0" w:line="62" w:lineRule="exact"/>
        <w:rPr>
          <w:rFonts w:ascii="Arial" w:cs="Arial" w:eastAsia="Arial" w:hAnsi="Arial"/>
          <w:sz w:val="18"/>
          <w:szCs w:val="18"/>
          <w:color w:val="auto"/>
        </w:rPr>
      </w:pPr>
    </w:p>
    <w:p>
      <w:pPr>
        <w:ind w:right="940" w:firstLine="1917"/>
        <w:spacing w:after="0" w:line="277" w:lineRule="auto"/>
        <w:tabs>
          <w:tab w:leader="none" w:pos="2164" w:val="left"/>
        </w:tabs>
        <w:numPr>
          <w:ilvl w:val="1"/>
          <w:numId w:val="96"/>
        </w:numPr>
        <w:rPr>
          <w:rFonts w:ascii="Arial" w:cs="Arial" w:eastAsia="Arial" w:hAnsi="Arial"/>
          <w:sz w:val="18"/>
          <w:szCs w:val="18"/>
          <w:color w:val="auto"/>
        </w:rPr>
      </w:pPr>
      <w:r>
        <w:rPr>
          <w:rFonts w:ascii="Arial" w:cs="Arial" w:eastAsia="Arial" w:hAnsi="Arial"/>
          <w:sz w:val="18"/>
          <w:szCs w:val="18"/>
          <w:color w:val="auto"/>
        </w:rPr>
        <w:t>Optionee shall have complied with all requirements of this Agreement, the Company’s Bylaws and Certificate of Incorporation, the Stockholders Agreement and other agreements applicable to the Transfer of the Shares;</w:t>
      </w:r>
    </w:p>
    <w:p>
      <w:pPr>
        <w:spacing w:after="0" w:line="62" w:lineRule="exact"/>
        <w:rPr>
          <w:rFonts w:ascii="Arial" w:cs="Arial" w:eastAsia="Arial" w:hAnsi="Arial"/>
          <w:sz w:val="18"/>
          <w:szCs w:val="18"/>
          <w:color w:val="auto"/>
        </w:rPr>
      </w:pPr>
    </w:p>
    <w:p>
      <w:pPr>
        <w:ind w:firstLine="1917"/>
        <w:spacing w:after="0" w:line="286" w:lineRule="auto"/>
        <w:tabs>
          <w:tab w:leader="none" w:pos="2154" w:val="left"/>
        </w:tabs>
        <w:numPr>
          <w:ilvl w:val="1"/>
          <w:numId w:val="96"/>
        </w:numPr>
        <w:rPr>
          <w:rFonts w:ascii="Arial" w:cs="Arial" w:eastAsia="Arial" w:hAnsi="Arial"/>
          <w:sz w:val="16"/>
          <w:szCs w:val="16"/>
          <w:color w:val="auto"/>
        </w:rPr>
      </w:pPr>
      <w:r>
        <w:rPr>
          <w:rFonts w:ascii="Arial" w:cs="Arial" w:eastAsia="Arial" w:hAnsi="Arial"/>
          <w:sz w:val="16"/>
          <w:szCs w:val="16"/>
          <w:color w:val="auto"/>
        </w:rPr>
        <w:t>Optionee shall have provided the Company with written assurances, in form and substance satisfactory to counsel for the Company, which may include without limitation an opinion of counsel, that (i) the proposed disposition does not require registration of the Shares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under any applicable state securities laws and (ii) all appropriate actions necessary for compliance with the registration requirements of the Securities Act or of any exemption from registration available under the Securities Act (including Rule</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or applicable state securities laws have been taken; and</w:t>
      </w:r>
    </w:p>
    <w:p>
      <w:pPr>
        <w:spacing w:after="0" w:line="102" w:lineRule="exact"/>
        <w:rPr>
          <w:rFonts w:ascii="Arial" w:cs="Arial" w:eastAsia="Arial" w:hAnsi="Arial"/>
          <w:sz w:val="18"/>
          <w:szCs w:val="18"/>
          <w:color w:val="auto"/>
        </w:rPr>
      </w:pPr>
    </w:p>
    <w:p>
      <w:pPr>
        <w:ind w:right="300" w:firstLine="1917"/>
        <w:spacing w:after="0" w:line="296" w:lineRule="auto"/>
        <w:tabs>
          <w:tab w:leader="none" w:pos="2164" w:val="left"/>
        </w:tabs>
        <w:numPr>
          <w:ilvl w:val="1"/>
          <w:numId w:val="97"/>
        </w:numPr>
        <w:rPr>
          <w:rFonts w:ascii="Arial" w:cs="Arial" w:eastAsia="Arial" w:hAnsi="Arial"/>
          <w:sz w:val="16"/>
          <w:szCs w:val="16"/>
          <w:color w:val="auto"/>
        </w:rPr>
      </w:pPr>
      <w:r>
        <w:rPr>
          <w:rFonts w:ascii="Arial" w:cs="Arial" w:eastAsia="Arial" w:hAnsi="Arial"/>
          <w:sz w:val="16"/>
          <w:szCs w:val="16"/>
          <w:color w:val="auto"/>
        </w:rPr>
        <w:t>Optionee shall have provided the Company with written assurances, in form and substance satisfactory to the Company, which may include without limitation an opinion of counsel,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57" w:lineRule="exact"/>
        <w:rPr>
          <w:sz w:val="20"/>
          <w:szCs w:val="20"/>
          <w:color w:val="auto"/>
        </w:rPr>
      </w:pPr>
    </w:p>
    <w:p>
      <w:pPr>
        <w:ind w:right="100" w:firstLine="1322"/>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u w:val="single" w:color="auto"/>
          <w:color w:val="auto"/>
        </w:rPr>
        <w:t>Restriction on Transfer</w:t>
      </w:r>
      <w:r>
        <w:rPr>
          <w:rFonts w:ascii="Arial" w:cs="Arial" w:eastAsia="Arial" w:hAnsi="Arial"/>
          <w:sz w:val="17"/>
          <w:szCs w:val="17"/>
          <w:color w:val="auto"/>
        </w:rPr>
        <w:t>. Optionee shall not Transfer any of the Shares (or any interest therein) which are subject to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Option or the Stockholders Agreement, except as permitted by this Agreement and the Stockholders Agreement.</w:t>
      </w:r>
    </w:p>
    <w:p>
      <w:pPr>
        <w:spacing w:after="0" w:line="140" w:lineRule="exact"/>
        <w:rPr>
          <w:sz w:val="20"/>
          <w:szCs w:val="20"/>
          <w:color w:val="auto"/>
        </w:rPr>
      </w:pPr>
    </w:p>
    <w:p>
      <w:pPr>
        <w:ind w:right="100" w:firstLine="1322"/>
        <w:spacing w:after="0" w:line="258"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Transferee Obligations</w:t>
      </w:r>
      <w:r>
        <w:rPr>
          <w:rFonts w:ascii="Arial" w:cs="Arial" w:eastAsia="Arial" w:hAnsi="Arial"/>
          <w:sz w:val="18"/>
          <w:szCs w:val="18"/>
          <w:color w:val="auto"/>
        </w:rPr>
        <w:t>. Each person (other than the Company) to whom the Shares (or any interest therein) are Transferred by</w:t>
      </w:r>
      <w:r>
        <w:rPr>
          <w:rFonts w:ascii="Arial" w:cs="Arial" w:eastAsia="Arial" w:hAnsi="Arial"/>
          <w:sz w:val="18"/>
          <w:szCs w:val="18"/>
          <w:b w:val="1"/>
          <w:bCs w:val="1"/>
          <w:color w:val="auto"/>
        </w:rPr>
        <w:t xml:space="preserve"> </w:t>
      </w:r>
      <w:r>
        <w:rPr>
          <w:rFonts w:ascii="Arial" w:cs="Arial" w:eastAsia="Arial" w:hAnsi="Arial"/>
          <w:sz w:val="18"/>
          <w:szCs w:val="18"/>
          <w:color w:val="auto"/>
        </w:rPr>
        <w:t>means of one of the permitted transfers specified in this Agreement or the Stockholders Agreement must, as a condition precedent to the validity of such transfer, acknowledge in writing satisfactory to the Company that such person is bound by the provisions of this Agreement and that the transferred Shares are subject to (i) each the Company’s Repurchase Option and the Stockholders Agreement and (ii) the market stand-off provisions of Section 8 below, to the same extent such Shares would be so subject if retained by Optionee.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48" w:name="page149"/>
    <w:bookmarkEnd w:id="148"/>
    <w:p>
      <w:pPr>
        <w:ind w:firstLine="597"/>
        <w:spacing w:after="0" w:line="285" w:lineRule="auto"/>
        <w:tabs>
          <w:tab w:leader="none" w:pos="768"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STANDOFF AGREEMENT. </w:t>
      </w:r>
      <w:r>
        <w:rPr>
          <w:rFonts w:ascii="Arial" w:cs="Arial" w:eastAsia="Arial" w:hAnsi="Arial"/>
          <w:sz w:val="16"/>
          <w:szCs w:val="16"/>
          <w:color w:val="auto"/>
        </w:rPr>
        <w:t>In connection with the initial public offering of the Company’s securities and upon request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underwriters managing such offering of the Company’s securities, Optionee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In addition, upon request of the Company or the underwriters managing a public offering of the Company’s securities (other than the initial public offering), Optionee hereby agrees to be bound by similar restrictions, and to sign a similar agreement as may be requested by the underwriters,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foregoing covenants, the Company shall have the right to place restrictive legends on the certificates representing the Shares subject to this Section and to impose stop transfer instructions with respect to the Shares until the end of such period.</w:t>
      </w:r>
    </w:p>
    <w:p>
      <w:pPr>
        <w:spacing w:after="0" w:line="171" w:lineRule="exact"/>
        <w:rPr>
          <w:rFonts w:ascii="Arial" w:cs="Arial" w:eastAsia="Arial" w:hAnsi="Arial"/>
          <w:sz w:val="16"/>
          <w:szCs w:val="16"/>
          <w:b w:val="1"/>
          <w:bCs w:val="1"/>
          <w:color w:val="auto"/>
        </w:rPr>
      </w:pPr>
    </w:p>
    <w:p>
      <w:pPr>
        <w:ind w:left="780" w:hanging="183"/>
        <w:spacing w:after="0"/>
        <w:tabs>
          <w:tab w:leader="none" w:pos="7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right="20" w:firstLine="1322"/>
        <w:spacing w:after="0" w:line="255" w:lineRule="auto"/>
        <w:rPr>
          <w:sz w:val="20"/>
          <w:szCs w:val="20"/>
          <w:color w:val="auto"/>
        </w:rPr>
      </w:pPr>
      <w:r>
        <w:rPr>
          <w:rFonts w:ascii="Arial" w:cs="Arial" w:eastAsia="Arial" w:hAnsi="Arial"/>
          <w:sz w:val="18"/>
          <w:szCs w:val="18"/>
          <w:color w:val="auto"/>
        </w:rPr>
        <w:t>Concurrent with Optionee’s exercise of all or any portion of the Option, Optionee and, if married, his or her spouse, shall execute and deliver to the Company a counterpart to the Stockholders Agreement, as amended, binding the Optionee and his or her spouse to the terms contained therein. If Optionee becomes legally married (whether in the first instance or to a different spouse) subsequent to the exercise of all or any portion of the Option, but prior to the Termination Date, Optionee shall cause Optionee’s spouse to execute and deliver to the Company a counterpart to the Stockholders Agreement, as amended. In the event of a conflict between such Stockholders Agreement, the Plan and this Agreement, the Stockholders Agreement shall prevail.</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10. REPURCHASE OPTION</w:t>
      </w:r>
      <w:r>
        <w:rPr>
          <w:rFonts w:ascii="Arial" w:cs="Arial" w:eastAsia="Arial" w:hAnsi="Arial"/>
          <w:sz w:val="18"/>
          <w:szCs w:val="18"/>
          <w:color w:val="auto"/>
        </w:rPr>
        <w:t>.</w:t>
      </w:r>
    </w:p>
    <w:p>
      <w:pPr>
        <w:spacing w:after="0" w:line="117" w:lineRule="exact"/>
        <w:rPr>
          <w:sz w:val="20"/>
          <w:szCs w:val="20"/>
          <w:color w:val="auto"/>
        </w:rPr>
      </w:pPr>
    </w:p>
    <w:p>
      <w:pPr>
        <w:ind w:right="120" w:firstLine="1322"/>
        <w:spacing w:after="0" w:line="289"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Repurchase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Optionee is no longer employed (or in the case of an Optionee who was not an employee, the date 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such Optionee is no longer acting as a director or officer of, or consultant or advisor to, the Company or any of its subsidiaries) by the Company or its subsidiaries for any reason, the Shares (whether held by such Optionee or one or more transferees of such</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94" w:right="399" w:bottom="1440" w:gutter="0" w:footer="0" w:header="0"/>
        </w:sectPr>
      </w:pPr>
    </w:p>
    <w:bookmarkStart w:id="149" w:name="page150"/>
    <w:bookmarkEnd w:id="149"/>
    <w:p>
      <w:pPr>
        <w:ind w:right="20"/>
        <w:spacing w:after="0" w:line="259" w:lineRule="auto"/>
        <w:rPr>
          <w:sz w:val="20"/>
          <w:szCs w:val="20"/>
          <w:color w:val="auto"/>
        </w:rPr>
      </w:pPr>
      <w:r>
        <w:rPr>
          <w:rFonts w:ascii="Arial" w:cs="Arial" w:eastAsia="Arial" w:hAnsi="Arial"/>
          <w:sz w:val="18"/>
          <w:szCs w:val="18"/>
          <w:color w:val="auto"/>
        </w:rPr>
        <w:t>Optionee, other than the Company or any Investor (as defined in the Stockholders Agreement)) will be subject to repurchase by the Company and the Investors (each of the aforementioned solely at their option and the latter on a pro rata basis in accordance with their respective percentage of ownership of the Company’s Common Stock on a fully diluted and as-converted basis) pursuant to the terms and conditions set forth in this Section 10 (the “</w:t>
      </w:r>
      <w:r>
        <w:rPr>
          <w:rFonts w:ascii="Arial" w:cs="Arial" w:eastAsia="Arial" w:hAnsi="Arial"/>
          <w:sz w:val="18"/>
          <w:szCs w:val="18"/>
          <w:b w:val="1"/>
          <w:bCs w:val="1"/>
          <w:i w:val="1"/>
          <w:iCs w:val="1"/>
          <w:color w:val="auto"/>
        </w:rPr>
        <w:t>Repurchase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183" w:lineRule="exact"/>
        <w:rPr>
          <w:sz w:val="20"/>
          <w:szCs w:val="20"/>
          <w:color w:val="auto"/>
        </w:rPr>
      </w:pPr>
    </w:p>
    <w:p>
      <w:pPr>
        <w:ind w:right="40" w:firstLine="1322"/>
        <w:spacing w:after="0" w:line="261"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Repurchase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Termination Date of any Optionee, the Company and the Investors may elect to repurchase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portion of the Shares held by such Optionee at a price per share equal to (i) in the event of such Optionee’s termination for Cause, at the lower of Original Cost or Fair Market Value (as of the Termination Date) and (ii) otherwise (including, but not limited to, a resignation other than for Good Reason and termination without Cause), at Fair Market Value (as of the Termination Date).</w:t>
      </w:r>
    </w:p>
    <w:p>
      <w:pPr>
        <w:spacing w:after="0" w:line="180" w:lineRule="exact"/>
        <w:rPr>
          <w:sz w:val="20"/>
          <w:szCs w:val="20"/>
          <w:color w:val="auto"/>
        </w:rPr>
      </w:pPr>
    </w:p>
    <w:p>
      <w:pPr>
        <w:ind w:firstLine="1322"/>
        <w:spacing w:after="0" w:line="287"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b w:val="1"/>
          <w:bCs w:val="1"/>
          <w:u w:val="single" w:color="auto"/>
          <w:color w:val="auto"/>
        </w:rPr>
        <w:t>Repurchase Procedures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elect to exercise the Repurchase Option to purchase any amount of the Shares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Repurchase Option by delivering written notice (the “</w:t>
      </w:r>
      <w:r>
        <w:rPr>
          <w:rFonts w:ascii="Arial" w:cs="Arial" w:eastAsia="Arial" w:hAnsi="Arial"/>
          <w:sz w:val="16"/>
          <w:szCs w:val="16"/>
          <w:b w:val="1"/>
          <w:bCs w:val="1"/>
          <w:i w:val="1"/>
          <w:iCs w:val="1"/>
          <w:color w:val="auto"/>
        </w:rPr>
        <w:t>Company Repurchase Notice</w:t>
      </w:r>
      <w:r>
        <w:rPr>
          <w:rFonts w:ascii="Arial" w:cs="Arial" w:eastAsia="Arial" w:hAnsi="Arial"/>
          <w:sz w:val="16"/>
          <w:szCs w:val="16"/>
          <w:color w:val="auto"/>
        </w:rPr>
        <w:t>”) to the holder or holders of the Shares and the Investors no later than the later of (A) 90 days after the Termination Date and (B) 90 days after the acquisition of the Shares subject to repurchase. To the extent that any portion of the Shares are not being repurchased by the Company, the Investors may elect to exercise the Repurchase Option to purchase up to their respective pro rata share of the remaining Shares by delivering written notice (an “</w:t>
      </w:r>
      <w:r>
        <w:rPr>
          <w:rFonts w:ascii="Arial" w:cs="Arial" w:eastAsia="Arial" w:hAnsi="Arial"/>
          <w:sz w:val="16"/>
          <w:szCs w:val="16"/>
          <w:b w:val="1"/>
          <w:bCs w:val="1"/>
          <w:i w:val="1"/>
          <w:iCs w:val="1"/>
          <w:color w:val="auto"/>
        </w:rPr>
        <w:t>Investor Repurchase Notice</w:t>
      </w:r>
      <w:r>
        <w:rPr>
          <w:rFonts w:ascii="Arial" w:cs="Arial" w:eastAsia="Arial" w:hAnsi="Arial"/>
          <w:sz w:val="16"/>
          <w:szCs w:val="16"/>
          <w:color w:val="auto"/>
        </w:rPr>
        <w:t>” and together with the Company Repurchase Notice, a “</w:t>
      </w:r>
      <w:r>
        <w:rPr>
          <w:rFonts w:ascii="Arial" w:cs="Arial" w:eastAsia="Arial" w:hAnsi="Arial"/>
          <w:sz w:val="16"/>
          <w:szCs w:val="16"/>
          <w:b w:val="1"/>
          <w:bCs w:val="1"/>
          <w:i w:val="1"/>
          <w:iCs w:val="1"/>
          <w:color w:val="auto"/>
        </w:rPr>
        <w:t>Repurchase Notice</w:t>
      </w:r>
      <w:r>
        <w:rPr>
          <w:rFonts w:ascii="Arial" w:cs="Arial" w:eastAsia="Arial" w:hAnsi="Arial"/>
          <w:sz w:val="16"/>
          <w:szCs w:val="16"/>
          <w:color w:val="auto"/>
        </w:rPr>
        <w:t>”) to the holder or holders of the applicable Shares within 10 business days of the expiration of the latest period during which the Company was entitled to deliver the Company Repurchase Notice. Each Repurchase Notice will set forth the number of Shares to be acquired from such holder(s), the aggregate consideration to be paid for such Shares and the time and place for the closing of the transaction. If any Shares are held by any transferees of Optionee, the Investors and the Company, as the case may be, will purchase the Shares elected to be purchased from such holder(s) of Shares, pro rata according to the number of Shares held by such holder(s) at the time of delivery of such Repurchase Notice (determined as nearly as practicable to the nearest share). If Shares of different classes are to be purchased pursuant to the Repurchase Option and Shares are held by any transferees of Optionee, the number of Shares of each class of Shares to be purchased will be allocated among such holders, pro rata according to the total number of Shares to be purchased from such Persons.</w:t>
      </w:r>
    </w:p>
    <w:p>
      <w:pPr>
        <w:spacing w:after="0" w:line="164" w:lineRule="exact"/>
        <w:rPr>
          <w:sz w:val="20"/>
          <w:szCs w:val="20"/>
          <w:color w:val="auto"/>
        </w:rPr>
      </w:pPr>
    </w:p>
    <w:p>
      <w:pPr>
        <w:ind w:firstLine="1322"/>
        <w:spacing w:after="0" w:line="289" w:lineRule="auto"/>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b w:val="1"/>
          <w:bCs w:val="1"/>
          <w:u w:val="single" w:color="auto"/>
          <w:color w:val="auto"/>
        </w:rPr>
        <w:t>Closing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of the transactions contemplated by this Section 10 will take place on the date designated in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Notice, which date will not be more than 90 days after the delivery of such notice. Each Investor will pay for the Shares to be purchased by it by delivery of a check payable to the holder of such Shares. The Company will pay for the Shares to be purchased by it by first offsetting amounts outstanding under any bona fide debts owing by such Optionee to the Company or any of its subsidiaries, now existing or hereinafter arising (irrespective as to whether such amounts are owing by the holder of such Shares), and will pay the remainder of the purchase price by, at its option, delivery of (A) a check payable to the holder of such Shares, (B) if payment in accordance with clause (A) would result in a breach or default under the Company’s debt financing agreements, if any, a subordinated promissory note with a maturity date that does not exceed three years from the closing of the transactions contemplated by this Section 10, payable in equal monthly installments of principal and interest during the term of the note and bearing interest at a rate per annum equal to the greater of five percent (5%) and the then applicable short term federal rate, or (C) a combination of both (A) and (B), in the aggregate amount of the purchase price for such Shares. Any notes issued by the Company pursuant to this Section 10 shall be subject to any restrictive covenants 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50" w:name="page151"/>
    <w:bookmarkEnd w:id="150"/>
    <w:p>
      <w:pPr>
        <w:ind w:right="60"/>
        <w:spacing w:after="0" w:line="254" w:lineRule="auto"/>
        <w:rPr>
          <w:sz w:val="20"/>
          <w:szCs w:val="20"/>
          <w:color w:val="auto"/>
        </w:rPr>
      </w:pPr>
      <w:r>
        <w:rPr>
          <w:rFonts w:ascii="Arial" w:cs="Arial" w:eastAsia="Arial" w:hAnsi="Arial"/>
          <w:sz w:val="18"/>
          <w:szCs w:val="18"/>
          <w:color w:val="auto"/>
        </w:rPr>
        <w:t>which the Company or its subsidiaries are subject at the time of such purchase. Notwithstanding anything to the contrary contained herein, all repurchases of Shares by the Company will be subject to applicable restrictions contained in the corporation law of the Company’s jurisdiction of incorporation and in the Company’s and its subsidiaries’ debt and equity financing agreements. If any such restrictions prohibit the repurchase of Shares hereunder which the Company is otherwise entitled to make, the Company may make such repurchases as soon as it is permitted to do so under such restrictions. The Investors and/or the Company, as the case may be, will receive customary representations and warranties from each seller regarding the sale of the Shares, including, but not limited to, representations that such seller has good and marketable title to the Shares to be transferred free and clear of all liens, claims and other encumbrances.</w:t>
      </w:r>
    </w:p>
    <w:p>
      <w:pPr>
        <w:spacing w:after="0" w:line="191" w:lineRule="exact"/>
        <w:rPr>
          <w:sz w:val="20"/>
          <w:szCs w:val="20"/>
          <w:color w:val="auto"/>
        </w:rPr>
      </w:pPr>
    </w:p>
    <w:p>
      <w:pPr>
        <w:ind w:right="1080" w:firstLine="1322"/>
        <w:spacing w:after="0" w:line="282"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This Section 10 shall terminate automatically and shall be of no further force and effect upon the earlier to occur of a</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a Public Offering or a Sale of the Company.</w:t>
      </w:r>
    </w:p>
    <w:p>
      <w:pPr>
        <w:spacing w:after="0" w:line="162" w:lineRule="exact"/>
        <w:rPr>
          <w:sz w:val="20"/>
          <w:szCs w:val="20"/>
          <w:color w:val="auto"/>
        </w:rPr>
      </w:pPr>
    </w:p>
    <w:p>
      <w:pPr>
        <w:ind w:right="20" w:firstLine="597"/>
        <w:spacing w:after="0" w:line="272" w:lineRule="auto"/>
        <w:tabs>
          <w:tab w:leader="none" w:pos="848"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Optionee shall not have any of the rights of a stockholder with respect to any Shares unless and until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rights under the Stockholders Agreement. Upon an exercise of the rights under the Stockholders Agreement or Repurchase Option, Optionee will have no further rights as a holder of the Shares so purchased upon such exercise, other than the right to receive payment for the Shares so purchased in accordance with the provisions of this Agreement and the Stockholders Agreement, and Optionee will promptly surrender the stock certificate(s) evidencing the Shares so purchased to the Company for transfer or cancellation.</w:t>
      </w:r>
    </w:p>
    <w:p>
      <w:pPr>
        <w:spacing w:after="0" w:line="171" w:lineRule="exact"/>
        <w:rPr>
          <w:rFonts w:ascii="Arial" w:cs="Arial" w:eastAsia="Arial" w:hAnsi="Arial"/>
          <w:sz w:val="17"/>
          <w:szCs w:val="17"/>
          <w:b w:val="1"/>
          <w:bCs w:val="1"/>
          <w:color w:val="auto"/>
        </w:rPr>
      </w:pPr>
    </w:p>
    <w:p>
      <w:pPr>
        <w:ind w:firstLine="597"/>
        <w:spacing w:after="0" w:line="288" w:lineRule="auto"/>
        <w:tabs>
          <w:tab w:leader="none" w:pos="858"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As security for Optionee’s faithful performance of this Agreement, Optionee agrees, immediately upon receipt of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evidencing the Shares, to deliver such certificate(s), together with two (2) copies of a blank Stock Power and Assignment Separate from Stock Certificate in the form attached to the Exercise Agreement (the “</w:t>
      </w:r>
      <w:r>
        <w:rPr>
          <w:rFonts w:ascii="Arial" w:cs="Arial" w:eastAsia="Arial" w:hAnsi="Arial"/>
          <w:sz w:val="16"/>
          <w:szCs w:val="16"/>
          <w:b w:val="1"/>
          <w:bCs w:val="1"/>
          <w:i w:val="1"/>
          <w:iCs w:val="1"/>
          <w:color w:val="auto"/>
        </w:rPr>
        <w:t>Stock Powers</w:t>
      </w:r>
      <w:r>
        <w:rPr>
          <w:rFonts w:ascii="Arial" w:cs="Arial" w:eastAsia="Arial" w:hAnsi="Arial"/>
          <w:sz w:val="16"/>
          <w:szCs w:val="16"/>
          <w:color w:val="auto"/>
        </w:rPr>
        <w:t>”), both executed by Optionee (and Optionee’s spouse, if any) (with the transferee, certificate number, date and number of Shares left blank), to the Secretary of the Company or other designee of the Company (the “</w:t>
      </w:r>
      <w:r>
        <w:rPr>
          <w:rFonts w:ascii="Arial" w:cs="Arial" w:eastAsia="Arial" w:hAnsi="Arial"/>
          <w:sz w:val="16"/>
          <w:szCs w:val="16"/>
          <w:b w:val="1"/>
          <w:bCs w:val="1"/>
          <w:i w:val="1"/>
          <w:iCs w:val="1"/>
          <w:color w:val="auto"/>
        </w:rPr>
        <w:t>Escrow</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who is hereby appointed to hold such certificate(s) and Stock Powers in escrow and to take all such actions and to effectuate all such transfers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of the Stockholders Agreement and Repurchase Option.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1" w:name="page152"/>
    <w:bookmarkEnd w:id="151"/>
    <w:p>
      <w:pPr>
        <w:ind w:left="600"/>
        <w:spacing w:after="0"/>
        <w:rPr>
          <w:sz w:val="20"/>
          <w:szCs w:val="20"/>
          <w:color w:val="auto"/>
        </w:rPr>
      </w:pPr>
      <w:r>
        <w:rPr>
          <w:rFonts w:ascii="Arial" w:cs="Arial" w:eastAsia="Arial" w:hAnsi="Arial"/>
          <w:sz w:val="18"/>
          <w:szCs w:val="18"/>
          <w:b w:val="1"/>
          <w:bCs w:val="1"/>
          <w:color w:val="auto"/>
        </w:rPr>
        <w:t>13. RESTRICTIVE LEGENDS AND STOP-TRANSFER ORDERS</w:t>
      </w:r>
      <w:r>
        <w:rPr>
          <w:rFonts w:ascii="Arial" w:cs="Arial" w:eastAsia="Arial" w:hAnsi="Arial"/>
          <w:sz w:val="18"/>
          <w:szCs w:val="18"/>
          <w:color w:val="auto"/>
        </w:rPr>
        <w:t>.</w:t>
      </w:r>
    </w:p>
    <w:p>
      <w:pPr>
        <w:spacing w:after="0" w:line="117" w:lineRule="exact"/>
        <w:rPr>
          <w:sz w:val="20"/>
          <w:szCs w:val="20"/>
          <w:color w:val="auto"/>
        </w:rPr>
      </w:pPr>
    </w:p>
    <w:p>
      <w:pPr>
        <w:ind w:right="40" w:firstLine="1322"/>
        <w:spacing w:after="0" w:line="277"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understands and agrees that the Company will place the legends set forth below or similar legends on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evidencing the Shares, together with any other legends that may be required by state or U.S. Federal securities laws, the Company’s Certificate of Incorporation or Bylaws, the Stockholders Agreement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64" w:lineRule="exact"/>
        <w:rPr>
          <w:sz w:val="20"/>
          <w:szCs w:val="20"/>
          <w:color w:val="auto"/>
        </w:rPr>
      </w:pPr>
    </w:p>
    <w:p>
      <w:pPr>
        <w:ind w:right="40" w:firstLine="1917"/>
        <w:spacing w:after="0" w:line="271" w:lineRule="auto"/>
        <w:tabs>
          <w:tab w:leader="none" w:pos="215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70" w:lineRule="exact"/>
        <w:rPr>
          <w:rFonts w:ascii="Arial" w:cs="Arial" w:eastAsia="Arial" w:hAnsi="Arial"/>
          <w:sz w:val="17"/>
          <w:szCs w:val="17"/>
          <w:color w:val="auto"/>
        </w:rPr>
      </w:pPr>
    </w:p>
    <w:p>
      <w:pPr>
        <w:ind w:right="140" w:firstLine="1917"/>
        <w:spacing w:after="0" w:line="257" w:lineRule="auto"/>
        <w:tabs>
          <w:tab w:leader="none" w:pos="21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TRANSFER OF THE SECURITIES REPRESENTED BY THIS CERTIFICATE IS SUBJECT TO A STOCKHOLDERS AGREEMENT DATED AS OF OCTOBER 7, 2015, AMONG THE ISSUER OF SUCH SECURITIES (THE “COMPANY”) AND CERTAIN OF THE COMPANY’S STOCKHOLDERS, AS THE SAME MAY BE AMENDED OR MODIFIED FROM TIME TO TIME. A COPY OF SUCH STOCKHOLDERS AGREEMENT SHALL BE FURNISHED WITHOUT CHARGE BY THE COMPANY TO THE HOLDER HEREOF UPON WRITTEN REQUEST.</w:t>
      </w:r>
    </w:p>
    <w:p>
      <w:pPr>
        <w:spacing w:after="0" w:line="79" w:lineRule="exact"/>
        <w:rPr>
          <w:rFonts w:ascii="Arial" w:cs="Arial" w:eastAsia="Arial" w:hAnsi="Arial"/>
          <w:sz w:val="18"/>
          <w:szCs w:val="18"/>
          <w:color w:val="auto"/>
        </w:rPr>
      </w:pPr>
    </w:p>
    <w:p>
      <w:pPr>
        <w:ind w:firstLine="1917"/>
        <w:spacing w:after="0" w:line="257" w:lineRule="auto"/>
        <w:tabs>
          <w:tab w:leader="none" w:pos="215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CERTAIN RESTRICTIONS ON RESALE AND TRANSFER, INCLUDING THE REPURCHASE OPTION HELD BY THE ISSUER AND/OR ITS ASSIGNEE(S) AS SET FORTH IN A STOCK AGREEMENT BETWEEN THE ISSUER AND THE ORIGINAL HOLDER OF THESE SHARES, A COPY OF WHICH MAY BE OBTAINED AT THE PRINCIPAL OFFICE OF THE ISSUER. SUCH SALE AND TRANSFER RESTRICTIONS, INCLUDING THE REPURCHASE OPTION, ARE BINDING ON TRANSFEREES OF THESE SHARES.</w:t>
      </w:r>
    </w:p>
    <w:p>
      <w:pPr>
        <w:spacing w:after="0" w:line="79" w:lineRule="exact"/>
        <w:rPr>
          <w:rFonts w:ascii="Arial" w:cs="Arial" w:eastAsia="Arial" w:hAnsi="Arial"/>
          <w:sz w:val="18"/>
          <w:szCs w:val="18"/>
          <w:color w:val="auto"/>
        </w:rPr>
      </w:pPr>
    </w:p>
    <w:p>
      <w:pPr>
        <w:ind w:right="120" w:firstLine="1917"/>
        <w:spacing w:after="0" w:line="255" w:lineRule="auto"/>
        <w:tabs>
          <w:tab w:leader="none" w:pos="21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188" w:lineRule="exact"/>
        <w:rPr>
          <w:sz w:val="20"/>
          <w:szCs w:val="20"/>
          <w:color w:val="auto"/>
        </w:rPr>
      </w:pPr>
    </w:p>
    <w:p>
      <w:pPr>
        <w:jc w:val="both"/>
        <w:ind w:right="440" w:firstLine="1322"/>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Stop-Transfer Instructions</w:t>
      </w:r>
      <w:r>
        <w:rPr>
          <w:rFonts w:ascii="Arial" w:cs="Arial" w:eastAsia="Arial" w:hAnsi="Arial"/>
          <w:sz w:val="18"/>
          <w:szCs w:val="18"/>
          <w:color w:val="auto"/>
        </w:rPr>
        <w:t>. Optionee agrees that, to ensure compliance with the restrictions imposed by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issue appropriate “stop-transfer” instructions to its transfer agent, if any, and if the Company transfers its own securities, it may make appropriate notations to the same effect in its own records.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52" w:name="page153"/>
    <w:bookmarkEnd w:id="152"/>
    <w:p>
      <w:pPr>
        <w:ind w:right="100" w:firstLine="1322"/>
        <w:spacing w:after="0" w:line="266"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be required (i) to transfer on its books any Shares that have been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76" w:lineRule="exact"/>
        <w:rPr>
          <w:sz w:val="20"/>
          <w:szCs w:val="20"/>
          <w:color w:val="auto"/>
        </w:rPr>
      </w:pPr>
    </w:p>
    <w:p>
      <w:pPr>
        <w:ind w:right="20" w:firstLine="597"/>
        <w:spacing w:after="0" w:line="269" w:lineRule="auto"/>
        <w:tabs>
          <w:tab w:leader="none" w:pos="858"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STATUTORY INFORMATION RIGHTS. </w:t>
      </w:r>
      <w:r>
        <w:rPr>
          <w:rFonts w:ascii="Arial" w:cs="Arial" w:eastAsia="Arial" w:hAnsi="Arial"/>
          <w:sz w:val="17"/>
          <w:szCs w:val="17"/>
          <w:color w:val="auto"/>
        </w:rPr>
        <w:t>Optionee acknowledges and understands that, but for the waiver made herein,</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Optionee as may be provided for in Section 220, the “</w:t>
      </w:r>
      <w:r>
        <w:rPr>
          <w:rFonts w:ascii="Arial" w:cs="Arial" w:eastAsia="Arial" w:hAnsi="Arial"/>
          <w:sz w:val="17"/>
          <w:szCs w:val="17"/>
          <w:u w:val="single" w:color="auto"/>
          <w:color w:val="auto"/>
        </w:rPr>
        <w:t>Inspection Rights</w:t>
      </w:r>
      <w:r>
        <w:rPr>
          <w:rFonts w:ascii="Arial" w:cs="Arial" w:eastAsia="Arial" w:hAnsi="Arial"/>
          <w:sz w:val="17"/>
          <w:szCs w:val="17"/>
          <w:color w:val="auto"/>
        </w:rPr>
        <w:t>”). In light of the foregoing, until the first sale of Common Stock of the Company to the general public pursuant to a registration statement filed with and declared effective by the SEC under the Securities Act,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Optionee in Optionee’s capacity as a stockholder and shall not affect any rights of a director, in his or her capacity as such, under Section 220. The foregoing waiver shall not apply to any contractual inspection rights of Optionee under any written agreement with the Company.</w:t>
      </w:r>
    </w:p>
    <w:p>
      <w:pPr>
        <w:spacing w:after="0" w:line="178" w:lineRule="exact"/>
        <w:rPr>
          <w:rFonts w:ascii="Arial" w:cs="Arial" w:eastAsia="Arial" w:hAnsi="Arial"/>
          <w:sz w:val="17"/>
          <w:szCs w:val="17"/>
          <w:b w:val="1"/>
          <w:bCs w:val="1"/>
          <w:color w:val="auto"/>
        </w:rPr>
      </w:pPr>
    </w:p>
    <w:p>
      <w:pPr>
        <w:ind w:left="860" w:hanging="263"/>
        <w:spacing w:after="0"/>
        <w:tabs>
          <w:tab w:leader="none" w:pos="8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17" w:lineRule="exact"/>
        <w:rPr>
          <w:sz w:val="20"/>
          <w:szCs w:val="20"/>
          <w:color w:val="auto"/>
        </w:rPr>
      </w:pPr>
    </w:p>
    <w:p>
      <w:pPr>
        <w:ind w:right="120" w:firstLine="1322"/>
        <w:spacing w:after="0" w:line="312"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regarding the interpretation of this Agreement shall be submitted by Optionee or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for review. The resolution of such a dispute by the Committee shall be final and binding on the Company and Optionee.</w:t>
      </w:r>
    </w:p>
    <w:p>
      <w:pPr>
        <w:spacing w:after="0" w:line="140" w:lineRule="exact"/>
        <w:rPr>
          <w:sz w:val="20"/>
          <w:szCs w:val="20"/>
          <w:color w:val="auto"/>
        </w:rPr>
      </w:pPr>
    </w:p>
    <w:p>
      <w:pPr>
        <w:ind w:right="200" w:firstLine="1322"/>
        <w:spacing w:after="0" w:line="261"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Grant Notice and the Exercise Agreement are each incorporated herein by reference.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Grant Notice, the Plan and the Exercise Agreement constitute the entire agreement of the parties with respect to the subject matter hereof and supersede all prior undertakings and agreements with respect to such subject matter. This Agreement may only be modified or amended in writing signed by the Company and Optionee.</w:t>
      </w:r>
    </w:p>
    <w:p>
      <w:pPr>
        <w:spacing w:after="0" w:line="180" w:lineRule="exact"/>
        <w:rPr>
          <w:sz w:val="20"/>
          <w:szCs w:val="20"/>
          <w:color w:val="auto"/>
        </w:rPr>
      </w:pPr>
    </w:p>
    <w:p>
      <w:pPr>
        <w:ind w:left="860" w:hanging="263"/>
        <w:spacing w:after="0"/>
        <w:tabs>
          <w:tab w:leader="none" w:pos="8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firstLine="1330"/>
        <w:spacing w:after="0" w:line="263" w:lineRule="auto"/>
        <w:tabs>
          <w:tab w:leader="none" w:pos="1592" w:val="left"/>
        </w:tabs>
        <w:numPr>
          <w:ilvl w:val="1"/>
          <w:numId w:val="102"/>
        </w:numPr>
        <w:rPr>
          <w:rFonts w:ascii="Arial" w:cs="Arial" w:eastAsia="Arial" w:hAnsi="Arial"/>
          <w:sz w:val="18"/>
          <w:szCs w:val="18"/>
          <w:b w:val="1"/>
          <w:bCs w:val="1"/>
          <w:color w:val="auto"/>
        </w:rPr>
      </w:pPr>
      <w:r>
        <w:rPr>
          <w:rFonts w:ascii="Arial" w:cs="Arial" w:eastAsia="Arial" w:hAnsi="Arial"/>
          <w:sz w:val="18"/>
          <w:szCs w:val="18"/>
          <w:color w:val="auto"/>
        </w:rPr>
        <w:t>Any notice required or permitted under this Agreement or any agreement executed and delivered in connection with this Agreement shall be in writing and shall be either personally delivered, or mailed by first class mail, return receipt requested, to Purchaser at the address indicated in the Company’s records for such Person, and to the Company at the address below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Notices to the Company:</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GoodRx Holdings,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 Francisco Partners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One Letterman Drive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Building C, Suite 410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53" w:name="page154"/>
    <w:bookmarkEnd w:id="153"/>
    <w:p>
      <w:pPr>
        <w:ind w:left="1320"/>
        <w:spacing w:after="0"/>
        <w:rPr>
          <w:sz w:val="20"/>
          <w:szCs w:val="20"/>
          <w:color w:val="auto"/>
        </w:rPr>
      </w:pPr>
      <w:r>
        <w:rPr>
          <w:rFonts w:ascii="Arial" w:cs="Arial" w:eastAsia="Arial" w:hAnsi="Arial"/>
          <w:sz w:val="18"/>
          <w:szCs w:val="18"/>
          <w:color w:val="auto"/>
        </w:rPr>
        <w:t>San Francisco, CA 94129</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Chris Adams and Adam Solomon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Fax: (415) 418-2999</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GoodRx Holdings,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 Spectrum Equity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140 New Montgomery, 20th Fl.</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 Stephen LeSieur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Fax: (415) 464-4600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M&amp;H,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525 Middlefield Road, Suite 250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Kerry Smith</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Fax: (650) 3317001</w:t>
      </w:r>
    </w:p>
    <w:p>
      <w:pPr>
        <w:spacing w:after="0" w:line="103" w:lineRule="exact"/>
        <w:rPr>
          <w:sz w:val="20"/>
          <w:szCs w:val="20"/>
          <w:color w:val="auto"/>
        </w:rPr>
      </w:pPr>
    </w:p>
    <w:p>
      <w:pPr>
        <w:ind w:right="220" w:firstLine="597"/>
        <w:spacing w:after="0" w:line="277" w:lineRule="auto"/>
        <w:tabs>
          <w:tab w:leader="none" w:pos="858"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or such other address or to the attention of such other person as the recipient party shall have specified by prior written notice to the sending party. Any notice under this Agreement shall be deemed to have been given when so delivered or mailed.</w:t>
      </w:r>
    </w:p>
    <w:p>
      <w:pPr>
        <w:spacing w:after="0" w:line="58" w:lineRule="exact"/>
        <w:rPr>
          <w:rFonts w:ascii="Arial" w:cs="Arial" w:eastAsia="Arial" w:hAnsi="Arial"/>
          <w:sz w:val="18"/>
          <w:szCs w:val="18"/>
          <w:b w:val="1"/>
          <w:bCs w:val="1"/>
          <w:color w:val="auto"/>
        </w:rPr>
      </w:pPr>
    </w:p>
    <w:p>
      <w:pPr>
        <w:jc w:val="both"/>
        <w:ind w:firstLine="597"/>
        <w:spacing w:after="0" w:line="303" w:lineRule="auto"/>
        <w:tabs>
          <w:tab w:leader="none" w:pos="858"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The Company may, in its sole discretion, assign any of its rights under this Agreement and the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its rights to purchase Shares under both the Right of Repurchase and Repurchase Option. This Agreement shall be binding upon and inure to the benefit of the successors and assigns of the Company. Subject to the restrictions set forth herein and in the Stockholders Agreement, this Agreement shall be binding upon Optionee and Optionee’s heirs, executors, administrators, legal representatives, successors and assigns.</w:t>
      </w:r>
    </w:p>
    <w:p>
      <w:pPr>
        <w:spacing w:after="0" w:line="42" w:lineRule="exact"/>
        <w:rPr>
          <w:rFonts w:ascii="Arial" w:cs="Arial" w:eastAsia="Arial" w:hAnsi="Arial"/>
          <w:sz w:val="16"/>
          <w:szCs w:val="16"/>
          <w:b w:val="1"/>
          <w:bCs w:val="1"/>
          <w:color w:val="auto"/>
        </w:rPr>
      </w:pPr>
    </w:p>
    <w:p>
      <w:pPr>
        <w:ind w:right="260" w:firstLine="597"/>
        <w:spacing w:after="0" w:line="261" w:lineRule="auto"/>
        <w:tabs>
          <w:tab w:leader="none" w:pos="858"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internal laws of the State of Delaware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laws are applied to agreements between Delaware residents entered into and to be performed entirely within Delaware. If any provision of this Agreement is determined by a court of law to be illegal or unenforceable, then such provision will be enforced to the maximum extent possible and the other provisions will remain fully effective and enforceable.</w:t>
      </w:r>
    </w:p>
    <w:p>
      <w:pPr>
        <w:spacing w:after="0" w:line="71" w:lineRule="exact"/>
        <w:rPr>
          <w:rFonts w:ascii="Arial" w:cs="Arial" w:eastAsia="Arial" w:hAnsi="Arial"/>
          <w:sz w:val="18"/>
          <w:szCs w:val="18"/>
          <w:b w:val="1"/>
          <w:bCs w:val="1"/>
          <w:color w:val="auto"/>
        </w:rPr>
      </w:pPr>
    </w:p>
    <w:p>
      <w:pPr>
        <w:ind w:right="80" w:firstLine="597"/>
        <w:spacing w:after="0" w:line="282" w:lineRule="auto"/>
        <w:tabs>
          <w:tab w:leader="none" w:pos="858"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53" w:lineRule="exact"/>
        <w:rPr>
          <w:rFonts w:ascii="Arial" w:cs="Arial" w:eastAsia="Arial" w:hAnsi="Arial"/>
          <w:sz w:val="18"/>
          <w:szCs w:val="18"/>
          <w:b w:val="1"/>
          <w:bCs w:val="1"/>
          <w:color w:val="auto"/>
        </w:rPr>
      </w:pPr>
    </w:p>
    <w:p>
      <w:pPr>
        <w:ind w:right="80" w:firstLine="597"/>
        <w:spacing w:after="0" w:line="266" w:lineRule="auto"/>
        <w:tabs>
          <w:tab w:leader="none" w:pos="858"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TITLES AND HEADINGS. </w:t>
      </w:r>
      <w:r>
        <w:rPr>
          <w:rFonts w:ascii="Arial" w:cs="Arial" w:eastAsia="Arial" w:hAnsi="Arial"/>
          <w:sz w:val="18"/>
          <w:szCs w:val="18"/>
          <w:color w:val="auto"/>
        </w:rPr>
        <w:t>The titles, captions and headings of this Agreement are included for ease of reference only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disregarded in interpreting or construing this Agreement. Unless otherwise specifically stated, all references herein to “sections” and “exhibits” will mean “sections” and “exhibits” to this Agreement.</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154" w:name="page155"/>
    <w:bookmarkEnd w:id="154"/>
    <w:p>
      <w:pPr>
        <w:ind w:right="160" w:firstLine="597"/>
        <w:spacing w:after="0" w:line="282" w:lineRule="auto"/>
        <w:tabs>
          <w:tab w:leader="none" w:pos="858"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53" w:lineRule="exact"/>
        <w:rPr>
          <w:rFonts w:ascii="Arial" w:cs="Arial" w:eastAsia="Arial" w:hAnsi="Arial"/>
          <w:sz w:val="18"/>
          <w:szCs w:val="18"/>
          <w:b w:val="1"/>
          <w:bCs w:val="1"/>
          <w:color w:val="auto"/>
        </w:rPr>
      </w:pPr>
    </w:p>
    <w:p>
      <w:pPr>
        <w:ind w:firstLine="597"/>
        <w:spacing w:after="0" w:line="255" w:lineRule="auto"/>
        <w:tabs>
          <w:tab w:leader="none" w:pos="858"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is determined by any court or arbitrator of competent jurisdiction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93" w:lineRule="exact"/>
        <w:rPr>
          <w:sz w:val="20"/>
          <w:szCs w:val="20"/>
          <w:color w:val="auto"/>
        </w:rPr>
      </w:pPr>
    </w:p>
    <w:p>
      <w:pPr>
        <w:jc w:val="center"/>
        <w:ind w:right="-3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 A</w:t>
      </w:r>
      <w:r>
        <w:rPr>
          <w:rFonts w:ascii="Arial" w:cs="Arial" w:eastAsia="Arial" w:hAnsi="Arial"/>
          <w:sz w:val="18"/>
          <w:szCs w:val="18"/>
          <w:color w:val="auto"/>
        </w:rPr>
        <w:t>: Form of Stock Option Exercise Notice and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4" w:right="37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STOCK OPTION EXERCISE NOTICE AND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594"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Hirsch, certify that:</w:t>
      </w:r>
    </w:p>
    <w:p>
      <w:pPr>
        <w:spacing w:after="0" w:line="225" w:lineRule="exact"/>
        <w:rPr>
          <w:sz w:val="20"/>
          <w:szCs w:val="20"/>
          <w:color w:val="auto"/>
        </w:rPr>
      </w:pPr>
    </w:p>
    <w:p>
      <w:pPr>
        <w:ind w:left="620" w:hanging="612"/>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80" w:hanging="612"/>
        <w:spacing w:after="0" w:line="277" w:lineRule="auto"/>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240" w:hanging="612"/>
        <w:spacing w:after="0" w:line="342" w:lineRule="auto"/>
        <w:tabs>
          <w:tab w:leader="none" w:pos="6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12, 2020</w:t>
            </w:r>
          </w:p>
        </w:tc>
        <w:tc>
          <w:tcPr>
            <w:tcW w:w="214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2"/>
        </w:trPr>
        <w:tc>
          <w:tcPr>
            <w:tcW w:w="3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16"/>
        </w:trPr>
        <w:tc>
          <w:tcPr>
            <w:tcW w:w="3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Trevor Bezdek, certify that:</w:t>
      </w:r>
    </w:p>
    <w:p>
      <w:pPr>
        <w:spacing w:after="0" w:line="225" w:lineRule="exact"/>
        <w:rPr>
          <w:sz w:val="20"/>
          <w:szCs w:val="20"/>
          <w:color w:val="auto"/>
        </w:rPr>
      </w:pPr>
    </w:p>
    <w:p>
      <w:pPr>
        <w:ind w:left="620" w:hanging="612"/>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80" w:hanging="612"/>
        <w:spacing w:after="0" w:line="277" w:lineRule="auto"/>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240" w:hanging="612"/>
        <w:spacing w:after="0" w:line="342" w:lineRule="auto"/>
        <w:tabs>
          <w:tab w:leader="none" w:pos="6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12, 2020</w:t>
            </w:r>
          </w:p>
        </w:tc>
        <w:tc>
          <w:tcPr>
            <w:tcW w:w="214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2"/>
        </w:trPr>
        <w:tc>
          <w:tcPr>
            <w:tcW w:w="3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Trevor Bezdek</w:t>
            </w:r>
          </w:p>
        </w:tc>
      </w:tr>
      <w:tr>
        <w:trPr>
          <w:trHeight w:val="216"/>
        </w:trPr>
        <w:tc>
          <w:tcPr>
            <w:tcW w:w="3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12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Karsten Voermann, certify that:</w:t>
      </w:r>
    </w:p>
    <w:p>
      <w:pPr>
        <w:spacing w:after="0" w:line="225" w:lineRule="exact"/>
        <w:rPr>
          <w:sz w:val="20"/>
          <w:szCs w:val="20"/>
          <w:color w:val="auto"/>
        </w:rPr>
      </w:pPr>
    </w:p>
    <w:p>
      <w:pPr>
        <w:ind w:left="620" w:hanging="612"/>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80" w:hanging="612"/>
        <w:spacing w:after="0" w:line="277" w:lineRule="auto"/>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240" w:hanging="612"/>
        <w:spacing w:after="0" w:line="342" w:lineRule="auto"/>
        <w:tabs>
          <w:tab w:leader="none" w:pos="6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12, 2020</w:t>
            </w:r>
          </w:p>
        </w:tc>
        <w:tc>
          <w:tcPr>
            <w:tcW w:w="214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Karsten Voermann</w:t>
            </w:r>
          </w:p>
        </w:tc>
      </w:tr>
      <w:tr>
        <w:trPr>
          <w:trHeight w:val="222"/>
        </w:trPr>
        <w:tc>
          <w:tcPr>
            <w:tcW w:w="3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Karsten Voermann</w:t>
            </w:r>
          </w:p>
        </w:tc>
      </w:tr>
      <w:tr>
        <w:trPr>
          <w:trHeight w:val="216"/>
        </w:trPr>
        <w:tc>
          <w:tcPr>
            <w:tcW w:w="3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r>
    </w:tbl>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September 30, 2020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620" w:hanging="567"/>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567"/>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12, 2020</w:t>
            </w:r>
          </w:p>
        </w:tc>
        <w:tc>
          <w:tcPr>
            <w:tcW w:w="214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2"/>
        </w:trPr>
        <w:tc>
          <w:tcPr>
            <w:tcW w:w="3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16"/>
        </w:trPr>
        <w:tc>
          <w:tcPr>
            <w:tcW w:w="3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bl>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September 30, 2020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620" w:hanging="567"/>
        <w:spacing w:after="0"/>
        <w:tabs>
          <w:tab w:leader="none" w:pos="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567"/>
        <w:spacing w:after="0"/>
        <w:tabs>
          <w:tab w:leader="none" w:pos="6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12, 2020</w:t>
            </w:r>
          </w:p>
        </w:tc>
        <w:tc>
          <w:tcPr>
            <w:tcW w:w="214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2"/>
        </w:trPr>
        <w:tc>
          <w:tcPr>
            <w:tcW w:w="3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Trevor Bezdek</w:t>
            </w:r>
          </w:p>
        </w:tc>
      </w:tr>
      <w:tr>
        <w:trPr>
          <w:trHeight w:val="216"/>
        </w:trPr>
        <w:tc>
          <w:tcPr>
            <w:tcW w:w="3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bl>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September 30, 2020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620" w:hanging="567"/>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567"/>
        <w:spacing w:after="0"/>
        <w:tabs>
          <w:tab w:leader="none" w:pos="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12, 2020</w:t>
            </w:r>
          </w:p>
        </w:tc>
        <w:tc>
          <w:tcPr>
            <w:tcW w:w="214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Karsten Voermann</w:t>
            </w:r>
          </w:p>
        </w:tc>
      </w:tr>
      <w:tr>
        <w:trPr>
          <w:trHeight w:val="222"/>
        </w:trPr>
        <w:tc>
          <w:tcPr>
            <w:tcW w:w="3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Karsten Voermann</w:t>
            </w:r>
          </w:p>
        </w:tc>
      </w:tr>
      <w:tr>
        <w:trPr>
          <w:trHeight w:val="216"/>
        </w:trPr>
        <w:tc>
          <w:tcPr>
            <w:tcW w:w="3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1."/>
      <w:numFmt w:val="decimal"/>
      <w:start w:val="3"/>
    </w:lvl>
  </w:abstractNum>
  <w:abstractNum w:abstractNumId="5">
    <w:nsid w:val="235BA861"/>
    <w:multiLevelType w:val="hybridMultilevel"/>
    <w:lvl w:ilvl="0">
      <w:lvlJc w:val="left"/>
      <w:lvlText w:val="%1."/>
      <w:numFmt w:val="decimal"/>
      <w:start w:val="8"/>
    </w:lvl>
  </w:abstractNum>
  <w:abstractNum w:abstractNumId="6">
    <w:nsid w:val="47398C89"/>
    <w:multiLevelType w:val="hybridMultilevel"/>
    <w:lvl w:ilvl="0">
      <w:lvlJc w:val="left"/>
      <w:lvlText w:val="%1."/>
      <w:numFmt w:val="decimal"/>
      <w:start w:val="9"/>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1)"/>
      <w:numFmt w:val="decimal"/>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lvl w:ilvl="1">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lowerLetter"/>
      <w:start w:val="1"/>
    </w:lvl>
    <w:lvl w:ilvl="1">
      <w:lvlJc w:val="left"/>
      <w:lvlText w:val="-"/>
      <w:numFmt w:val="bullet"/>
      <w:start w:val="1"/>
    </w:lvl>
  </w:abstractNum>
  <w:abstractNum w:abstractNumId="34">
    <w:nsid w:val="168E121F"/>
    <w:multiLevelType w:val="hybridMultilevel"/>
    <w:lvl w:ilvl="0">
      <w:lvlJc w:val="left"/>
      <w:lvlText w:val="(%1)"/>
      <w:numFmt w:val="lowerLetter"/>
      <w:start w:val="5"/>
    </w:lvl>
  </w:abstractNum>
  <w:abstractNum w:abstractNumId="35">
    <w:nsid w:val="1EBA5D23"/>
    <w:multiLevelType w:val="hybridMultilevel"/>
    <w:lvl w:ilvl="0">
      <w:lvlJc w:val="left"/>
      <w:lvlText w:val="(%1)"/>
      <w:numFmt w:val="lowerLetter"/>
      <w:start w:val="1"/>
    </w:lvl>
    <w:lvl w:ilvl="1">
      <w:lvlJc w:val="left"/>
      <w:lvlText w:val="-"/>
      <w:numFmt w:val="bullet"/>
      <w:start w:val="1"/>
    </w:lvl>
  </w:abstractNum>
  <w:abstractNum w:abstractNumId="36">
    <w:nsid w:val="661E3F1E"/>
    <w:multiLevelType w:val="hybridMultilevel"/>
    <w:lvl w:ilvl="0">
      <w:lvlJc w:val="left"/>
      <w:lvlText w:val="(%1)"/>
      <w:numFmt w:val="lowerLetter"/>
      <w:start w:val="5"/>
    </w:lvl>
  </w:abstractNum>
  <w:abstractNum w:abstractNumId="37">
    <w:nsid w:val="5DC79EA8"/>
    <w:multiLevelType w:val="hybridMultilevel"/>
    <w:lvl w:ilvl="0">
      <w:lvlJc w:val="left"/>
      <w:lvlText w:val="(%1)"/>
      <w:numFmt w:val="lowerRoman"/>
      <w:start w:val="1"/>
    </w:lvl>
  </w:abstractNum>
  <w:abstractNum w:abstractNumId="38">
    <w:nsid w:val="540A471C"/>
    <w:multiLevelType w:val="hybridMultilevel"/>
    <w:lvl w:ilvl="0">
      <w:lvlJc w:val="left"/>
      <w:lvlText w:val="(%1)"/>
      <w:numFmt w:val="lowerLetter"/>
      <w:start w:val="1"/>
    </w:lvl>
  </w:abstractNum>
  <w:abstractNum w:abstractNumId="39">
    <w:nsid w:val="7BD3EE7B"/>
    <w:multiLevelType w:val="hybridMultilevel"/>
    <w:lvl w:ilvl="0">
      <w:lvlJc w:val="left"/>
      <w:lvlText w:val="(%1)"/>
      <w:numFmt w:val="lowerLetter"/>
      <w:start w:val="3"/>
    </w:lvl>
  </w:abstractNum>
  <w:abstractNum w:abstractNumId="40">
    <w:nsid w:val="51D9C564"/>
    <w:multiLevelType w:val="hybridMultilevel"/>
    <w:lvl w:ilvl="0">
      <w:lvlJc w:val="left"/>
      <w:lvlText w:val="(%1)"/>
      <w:numFmt w:val="lowerLetter"/>
      <w:start w:val="1"/>
    </w:lvl>
  </w:abstractNum>
  <w:abstractNum w:abstractNumId="41">
    <w:nsid w:val="613EFDC5"/>
    <w:multiLevelType w:val="hybridMultilevel"/>
    <w:lvl w:ilvl="0">
      <w:lvlJc w:val="left"/>
      <w:lvlText w:val="(%1)"/>
      <w:numFmt w:val="lowerLetter"/>
      <w:start w:val="1"/>
    </w:lvl>
  </w:abstractNum>
  <w:abstractNum w:abstractNumId="42">
    <w:nsid w:val="BF72B14"/>
    <w:multiLevelType w:val="hybridMultilevel"/>
    <w:lvl w:ilvl="0">
      <w:lvlJc w:val="left"/>
      <w:lvlText w:val="(%1)"/>
      <w:numFmt w:val="lowerLetter"/>
      <w:start w:val="1"/>
    </w:lvl>
    <w:lvl w:ilvl="1">
      <w:lvlJc w:val="left"/>
      <w:lvlText w:val="-"/>
      <w:numFmt w:val="bullet"/>
      <w:start w:val="1"/>
    </w:lvl>
  </w:abstractNum>
  <w:abstractNum w:abstractNumId="43">
    <w:nsid w:val="11447B73"/>
    <w:multiLevelType w:val="hybridMultilevel"/>
    <w:lvl w:ilvl="0">
      <w:lvlJc w:val="left"/>
      <w:lvlText w:val="(%1)"/>
      <w:numFmt w:val="lowerLetter"/>
      <w:start w:val="5"/>
    </w:lvl>
  </w:abstractNum>
  <w:abstractNum w:abstractNumId="44">
    <w:nsid w:val="42963E5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5">
    <w:nsid w:val="A0382C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6">
    <w:nsid w:val="8F2B15E"/>
    <w:multiLevelType w:val="hybridMultilevel"/>
    <w:lvl w:ilvl="0">
      <w:lvlJc w:val="left"/>
      <w:lvlText w:val="%1"/>
      <w:numFmt w:val="upperLetter"/>
      <w:start w:val="1"/>
    </w:lvl>
    <w:lvl w:ilvl="1">
      <w:lvlJc w:val="left"/>
      <w:lvlText w:val="(%2)"/>
      <w:numFmt w:val="lowerLetter"/>
      <w:start w:val="3"/>
    </w:lvl>
    <w:lvl w:ilvl="2">
      <w:lvlJc w:val="left"/>
      <w:lvlText w:val="-"/>
      <w:numFmt w:val="bullet"/>
      <w:start w:val="1"/>
    </w:lvl>
  </w:abstractNum>
  <w:abstractNum w:abstractNumId="47">
    <w:nsid w:val="1A32234B"/>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48">
    <w:nsid w:val="3B0FD379"/>
    <w:multiLevelType w:val="hybridMultilevel"/>
    <w:lvl w:ilvl="0">
      <w:lvlJc w:val="left"/>
      <w:lvlText w:val="(%1)"/>
      <w:numFmt w:val="lowerLetter"/>
      <w:start w:val="5"/>
    </w:lvl>
  </w:abstractNum>
  <w:abstractNum w:abstractNumId="49">
    <w:nsid w:val="68EB2F63"/>
    <w:multiLevelType w:val="hybridMultilevel"/>
    <w:lvl w:ilvl="0">
      <w:lvlJc w:val="left"/>
      <w:lvlText w:val="(%1)"/>
      <w:numFmt w:val="lowerLetter"/>
      <w:start w:val="1"/>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lowerLetter"/>
      <w:start w:val="1"/>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4">
    <w:nsid w:val="7FFFCA11"/>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55">
    <w:nsid w:val="1A27709E"/>
    <w:multiLevelType w:val="hybridMultilevel"/>
    <w:lvl w:ilvl="0">
      <w:lvlJc w:val="left"/>
      <w:lvlText w:val="(%1)"/>
      <w:numFmt w:val="lowerLetter"/>
      <w:start w:val="7"/>
    </w:lvl>
    <w:lvl w:ilvl="1">
      <w:lvlJc w:val="left"/>
      <w:lvlText w:val="(%2)"/>
      <w:numFmt w:val="lowerRoman"/>
      <w:start w:val="1"/>
    </w:lvl>
  </w:abstractNum>
  <w:abstractNum w:abstractNumId="56">
    <w:nsid w:val="71EA1109"/>
    <w:multiLevelType w:val="hybridMultilevel"/>
    <w:lvl w:ilvl="0">
      <w:lvlJc w:val="left"/>
      <w:lvlText w:val="%1"/>
      <w:numFmt w:val="lowerLetter"/>
      <w:start w:val="1"/>
    </w:lvl>
    <w:lvl w:ilvl="1">
      <w:lvlJc w:val="left"/>
      <w:lvlText w:val="(%2)"/>
      <w:numFmt w:val="lowerLetter"/>
      <w:start w:val="9"/>
    </w:lvl>
  </w:abstractNum>
  <w:abstractNum w:abstractNumId="57">
    <w:nsid w:val="100F59DC"/>
    <w:multiLevelType w:val="hybridMultilevel"/>
    <w:lvl w:ilvl="0">
      <w:lvlJc w:val="left"/>
      <w:lvlText w:val="(%1)"/>
      <w:numFmt w:val="lowerLetter"/>
      <w:start w:val="61"/>
    </w:lvl>
    <w:lvl w:ilvl="1">
      <w:lvlJc w:val="left"/>
      <w:lvlText w:val="%2"/>
      <w:numFmt w:val="lowerLetter"/>
      <w:start w:val="1"/>
    </w:lvl>
  </w:abstractNum>
  <w:abstractNum w:abstractNumId="58">
    <w:nsid w:val="7FB7E0AA"/>
    <w:multiLevelType w:val="hybridMultilevel"/>
    <w:lvl w:ilvl="0">
      <w:lvlJc w:val="left"/>
      <w:lvlText w:val="(%1)"/>
      <w:numFmt w:val="lowerLetter"/>
      <w:start w:val="11"/>
    </w:lvl>
  </w:abstractNum>
  <w:abstractNum w:abstractNumId="59">
    <w:nsid w:val="6EB5BD4"/>
    <w:multiLevelType w:val="hybridMultilevel"/>
    <w:lvl w:ilvl="0">
      <w:lvlJc w:val="left"/>
      <w:lvlText w:val="(%1)"/>
      <w:numFmt w:val="lowerLetter"/>
      <w:start w:val="1"/>
    </w:lvl>
  </w:abstractNum>
  <w:abstractNum w:abstractNumId="60">
    <w:nsid w:val="6F6DD9AC"/>
    <w:multiLevelType w:val="hybridMultilevel"/>
    <w:lvl w:ilvl="0">
      <w:lvlJc w:val="left"/>
      <w:lvlText w:val="(%1)"/>
      <w:numFmt w:val="lowerLetter"/>
      <w:start w:val="5"/>
    </w:lvl>
  </w:abstractNum>
  <w:abstractNum w:abstractNumId="61">
    <w:nsid w:val="94211F2"/>
    <w:multiLevelType w:val="hybridMultilevel"/>
    <w:lvl w:ilvl="0">
      <w:lvlJc w:val="left"/>
      <w:lvlText w:val="(%1)"/>
      <w:numFmt w:val="lowerLetter"/>
      <w:start w:val="1"/>
    </w:lvl>
    <w:lvl w:ilvl="1">
      <w:lvlJc w:val="left"/>
      <w:lvlText w:val="(%2)"/>
      <w:numFmt w:val="lowerLetter"/>
      <w:start w:val="9"/>
    </w:lvl>
  </w:abstractNum>
  <w:abstractNum w:abstractNumId="62">
    <w:nsid w:val="885E1B"/>
    <w:multiLevelType w:val="hybridMultilevel"/>
    <w:lvl w:ilvl="0">
      <w:lvlJc w:val="left"/>
      <w:lvlText w:val="%1"/>
      <w:numFmt w:val="lowerLetter"/>
      <w:start w:val="1"/>
    </w:lvl>
    <w:lvl w:ilvl="1">
      <w:lvlJc w:val="left"/>
      <w:lvlText w:val="(%2)"/>
      <w:numFmt w:val="lowerRoman"/>
      <w:start w:val="2"/>
    </w:lvl>
  </w:abstractNum>
  <w:abstractNum w:abstractNumId="63">
    <w:nsid w:val="76272110"/>
    <w:multiLevelType w:val="hybridMultilevel"/>
    <w:lvl w:ilvl="0">
      <w:lvlJc w:val="left"/>
      <w:lvlText w:val="(%1)"/>
      <w:numFmt w:val="lowerLetter"/>
      <w:start w:val="3"/>
    </w:lvl>
    <w:lvl w:ilvl="1">
      <w:lvlJc w:val="left"/>
      <w:lvlText w:val="%2"/>
      <w:numFmt w:val="lowerRoman"/>
      <w:start w:val="1"/>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3"/>
    </w:lvl>
  </w:abstractNum>
  <w:abstractNum w:abstractNumId="66">
    <w:nsid w:val="14E17E33"/>
    <w:multiLevelType w:val="hybridMultilevel"/>
    <w:lvl w:ilvl="0">
      <w:lvlJc w:val="left"/>
      <w:lvlText w:val="(%1)"/>
      <w:numFmt w:val="lowerLetter"/>
      <w:start w:val="1"/>
    </w:lvl>
  </w:abstractNum>
  <w:abstractNum w:abstractNumId="67">
    <w:nsid w:val="3222E7CD"/>
    <w:multiLevelType w:val="hybridMultilevel"/>
    <w:lvl w:ilvl="0">
      <w:lvlJc w:val="left"/>
      <w:lvlText w:val="(%1)"/>
      <w:numFmt w:val="lowerLetter"/>
      <w:start w:val="12"/>
    </w:lvl>
  </w:abstractNum>
  <w:abstractNum w:abstractNumId="68">
    <w:nsid w:val="74DE0EE3"/>
    <w:multiLevelType w:val="hybridMultilevel"/>
    <w:lvl w:ilvl="0">
      <w:lvlJc w:val="left"/>
      <w:lvlText w:val="%1."/>
      <w:numFmt w:val="decimal"/>
      <w:start w:val="1"/>
    </w:lvl>
  </w:abstractNum>
  <w:abstractNum w:abstractNumId="69">
    <w:nsid w:val="68EBC550"/>
    <w:multiLevelType w:val="hybridMultilevel"/>
    <w:lvl w:ilvl="0">
      <w:lvlJc w:val="left"/>
      <w:lvlText w:val="(%1)"/>
      <w:numFmt w:val="lowerRoman"/>
      <w:start w:val="2"/>
    </w:lvl>
  </w:abstractNum>
  <w:abstractNum w:abstractNumId="70">
    <w:nsid w:val="2DF6D648"/>
    <w:multiLevelType w:val="hybridMultilevel"/>
    <w:lvl w:ilvl="0">
      <w:lvlJc w:val="left"/>
      <w:lvlText w:val="(%1)"/>
      <w:numFmt w:val="lowerRoman"/>
      <w:start w:val="2"/>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1)"/>
      <w:numFmt w:val="lowerRoman"/>
      <w:start w:val="1"/>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1."/>
      <w:numFmt w:val="decimal"/>
      <w:start w:val="5"/>
    </w:lvl>
  </w:abstractNum>
  <w:abstractNum w:abstractNumId="75">
    <w:nsid w:val="CC1016F"/>
    <w:multiLevelType w:val="hybridMultilevel"/>
    <w:lvl w:ilvl="0">
      <w:lvlJc w:val="left"/>
      <w:lvlText w:val="%1."/>
      <w:numFmt w:val="decimal"/>
      <w:start w:val="6"/>
    </w:lvl>
  </w:abstractNum>
  <w:abstractNum w:abstractNumId="76">
    <w:nsid w:val="43F18422"/>
    <w:multiLevelType w:val="hybridMultilevel"/>
    <w:lvl w:ilvl="0">
      <w:lvlJc w:val="left"/>
      <w:lvlText w:val="%1"/>
      <w:numFmt w:val="decimal"/>
      <w:start w:val="1"/>
    </w:lvl>
    <w:lvl w:ilvl="1">
      <w:lvlJc w:val="left"/>
      <w:lvlText w:val="(%2)"/>
      <w:numFmt w:val="lowerLetter"/>
      <w:start w:val="1"/>
    </w:lvl>
  </w:abstractNum>
  <w:abstractNum w:abstractNumId="77">
    <w:nsid w:val="60EF0119"/>
    <w:multiLevelType w:val="hybridMultilevel"/>
    <w:lvl w:ilvl="0">
      <w:lvlJc w:val="left"/>
      <w:lvlText w:val="%1)"/>
      <w:numFmt w:val="decimal"/>
      <w:start w:val="144"/>
    </w:lvl>
    <w:lvl w:ilvl="1">
      <w:lvlJc w:val="left"/>
      <w:lvlText w:val="(%2)"/>
      <w:numFmt w:val="lowerLetter"/>
      <w:start w:val="4"/>
    </w:lvl>
  </w:abstractNum>
  <w:abstractNum w:abstractNumId="78">
    <w:nsid w:val="26F324BA"/>
    <w:multiLevelType w:val="hybridMultilevel"/>
    <w:lvl w:ilvl="0">
      <w:lvlJc w:val="left"/>
      <w:lvlText w:val="%1."/>
      <w:numFmt w:val="decimal"/>
      <w:start w:val="8"/>
    </w:lvl>
  </w:abstractNum>
  <w:abstractNum w:abstractNumId="79">
    <w:nsid w:val="7F01579B"/>
    <w:multiLevelType w:val="hybridMultilevel"/>
    <w:lvl w:ilvl="0">
      <w:lvlJc w:val="left"/>
      <w:lvlText w:val="%1."/>
      <w:numFmt w:val="decimal"/>
      <w:start w:val="11"/>
    </w:lvl>
  </w:abstractNum>
  <w:abstractNum w:abstractNumId="80">
    <w:nsid w:val="49DA307D"/>
    <w:multiLevelType w:val="hybridMultilevel"/>
    <w:lvl w:ilvl="0">
      <w:lvlJc w:val="left"/>
      <w:lvlText w:val="(%1)"/>
      <w:numFmt w:val="lowerLetter"/>
      <w:start w:val="1"/>
    </w:lvl>
  </w:abstractNum>
  <w:abstractNum w:abstractNumId="81">
    <w:nsid w:val="7055A5F5"/>
    <w:multiLevelType w:val="hybridMultilevel"/>
    <w:lvl w:ilvl="0">
      <w:lvlJc w:val="left"/>
      <w:lvlText w:val="%1."/>
      <w:numFmt w:val="decimal"/>
      <w:start w:val="14"/>
    </w:lvl>
  </w:abstractNum>
  <w:abstractNum w:abstractNumId="82">
    <w:nsid w:val="5FB8370B"/>
    <w:multiLevelType w:val="hybridMultilevel"/>
    <w:lvl w:ilvl="0">
      <w:lvlJc w:val="left"/>
      <w:lvlText w:val="%1."/>
      <w:numFmt w:val="decimal"/>
      <w:start w:val="16"/>
    </w:lvl>
    <w:lvl w:ilvl="1">
      <w:lvlJc w:val="left"/>
      <w:lvlText w:val="%2."/>
      <w:numFmt w:val="decimal"/>
      <w:start w:val="17"/>
    </w:lvl>
  </w:abstractNum>
  <w:abstractNum w:abstractNumId="83">
    <w:nsid w:val="50801EE1"/>
    <w:multiLevelType w:val="hybridMultilevel"/>
    <w:lvl w:ilvl="0">
      <w:lvlJc w:val="left"/>
      <w:lvlText w:val="%1."/>
      <w:numFmt w:val="decimal"/>
      <w:start w:val="18"/>
    </w:lvl>
  </w:abstractNum>
  <w:abstractNum w:abstractNumId="84">
    <w:nsid w:val="488AC1A"/>
    <w:multiLevelType w:val="hybridMultilevel"/>
    <w:lvl w:ilvl="0">
      <w:lvlJc w:val="left"/>
      <w:lvlText w:val="%1."/>
      <w:numFmt w:val="decimal"/>
      <w:start w:val="23"/>
    </w:lvl>
    <w:lvl w:ilvl="1">
      <w:lvlJc w:val="left"/>
      <w:lvlText w:val="*"/>
      <w:numFmt w:val="bullet"/>
      <w:start w:val="1"/>
    </w:lvl>
  </w:abstractNum>
  <w:abstractNum w:abstractNumId="85">
    <w:nsid w:val="5FB8011C"/>
    <w:multiLevelType w:val="hybridMultilevel"/>
    <w:lvl w:ilvl="0">
      <w:lvlJc w:val="left"/>
      <w:lvlText w:val="%1."/>
      <w:numFmt w:val="decimal"/>
      <w:start w:val="1"/>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1."/>
      <w:numFmt w:val="decimal"/>
      <w:start w:val="2"/>
    </w:lvl>
  </w:abstractNum>
  <w:abstractNum w:abstractNumId="88">
    <w:nsid w:val="6FC75AF8"/>
    <w:multiLevelType w:val="hybridMultilevel"/>
    <w:lvl w:ilvl="0">
      <w:lvlJc w:val="left"/>
      <w:lvlText w:val="%1."/>
      <w:numFmt w:val="decimal"/>
      <w:start w:val="3"/>
    </w:lvl>
  </w:abstractNum>
  <w:abstractNum w:abstractNumId="89">
    <w:nsid w:val="6A5F7029"/>
    <w:multiLevelType w:val="hybridMultilevel"/>
    <w:lvl w:ilvl="0">
      <w:lvlJc w:val="left"/>
      <w:lvlText w:val="%1."/>
      <w:numFmt w:val="decimal"/>
      <w:start w:val="10"/>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1)"/>
      <w:numFmt w:val="lowerRoman"/>
      <w:start w:val="1"/>
    </w:lvl>
  </w:abstractNum>
  <w:abstractNum w:abstractNumId="92">
    <w:nsid w:val="73A1821B"/>
    <w:multiLevelType w:val="hybridMultilevel"/>
    <w:lvl w:ilvl="0">
      <w:lvlJc w:val="left"/>
      <w:lvlText w:val="(%1)"/>
      <w:numFmt w:val="lowerLetter"/>
      <w:start w:val="1"/>
    </w:lvl>
  </w:abstractNum>
  <w:abstractNum w:abstractNumId="93">
    <w:nsid w:val="7DE67713"/>
    <w:multiLevelType w:val="hybridMultilevel"/>
    <w:lvl w:ilvl="0">
      <w:lvlJc w:val="left"/>
      <w:lvlText w:val="%1."/>
      <w:numFmt w:val="decimal"/>
      <w:start w:val="5"/>
    </w:lvl>
  </w:abstractNum>
  <w:abstractNum w:abstractNumId="94">
    <w:nsid w:val="555C55B5"/>
    <w:multiLevelType w:val="hybridMultilevel"/>
    <w:lvl w:ilvl="0">
      <w:lvlJc w:val="left"/>
      <w:lvlText w:val="%1."/>
      <w:numFmt w:val="decimal"/>
      <w:start w:val="6"/>
    </w:lvl>
  </w:abstractNum>
  <w:abstractNum w:abstractNumId="95">
    <w:nsid w:val="3FA62ACA"/>
    <w:multiLevelType w:val="hybridMultilevel"/>
    <w:lvl w:ilvl="0">
      <w:lvlJc w:val="left"/>
      <w:lvlText w:val="%1"/>
      <w:numFmt w:val="decimal"/>
      <w:start w:val="1"/>
    </w:lvl>
    <w:lvl w:ilvl="1">
      <w:lvlJc w:val="left"/>
      <w:lvlText w:val="(%2)"/>
      <w:numFmt w:val="lowerLetter"/>
      <w:start w:val="1"/>
    </w:lvl>
  </w:abstractNum>
  <w:abstractNum w:abstractNumId="96">
    <w:nsid w:val="14FCE74E"/>
    <w:multiLevelType w:val="hybridMultilevel"/>
    <w:lvl w:ilvl="0">
      <w:lvlJc w:val="left"/>
      <w:lvlText w:val="%1)"/>
      <w:numFmt w:val="decimal"/>
      <w:start w:val="144"/>
    </w:lvl>
    <w:lvl w:ilvl="1">
      <w:lvlJc w:val="left"/>
      <w:lvlText w:val="(%2)"/>
      <w:numFmt w:val="lowerLetter"/>
      <w:start w:val="4"/>
    </w:lvl>
  </w:abstractNum>
  <w:abstractNum w:abstractNumId="97">
    <w:nsid w:val="6A3DD3E8"/>
    <w:multiLevelType w:val="hybridMultilevel"/>
    <w:lvl w:ilvl="0">
      <w:lvlJc w:val="left"/>
      <w:lvlText w:val="%1."/>
      <w:numFmt w:val="decimal"/>
      <w:start w:val="8"/>
    </w:lvl>
  </w:abstractNum>
  <w:abstractNum w:abstractNumId="98">
    <w:nsid w:val="71C91298"/>
    <w:multiLevelType w:val="hybridMultilevel"/>
    <w:lvl w:ilvl="0">
      <w:lvlJc w:val="left"/>
      <w:lvlText w:val="%1."/>
      <w:numFmt w:val="decimal"/>
      <w:start w:val="11"/>
    </w:lvl>
  </w:abstractNum>
  <w:abstractNum w:abstractNumId="99">
    <w:nsid w:val="9DAF632"/>
    <w:multiLevelType w:val="hybridMultilevel"/>
    <w:lvl w:ilvl="0">
      <w:lvlJc w:val="left"/>
      <w:lvlText w:val="(%1)"/>
      <w:numFmt w:val="lowerLetter"/>
      <w:start w:val="1"/>
    </w:lvl>
  </w:abstractNum>
  <w:abstractNum w:abstractNumId="100">
    <w:nsid w:val="53299938"/>
    <w:multiLevelType w:val="hybridMultilevel"/>
    <w:lvl w:ilvl="0">
      <w:lvlJc w:val="left"/>
      <w:lvlText w:val="%1."/>
      <w:numFmt w:val="decimal"/>
      <w:start w:val="14"/>
    </w:lvl>
  </w:abstractNum>
  <w:abstractNum w:abstractNumId="101">
    <w:nsid w:val="1FBFE8E0"/>
    <w:multiLevelType w:val="hybridMultilevel"/>
    <w:lvl w:ilvl="0">
      <w:lvlJc w:val="left"/>
      <w:lvlText w:val="%1."/>
      <w:numFmt w:val="decimal"/>
      <w:start w:val="16"/>
    </w:lvl>
    <w:lvl w:ilvl="1">
      <w:lvlJc w:val="left"/>
      <w:lvlText w:val="%2."/>
      <w:numFmt w:val="decimal"/>
      <w:start w:val="17"/>
    </w:lvl>
  </w:abstractNum>
  <w:abstractNum w:abstractNumId="102">
    <w:nsid w:val="5092CA79"/>
    <w:multiLevelType w:val="hybridMultilevel"/>
    <w:lvl w:ilvl="0">
      <w:lvlJc w:val="left"/>
      <w:lvlText w:val="%1."/>
      <w:numFmt w:val="decimal"/>
      <w:start w:val="18"/>
    </w:lvl>
  </w:abstractNum>
  <w:abstractNum w:abstractNumId="103">
    <w:nsid w:val="1D545C4D"/>
    <w:multiLevelType w:val="hybridMultilevel"/>
    <w:lvl w:ilvl="0">
      <w:lvlJc w:val="left"/>
      <w:lvlText w:val="%1."/>
      <w:numFmt w:val="decimal"/>
      <w:start w:val="23"/>
    </w:lvl>
  </w:abstractNum>
  <w:abstractNum w:abstractNumId="104">
    <w:nsid w:val="59ADEA3D"/>
    <w:multiLevelType w:val="hybridMultilevel"/>
    <w:lvl w:ilvl="0">
      <w:lvlJc w:val="left"/>
      <w:lvlText w:val="%1."/>
      <w:numFmt w:val="decimal"/>
      <w:start w:val="1"/>
    </w:lvl>
    <w:lvl w:ilvl="1">
      <w:lvlJc w:val="left"/>
      <w:lvlText w:val="(%2)"/>
      <w:numFmt w:val="lowerLetter"/>
      <w:start w:val="1"/>
    </w:lvl>
  </w:abstractNum>
  <w:abstractNum w:abstractNumId="105">
    <w:nsid w:val="288F1A34"/>
    <w:multiLevelType w:val="hybridMultilevel"/>
    <w:lvl w:ilvl="0">
      <w:lvlJc w:val="left"/>
      <w:lvlText w:val="%1."/>
      <w:numFmt w:val="decimal"/>
      <w:start w:val="1"/>
    </w:lvl>
    <w:lvl w:ilvl="1">
      <w:lvlJc w:val="left"/>
      <w:lvlText w:val="(%2)"/>
      <w:numFmt w:val="lowerLetter"/>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106" Type="http://schemas.openxmlformats.org/officeDocument/2006/relationships/hyperlink" Target="http://www.sec.gov/Archives/edgar/data/1809519/000119312520256438/d35545dex31.htm" TargetMode="External"/><Relationship Id="rId107" Type="http://schemas.openxmlformats.org/officeDocument/2006/relationships/hyperlink" Target="http://www.sec.gov/Archives/edgar/data/1809519/000119312520256438/d35545dex32.htm" TargetMode="External"/><Relationship Id="rId108" Type="http://schemas.openxmlformats.org/officeDocument/2006/relationships/hyperlink" Target="http://www.sec.gov/Archives/edgar/data/1809519/000119312520234662/d949310dex41.htm" TargetMode="External"/><Relationship Id="rId109" Type="http://schemas.openxmlformats.org/officeDocument/2006/relationships/hyperlink" Target="http://www.sec.gov/Archives/edgar/data/1809519/000119312520254694/d62083dex44.htm" TargetMode="External"/><Relationship Id="rId110" Type="http://schemas.openxmlformats.org/officeDocument/2006/relationships/hyperlink" Target="http://www.sec.gov/Archives/edgar/data/0001809519/000119312520244628/d949310dex104.htm" TargetMode="External"/><Relationship Id="rId111" Type="http://schemas.openxmlformats.org/officeDocument/2006/relationships/hyperlink" Target="http://www.sec.gov/Archives/edgar/data/1809519/000119312520254694/d62083dex992.htm" TargetMode="External"/><Relationship Id="rId112" Type="http://schemas.openxmlformats.org/officeDocument/2006/relationships/hyperlink" Target="http://www.sec.gov/Archives/edgar/data/1809519/000119312520244628/d949310dex1031.htm" TargetMode="External"/><Relationship Id="rId113" Type="http://schemas.openxmlformats.org/officeDocument/2006/relationships/hyperlink" Target="http://www.sec.gov/Archives/edgar/data/1809519/000119312520244628/d949310dex1032.htm" TargetMode="External"/><Relationship Id="rId114" Type="http://schemas.openxmlformats.org/officeDocument/2006/relationships/hyperlink" Target="http://www.sec.gov/Archives/edgar/data/1809519/000119312520254694/d62083dex9923.htm" TargetMode="External"/><Relationship Id="rId115" Type="http://schemas.openxmlformats.org/officeDocument/2006/relationships/hyperlink" Target="http://www.sec.gov/Archives/edgar/data/1809519/000119312520254694/d62083dex9924.htm" TargetMode="External"/><Relationship Id="rId116" Type="http://schemas.openxmlformats.org/officeDocument/2006/relationships/hyperlink" Target="http://www.sec.gov/Archives/edgar/data/1809519/000119312520244628/d949310dex104.htm" TargetMode="External"/><Relationship Id="rId117" Type="http://schemas.openxmlformats.org/officeDocument/2006/relationships/hyperlink" Target="http://www.sec.gov/Archives/edgar/data/0001809519/000119312520244628/d949310dex105.htm" TargetMode="External"/><Relationship Id="rId118" Type="http://schemas.openxmlformats.org/officeDocument/2006/relationships/hyperlink" Target="http://www.sec.gov/Archives/edgar/data/1809519/000119312520250579/d949310dex106.htm" TargetMode="External"/><Relationship Id="rId119" Type="http://schemas.openxmlformats.org/officeDocument/2006/relationships/hyperlink" Target="http://www.sec.gov/Archives/edgar/data/1809519/000119312520250579/d949310dex107.htm" TargetMode="External"/><Relationship Id="rId120" Type="http://schemas.openxmlformats.org/officeDocument/2006/relationships/hyperlink" Target="http://www.sec.gov/Archives/edgar/data/1809519/000119312520250579/d949310dex108.htm" TargetMode="External"/><Relationship Id="rId121" Type="http://schemas.openxmlformats.org/officeDocument/2006/relationships/hyperlink" Target="http://www.sec.gov/Archives/edgar/data/0001809519/000119312520234662/d949310dex1012.htm" TargetMode="External"/><Relationship Id="rId122" Type="http://schemas.openxmlformats.org/officeDocument/2006/relationships/hyperlink" Target="http://www.sec.gov/Archives/edgar/data/0001809519/000119312520244628/d949310dex1020.htm" TargetMode="External"/><Relationship Id="rId123" Type="http://schemas.openxmlformats.org/officeDocument/2006/relationships/hyperlink" Target="http://www.sec.gov/Archives/edgar/data/0001809519/000119312520256438/d3554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2020-11-12T15:40:15Z</dcterms:created>
  <dcterms:modified xsi:type="dcterms:W3CDTF">2020-11-12T15:40:15Z</dcterms:modified>
</cp:coreProperties>
</file>