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200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2009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Bezdek Trevor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GoodRx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GDRX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1160" w:type="dxa"/>
            <w:vAlign w:val="bottom"/>
            <w:tcBorders>
              <w:top w:val="single" w:sz="8" w:color="EEEEEE"/>
            </w:tcBorders>
          </w:tcPr>
          <w:p>
            <w:pPr>
              <w:spacing w:after="0"/>
              <w:rPr>
                <w:sz w:val="4"/>
                <w:szCs w:val="4"/>
                <w:color w:val="auto"/>
              </w:rPr>
            </w:pPr>
          </w:p>
        </w:tc>
        <w:tc>
          <w:tcPr>
            <w:tcW w:w="12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below)</w:t>
            </w:r>
          </w:p>
        </w:tc>
        <w:tc>
          <w:tcPr>
            <w:tcW w:w="960" w:type="dxa"/>
            <w:vAlign w:val="bottom"/>
          </w:tcPr>
          <w:p>
            <w:pPr>
              <w:ind w:left="5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GOODRX HOLDINGS, INC.</w:t>
            </w:r>
          </w:p>
        </w:tc>
        <w:tc>
          <w:tcPr>
            <w:tcW w:w="1200" w:type="dxa"/>
            <w:vAlign w:val="bottom"/>
          </w:tcPr>
          <w:p>
            <w:pPr>
              <w:spacing w:after="0"/>
              <w:rPr>
                <w:sz w:val="19"/>
                <w:szCs w:val="19"/>
                <w:color w:val="auto"/>
              </w:rPr>
            </w:pPr>
          </w:p>
        </w:tc>
        <w:tc>
          <w:tcPr>
            <w:tcW w:w="16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2701 OLYMPIC BOULEVARD</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13"/>
                <w:szCs w:val="13"/>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1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CA</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90404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MONICA</w:t>
            </w:r>
          </w:p>
        </w:tc>
        <w:tc>
          <w:tcPr>
            <w:tcW w:w="148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176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4"/>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700" w:type="dxa"/>
            <w:vAlign w:val="bottom"/>
            <w:gridSpan w:val="4"/>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4"/>
          </w:tcPr>
          <w:p>
            <w:pPr>
              <w:ind w:left="740"/>
              <w:spacing w:after="0"/>
              <w:rPr>
                <w:sz w:val="20"/>
                <w:szCs w:val="20"/>
                <w:color w:val="auto"/>
              </w:rPr>
            </w:pPr>
            <w:r>
              <w:rPr>
                <w:rFonts w:ascii="Times New Roman" w:cs="Times New Roman" w:eastAsia="Times New Roman" w:hAnsi="Times New Roman"/>
                <w:sz w:val="17"/>
                <w:szCs w:val="17"/>
                <w:color w:val="0000FF"/>
              </w:rPr>
              <w:t>06/08/2026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3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110,294</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270,376</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TB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543,377</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TB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2,089,343</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40" w:type="dxa"/>
            <w:vAlign w:val="bottom"/>
            <w:gridSpan w:val="4"/>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JB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543,377</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JB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2,089,343</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Each restricted stock unit represents a contingent right to receive one share of Class A common stock. The restricted stock units will vest 100% on December 31, 2027, subject to continued service through the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TB 2024 -2 GRAT, a grantor retained annuity trust (the "TB 2024-2 GRAT"). The Reporting Person serves as the sole trustee and sole annuitant of the TB 2024-2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TB 2025 GRAT, a grantor retained annuity trust (the "TB 2025 GRAT"). The Reporting Person serves as the sole trustee and sole annuitant of the TB 2025 GRAT.</w:t>
      </w:r>
    </w:p>
    <w:p>
      <w:pPr>
        <w:spacing w:after="0" w:line="5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JB 2024-2 GRAT, a grantor retained annuity trust (the "JB 2024-2 GRAT"). Jana Bezdek, the Reporting Person's spouse, serves as the sole trustee and sole annuitant of the TB 2024-2 GRAT. The Reporting Person has no pecuniary interest in or voting or investment control over the shares of Class A Common Stock held by the TB 2024-2 GRAT and disclaims beneficial ownership of such shares. This filing is not an admission or acknowledgment that the Reporting Person is the beneficial owner of such shares.</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held directly by JB 2025 GRAT, a grantor retained annuity trust (the " JB 2025 GRAT"). Jana Bezdek, the Reporting Person's spouse, serves as the sole trustee and sole annuitant of the JB 2025 GRAT. The Reporting Person has no pecuniary interest in or voting or investment control over the shares of Class A Common Stock held by the JB 2025 GRAT and disclaims beneficial ownership of such shares. This filing is not an admission or acknowledgment that the Reporting Person is the beneficial owner of such shares.</w:t>
      </w:r>
    </w:p>
    <w:p>
      <w:pPr>
        <w:sectPr>
          <w:pgSz w:w="11900" w:h="16838" w:orient="portrait"/>
          <w:cols w:equalWidth="0" w:num="1">
            <w:col w:w="11000"/>
          </w:cols>
          <w:pgMar w:left="460" w:top="219" w:right="439" w:bottom="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00"/>
          </w:cols>
          <w:pgMar w:left="460" w:top="219" w:right="43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Gracye Cheng, Attorney-</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Trevor Bezdek</w:t>
            </w:r>
          </w:p>
        </w:tc>
        <w:tc>
          <w:tcPr>
            <w:tcW w:w="2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bottom w:val="single" w:sz="8" w:color="auto"/>
            </w:tcBorders>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7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2104" TargetMode="External"/><Relationship Id="rId14" Type="http://schemas.openxmlformats.org/officeDocument/2006/relationships/hyperlink" Target="http://www.sec.gov/cgi-bin/browse-edgar?action=getcompany&amp;CIK=00018095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2026-06-10T17:53:00Z</dcterms:created>
  <dcterms:modified xsi:type="dcterms:W3CDTF">2026-06-10T17:53:00Z</dcterms:modified>
</cp:coreProperties>
</file>