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42"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520" w:hanging="424"/>
        <w:spacing w:after="0"/>
        <w:tabs>
          <w:tab w:leader="none" w:pos="52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2025</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520" w:hanging="424"/>
        <w:spacing w:after="0"/>
        <w:tabs>
          <w:tab w:leader="none" w:pos="520" w:val="left"/>
        </w:tabs>
        <w:numPr>
          <w:ilvl w:val="0"/>
          <w:numId w:val="2"/>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0"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001-39549</w:t>
      </w:r>
    </w:p>
    <w:p>
      <w:pPr>
        <w:spacing w:after="0" w:line="23"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GoodRx Holdings, Inc.</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149" w:lineRule="exact"/>
        <w:rPr>
          <w:sz w:val="24"/>
          <w:szCs w:val="24"/>
          <w:color w:val="auto"/>
        </w:rPr>
      </w:pPr>
    </w:p>
    <w:tbl>
      <w:tblPr>
        <w:tblLayout w:type="fixed"/>
        <w:tblInd w:w="1080" w:type="dxa"/>
        <w:tblCellMar>
          <w:top w:w="0" w:type="dxa"/>
          <w:left w:w="0" w:type="dxa"/>
          <w:bottom w:w="0" w:type="dxa"/>
          <w:right w:w="0" w:type="dxa"/>
        </w:tblCellMar>
      </w:tblPr>
      <w:tr>
        <w:trPr>
          <w:trHeight w:val="196"/>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Delaware</w:t>
            </w:r>
          </w:p>
        </w:tc>
        <w:tc>
          <w:tcPr>
            <w:tcW w:w="2400" w:type="dxa"/>
            <w:vAlign w:val="bottom"/>
          </w:tcPr>
          <w:p>
            <w:pPr>
              <w:jc w:val="right"/>
              <w:ind w:right="73"/>
              <w:spacing w:after="0"/>
              <w:rPr>
                <w:sz w:val="20"/>
                <w:szCs w:val="20"/>
                <w:color w:val="auto"/>
              </w:rPr>
            </w:pPr>
            <w:r>
              <w:rPr>
                <w:rFonts w:ascii="Arial" w:cs="Arial" w:eastAsia="Arial" w:hAnsi="Arial"/>
                <w:sz w:val="14"/>
                <w:szCs w:val="14"/>
                <w:b w:val="1"/>
                <w:bCs w:val="1"/>
                <w:color w:val="auto"/>
              </w:rPr>
              <w:t>47-5104396</w:t>
            </w:r>
          </w:p>
        </w:tc>
      </w:tr>
      <w:tr>
        <w:trPr>
          <w:trHeight w:val="187"/>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7"/>
              </w:rPr>
              <w:t>(State or other jurisdiction of</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8"/>
              </w:rPr>
              <w:t>(I.R.S. Employer</w:t>
            </w:r>
          </w:p>
        </w:tc>
      </w:tr>
      <w:tr>
        <w:trPr>
          <w:trHeight w:val="172"/>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5"/>
              </w:rPr>
              <w:t>incorporation or organization)</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6"/>
              </w:rPr>
              <w:t>Identification No.)</w:t>
            </w:r>
          </w:p>
        </w:tc>
      </w:tr>
      <w:tr>
        <w:trPr>
          <w:trHeight w:val="485"/>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2701 Olympic Boulevard</w:t>
            </w:r>
          </w:p>
        </w:tc>
        <w:tc>
          <w:tcPr>
            <w:tcW w:w="2400" w:type="dxa"/>
            <w:vAlign w:val="bottom"/>
          </w:tcPr>
          <w:p>
            <w:pPr>
              <w:spacing w:after="0"/>
              <w:rPr>
                <w:sz w:val="24"/>
                <w:szCs w:val="24"/>
                <w:color w:val="auto"/>
              </w:rPr>
            </w:pPr>
          </w:p>
        </w:tc>
      </w:tr>
      <w:tr>
        <w:trPr>
          <w:trHeight w:val="196"/>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Santa Monica, CA</w:t>
            </w:r>
          </w:p>
        </w:tc>
        <w:tc>
          <w:tcPr>
            <w:tcW w:w="2400" w:type="dxa"/>
            <w:vAlign w:val="bottom"/>
          </w:tcPr>
          <w:p>
            <w:pPr>
              <w:jc w:val="right"/>
              <w:ind w:right="253"/>
              <w:spacing w:after="0"/>
              <w:rPr>
                <w:sz w:val="20"/>
                <w:szCs w:val="20"/>
                <w:color w:val="auto"/>
              </w:rPr>
            </w:pPr>
            <w:r>
              <w:rPr>
                <w:rFonts w:ascii="Arial" w:cs="Arial" w:eastAsia="Arial" w:hAnsi="Arial"/>
                <w:sz w:val="14"/>
                <w:szCs w:val="14"/>
                <w:b w:val="1"/>
                <w:bCs w:val="1"/>
                <w:color w:val="auto"/>
              </w:rPr>
              <w:t>90404</w:t>
            </w:r>
          </w:p>
        </w:tc>
      </w:tr>
      <w:tr>
        <w:trPr>
          <w:trHeight w:val="196"/>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6"/>
              </w:rPr>
              <w:t>(Zip Code)</w:t>
            </w:r>
          </w:p>
        </w:tc>
      </w:tr>
    </w:tbl>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(855) 268-2822</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55" w:lineRule="exact"/>
        <w:rPr>
          <w:sz w:val="24"/>
          <w:szCs w:val="24"/>
          <w:color w:val="auto"/>
        </w:rPr>
      </w:pPr>
    </w:p>
    <w:p>
      <w:pPr>
        <w:ind w:left="7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4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spacing w:after="0"/>
              <w:rPr>
                <w:sz w:val="15"/>
                <w:szCs w:val="15"/>
                <w:color w:val="auto"/>
              </w:rPr>
            </w:pPr>
          </w:p>
        </w:tc>
      </w:tr>
      <w:tr>
        <w:trPr>
          <w:trHeight w:val="18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6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2"/>
        </w:trPr>
        <w:tc>
          <w:tcPr>
            <w:tcW w:w="3600" w:type="dxa"/>
            <w:vAlign w:val="bottom"/>
            <w:gridSpan w:val="2"/>
          </w:tcPr>
          <w:p>
            <w:pPr>
              <w:jc w:val="center"/>
              <w:ind w:right="20"/>
              <w:spacing w:after="0"/>
              <w:rPr>
                <w:sz w:val="20"/>
                <w:szCs w:val="20"/>
                <w:color w:val="auto"/>
              </w:rPr>
            </w:pPr>
            <w:r>
              <w:rPr>
                <w:rFonts w:ascii="Arial" w:cs="Arial" w:eastAsia="Arial" w:hAnsi="Arial"/>
                <w:sz w:val="14"/>
                <w:szCs w:val="14"/>
                <w:color w:val="auto"/>
              </w:rPr>
              <w:t>Class A common stock, $0.0001 par value per share</w:t>
            </w:r>
          </w:p>
        </w:tc>
        <w:tc>
          <w:tcPr>
            <w:tcW w:w="1780" w:type="dxa"/>
            <w:vAlign w:val="bottom"/>
            <w:gridSpan w:val="2"/>
          </w:tcPr>
          <w:p>
            <w:pPr>
              <w:jc w:val="center"/>
              <w:ind w:right="40"/>
              <w:spacing w:after="0"/>
              <w:rPr>
                <w:sz w:val="20"/>
                <w:szCs w:val="20"/>
                <w:color w:val="auto"/>
              </w:rPr>
            </w:pPr>
            <w:r>
              <w:rPr>
                <w:rFonts w:ascii="Arial" w:cs="Arial" w:eastAsia="Arial" w:hAnsi="Arial"/>
                <w:sz w:val="14"/>
                <w:szCs w:val="14"/>
                <w:color w:val="auto"/>
              </w:rPr>
              <w:t>GDRX</w:t>
            </w:r>
          </w:p>
        </w:tc>
        <w:tc>
          <w:tcPr>
            <w:tcW w:w="354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0" w:lineRule="exact"/>
        <w:rPr>
          <w:sz w:val="24"/>
          <w:szCs w:val="24"/>
          <w:color w:val="auto"/>
        </w:rPr>
      </w:pPr>
    </w:p>
    <w:p>
      <w:pPr>
        <w:ind w:left="40" w:right="199" w:firstLine="648"/>
        <w:spacing w:after="0" w:line="26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left="40" w:right="319" w:firstLine="648"/>
        <w:spacing w:after="0" w:line="283"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 w:lineRule="exact"/>
        <w:rPr>
          <w:sz w:val="24"/>
          <w:szCs w:val="24"/>
          <w:color w:val="auto"/>
        </w:rPr>
      </w:pPr>
    </w:p>
    <w:p>
      <w:pPr>
        <w:ind w:left="40" w:right="59"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10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310"/>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rPr>
              <w:t>o</w:t>
            </w:r>
          </w:p>
        </w:tc>
      </w:tr>
      <w:tr>
        <w:trPr>
          <w:trHeight w:val="310"/>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09" w:lineRule="exact"/>
        <w:rPr>
          <w:sz w:val="24"/>
          <w:szCs w:val="24"/>
          <w:color w:val="auto"/>
        </w:rPr>
      </w:pPr>
    </w:p>
    <w:p>
      <w:pPr>
        <w:ind w:left="40" w:right="199" w:firstLine="648"/>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69" w:lineRule="exact"/>
        <w:rPr>
          <w:sz w:val="24"/>
          <w:szCs w:val="24"/>
          <w:color w:val="auto"/>
        </w:rPr>
      </w:pPr>
    </w:p>
    <w:p>
      <w:pPr>
        <w:ind w:left="40" w:right="479" w:firstLine="648"/>
        <w:spacing w:after="0" w:line="305" w:lineRule="auto"/>
        <w:rPr>
          <w:sz w:val="20"/>
          <w:szCs w:val="20"/>
          <w:color w:val="auto"/>
        </w:rPr>
      </w:pPr>
      <w:r>
        <w:rPr>
          <w:rFonts w:ascii="Arial" w:cs="Arial" w:eastAsia="Arial" w:hAnsi="Arial"/>
          <w:sz w:val="14"/>
          <w:szCs w:val="14"/>
          <w:color w:val="auto"/>
        </w:rPr>
        <w:t>As of October 28, 2025, the registrant had 105,468,832 shares of Class A common stock, $0.0001 par value per share, and 233,964,187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687070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STATEMENTS</w:t>
      </w:r>
    </w:p>
    <w:p>
      <w:pPr>
        <w:spacing w:after="0" w:line="221" w:lineRule="exact"/>
        <w:rPr>
          <w:sz w:val="24"/>
          <w:szCs w:val="24"/>
          <w:color w:val="auto"/>
        </w:rPr>
      </w:pPr>
    </w:p>
    <w:p>
      <w:pPr>
        <w:ind w:left="40" w:right="79" w:firstLine="324"/>
        <w:spacing w:after="0" w:line="271"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w:t>
      </w:r>
    </w:p>
    <w:p>
      <w:pPr>
        <w:sectPr>
          <w:pgSz w:w="11900" w:h="16925" w:orient="portrait"/>
          <w:cols w:equalWidth="0" w:num="1">
            <w:col w:w="9019"/>
          </w:cols>
          <w:pgMar w:left="1440" w:top="499" w:right="1440" w:bottom="0" w:gutter="0" w:footer="0" w:header="0"/>
        </w:sectPr>
      </w:pPr>
    </w:p>
    <w:bookmarkStart w:id="1" w:name="page2"/>
    <w:bookmarkEnd w:id="1"/>
    <w:p>
      <w:pPr>
        <w:jc w:val="both"/>
        <w:ind w:left="40" w:right="219"/>
        <w:spacing w:after="0" w:line="253" w:lineRule="auto"/>
        <w:rPr>
          <w:sz w:val="20"/>
          <w:szCs w:val="20"/>
          <w:color w:val="auto"/>
        </w:rPr>
      </w:pPr>
      <w:r>
        <w:rPr>
          <w:rFonts w:ascii="Arial" w:cs="Arial" w:eastAsia="Arial" w:hAnsi="Arial"/>
          <w:sz w:val="16"/>
          <w:szCs w:val="16"/>
          <w:color w:val="auto"/>
        </w:rPr>
        <w:t>statements. In some cases, you can identify forward-looking statements by terms such as “may,” “will,” “should,” “expects,” “plans,” “anticipates,” “could,” “intends,” “targets,” “projects,” “contemplates,” “believes,” “estimates,” “forecasts,” “predicts,”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-229235</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ind w:left="40" w:right="79"/>
        <w:spacing w:after="0" w:line="252" w:lineRule="auto"/>
        <w:rPr>
          <w:sz w:val="20"/>
          <w:szCs w:val="20"/>
          <w:color w:val="auto"/>
        </w:rPr>
      </w:pPr>
      <w:r>
        <w:rPr>
          <w:rFonts w:ascii="Arial" w:cs="Arial" w:eastAsia="Arial" w:hAnsi="Arial"/>
          <w:sz w:val="16"/>
          <w:szCs w:val="16"/>
          <w:color w:val="auto"/>
        </w:rPr>
        <w:t>“potential”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anticipated impact of ongoing changes in the U.S. retail pharmacy landscape and macroeconomic environment, the impact of store closures and the announced bankruptcy of one of our retail</w:t>
      </w:r>
    </w:p>
    <w:p>
      <w:pPr>
        <w:spacing w:after="0" w:line="1" w:lineRule="exact"/>
        <w:rPr>
          <w:sz w:val="20"/>
          <w:szCs w:val="20"/>
          <w:color w:val="auto"/>
        </w:rPr>
      </w:pPr>
    </w:p>
    <w:p>
      <w:pPr>
        <w:ind w:left="40" w:right="199"/>
        <w:spacing w:after="0" w:line="257" w:lineRule="auto"/>
        <w:rPr>
          <w:sz w:val="20"/>
          <w:szCs w:val="20"/>
          <w:color w:val="auto"/>
        </w:rPr>
      </w:pPr>
      <w:r>
        <w:rPr>
          <w:rFonts w:ascii="Arial" w:cs="Arial" w:eastAsia="Arial" w:hAnsi="Arial"/>
          <w:sz w:val="16"/>
          <w:szCs w:val="16"/>
          <w:color w:val="auto"/>
        </w:rPr>
        <w:t>partners on our business, the potential impact of the new government-sponsored direct-to-consumer platform called “TrumpRx.gov” and other evolving federal initiatives on our business, our value proposition, our collaborations and partnerships with third parties, the impact of the recent volume reduction in one of our integrated savings programs, the anticipated expansion of our condition-specific subscription program, stock compensation, our stock repurchase program, realizability of deferred tax assets, impacts from recent tax legislation, our business strategy, our plans, market opportunity and growth and our objectives for future operations.</w:t>
      </w:r>
    </w:p>
    <w:p>
      <w:pPr>
        <w:spacing w:after="0" w:line="84"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recent growth rates may not be sustainable or indicative of future growth; our ability to achieve broad market education and change consumer purchasing habits; our general ability to continue to attract, acquire and retain consumers in a cost-effective manner; our significant reliance on our prescription transactions offering and ability to expand our offerings; changes in medication pricing and the significant impact of pricing structures negotiated by industry participants; our general inability to control the categories and types of prescriptions for which we can offer savings or discounted prices; our reliance on a limited number of industry participants, including pharmacy benefit managers, pharmacies, and pharma manufacturers; the competitive nature of our industry; risks related to pandemics, epidemics or outbreak of infectious disease; the accuracy of our estimate of our addressable market and other operational metrics; our ability to respond to changes in the market for prescription pricing and to maintain and expand the use of GoodRx codes; our ability to maintain positive perception of our platform or maintain and enhance our brand; risks related to any failure to maintain effective internal control over financial reporting; risks related to use of social media, emails, text messages and other messaging channels as part of our marketing strategy; our dependence on our information technology systems and those of our third-party vendors, and risks related to any failure or significant disruptions thereof; risks related to government regulation of the internet, e-commerce, consumer data and privacy, information technology and cybersecurity; risks related to the use of AI and machine learning in our business; risks related to a decrease in consumer willingness to receive correspondence or any technical, legal or any other restrictions to send such correspondence; risks related to any failure to comply with applicable data protection, privacy and security, advertising and consumer protection laws, regulations, standards, and other requirements; our ability to utilize our net operating loss carryforwards and certain other tax attributes; the risk that we may be unable to realize expected benefits from our restructuring and cost reduction efforts; our ability to attract, develop, motivate and retain well-qualified employees; risks related to our acquisition strategy; risks related to our debt arrangements; interruptions or delays in service on our apps or websites or any undetected errors or design faults; our reliance on third-party platforms to distribute our platform and offerings, including software as-a-service technologies; systems failures or other disruptions in the operations of these parties on which we depend; risks related to climate change; the increasing focus on environmental sustainability and social initiatives; risks related to our intellectual property; risks related to operating in the healthcare industry; risks related to our organizational structure; litigation related risks; our ability to accurately forecast revenue and appropriately plan our expenses in the future; risks related to general economic factors, natural disasters or other unexpected events; risks related to fluctuations in our tax obligations and effective income tax rate which could materially and adversely affect our results of operations; risks related to the healthcare reform legislation and other proposed or future changes impacting the healthcare industry and healthcare spending which may adversely affect our business, financial condition and results of operations; as well as the other important factors discussed in the sections entitled “Risk Factors” of our Annual Report on Form 10-K for the fiscal year ended December 31, 2024 (“2024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ind w:left="40" w:right="239" w:firstLine="324"/>
        <w:spacing w:after="0" w:line="28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688340</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79"/>
        <w:spacing w:after="0" w:line="265" w:lineRule="auto"/>
        <w:rPr>
          <w:sz w:val="20"/>
          <w:szCs w:val="20"/>
          <w:color w:val="auto"/>
        </w:rPr>
      </w:pPr>
      <w:r>
        <w:rPr>
          <w:rFonts w:ascii="Arial" w:cs="Arial" w:eastAsia="Arial" w:hAnsi="Arial"/>
          <w:sz w:val="16"/>
          <w:szCs w:val="16"/>
          <w:color w:val="auto"/>
        </w:rPr>
        <w:t>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64" w:lineRule="exact"/>
        <w:rPr>
          <w:sz w:val="20"/>
          <w:szCs w:val="20"/>
          <w:color w:val="auto"/>
        </w:rPr>
      </w:pPr>
    </w:p>
    <w:p>
      <w:pPr>
        <w:ind w:left="40" w:right="459" w:firstLine="324"/>
        <w:spacing w:after="0" w:line="261" w:lineRule="auto"/>
        <w:rPr>
          <w:sz w:val="20"/>
          <w:szCs w:val="20"/>
          <w:color w:val="auto"/>
        </w:rPr>
      </w:pPr>
      <w:r>
        <w:rPr>
          <w:rFonts w:ascii="Arial" w:cs="Arial" w:eastAsia="Arial" w:hAnsi="Arial"/>
          <w:sz w:val="16"/>
          <w:szCs w:val="16"/>
          <w:color w:val="auto"/>
        </w:rPr>
        <w:t>We periodically post information that may be important to investors on our investor relations website at https:// investors.goodrx.com.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GoodRx’s press releases, filings with the SEC and public conference calls and webcasts. The information contained on, or that may be accessed through, our website is not incorporated by reference into, and is not a part of, this Quarterly Report on Form 10-Q.</w:t>
      </w:r>
    </w:p>
    <w:p>
      <w:pPr>
        <w:sectPr>
          <w:pgSz w:w="11900" w:h="16838" w:orient="portrait"/>
          <w:cols w:equalWidth="0" w:num="1">
            <w:col w:w="9019"/>
          </w:cols>
          <w:pgMar w:left="1440" w:top="114" w:right="1440" w:bottom="66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80" w:type="dxa"/>
            <w:vAlign w:val="bottom"/>
            <w:gridSpan w:val="8"/>
          </w:tcPr>
          <w:p>
            <w:pPr>
              <w:ind w:left="480"/>
              <w:spacing w:after="0"/>
              <w:rPr>
                <w:sz w:val="20"/>
                <w:szCs w:val="20"/>
                <w:color w:val="auto"/>
              </w:rPr>
            </w:pPr>
            <w:r>
              <w:rPr>
                <w:rFonts w:ascii="Arial" w:cs="Arial" w:eastAsia="Arial" w:hAnsi="Arial"/>
                <w:sz w:val="16"/>
                <w:szCs w:val="16"/>
                <w:b w:val="1"/>
                <w:bCs w:val="1"/>
                <w:color w:val="auto"/>
              </w:rPr>
              <w:t>Table of Contents</w:t>
            </w:r>
          </w:p>
        </w:tc>
        <w:tc>
          <w:tcPr>
            <w:tcW w:w="1420" w:type="dxa"/>
            <w:vAlign w:val="bottom"/>
          </w:tcPr>
          <w:p>
            <w:pPr>
              <w:spacing w:after="0"/>
              <w:rPr>
                <w:sz w:val="19"/>
                <w:szCs w:val="19"/>
                <w:color w:val="auto"/>
              </w:rPr>
            </w:pPr>
          </w:p>
        </w:tc>
      </w:tr>
      <w:tr>
        <w:trPr>
          <w:trHeight w:val="486"/>
        </w:trPr>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ind w:left="1020"/>
              <w:spacing w:after="0"/>
              <w:rPr>
                <w:sz w:val="20"/>
                <w:szCs w:val="20"/>
                <w:color w:val="auto"/>
              </w:rPr>
            </w:pPr>
            <w:r>
              <w:rPr>
                <w:rFonts w:ascii="Arial" w:cs="Arial" w:eastAsia="Arial" w:hAnsi="Arial"/>
                <w:sz w:val="16"/>
                <w:szCs w:val="16"/>
                <w:b w:val="1"/>
                <w:bCs w:val="1"/>
                <w:color w:val="auto"/>
                <w:w w:val="99"/>
              </w:rPr>
              <w:t>Page</w:t>
            </w:r>
          </w:p>
        </w:tc>
      </w:tr>
      <w:tr>
        <w:trPr>
          <w:trHeight w:val="540"/>
        </w:trPr>
        <w:tc>
          <w:tcPr>
            <w:tcW w:w="94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380" w:type="dxa"/>
            <w:vAlign w:val="bottom"/>
            <w:gridSpan w:val="14"/>
          </w:tcPr>
          <w:p>
            <w:pPr>
              <w:spacing w:after="0"/>
              <w:rPr>
                <w:sz w:val="20"/>
                <w:szCs w:val="20"/>
                <w:color w:val="auto"/>
              </w:rPr>
            </w:pPr>
            <w:r>
              <w:rPr>
                <w:rFonts w:ascii="Arial" w:cs="Arial" w:eastAsia="Arial" w:hAnsi="Arial"/>
                <w:sz w:val="16"/>
                <w:szCs w:val="16"/>
                <w:b w:val="1"/>
                <w:bCs w:val="1"/>
                <w:color w:val="auto"/>
              </w:rPr>
              <w:t>FINANCIAL INFORMATION</w:t>
            </w:r>
          </w:p>
        </w:tc>
        <w:tc>
          <w:tcPr>
            <w:tcW w:w="14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Financial Statements</w:t>
            </w:r>
          </w:p>
        </w:tc>
        <w:tc>
          <w:tcPr>
            <w:tcW w:w="4860" w:type="dxa"/>
            <w:vAlign w:val="bottom"/>
            <w:gridSpan w:val="11"/>
          </w:tcPr>
          <w:p>
            <w:pPr>
              <w:spacing w:after="0"/>
              <w:rPr>
                <w:sz w:val="18"/>
                <w:szCs w:val="18"/>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1</w:t>
            </w:r>
          </w:p>
        </w:tc>
      </w:tr>
      <w:tr>
        <w:trPr>
          <w:trHeight w:val="237"/>
        </w:trPr>
        <w:tc>
          <w:tcPr>
            <w:tcW w:w="940" w:type="dxa"/>
            <w:vAlign w:val="bottom"/>
          </w:tcPr>
          <w:p>
            <w:pPr>
              <w:spacing w:after="0"/>
              <w:rPr>
                <w:sz w:val="20"/>
                <w:szCs w:val="20"/>
                <w:color w:val="auto"/>
              </w:rPr>
            </w:pPr>
          </w:p>
        </w:tc>
        <w:tc>
          <w:tcPr>
            <w:tcW w:w="30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Condensed Consolidated Balance Sheets</w:t>
            </w:r>
          </w:p>
        </w:tc>
        <w:tc>
          <w:tcPr>
            <w:tcW w:w="3380" w:type="dxa"/>
            <w:vAlign w:val="bottom"/>
            <w:gridSpan w:val="7"/>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1</w:t>
            </w:r>
          </w:p>
        </w:tc>
      </w:tr>
      <w:tr>
        <w:trPr>
          <w:trHeight w:val="236"/>
        </w:trPr>
        <w:tc>
          <w:tcPr>
            <w:tcW w:w="940" w:type="dxa"/>
            <w:vAlign w:val="bottom"/>
          </w:tcPr>
          <w:p>
            <w:pPr>
              <w:spacing w:after="0"/>
              <w:rPr>
                <w:sz w:val="20"/>
                <w:szCs w:val="20"/>
                <w:color w:val="auto"/>
              </w:rPr>
            </w:pPr>
          </w:p>
        </w:tc>
        <w:tc>
          <w:tcPr>
            <w:tcW w:w="638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Operations</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2</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2000" w:type="dxa"/>
            <w:vAlign w:val="bottom"/>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3</w:t>
            </w:r>
          </w:p>
        </w:tc>
      </w:tr>
      <w:tr>
        <w:trPr>
          <w:trHeight w:val="236"/>
        </w:trPr>
        <w:tc>
          <w:tcPr>
            <w:tcW w:w="940" w:type="dxa"/>
            <w:vAlign w:val="bottom"/>
          </w:tcPr>
          <w:p>
            <w:pPr>
              <w:spacing w:after="0"/>
              <w:rPr>
                <w:sz w:val="20"/>
                <w:szCs w:val="20"/>
                <w:color w:val="auto"/>
              </w:rPr>
            </w:pPr>
          </w:p>
        </w:tc>
        <w:tc>
          <w:tcPr>
            <w:tcW w:w="37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Condensed Consolidated Statements of Cash Flows</w:t>
            </w:r>
          </w:p>
        </w:tc>
        <w:tc>
          <w:tcPr>
            <w:tcW w:w="2620" w:type="dxa"/>
            <w:vAlign w:val="bottom"/>
            <w:gridSpan w:val="5"/>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5</w:t>
            </w:r>
          </w:p>
        </w:tc>
      </w:tr>
      <w:tr>
        <w:trPr>
          <w:trHeight w:val="236"/>
        </w:trPr>
        <w:tc>
          <w:tcPr>
            <w:tcW w:w="940" w:type="dxa"/>
            <w:vAlign w:val="bottom"/>
          </w:tcPr>
          <w:p>
            <w:pPr>
              <w:spacing w:after="0"/>
              <w:rPr>
                <w:sz w:val="20"/>
                <w:szCs w:val="20"/>
                <w:color w:val="auto"/>
              </w:rPr>
            </w:pPr>
          </w:p>
        </w:tc>
        <w:tc>
          <w:tcPr>
            <w:tcW w:w="6380" w:type="dxa"/>
            <w:vAlign w:val="bottom"/>
            <w:gridSpan w:val="14"/>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6</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15</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6380" w:type="dxa"/>
            <w:vAlign w:val="bottom"/>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18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rPr>
              <w:t>Controls and Procedures</w:t>
            </w:r>
          </w:p>
        </w:tc>
        <w:tc>
          <w:tcPr>
            <w:tcW w:w="2440" w:type="dxa"/>
            <w:vAlign w:val="bottom"/>
            <w:tcBorders>
              <w:top w:val="single" w:sz="8" w:color="0000FF"/>
            </w:tcBorders>
            <w:gridSpan w:val="6"/>
          </w:tcPr>
          <w:p>
            <w:pPr>
              <w:spacing w:after="0"/>
              <w:rPr>
                <w:sz w:val="20"/>
                <w:szCs w:val="20"/>
                <w:color w:val="auto"/>
              </w:rPr>
            </w:pPr>
          </w:p>
        </w:tc>
        <w:tc>
          <w:tcPr>
            <w:tcW w:w="2140" w:type="dxa"/>
            <w:vAlign w:val="bottom"/>
            <w:gridSpan w:val="3"/>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r>
        <w:trPr>
          <w:trHeight w:val="566"/>
        </w:trPr>
        <w:tc>
          <w:tcPr>
            <w:tcW w:w="9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380" w:type="dxa"/>
            <w:vAlign w:val="bottom"/>
            <w:gridSpan w:val="14"/>
          </w:tcPr>
          <w:p>
            <w:pPr>
              <w:spacing w:after="0"/>
              <w:rPr>
                <w:sz w:val="20"/>
                <w:szCs w:val="20"/>
                <w:color w:val="auto"/>
              </w:rPr>
            </w:pPr>
            <w:r>
              <w:rPr>
                <w:rFonts w:ascii="Arial" w:cs="Arial" w:eastAsia="Arial" w:hAnsi="Arial"/>
                <w:sz w:val="16"/>
                <w:szCs w:val="16"/>
                <w:b w:val="1"/>
                <w:bCs w:val="1"/>
                <w:color w:val="auto"/>
              </w:rPr>
              <w:t>OTHER INFORMATION</w:t>
            </w:r>
          </w:p>
        </w:tc>
        <w:tc>
          <w:tcPr>
            <w:tcW w:w="14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6380" w:type="dxa"/>
            <w:vAlign w:val="bottom"/>
            <w:gridSpan w:val="14"/>
          </w:tcPr>
          <w:p>
            <w:pPr>
              <w:spacing w:after="0"/>
              <w:rPr>
                <w:sz w:val="20"/>
                <w:szCs w:val="20"/>
                <w:color w:val="auto"/>
              </w:rPr>
            </w:pPr>
            <w:r>
              <w:rPr>
                <w:rFonts w:ascii="Arial" w:cs="Arial" w:eastAsia="Arial" w:hAnsi="Arial"/>
                <w:sz w:val="16"/>
                <w:szCs w:val="16"/>
                <w:color w:val="0000FF"/>
              </w:rPr>
              <w:t>Legal Proceedings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26</w:t>
            </w: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Risk Factors</w:t>
            </w:r>
          </w:p>
        </w:tc>
        <w:tc>
          <w:tcPr>
            <w:tcW w:w="5040" w:type="dxa"/>
            <w:vAlign w:val="bottom"/>
            <w:gridSpan w:val="12"/>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26</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gridSpan w:val="14"/>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28</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23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6"/>
          </w:tcPr>
          <w:p>
            <w:pPr>
              <w:spacing w:after="0"/>
              <w:rPr>
                <w:sz w:val="20"/>
                <w:szCs w:val="20"/>
                <w:color w:val="auto"/>
              </w:rPr>
            </w:pPr>
          </w:p>
        </w:tc>
        <w:tc>
          <w:tcPr>
            <w:tcW w:w="2020" w:type="dxa"/>
            <w:vAlign w:val="bottom"/>
            <w:gridSpan w:val="2"/>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28</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Mine Safety Disclosures</w:t>
            </w:r>
          </w:p>
        </w:tc>
        <w:tc>
          <w:tcPr>
            <w:tcW w:w="4640" w:type="dxa"/>
            <w:vAlign w:val="bottom"/>
            <w:gridSpan w:val="10"/>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28</w:t>
            </w:r>
          </w:p>
        </w:tc>
      </w:tr>
    </w:tbl>
    <w:p>
      <w:pPr>
        <w:sectPr>
          <w:pgSz w:w="11900" w:h="16838" w:orient="portrait"/>
          <w:cols w:equalWidth="0" w:num="1">
            <w:col w:w="9019"/>
          </w:cols>
          <w:pgMar w:left="1440" w:top="1440" w:right="1440" w:bottom="0" w:gutter="0" w:footer="0" w:header="0"/>
        </w:sectPr>
      </w:pPr>
    </w:p>
    <w:bookmarkStart w:id="3" w:name="page4"/>
    <w:bookmarkEnd w:id="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5.</w:t>
            </w:r>
          </w:p>
        </w:tc>
        <w:tc>
          <w:tcPr>
            <w:tcW w:w="7300" w:type="dxa"/>
            <w:vAlign w:val="bottom"/>
            <w:gridSpan w:val="4"/>
          </w:tcPr>
          <w:p>
            <w:pPr>
              <w:spacing w:after="0"/>
              <w:rPr>
                <w:sz w:val="20"/>
                <w:szCs w:val="20"/>
                <w:color w:val="auto"/>
              </w:rPr>
            </w:pPr>
            <w:r>
              <w:rPr>
                <w:rFonts w:ascii="Arial" w:cs="Arial" w:eastAsia="Arial" w:hAnsi="Arial"/>
                <w:sz w:val="16"/>
                <w:szCs w:val="16"/>
                <w:color w:val="0000FF"/>
              </w:rPr>
              <w:t>Other Information</w:t>
            </w: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29</w:t>
            </w:r>
          </w:p>
        </w:tc>
      </w:tr>
      <w:tr>
        <w:trPr>
          <w:trHeight w:val="135"/>
        </w:trPr>
        <w:tc>
          <w:tcPr>
            <w:tcW w:w="940" w:type="dxa"/>
            <w:vAlign w:val="bottom"/>
          </w:tcPr>
          <w:p>
            <w:pPr>
              <w:spacing w:after="0" w:line="135" w:lineRule="exact"/>
              <w:rPr>
                <w:sz w:val="20"/>
                <w:szCs w:val="20"/>
                <w:color w:val="auto"/>
              </w:rPr>
            </w:pPr>
            <w:r>
              <w:rPr>
                <w:rFonts w:ascii="Arial" w:cs="Arial" w:eastAsia="Arial" w:hAnsi="Arial"/>
                <w:sz w:val="15"/>
                <w:szCs w:val="15"/>
                <w:color w:val="auto"/>
              </w:rPr>
              <w:t>Item 6.</w:t>
            </w:r>
          </w:p>
        </w:tc>
        <w:tc>
          <w:tcPr>
            <w:tcW w:w="1260" w:type="dxa"/>
            <w:vAlign w:val="bottom"/>
            <w:tcBorders>
              <w:top w:val="single" w:sz="8" w:color="0000FF"/>
            </w:tcBorders>
            <w:gridSpan w:val="3"/>
          </w:tcPr>
          <w:p>
            <w:pPr>
              <w:spacing w:after="0" w:line="135" w:lineRule="exact"/>
              <w:rPr>
                <w:sz w:val="20"/>
                <w:szCs w:val="20"/>
                <w:color w:val="auto"/>
              </w:rPr>
            </w:pPr>
            <w:r>
              <w:rPr>
                <w:rFonts w:ascii="Arial" w:cs="Arial" w:eastAsia="Arial" w:hAnsi="Arial"/>
                <w:sz w:val="15"/>
                <w:szCs w:val="15"/>
                <w:color w:val="0000FF"/>
              </w:rPr>
              <w:t>Exhibits</w:t>
            </w:r>
          </w:p>
        </w:tc>
        <w:tc>
          <w:tcPr>
            <w:tcW w:w="6040" w:type="dxa"/>
            <w:vAlign w:val="bottom"/>
          </w:tcPr>
          <w:p>
            <w:pPr>
              <w:spacing w:after="0"/>
              <w:rPr>
                <w:sz w:val="11"/>
                <w:szCs w:val="11"/>
                <w:color w:val="auto"/>
              </w:rPr>
            </w:pPr>
          </w:p>
        </w:tc>
        <w:tc>
          <w:tcPr>
            <w:tcW w:w="600" w:type="dxa"/>
            <w:vAlign w:val="bottom"/>
          </w:tcPr>
          <w:p>
            <w:pPr>
              <w:jc w:val="right"/>
              <w:ind w:right="121"/>
              <w:spacing w:after="0" w:line="135" w:lineRule="exact"/>
              <w:rPr>
                <w:sz w:val="20"/>
                <w:szCs w:val="20"/>
                <w:color w:val="auto"/>
              </w:rPr>
            </w:pPr>
            <w:r>
              <w:rPr>
                <w:rFonts w:ascii="Arial" w:cs="Arial" w:eastAsia="Arial" w:hAnsi="Arial"/>
                <w:sz w:val="15"/>
                <w:szCs w:val="15"/>
                <w:color w:val="auto"/>
              </w:rPr>
              <w:t>30</w:t>
            </w:r>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Signatures</w:t>
            </w:r>
          </w:p>
        </w:tc>
        <w:tc>
          <w:tcPr>
            <w:tcW w:w="6520" w:type="dxa"/>
            <w:vAlign w:val="bottom"/>
            <w:gridSpan w:val="2"/>
          </w:tcPr>
          <w:p>
            <w:pPr>
              <w:spacing w:after="0"/>
              <w:rPr>
                <w:sz w:val="20"/>
                <w:szCs w:val="20"/>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-359410</wp:posOffset>
            </wp:positionV>
            <wp:extent cx="701611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 I. FINANCIAL INFORMATION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 except par values)</w:t>
            </w:r>
          </w:p>
        </w:tc>
        <w:tc>
          <w:tcPr>
            <w:tcW w:w="2680" w:type="dxa"/>
            <w:vAlign w:val="bottom"/>
            <w:gridSpan w:val="2"/>
          </w:tcPr>
          <w:p>
            <w:pPr>
              <w:ind w:left="1260"/>
              <w:spacing w:after="0"/>
              <w:rPr>
                <w:sz w:val="20"/>
                <w:szCs w:val="20"/>
                <w:color w:val="auto"/>
              </w:rPr>
            </w:pPr>
            <w:r>
              <w:rPr>
                <w:rFonts w:ascii="Arial" w:cs="Arial" w:eastAsia="Arial" w:hAnsi="Arial"/>
                <w:sz w:val="14"/>
                <w:szCs w:val="14"/>
                <w:b w:val="1"/>
                <w:bCs w:val="1"/>
                <w:color w:val="auto"/>
              </w:rPr>
              <w:t>September 30, 2025</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65"/>
        </w:trPr>
        <w:tc>
          <w:tcPr>
            <w:tcW w:w="47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8"/>
        </w:trPr>
        <w:tc>
          <w:tcPr>
            <w:tcW w:w="4700" w:type="dxa"/>
            <w:vAlign w:val="bottom"/>
          </w:tcPr>
          <w:p>
            <w:pPr>
              <w:spacing w:after="0"/>
              <w:rPr>
                <w:sz w:val="20"/>
                <w:szCs w:val="20"/>
                <w:color w:val="auto"/>
              </w:rPr>
            </w:pPr>
            <w:r>
              <w:rPr>
                <w:rFonts w:ascii="Arial" w:cs="Arial" w:eastAsia="Arial" w:hAnsi="Arial"/>
                <w:sz w:val="16"/>
                <w:szCs w:val="16"/>
                <w:color w:val="auto"/>
              </w:rPr>
              <w:t>Current assets</w:t>
            </w: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620" w:type="dxa"/>
            <w:vAlign w:val="bottom"/>
          </w:tcPr>
          <w:p>
            <w:pPr>
              <w:ind w:left="1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273,529</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448,346</w:t>
            </w: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Accounts receivable,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203,738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145,934</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88,248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64,975</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565,515</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659,255</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6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11,276</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12,664</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Goodwill</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421,719</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410,769</w:t>
            </w:r>
          </w:p>
        </w:tc>
      </w:tr>
      <w:tr>
        <w:trPr>
          <w:trHeight w:val="257"/>
        </w:trPr>
        <w:tc>
          <w:tcPr>
            <w:tcW w:w="4700" w:type="dxa"/>
            <w:vAlign w:val="bottom"/>
          </w:tcPr>
          <w:p>
            <w:pPr>
              <w:spacing w:after="0"/>
              <w:rPr>
                <w:sz w:val="20"/>
                <w:szCs w:val="20"/>
                <w:color w:val="auto"/>
              </w:rPr>
            </w:pPr>
            <w:r>
              <w:rPr>
                <w:rFonts w:ascii="Arial" w:cs="Arial" w:eastAsia="Arial" w:hAnsi="Arial"/>
                <w:sz w:val="16"/>
                <w:szCs w:val="16"/>
                <w:color w:val="auto"/>
              </w:rPr>
              <w:t>Intangible assets,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62,773</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52,102</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Capitalized software, net</w:t>
            </w:r>
          </w:p>
        </w:tc>
        <w:tc>
          <w:tcPr>
            <w:tcW w:w="16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142,118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124,781</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29,694</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27,794</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69,093</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77,182</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Other assets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23,319</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23,520</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620" w:type="dxa"/>
            <w:vAlign w:val="bottom"/>
          </w:tcPr>
          <w:p>
            <w:pPr>
              <w:ind w:left="1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1,325,507</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1,388,067</w:t>
            </w:r>
          </w:p>
        </w:tc>
      </w:tr>
      <w:tr>
        <w:trPr>
          <w:trHeight w:val="264"/>
        </w:trPr>
        <w:tc>
          <w:tcPr>
            <w:tcW w:w="470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9"/>
        </w:trPr>
        <w:tc>
          <w:tcPr>
            <w:tcW w:w="4700" w:type="dxa"/>
            <w:vAlign w:val="bottom"/>
          </w:tcPr>
          <w:p>
            <w:pPr>
              <w:spacing w:after="0"/>
              <w:rPr>
                <w:sz w:val="20"/>
                <w:szCs w:val="20"/>
                <w:color w:val="auto"/>
              </w:rPr>
            </w:pPr>
            <w:r>
              <w:rPr>
                <w:rFonts w:ascii="Arial" w:cs="Arial" w:eastAsia="Arial" w:hAnsi="Arial"/>
                <w:sz w:val="16"/>
                <w:szCs w:val="16"/>
                <w:color w:val="auto"/>
              </w:rPr>
              <w:t>Current liabilities</w:t>
            </w: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620" w:type="dxa"/>
            <w:vAlign w:val="bottom"/>
          </w:tcPr>
          <w:p>
            <w:pPr>
              <w:ind w:left="1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28,725</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14,137</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143,372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99,130</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Current portion of debt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Operating lease liabilities, current</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4,761</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5,636</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181,858</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123,903</w:t>
            </w:r>
          </w:p>
        </w:tc>
      </w:tr>
      <w:tr>
        <w:trPr>
          <w:trHeight w:val="257"/>
        </w:trPr>
        <w:tc>
          <w:tcPr>
            <w:tcW w:w="4700" w:type="dxa"/>
            <w:vAlign w:val="bottom"/>
          </w:tcPr>
          <w:p>
            <w:pPr>
              <w:spacing w:after="0"/>
              <w:rPr>
                <w:sz w:val="20"/>
                <w:szCs w:val="20"/>
                <w:color w:val="auto"/>
              </w:rPr>
            </w:pPr>
            <w:r>
              <w:rPr>
                <w:rFonts w:ascii="Arial" w:cs="Arial" w:eastAsia="Arial" w:hAnsi="Arial"/>
                <w:sz w:val="16"/>
                <w:szCs w:val="16"/>
                <w:color w:val="auto"/>
              </w:rPr>
              <w:t>Debt, net</w:t>
            </w:r>
          </w:p>
        </w:tc>
        <w:tc>
          <w:tcPr>
            <w:tcW w:w="16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484,114</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486,711</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1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51,260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46,040</w:t>
            </w:r>
          </w:p>
        </w:tc>
      </w:tr>
    </w:tbl>
    <w:p>
      <w:pPr>
        <w:sectPr>
          <w:pgSz w:w="11900" w:h="16838" w:orient="portrait"/>
          <w:cols w:equalWidth="0" w:num="1">
            <w:col w:w="9019"/>
          </w:cols>
          <w:pgMar w:left="1440" w:top="91" w:right="1440" w:bottom="0" w:gutter="0" w:footer="0" w:header="0"/>
        </w:sectPr>
      </w:pPr>
    </w:p>
    <w:bookmarkStart w:id="4" w:name="page5"/>
    <w:bookmarkEnd w:id="4"/>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980" w:type="dxa"/>
            <w:vAlign w:val="bottom"/>
          </w:tcPr>
          <w:p>
            <w:pPr>
              <w:ind w:left="6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7,563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6,755</w:t>
            </w:r>
          </w:p>
        </w:tc>
      </w:tr>
      <w:tr>
        <w:trPr>
          <w:trHeight w:val="216"/>
        </w:trPr>
        <w:tc>
          <w:tcPr>
            <w:tcW w:w="59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724,795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663,409</w:t>
            </w: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Commitments and contingencies (Note 8)</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1"/>
        </w:trPr>
        <w:tc>
          <w:tcPr>
            <w:tcW w:w="5980" w:type="dxa"/>
            <w:vAlign w:val="bottom"/>
          </w:tcPr>
          <w:p>
            <w:pPr>
              <w:ind w:left="220"/>
              <w:spacing w:after="0"/>
              <w:rPr>
                <w:sz w:val="20"/>
                <w:szCs w:val="20"/>
                <w:color w:val="auto"/>
              </w:rPr>
            </w:pPr>
            <w:r>
              <w:rPr>
                <w:rFonts w:ascii="Arial" w:cs="Arial" w:eastAsia="Arial" w:hAnsi="Arial"/>
                <w:sz w:val="16"/>
                <w:szCs w:val="16"/>
                <w:color w:val="auto"/>
              </w:rPr>
              <w:t>Preferred stock, $0.0001 par value; 50,000 shares authorized and nil shares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issued and outstanding at September 30, 2025 and December 31, 2024</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8"/>
        </w:trPr>
        <w:tc>
          <w:tcPr>
            <w:tcW w:w="5980" w:type="dxa"/>
            <w:vAlign w:val="bottom"/>
          </w:tcPr>
          <w:p>
            <w:pPr>
              <w:ind w:left="220"/>
              <w:spacing w:after="0" w:line="171" w:lineRule="exact"/>
              <w:rPr>
                <w:sz w:val="20"/>
                <w:szCs w:val="20"/>
                <w:color w:val="auto"/>
              </w:rPr>
            </w:pPr>
            <w:r>
              <w:rPr>
                <w:rFonts w:ascii="Arial" w:cs="Arial" w:eastAsia="Arial" w:hAnsi="Arial"/>
                <w:sz w:val="16"/>
                <w:szCs w:val="16"/>
                <w:color w:val="auto"/>
              </w:rPr>
              <w:t>Common stock, $0.0001 par value; Class A: 2,000,000 shares authorized,</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36"/>
        </w:trPr>
        <w:tc>
          <w:tcPr>
            <w:tcW w:w="5980" w:type="dxa"/>
            <w:vAlign w:val="bottom"/>
          </w:tcPr>
          <w:p>
            <w:pPr>
              <w:ind w:left="380"/>
              <w:spacing w:after="0"/>
              <w:rPr>
                <w:sz w:val="20"/>
                <w:szCs w:val="20"/>
                <w:color w:val="auto"/>
              </w:rPr>
            </w:pPr>
            <w:r>
              <w:rPr>
                <w:rFonts w:ascii="Arial" w:cs="Arial" w:eastAsia="Arial" w:hAnsi="Arial"/>
                <w:sz w:val="16"/>
                <w:szCs w:val="16"/>
                <w:color w:val="auto"/>
              </w:rPr>
              <w:t>98,304 and 105,946 shares issued and outstanding at September 30, 2025</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75"/>
        </w:trPr>
        <w:tc>
          <w:tcPr>
            <w:tcW w:w="5980" w:type="dxa"/>
            <w:vAlign w:val="bottom"/>
          </w:tcPr>
          <w:p>
            <w:pPr>
              <w:ind w:left="380"/>
              <w:spacing w:after="0" w:line="175" w:lineRule="exact"/>
              <w:rPr>
                <w:sz w:val="20"/>
                <w:szCs w:val="20"/>
                <w:color w:val="auto"/>
              </w:rPr>
            </w:pPr>
            <w:r>
              <w:rPr>
                <w:rFonts w:ascii="Arial" w:cs="Arial" w:eastAsia="Arial" w:hAnsi="Arial"/>
                <w:sz w:val="16"/>
                <w:szCs w:val="16"/>
                <w:color w:val="auto"/>
              </w:rPr>
              <w:t>and December 31, 2024, respectively; and Class B: 1,000,000 shares</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5980" w:type="dxa"/>
            <w:vAlign w:val="bottom"/>
          </w:tcPr>
          <w:p>
            <w:pPr>
              <w:ind w:left="380"/>
              <w:spacing w:after="0"/>
              <w:rPr>
                <w:sz w:val="20"/>
                <w:szCs w:val="20"/>
                <w:color w:val="auto"/>
              </w:rPr>
            </w:pPr>
            <w:r>
              <w:rPr>
                <w:rFonts w:ascii="Arial" w:cs="Arial" w:eastAsia="Arial" w:hAnsi="Arial"/>
                <w:sz w:val="16"/>
                <w:szCs w:val="16"/>
                <w:color w:val="auto"/>
              </w:rPr>
              <w:t>authorized, 242,869 and 276,869 shares issued and outstanding at</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September 30, 2025 and December 31, 2024</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2,016,677</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2,165,633</w:t>
            </w: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(1,415,999)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(1,441,013)</w:t>
            </w:r>
          </w:p>
        </w:tc>
      </w:tr>
      <w:tr>
        <w:trPr>
          <w:trHeight w:val="257"/>
        </w:trPr>
        <w:tc>
          <w:tcPr>
            <w:tcW w:w="598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600,712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724,658</w:t>
            </w:r>
          </w:p>
        </w:tc>
      </w:tr>
      <w:tr>
        <w:trPr>
          <w:trHeight w:val="256"/>
        </w:trPr>
        <w:tc>
          <w:tcPr>
            <w:tcW w:w="598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1,325,507</w:t>
            </w:r>
          </w:p>
        </w:tc>
        <w:tc>
          <w:tcPr>
            <w:tcW w:w="60" w:type="dxa"/>
            <w:vAlign w:val="bottom"/>
          </w:tcPr>
          <w:p>
            <w:pPr>
              <w:spacing w:after="0"/>
              <w:rPr>
                <w:sz w:val="22"/>
                <w:szCs w:val="22"/>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1,388,067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-2166620</wp:posOffset>
            </wp:positionV>
            <wp:extent cx="7016115" cy="3670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762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12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12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September 30,</w:t>
            </w:r>
          </w:p>
        </w:tc>
      </w:tr>
      <w:tr>
        <w:trPr>
          <w:trHeight w:val="237"/>
        </w:trPr>
        <w:tc>
          <w:tcPr>
            <w:tcW w:w="40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for per share amounts)</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r>
      <w:tr>
        <w:trPr>
          <w:trHeight w:val="237"/>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196,028</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195,251</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602,068</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593,741</w:t>
            </w:r>
          </w:p>
        </w:tc>
      </w:tr>
      <w:tr>
        <w:trPr>
          <w:trHeight w:val="256"/>
        </w:trPr>
        <w:tc>
          <w:tcPr>
            <w:tcW w:w="4060" w:type="dxa"/>
            <w:vAlign w:val="bottom"/>
          </w:tcPr>
          <w:p>
            <w:pPr>
              <w:ind w:left="60"/>
              <w:spacing w:after="0"/>
              <w:rPr>
                <w:sz w:val="20"/>
                <w:szCs w:val="20"/>
                <w:color w:val="auto"/>
              </w:rPr>
            </w:pPr>
            <w:r>
              <w:rPr>
                <w:rFonts w:ascii="Arial" w:cs="Arial" w:eastAsia="Arial" w:hAnsi="Arial"/>
                <w:sz w:val="16"/>
                <w:szCs w:val="16"/>
                <w:color w:val="auto"/>
              </w:rPr>
              <w:t>Costs and operating expenses: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2"/>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 exclusive of depreciation and</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03"/>
        </w:trPr>
        <w:tc>
          <w:tcPr>
            <w:tcW w:w="4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presented separately below</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13,419</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11,684</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40,133</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36,022</w:t>
            </w: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Product development and technology</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31,012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30,139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92,087</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92,010</w:t>
            </w: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83,532</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89,867</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252,944</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273,285</w:t>
            </w: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32,014</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25,619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90,023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94,316</w:t>
            </w: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21,431</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62,072</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50,442</w:t>
            </w:r>
          </w:p>
        </w:tc>
      </w:tr>
      <w:tr>
        <w:trPr>
          <w:trHeight w:val="237"/>
        </w:trPr>
        <w:tc>
          <w:tcPr>
            <w:tcW w:w="40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costs and operating expenses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181,408</w:t>
            </w: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174,844</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537,259</w:t>
            </w: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546,075</w:t>
            </w:r>
          </w:p>
        </w:tc>
      </w:tr>
      <w:tr>
        <w:trPr>
          <w:trHeight w:val="237"/>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14,620</w:t>
            </w: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20,407</w:t>
            </w:r>
          </w:p>
        </w:tc>
        <w:tc>
          <w:tcPr>
            <w:tcW w:w="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64,809</w:t>
            </w: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47,666</w:t>
            </w:r>
          </w:p>
        </w:tc>
      </w:tr>
      <w:tr>
        <w:trPr>
          <w:trHeight w:val="236"/>
        </w:trPr>
        <w:tc>
          <w:tcPr>
            <w:tcW w:w="4060" w:type="dxa"/>
            <w:vAlign w:val="bottom"/>
          </w:tcPr>
          <w:p>
            <w:pPr>
              <w:ind w:left="60"/>
              <w:spacing w:after="0"/>
              <w:rPr>
                <w:sz w:val="20"/>
                <w:szCs w:val="20"/>
                <w:color w:val="auto"/>
              </w:rPr>
            </w:pPr>
            <w:r>
              <w:rPr>
                <w:rFonts w:ascii="Arial" w:cs="Arial" w:eastAsia="Arial" w:hAnsi="Arial"/>
                <w:sz w:val="16"/>
                <w:szCs w:val="16"/>
                <w:color w:val="auto"/>
              </w:rPr>
              <w:t>Other expense, net: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(expense) income</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r>
      <w:tr>
        <w:trPr>
          <w:trHeight w:val="256"/>
        </w:trPr>
        <w:tc>
          <w:tcPr>
            <w:tcW w:w="4060" w:type="dxa"/>
            <w:vAlign w:val="bottom"/>
          </w:tcPr>
          <w:p>
            <w:pPr>
              <w:ind w:left="30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(2,077)</w:t>
            </w: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9,044</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18,686</w:t>
            </w:r>
          </w:p>
        </w:tc>
      </w:tr>
      <w:tr>
        <w:trPr>
          <w:trHeight w:val="257"/>
        </w:trPr>
        <w:tc>
          <w:tcPr>
            <w:tcW w:w="40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(10,829)</w:t>
            </w: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(12,355)</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(32,202)</w:t>
            </w: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(41,564)</w:t>
            </w:r>
          </w:p>
        </w:tc>
      </w:tr>
      <w:tr>
        <w:trPr>
          <w:trHeight w:val="236"/>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(8,520)</w:t>
            </w: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(22,464)</w:t>
            </w: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(27,615)</w:t>
            </w:r>
          </w:p>
        </w:tc>
      </w:tr>
      <w:tr>
        <w:trPr>
          <w:trHeight w:val="236"/>
        </w:trPr>
        <w:tc>
          <w:tcPr>
            <w:tcW w:w="4060" w:type="dxa"/>
            <w:vAlign w:val="bottom"/>
          </w:tcPr>
          <w:p>
            <w:pPr>
              <w:ind w:left="60"/>
              <w:spacing w:after="0"/>
              <w:rPr>
                <w:sz w:val="20"/>
                <w:szCs w:val="20"/>
                <w:color w:val="auto"/>
              </w:rPr>
            </w:pPr>
            <w:r>
              <w:rPr>
                <w:rFonts w:ascii="Arial" w:cs="Arial" w:eastAsia="Arial" w:hAnsi="Arial"/>
                <w:sz w:val="16"/>
                <w:szCs w:val="16"/>
                <w:color w:val="auto"/>
              </w:rPr>
              <w:t>Income before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8,112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42,345</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20,051</w:t>
            </w:r>
          </w:p>
        </w:tc>
      </w:tr>
      <w:tr>
        <w:trPr>
          <w:trHeight w:val="256"/>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(4,147)</w:t>
            </w: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(17,331)</w:t>
            </w:r>
          </w:p>
        </w:tc>
        <w:tc>
          <w:tcPr>
            <w:tcW w:w="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(10,401)</w:t>
            </w:r>
          </w:p>
        </w:tc>
      </w:tr>
      <w:tr>
        <w:trPr>
          <w:trHeight w:val="209"/>
        </w:trPr>
        <w:tc>
          <w:tcPr>
            <w:tcW w:w="406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25,014</w:t>
            </w: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9,650</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6"/>
        </w:trPr>
        <w:tc>
          <w:tcPr>
            <w:tcW w:w="4060" w:type="dxa"/>
            <w:vAlign w:val="bottom"/>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0.00</w:t>
            </w:r>
          </w:p>
        </w:tc>
        <w:tc>
          <w:tcPr>
            <w:tcW w:w="4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6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4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42"/>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Weighted average shares used in computing</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4060" w:type="dxa"/>
            <w:vAlign w:val="bottom"/>
          </w:tcPr>
          <w:p>
            <w:pPr>
              <w:ind w:left="22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346,776</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379,667</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360,746</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385,553</w:t>
            </w: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347,810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388,504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361,423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393,477</w:t>
            </w:r>
          </w:p>
        </w:tc>
      </w:tr>
      <w:tr>
        <w:trPr>
          <w:trHeight w:val="256"/>
        </w:trPr>
        <w:tc>
          <w:tcPr>
            <w:tcW w:w="4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2"/>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Stock-based compensation included in costs and</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4060" w:type="dxa"/>
            <w:vAlign w:val="bottom"/>
          </w:tcPr>
          <w:p>
            <w:pPr>
              <w:ind w:left="2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83"/>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Product development and technology</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17,043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18,491</w:t>
            </w: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4,456</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16,267</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27,248</w:t>
            </w:r>
          </w:p>
        </w:tc>
      </w:tr>
      <w:tr>
        <w:trPr>
          <w:trHeight w:val="268"/>
        </w:trPr>
        <w:tc>
          <w:tcPr>
            <w:tcW w:w="406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8,526</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10,186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25,089</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32,102</w:t>
            </w:r>
          </w:p>
        </w:tc>
      </w:tr>
    </w:tbl>
    <w:p>
      <w:pPr>
        <w:sectPr>
          <w:pgSz w:w="11900" w:h="16849" w:orient="portrait"/>
          <w:cols w:equalWidth="0" w:num="1">
            <w:col w:w="9019"/>
          </w:cols>
          <w:pgMar w:left="1440" w:top="114" w:right="1440"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299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t>See accompanying notes to condensed consolidated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13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9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96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382,815</w:t>
            </w: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2,165,633</w:t>
            </w: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(1,441,013)</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724,658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spacing w:after="0"/>
              <w:rPr>
                <w:sz w:val="20"/>
                <w:szCs w:val="20"/>
                <w:color w:val="auto"/>
              </w:rPr>
            </w:pPr>
            <w:r>
              <w:rPr>
                <w:rFonts w:ascii="Arial" w:cs="Arial" w:eastAsia="Arial" w:hAnsi="Arial"/>
                <w:sz w:val="16"/>
                <w:szCs w:val="16"/>
                <w:color w:val="auto"/>
              </w:rPr>
              <w:t>2,136</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(23,340)</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(100,918)</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(100,920)</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36"/>
        </w:trPr>
        <w:tc>
          <w:tcPr>
            <w:tcW w:w="3300" w:type="dxa"/>
            <w:vAlign w:val="bottom"/>
          </w:tcPr>
          <w:p>
            <w:pPr>
              <w:ind w:left="60"/>
              <w:spacing w:after="0"/>
              <w:rPr>
                <w:sz w:val="20"/>
                <w:szCs w:val="20"/>
                <w:color w:val="auto"/>
              </w:rPr>
            </w:pPr>
            <w:r>
              <w:rPr>
                <w:rFonts w:ascii="Arial" w:cs="Arial" w:eastAsia="Arial" w:hAnsi="Arial"/>
                <w:sz w:val="16"/>
                <w:szCs w:val="16"/>
                <w:color w:val="auto"/>
              </w:rPr>
              <w:t>Balance at March 31, 2025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360,813</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36</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2,084,272</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(1,429,961)</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654,347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25,880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25,880</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(1,056)</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(4,548)</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(10,224)</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(46,352)</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Issuance of common stock through</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employee stock purchase plan</w:t>
            </w:r>
          </w:p>
        </w:tc>
        <w:tc>
          <w:tcPr>
            <w:tcW w:w="1080" w:type="dxa"/>
            <w:vAlign w:val="bottom"/>
          </w:tcPr>
          <w:p>
            <w:pPr>
              <w:jc w:val="right"/>
              <w:spacing w:after="0"/>
              <w:rPr>
                <w:sz w:val="20"/>
                <w:szCs w:val="20"/>
                <w:color w:val="auto"/>
              </w:rPr>
            </w:pPr>
            <w:r>
              <w:rPr>
                <w:rFonts w:ascii="Arial" w:cs="Arial" w:eastAsia="Arial" w:hAnsi="Arial"/>
                <w:sz w:val="16"/>
                <w:szCs w:val="16"/>
                <w:color w:val="auto"/>
              </w:rPr>
              <w:t>222</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12,843</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12,843</w:t>
            </w:r>
          </w:p>
        </w:tc>
        <w:tc>
          <w:tcPr>
            <w:tcW w:w="0" w:type="dxa"/>
            <w:vAlign w:val="bottom"/>
          </w:tcPr>
          <w:p>
            <w:pPr>
              <w:spacing w:after="0"/>
              <w:rPr>
                <w:sz w:val="1"/>
                <w:szCs w:val="1"/>
                <w:color w:val="auto"/>
              </w:rPr>
            </w:pPr>
          </w:p>
        </w:tc>
      </w:tr>
      <w:tr>
        <w:trPr>
          <w:trHeight w:val="236"/>
        </w:trPr>
        <w:tc>
          <w:tcPr>
            <w:tcW w:w="3300" w:type="dxa"/>
            <w:vAlign w:val="bottom"/>
          </w:tcPr>
          <w:p>
            <w:pPr>
              <w:ind w:left="60"/>
              <w:spacing w:after="0"/>
              <w:rPr>
                <w:sz w:val="20"/>
                <w:szCs w:val="20"/>
                <w:color w:val="auto"/>
              </w:rPr>
            </w:pPr>
            <w:r>
              <w:rPr>
                <w:rFonts w:ascii="Arial" w:cs="Arial" w:eastAsia="Arial" w:hAnsi="Arial"/>
                <w:sz w:val="16"/>
                <w:szCs w:val="16"/>
                <w:color w:val="auto"/>
              </w:rPr>
              <w:t>Balance at June 30, 2025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352,771</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35</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2,060,114</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(1,417,118)</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643,031</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21,660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21,660</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(922)</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(3,567)</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(13,359)</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(61,588)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(61,589)</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35"/>
        </w:trPr>
        <w:tc>
          <w:tcPr>
            <w:tcW w:w="33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September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341,173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2,016,677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(1,415,999)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600,712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700" w:right="59" w:hanging="659"/>
        <w:spacing w:after="0" w:line="252" w:lineRule="auto"/>
        <w:tabs>
          <w:tab w:leader="none" w:pos="68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Repurchases of Class A common stock for the three months ended March 31, 2025 include 20.0 million shares repurchased from related parties (after giving effect to the automatic conversion of Class B common stock to Class A common stock upon such repurchase) for an aggregate consideration of $84.9 million . See "Note 10.</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for additional information.</w:t>
      </w:r>
    </w:p>
    <w:p>
      <w:pPr>
        <w:sectPr>
          <w:pgSz w:w="11900" w:h="16838" w:orient="portrait"/>
          <w:cols w:equalWidth="0" w:num="1">
            <w:col w:w="9019"/>
          </w:cols>
          <w:pgMar w:left="1440" w:top="231"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9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96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394,087</w:t>
            </w: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2,219,321</w:t>
            </w: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(1,457,403)</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761,958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28,891</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spacing w:after="0"/>
              <w:rPr>
                <w:sz w:val="20"/>
                <w:szCs w:val="20"/>
                <w:color w:val="auto"/>
              </w:rPr>
            </w:pPr>
            <w:r>
              <w:rPr>
                <w:rFonts w:ascii="Arial" w:cs="Arial" w:eastAsia="Arial" w:hAnsi="Arial"/>
                <w:sz w:val="16"/>
                <w:szCs w:val="16"/>
                <w:color w:val="auto"/>
              </w:rPr>
              <w:t>2,535</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(21,329)</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(154,812)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(154,814)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37"/>
        </w:trPr>
        <w:tc>
          <w:tcPr>
            <w:tcW w:w="3300" w:type="dxa"/>
            <w:vAlign w:val="bottom"/>
          </w:tcPr>
          <w:p>
            <w:pPr>
              <w:ind w:left="60"/>
              <w:spacing w:after="0"/>
              <w:rPr>
                <w:sz w:val="20"/>
                <w:szCs w:val="20"/>
                <w:color w:val="auto"/>
              </w:rPr>
            </w:pPr>
            <w:r>
              <w:rPr>
                <w:rFonts w:ascii="Arial" w:cs="Arial" w:eastAsia="Arial" w:hAnsi="Arial"/>
                <w:sz w:val="16"/>
                <w:szCs w:val="16"/>
                <w:color w:val="auto"/>
              </w:rPr>
              <w:t>Balance at March 31, 2024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374,943</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2,089,443</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(1,458,412)</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631,069</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30,885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30,885</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(1,231)</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(9,343)</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Issuance of common stock through</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employee stock purchase plan</w:t>
            </w:r>
          </w:p>
        </w:tc>
        <w:tc>
          <w:tcPr>
            <w:tcW w:w="1080" w:type="dxa"/>
            <w:vAlign w:val="bottom"/>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0" w:type="dxa"/>
            <w:vAlign w:val="bottom"/>
          </w:tcPr>
          <w:p>
            <w:pPr>
              <w:spacing w:after="0"/>
              <w:rPr>
                <w:sz w:val="1"/>
                <w:szCs w:val="1"/>
                <w:color w:val="auto"/>
              </w:rPr>
            </w:pPr>
          </w:p>
        </w:tc>
      </w:tr>
      <w:tr>
        <w:trPr>
          <w:trHeight w:val="236"/>
        </w:trPr>
        <w:tc>
          <w:tcPr>
            <w:tcW w:w="3300" w:type="dxa"/>
            <w:vAlign w:val="bottom"/>
          </w:tcPr>
          <w:p>
            <w:pPr>
              <w:ind w:left="60"/>
              <w:spacing w:after="0"/>
              <w:rPr>
                <w:sz w:val="20"/>
                <w:szCs w:val="20"/>
                <w:color w:val="auto"/>
              </w:rPr>
            </w:pPr>
            <w:r>
              <w:rPr>
                <w:rFonts w:ascii="Arial" w:cs="Arial" w:eastAsia="Arial" w:hAnsi="Arial"/>
                <w:sz w:val="16"/>
                <w:szCs w:val="16"/>
                <w:color w:val="auto"/>
              </w:rPr>
              <w:t>Balance at June 30, 2024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378,607</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2,121,079</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(1,451,718)</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669,399</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30,604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30,604</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(1,187)</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(8,959)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(8,959)</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35"/>
        </w:trPr>
        <w:tc>
          <w:tcPr>
            <w:tcW w:w="33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380,796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2,144,149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(1,447,753)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696,434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40"/>
        <w:spacing w:after="0"/>
        <w:tabs>
          <w:tab w:leader="none" w:pos="680" w:val="left"/>
          <w:tab w:leader="none" w:pos="75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Repurchases of Class A common stock for the three months ended March 31, 2024 include</w:t>
      </w:r>
      <w:r>
        <w:rPr>
          <w:sz w:val="20"/>
          <w:szCs w:val="20"/>
          <w:color w:val="auto"/>
        </w:rPr>
        <w:tab/>
      </w:r>
      <w:r>
        <w:rPr>
          <w:rFonts w:ascii="Arial" w:cs="Arial" w:eastAsia="Arial" w:hAnsi="Arial"/>
          <w:sz w:val="16"/>
          <w:szCs w:val="16"/>
          <w:color w:val="auto"/>
        </w:rPr>
        <w:t>20.9 million shares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repurchased from related parties (after giving effect to the automatic conversion of Class B common stock to Class</w:t>
      </w:r>
    </w:p>
    <w:p>
      <w:pPr>
        <w:spacing w:after="0" w:line="5" w:lineRule="exact"/>
        <w:rPr>
          <w:sz w:val="20"/>
          <w:szCs w:val="20"/>
          <w:color w:val="auto"/>
        </w:rPr>
      </w:pPr>
    </w:p>
    <w:p>
      <w:pPr>
        <w:ind w:left="700"/>
        <w:spacing w:after="0"/>
        <w:tabs>
          <w:tab w:leader="none" w:pos="6640" w:val="left"/>
          <w:tab w:leader="none" w:pos="8720" w:val="left"/>
        </w:tabs>
        <w:rPr>
          <w:sz w:val="20"/>
          <w:szCs w:val="20"/>
          <w:color w:val="auto"/>
        </w:rPr>
      </w:pPr>
      <w:r>
        <w:rPr>
          <w:rFonts w:ascii="Arial" w:cs="Arial" w:eastAsia="Arial" w:hAnsi="Arial"/>
          <w:sz w:val="16"/>
          <w:szCs w:val="16"/>
          <w:color w:val="auto"/>
        </w:rPr>
        <w:t>A common stock upon such repurchase) for an aggregate consideration of</w:t>
      </w:r>
      <w:r>
        <w:rPr>
          <w:sz w:val="20"/>
          <w:szCs w:val="20"/>
          <w:color w:val="auto"/>
        </w:rPr>
        <w:tab/>
      </w:r>
      <w:r>
        <w:rPr>
          <w:rFonts w:ascii="Arial" w:cs="Arial" w:eastAsia="Arial" w:hAnsi="Arial"/>
          <w:sz w:val="16"/>
          <w:szCs w:val="16"/>
          <w:color w:val="auto"/>
        </w:rPr>
        <w:t>$151.4 million . See "Note</w:t>
      </w:r>
      <w:r>
        <w:rPr>
          <w:sz w:val="20"/>
          <w:szCs w:val="20"/>
          <w:color w:val="auto"/>
        </w:rPr>
        <w:tab/>
      </w:r>
      <w:r>
        <w:rPr>
          <w:rFonts w:ascii="Arial" w:cs="Arial" w:eastAsia="Arial" w:hAnsi="Arial"/>
          <w:sz w:val="15"/>
          <w:szCs w:val="15"/>
          <w:color w:val="auto"/>
        </w:rPr>
        <w:t>10.</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50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19"/>
          </w:cols>
          <w:pgMar w:left="1440" w:top="113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9019"/>
          </w:cols>
          <w:pgMar w:left="1440" w:top="1133" w:right="1440"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w w:val="96"/>
              </w:rPr>
              <w:t>2024</w:t>
            </w: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25,014</w:t>
            </w:r>
          </w:p>
        </w:tc>
        <w:tc>
          <w:tcPr>
            <w:tcW w:w="60" w:type="dxa"/>
            <w:vAlign w:val="bottom"/>
          </w:tcPr>
          <w:p>
            <w:pPr>
              <w:spacing w:after="0"/>
              <w:rPr>
                <w:sz w:val="18"/>
                <w:szCs w:val="18"/>
                <w:color w:val="auto"/>
              </w:rPr>
            </w:pPr>
          </w:p>
        </w:tc>
        <w:tc>
          <w:tcPr>
            <w:tcW w:w="5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9,650</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62,072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50,442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on extinguishment of debt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Amortization of debt issuance costs and discounts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1,314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2,076</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Non-cash operating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3,063</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Stock-based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58,707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78,067</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8,089</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Loss on operating lease asset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4,409</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(57,804)</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12,805</w:t>
            </w:r>
          </w:p>
        </w:tc>
        <w:tc>
          <w:tcPr>
            <w:tcW w:w="0" w:type="dxa"/>
            <w:vAlign w:val="bottom"/>
          </w:tcPr>
          <w:p>
            <w:pPr>
              <w:spacing w:after="0"/>
              <w:rPr>
                <w:sz w:val="1"/>
                <w:szCs w:val="1"/>
                <w:color w:val="auto"/>
              </w:rPr>
            </w:pPr>
          </w:p>
        </w:tc>
      </w:tr>
      <w:tr>
        <w:trPr>
          <w:trHeight w:val="209"/>
        </w:trPr>
        <w:tc>
          <w:tcPr>
            <w:tcW w:w="5980" w:type="dxa"/>
            <w:vAlign w:val="bottom"/>
          </w:tcPr>
          <w:p>
            <w:pPr>
              <w:ind w:left="380"/>
              <w:spacing w:after="0"/>
              <w:rPr>
                <w:sz w:val="20"/>
                <w:szCs w:val="20"/>
                <w:color w:val="auto"/>
              </w:rPr>
            </w:pPr>
            <w:r>
              <w:rPr>
                <w:rFonts w:ascii="Arial" w:cs="Arial" w:eastAsia="Arial" w:hAnsi="Arial"/>
                <w:sz w:val="13"/>
                <w:szCs w:val="13"/>
                <w:color w:val="auto"/>
              </w:rPr>
              <w:t>Prepaid expenses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(23,233)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(12,268)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14,625</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(23,167)</w:t>
            </w:r>
          </w:p>
        </w:tc>
        <w:tc>
          <w:tcPr>
            <w:tcW w:w="0" w:type="dxa"/>
            <w:vAlign w:val="bottom"/>
          </w:tcPr>
          <w:p>
            <w:pPr>
              <w:spacing w:after="0"/>
              <w:rPr>
                <w:sz w:val="1"/>
                <w:szCs w:val="1"/>
                <w:color w:val="auto"/>
              </w:rPr>
            </w:pPr>
          </w:p>
        </w:tc>
      </w:tr>
      <w:tr>
        <w:trPr>
          <w:trHeight w:val="209"/>
        </w:trPr>
        <w:tc>
          <w:tcPr>
            <w:tcW w:w="5980" w:type="dxa"/>
            <w:vAlign w:val="bottom"/>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42,208</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19,778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(4,732)</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(3,250)</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135,016</w:t>
            </w:r>
          </w:p>
        </w:tc>
        <w:tc>
          <w:tcPr>
            <w:tcW w:w="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139,149</w:t>
            </w:r>
          </w:p>
        </w:tc>
        <w:tc>
          <w:tcPr>
            <w:tcW w:w="0" w:type="dxa"/>
            <w:vAlign w:val="bottom"/>
          </w:tcPr>
          <w:p>
            <w:pPr>
              <w:spacing w:after="0"/>
              <w:rPr>
                <w:sz w:val="1"/>
                <w:szCs w:val="1"/>
                <w:color w:val="auto"/>
              </w:rPr>
            </w:pPr>
          </w:p>
        </w:tc>
      </w:tr>
      <w:tr>
        <w:trPr>
          <w:trHeight w:val="192"/>
        </w:trPr>
        <w:tc>
          <w:tcPr>
            <w:tcW w:w="5980" w:type="dxa"/>
            <w:vAlign w:val="bottom"/>
          </w:tcPr>
          <w:p>
            <w:pPr>
              <w:ind w:left="6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Purchase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w:t>
            </w: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Acquisition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(30,000)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Capitalized software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(55,910)</w:t>
            </w:r>
          </w:p>
        </w:tc>
        <w:tc>
          <w:tcPr>
            <w:tcW w:w="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(52,625)</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(88,190)</w:t>
            </w: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(53,703)</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Proceeds from long-term debt</w:t>
            </w: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472,033</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Payments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(639,038)</w:t>
            </w: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Payments of debt issuance costs</w:t>
            </w: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(2,673)</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 xml:space="preserve">Repurchases of Class A common stock </w:t>
            </w:r>
            <w:r>
              <w:rPr>
                <w:rFonts w:ascii="Arial" w:cs="Arial" w:eastAsia="Arial" w:hAnsi="Arial"/>
                <w:sz w:val="16"/>
                <w:szCs w:val="16"/>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(206,942)</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(158,657)</w:t>
            </w:r>
          </w:p>
        </w:tc>
        <w:tc>
          <w:tcPr>
            <w:tcW w:w="0" w:type="dxa"/>
            <w:vAlign w:val="bottom"/>
          </w:tcPr>
          <w:p>
            <w:pPr>
              <w:spacing w:after="0"/>
              <w:rPr>
                <w:sz w:val="1"/>
                <w:szCs w:val="1"/>
                <w:color w:val="auto"/>
              </w:rPr>
            </w:pPr>
          </w:p>
        </w:tc>
      </w:tr>
      <w:tr>
        <w:trPr>
          <w:trHeight w:val="209"/>
        </w:trPr>
        <w:tc>
          <w:tcPr>
            <w:tcW w:w="5980" w:type="dxa"/>
            <w:vAlign w:val="bottom"/>
          </w:tcPr>
          <w:p>
            <w:pPr>
              <w:ind w:left="60"/>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18,435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(11,872)</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Proceeds from employee stock purchase plan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(221,643)</w:t>
            </w:r>
          </w:p>
        </w:tc>
        <w:tc>
          <w:tcPr>
            <w:tcW w:w="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(333,965)</w:t>
            </w:r>
          </w:p>
        </w:tc>
        <w:tc>
          <w:tcPr>
            <w:tcW w:w="0" w:type="dxa"/>
            <w:vAlign w:val="bottom"/>
          </w:tcPr>
          <w:p>
            <w:pPr>
              <w:spacing w:after="0"/>
              <w:rPr>
                <w:sz w:val="1"/>
                <w:szCs w:val="1"/>
                <w:color w:val="auto"/>
              </w:rPr>
            </w:pPr>
          </w:p>
        </w:tc>
      </w:tr>
      <w:tr>
        <w:trPr>
          <w:trHeight w:val="195"/>
        </w:trPr>
        <w:tc>
          <w:tcPr>
            <w:tcW w:w="5980" w:type="dxa"/>
            <w:vAlign w:val="bottom"/>
          </w:tcPr>
          <w:p>
            <w:pPr>
              <w:ind w:left="540"/>
              <w:spacing w:after="0"/>
              <w:rPr>
                <w:sz w:val="20"/>
                <w:szCs w:val="20"/>
                <w:color w:val="auto"/>
              </w:rPr>
            </w:pPr>
            <w:r>
              <w:rPr>
                <w:rFonts w:ascii="Arial" w:cs="Arial" w:eastAsia="Arial" w:hAnsi="Arial"/>
                <w:sz w:val="13"/>
                <w:szCs w:val="13"/>
                <w:color w:val="auto"/>
              </w:rPr>
              <w:t>Net change in cash and cash equivalents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(174,817)</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(248,519)</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448,346</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672,296</w:t>
            </w:r>
          </w:p>
        </w:tc>
        <w:tc>
          <w:tcPr>
            <w:tcW w:w="0" w:type="dxa"/>
            <w:vAlign w:val="bottom"/>
          </w:tcPr>
          <w:p>
            <w:pPr>
              <w:spacing w:after="0"/>
              <w:rPr>
                <w:sz w:val="1"/>
                <w:szCs w:val="1"/>
                <w:color w:val="auto"/>
              </w:rPr>
            </w:pPr>
          </w:p>
        </w:tc>
      </w:tr>
      <w:tr>
        <w:trPr>
          <w:trHeight w:val="201"/>
        </w:trPr>
        <w:tc>
          <w:tcPr>
            <w:tcW w:w="5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End of period</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273,529</w:t>
            </w: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423,777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9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Non cash investing and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3"/>
                <w:szCs w:val="13"/>
                <w:color w:val="auto"/>
              </w:rPr>
              <w:t>Right-of-use assets obtained in exchange for operating lease liabilities</w:t>
            </w:r>
          </w:p>
        </w:tc>
        <w:tc>
          <w:tcPr>
            <w:tcW w:w="3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9,098</w:t>
            </w:r>
          </w:p>
        </w:tc>
        <w:tc>
          <w:tcPr>
            <w:tcW w:w="60" w:type="dxa"/>
            <w:vAlign w:val="bottom"/>
          </w:tcPr>
          <w:p>
            <w:pPr>
              <w:spacing w:after="0"/>
              <w:rPr>
                <w:sz w:val="18"/>
                <w:szCs w:val="18"/>
                <w:color w:val="auto"/>
              </w:rPr>
            </w:pPr>
          </w:p>
        </w:tc>
        <w:tc>
          <w:tcPr>
            <w:tcW w:w="5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Stock-based compensation included in capitalized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12,145</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12,313</w:t>
            </w:r>
          </w:p>
        </w:tc>
        <w:tc>
          <w:tcPr>
            <w:tcW w:w="0" w:type="dxa"/>
            <w:vAlign w:val="bottom"/>
          </w:tcPr>
          <w:p>
            <w:pPr>
              <w:spacing w:after="0"/>
              <w:rPr>
                <w:sz w:val="1"/>
                <w:szCs w:val="1"/>
                <w:color w:val="auto"/>
              </w:rPr>
            </w:pPr>
          </w:p>
        </w:tc>
      </w:tr>
      <w:tr>
        <w:trPr>
          <w:trHeight w:val="202"/>
        </w:trPr>
        <w:tc>
          <w:tcPr>
            <w:tcW w:w="5980" w:type="dxa"/>
            <w:vAlign w:val="bottom"/>
          </w:tcPr>
          <w:p>
            <w:pPr>
              <w:ind w:left="220"/>
              <w:spacing w:after="0"/>
              <w:rPr>
                <w:sz w:val="20"/>
                <w:szCs w:val="20"/>
                <w:color w:val="auto"/>
              </w:rPr>
            </w:pPr>
            <w:r>
              <w:rPr>
                <w:rFonts w:ascii="Arial" w:cs="Arial" w:eastAsia="Arial" w:hAnsi="Arial"/>
                <w:sz w:val="13"/>
                <w:szCs w:val="13"/>
                <w:color w:val="auto"/>
                <w:w w:val="99"/>
              </w:rPr>
              <w:t>Capitalized software included in accounts payable and accrued expenses and other current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8,206</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7,515</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(1)</w:t>
            </w:r>
          </w:p>
        </w:tc>
        <w:tc>
          <w:tcPr>
            <w:tcW w:w="8480" w:type="dxa"/>
            <w:vAlign w:val="bottom"/>
          </w:tcPr>
          <w:p>
            <w:pPr>
              <w:ind w:left="220"/>
              <w:spacing w:after="0"/>
              <w:rPr>
                <w:sz w:val="20"/>
                <w:szCs w:val="20"/>
                <w:color w:val="auto"/>
              </w:rPr>
            </w:pPr>
            <w:r>
              <w:rPr>
                <w:rFonts w:ascii="Arial" w:cs="Arial" w:eastAsia="Arial" w:hAnsi="Arial"/>
                <w:sz w:val="16"/>
                <w:szCs w:val="16"/>
                <w:color w:val="auto"/>
              </w:rPr>
              <w:t>Repurchases of Class A common stock for the   nine months ended September 30, 2025  and 2024 include 20.0</w:t>
            </w:r>
          </w:p>
        </w:tc>
      </w:tr>
      <w:tr>
        <w:trPr>
          <w:trHeight w:val="189"/>
        </w:trPr>
        <w:tc>
          <w:tcPr>
            <w:tcW w:w="440" w:type="dxa"/>
            <w:vAlign w:val="bottom"/>
          </w:tcPr>
          <w:p>
            <w:pPr>
              <w:spacing w:after="0"/>
              <w:rPr>
                <w:sz w:val="16"/>
                <w:szCs w:val="16"/>
                <w:color w:val="auto"/>
              </w:rPr>
            </w:pPr>
          </w:p>
        </w:tc>
        <w:tc>
          <w:tcPr>
            <w:tcW w:w="8480" w:type="dxa"/>
            <w:vAlign w:val="bottom"/>
          </w:tcPr>
          <w:p>
            <w:pPr>
              <w:ind w:left="220"/>
              <w:spacing w:after="0"/>
              <w:rPr>
                <w:sz w:val="20"/>
                <w:szCs w:val="20"/>
                <w:color w:val="auto"/>
              </w:rPr>
            </w:pPr>
            <w:r>
              <w:rPr>
                <w:rFonts w:ascii="Arial" w:cs="Arial" w:eastAsia="Arial" w:hAnsi="Arial"/>
                <w:sz w:val="16"/>
                <w:szCs w:val="16"/>
                <w:color w:val="auto"/>
              </w:rPr>
              <w:t>million and 20.9 million shares repurchased from related parties (after giving effect to the automatic conversion of</w:t>
            </w:r>
          </w:p>
        </w:tc>
      </w:tr>
      <w:tr>
        <w:trPr>
          <w:trHeight w:val="202"/>
        </w:trPr>
        <w:tc>
          <w:tcPr>
            <w:tcW w:w="440" w:type="dxa"/>
            <w:vAlign w:val="bottom"/>
          </w:tcPr>
          <w:p>
            <w:pPr>
              <w:spacing w:after="0"/>
              <w:rPr>
                <w:sz w:val="17"/>
                <w:szCs w:val="17"/>
                <w:color w:val="auto"/>
              </w:rPr>
            </w:pPr>
          </w:p>
        </w:tc>
        <w:tc>
          <w:tcPr>
            <w:tcW w:w="8480" w:type="dxa"/>
            <w:vAlign w:val="bottom"/>
          </w:tcPr>
          <w:p>
            <w:pPr>
              <w:ind w:left="220"/>
              <w:spacing w:after="0"/>
              <w:rPr>
                <w:sz w:val="20"/>
                <w:szCs w:val="20"/>
                <w:color w:val="auto"/>
              </w:rPr>
            </w:pPr>
            <w:r>
              <w:rPr>
                <w:rFonts w:ascii="Arial" w:cs="Arial" w:eastAsia="Arial" w:hAnsi="Arial"/>
                <w:sz w:val="16"/>
                <w:szCs w:val="16"/>
                <w:color w:val="auto"/>
              </w:rPr>
              <w:t>Class B common stock to Class A common stock upon such repurchase) for an aggregate consideration of   $84.9</w:t>
            </w:r>
          </w:p>
        </w:tc>
      </w:tr>
      <w:tr>
        <w:trPr>
          <w:trHeight w:val="215"/>
        </w:trPr>
        <w:tc>
          <w:tcPr>
            <w:tcW w:w="44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6"/>
                <w:szCs w:val="16"/>
                <w:color w:val="auto"/>
              </w:rPr>
              <w:t>million and $151.4 million, respectively. See "Note 10. Stockholders' Equity" for additional information.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722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Description of Business</w:t>
      </w:r>
    </w:p>
    <w:p>
      <w:pPr>
        <w:spacing w:after="0" w:line="127" w:lineRule="exact"/>
        <w:rPr>
          <w:sz w:val="20"/>
          <w:szCs w:val="20"/>
          <w:color w:val="auto"/>
        </w:rPr>
      </w:pPr>
    </w:p>
    <w:p>
      <w:pPr>
        <w:ind w:left="40" w:right="79" w:firstLine="324"/>
        <w:spacing w:after="0" w:line="266" w:lineRule="auto"/>
        <w:rPr>
          <w:sz w:val="20"/>
          <w:szCs w:val="20"/>
          <w:color w:val="auto"/>
        </w:rPr>
      </w:pPr>
      <w:r>
        <w:rPr>
          <w:rFonts w:ascii="Arial" w:cs="Arial" w:eastAsia="Arial" w:hAnsi="Arial"/>
          <w:sz w:val="16"/>
          <w:szCs w:val="16"/>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w:t>
      </w:r>
    </w:p>
    <w:p>
      <w:pPr>
        <w:sectPr>
          <w:pgSz w:w="11900" w:h="16838" w:orient="portrait"/>
          <w:cols w:equalWidth="0" w:num="1">
            <w:col w:w="9019"/>
          </w:cols>
          <w:pgMar w:left="1440" w:top="368" w:right="1440" w:bottom="0" w:gutter="0" w:footer="0" w:header="0"/>
        </w:sectPr>
      </w:pPr>
    </w:p>
    <w:bookmarkStart w:id="8" w:name="page9"/>
    <w:bookmarkEnd w:id="8"/>
    <w:p>
      <w:pPr>
        <w:ind w:left="40"/>
        <w:spacing w:after="0"/>
        <w:rPr>
          <w:sz w:val="20"/>
          <w:szCs w:val="20"/>
          <w:color w:val="auto"/>
        </w:rPr>
      </w:pPr>
      <w:r>
        <w:rPr>
          <w:rFonts w:ascii="Arial" w:cs="Arial" w:eastAsia="Arial" w:hAnsi="Arial"/>
          <w:sz w:val="16"/>
          <w:szCs w:val="16"/>
          <w:color w:val="auto"/>
        </w:rPr>
        <w:t>subsidiary of GoodRx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7339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ind w:left="40" w:right="79" w:firstLine="324"/>
        <w:spacing w:after="0" w:line="257" w:lineRule="auto"/>
        <w:rPr>
          <w:sz w:val="20"/>
          <w:szCs w:val="20"/>
          <w:color w:val="auto"/>
        </w:rPr>
      </w:pPr>
      <w:r>
        <w:rPr>
          <w:rFonts w:ascii="Arial" w:cs="Arial" w:eastAsia="Arial" w:hAnsi="Arial"/>
          <w:sz w:val="16"/>
          <w:szCs w:val="16"/>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("prescription transactions offering"). We also offer other healthcare products and services, including subscription programs, pharmaceutical ("pharma") manufacturer solutions and telehealth services.</w:t>
      </w:r>
    </w:p>
    <w:p>
      <w:pPr>
        <w:spacing w:after="0" w:line="300" w:lineRule="exact"/>
        <w:rPr>
          <w:sz w:val="20"/>
          <w:szCs w:val="20"/>
          <w:color w:val="auto"/>
        </w:rPr>
      </w:pPr>
    </w:p>
    <w:p>
      <w:pPr>
        <w:ind w:left="40" w:right="5379" w:firstLine="9"/>
        <w:spacing w:after="0" w:line="387" w:lineRule="auto"/>
        <w:tabs>
          <w:tab w:leader="none" w:pos="2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pacing w:after="0" w:line="1"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w:t>
      </w:r>
    </w:p>
    <w:p>
      <w:pPr>
        <w:spacing w:after="0" w:line="3" w:lineRule="exact"/>
        <w:rPr>
          <w:sz w:val="20"/>
          <w:szCs w:val="20"/>
          <w:color w:val="auto"/>
        </w:rPr>
      </w:pPr>
    </w:p>
    <w:p>
      <w:pPr>
        <w:ind w:left="40" w:right="79"/>
        <w:spacing w:after="0" w:line="255" w:lineRule="auto"/>
        <w:rPr>
          <w:sz w:val="20"/>
          <w:szCs w:val="20"/>
          <w:color w:val="auto"/>
        </w:rPr>
      </w:pPr>
      <w:r>
        <w:rPr>
          <w:rFonts w:ascii="Arial" w:cs="Arial" w:eastAsia="Arial" w:hAnsi="Arial"/>
          <w:sz w:val="16"/>
          <w:szCs w:val="16"/>
          <w:color w:val="auto"/>
        </w:rPr>
        <w:t>consolidated financial statements for the year ended December 31, 2024 and the related notes, which are included in our Annual Report on Form 10-K filed with the SEC on February 27, 2025 ("2024 10-K"). The December 31, 2024 condensed</w:t>
      </w:r>
    </w:p>
    <w:p>
      <w:pPr>
        <w:spacing w:after="0" w:line="1" w:lineRule="exact"/>
        <w:rPr>
          <w:sz w:val="20"/>
          <w:szCs w:val="20"/>
          <w:color w:val="auto"/>
        </w:rPr>
      </w:pPr>
    </w:p>
    <w:p>
      <w:pPr>
        <w:ind w:left="40" w:right="99"/>
        <w:spacing w:after="0" w:line="260" w:lineRule="auto"/>
        <w:rPr>
          <w:sz w:val="20"/>
          <w:szCs w:val="20"/>
          <w:color w:val="auto"/>
        </w:rPr>
      </w:pPr>
      <w:r>
        <w:rPr>
          <w:rFonts w:ascii="Arial" w:cs="Arial" w:eastAsia="Arial" w:hAnsi="Arial"/>
          <w:sz w:val="16"/>
          <w:szCs w:val="16"/>
          <w:color w:val="auto"/>
        </w:rPr>
        <w:t>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and nine months ended September 30, 2025 are not necessarily indicative of the results expected for the full year ending December 31, 2025.</w:t>
      </w:r>
    </w:p>
    <w:p>
      <w:pPr>
        <w:spacing w:after="0" w:line="67" w:lineRule="exact"/>
        <w:rPr>
          <w:sz w:val="20"/>
          <w:szCs w:val="20"/>
          <w:color w:val="auto"/>
        </w:rPr>
      </w:pPr>
    </w:p>
    <w:p>
      <w:pPr>
        <w:jc w:val="both"/>
        <w:ind w:left="40" w:right="199" w:firstLine="324"/>
        <w:spacing w:after="0" w:line="275" w:lineRule="auto"/>
        <w:rPr>
          <w:sz w:val="20"/>
          <w:szCs w:val="20"/>
          <w:color w:val="auto"/>
        </w:rPr>
      </w:pPr>
      <w:r>
        <w:rPr>
          <w:rFonts w:ascii="Arial" w:cs="Arial" w:eastAsia="Arial" w:hAnsi="Arial"/>
          <w:sz w:val="16"/>
          <w:szCs w:val="16"/>
          <w:color w:val="auto"/>
        </w:rPr>
        <w:t>There have been no material changes in significant accounting policies during the three and nine months ended September 30, 2025 from those disclosed in “Note 2. Summary of Significant Accounting Policies ” in the notes to our consolidated financial statements included in our 2024 10-K.</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Principles of Consolidation</w:t>
      </w:r>
    </w:p>
    <w:p>
      <w:pPr>
        <w:spacing w:after="0" w:line="127"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Reporting</w:t>
      </w:r>
    </w:p>
    <w:p>
      <w:pPr>
        <w:spacing w:after="0" w:line="127" w:lineRule="exact"/>
        <w:rPr>
          <w:sz w:val="20"/>
          <w:szCs w:val="20"/>
          <w:color w:val="auto"/>
        </w:rPr>
      </w:pPr>
    </w:p>
    <w:p>
      <w:pPr>
        <w:ind w:left="40" w:right="119" w:firstLine="324"/>
        <w:spacing w:after="0" w:line="275"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regularly provided to the chief operating decision maker ("CODM") in deciding how to allocate resources and in assessing performance. Our CODM manages our business on the basis of one operating segment.</w:t>
      </w:r>
    </w:p>
    <w:p>
      <w:pPr>
        <w:sectPr>
          <w:pgSz w:w="11900" w:h="16838" w:orient="portrait"/>
          <w:cols w:equalWidth="0" w:num="1">
            <w:col w:w="9019"/>
          </w:cols>
          <w:pgMar w:left="1440" w:top="114" w:right="1440" w:bottom="0" w:gutter="0" w:footer="0" w:header="0"/>
        </w:sectPr>
      </w:pPr>
    </w:p>
    <w:p>
      <w:pPr>
        <w:spacing w:after="0" w:line="56" w:lineRule="exact"/>
        <w:rPr>
          <w:sz w:val="20"/>
          <w:szCs w:val="20"/>
          <w:color w:val="auto"/>
        </w:rPr>
      </w:pPr>
    </w:p>
    <w:p>
      <w:pPr>
        <w:ind w:left="40" w:firstLine="324"/>
        <w:spacing w:after="0" w:line="263" w:lineRule="auto"/>
        <w:rPr>
          <w:sz w:val="20"/>
          <w:szCs w:val="20"/>
          <w:color w:val="auto"/>
        </w:rPr>
      </w:pPr>
      <w:r>
        <w:rPr>
          <w:rFonts w:ascii="Arial" w:cs="Arial" w:eastAsia="Arial" w:hAnsi="Arial"/>
          <w:sz w:val="16"/>
          <w:szCs w:val="16"/>
          <w:color w:val="auto"/>
        </w:rPr>
        <w:t>Our operating segment derives revenue in a manner as disclosed in "Note Policies" in the notes to our consolidated financial statements included in our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 Summary of Significant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2024 10-K. Our CODM is our principal</w:t>
      </w:r>
    </w:p>
    <w:p>
      <w:pPr>
        <w:spacing w:after="0" w:line="15" w:lineRule="exact"/>
        <w:rPr>
          <w:sz w:val="20"/>
          <w:szCs w:val="20"/>
          <w:color w:val="auto"/>
        </w:rPr>
      </w:pPr>
    </w:p>
    <w:p>
      <w:pPr>
        <w:sectPr>
          <w:pgSz w:w="11900" w:h="16838" w:orient="portrait"/>
          <w:cols w:equalWidth="0" w:num="2">
            <w:col w:w="5680" w:space="320"/>
            <w:col w:w="3019"/>
          </w:cols>
          <w:pgMar w:left="1440" w:top="114" w:right="1440" w:bottom="0" w:gutter="0" w:footer="0" w:header="0"/>
          <w:type w:val="continuous"/>
        </w:sectPr>
      </w:pPr>
    </w:p>
    <w:p>
      <w:pPr>
        <w:ind w:left="40" w:right="99"/>
        <w:spacing w:after="0" w:line="258" w:lineRule="auto"/>
        <w:rPr>
          <w:sz w:val="20"/>
          <w:szCs w:val="20"/>
          <w:color w:val="auto"/>
        </w:rPr>
      </w:pPr>
      <w:r>
        <w:rPr>
          <w:rFonts w:ascii="Arial" w:cs="Arial" w:eastAsia="Arial" w:hAnsi="Arial"/>
          <w:sz w:val="16"/>
          <w:szCs w:val="16"/>
          <w:color w:val="auto"/>
        </w:rPr>
        <w:t>executive officer, who is our Chief Executive Officer and President beginning in 2025. Consolidated net income or loss is the measure of segment profit or loss reviewed by our CODM in assessing segment performance and deciding how to allocate resources. Our CODM uses consolidated net income or loss to monitor budget versus actual results, review historical company performance trends, conduct benchmark analysis of our peers and competitors, and evaluate management’s compensation. Significant expenses included in the reported measure of segment profit or loss are provided to our CODM on a consolidated basis as presented in the accompanying condensed consolidated statements of operations.</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Estimates</w:t>
      </w:r>
    </w:p>
    <w:p>
      <w:pPr>
        <w:spacing w:after="0" w:line="127" w:lineRule="exact"/>
        <w:rPr>
          <w:sz w:val="20"/>
          <w:szCs w:val="20"/>
          <w:color w:val="auto"/>
        </w:rPr>
      </w:pPr>
    </w:p>
    <w:p>
      <w:pPr>
        <w:ind w:left="40" w:right="199" w:firstLine="324"/>
        <w:spacing w:after="0" w:line="286"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amounts reported in the condensed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093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59"/>
        <w:spacing w:after="0" w:line="265" w:lineRule="auto"/>
        <w:rPr>
          <w:sz w:val="20"/>
          <w:szCs w:val="20"/>
          <w:color w:val="auto"/>
        </w:rPr>
      </w:pPr>
      <w:r>
        <w:rPr>
          <w:rFonts w:ascii="Arial" w:cs="Arial" w:eastAsia="Arial" w:hAnsi="Arial"/>
          <w:sz w:val="16"/>
          <w:szCs w:val="16"/>
          <w:color w:val="auto"/>
        </w:rPr>
        <w:t>including the accompanying notes. We base our estimates on historical factors; current circumstances; macroeconomic events and conditions; and the experience and judgment of our management. We evaluate our estimates and assumptions on an ongoing basis. Actual results can differ materially from these estimates, and such differences can affect the results of operations reported in future periods.</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Certain Risks and Concentrations</w:t>
      </w:r>
    </w:p>
    <w:p>
      <w:pPr>
        <w:spacing w:after="0" w:line="113" w:lineRule="exact"/>
        <w:rPr>
          <w:sz w:val="20"/>
          <w:szCs w:val="20"/>
          <w:color w:val="auto"/>
        </w:rPr>
      </w:pPr>
    </w:p>
    <w:p>
      <w:pPr>
        <w:ind w:left="40" w:right="359" w:firstLine="324"/>
        <w:spacing w:after="0" w:line="286" w:lineRule="auto"/>
        <w:rPr>
          <w:sz w:val="20"/>
          <w:szCs w:val="20"/>
          <w:color w:val="auto"/>
        </w:rPr>
      </w:pPr>
      <w:r>
        <w:rPr>
          <w:rFonts w:ascii="Arial" w:cs="Arial" w:eastAsia="Arial" w:hAnsi="Arial"/>
          <w:sz w:val="16"/>
          <w:szCs w:val="16"/>
          <w:color w:val="auto"/>
        </w:rPr>
        <w:t>Financial instruments that potentially subject us to significant concentrations of credit risk consist principally of cash, cash equivalents and accounts receivable.</w:t>
      </w:r>
    </w:p>
    <w:p>
      <w:pPr>
        <w:spacing w:after="0" w:line="61" w:lineRule="exact"/>
        <w:rPr>
          <w:sz w:val="20"/>
          <w:szCs w:val="20"/>
          <w:color w:val="auto"/>
        </w:rPr>
      </w:pPr>
    </w:p>
    <w:p>
      <w:pPr>
        <w:ind w:left="40" w:right="139" w:firstLine="324"/>
        <w:spacing w:after="0" w:line="261" w:lineRule="auto"/>
        <w:rPr>
          <w:sz w:val="20"/>
          <w:szCs w:val="20"/>
          <w:color w:val="auto"/>
        </w:rPr>
      </w:pPr>
      <w:r>
        <w:rPr>
          <w:rFonts w:ascii="Arial" w:cs="Arial" w:eastAsia="Arial" w:hAnsi="Arial"/>
          <w:sz w:val="16"/>
          <w:szCs w:val="16"/>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consider all short-term, highly liquid investments purchased with an original maturity of three months or less at the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of purchase to be cash equivalents. Cash equivalents, consisting of U.S. treasury securities money market funds,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$199.0 million and $405.0 million at September 30, 2025 and December 31, 2024, respectively, were classified as Level 1 of</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fair value hierarchy and valued using quoted market prices in active markets.</w:t>
      </w:r>
    </w:p>
    <w:p>
      <w:pPr>
        <w:sectPr>
          <w:pgSz w:w="11900" w:h="16838" w:orient="portrait"/>
          <w:cols w:equalWidth="0" w:num="1">
            <w:col w:w="9019"/>
          </w:cols>
          <w:pgMar w:left="1440" w:top="114" w:right="1440" w:bottom="0" w:gutter="0" w:footer="0" w:header="0"/>
          <w:type w:val="continuous"/>
        </w:sectPr>
      </w:pPr>
    </w:p>
    <w:bookmarkStart w:id="9" w:name="page10"/>
    <w:bookmarkEnd w:id="9"/>
    <w:p>
      <w:pPr>
        <w:ind w:left="40" w:right="59" w:firstLine="324"/>
        <w:spacing w:after="0" w:line="261" w:lineRule="auto"/>
        <w:rPr>
          <w:sz w:val="20"/>
          <w:szCs w:val="20"/>
          <w:color w:val="auto"/>
        </w:rPr>
      </w:pPr>
      <w:r>
        <w:rPr>
          <w:rFonts w:ascii="Arial" w:cs="Arial" w:eastAsia="Arial" w:hAnsi="Arial"/>
          <w:sz w:val="16"/>
          <w:szCs w:val="16"/>
          <w:color w:val="auto"/>
        </w:rPr>
        <w:t>We extend credit to our customers based on an evaluation of their ability to pay amounts due under contractual arrangements and generally do not obtain or require collateral. For each of the three and nine months ended September 30, 2025, no customer accounted for more than 10% of our revenue. For the three months ended September 30, 2024 , no customer accounted for more than 10% of our revenue. For the nine months ended September 30, 2024 , two customers each accounted for 10% of our revenue. At September 30, 2025 and December 31, 2024, no customer accounted for more than 10% of our accounts receivable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-745490</wp:posOffset>
            </wp:positionV>
            <wp:extent cx="7016115" cy="5968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Investments</w:t>
      </w:r>
    </w:p>
    <w:p>
      <w:pPr>
        <w:spacing w:after="0" w:line="127" w:lineRule="exact"/>
        <w:rPr>
          <w:sz w:val="20"/>
          <w:szCs w:val="20"/>
          <w:color w:val="auto"/>
        </w:rPr>
      </w:pPr>
    </w:p>
    <w:p>
      <w:pPr>
        <w:ind w:left="40" w:right="219" w:firstLine="324"/>
        <w:spacing w:after="0" w:line="257" w:lineRule="auto"/>
        <w:rPr>
          <w:sz w:val="20"/>
          <w:szCs w:val="20"/>
          <w:color w:val="auto"/>
        </w:rPr>
      </w:pPr>
      <w:r>
        <w:rPr>
          <w:rFonts w:ascii="Arial" w:cs="Arial" w:eastAsia="Arial" w:hAnsi="Arial"/>
          <w:sz w:val="16"/>
          <w:szCs w:val="16"/>
          <w:color w:val="auto"/>
        </w:rPr>
        <w:t>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w:t>
      </w:r>
    </w:p>
    <w:p>
      <w:pPr>
        <w:spacing w:after="0" w:line="2" w:lineRule="exact"/>
        <w:rPr>
          <w:sz w:val="20"/>
          <w:szCs w:val="20"/>
          <w:color w:val="auto"/>
        </w:rPr>
      </w:pPr>
    </w:p>
    <w:p>
      <w:pPr>
        <w:ind w:left="40" w:right="79"/>
        <w:spacing w:after="0" w:line="259" w:lineRule="auto"/>
        <w:rPr>
          <w:sz w:val="20"/>
          <w:szCs w:val="20"/>
          <w:color w:val="auto"/>
        </w:rPr>
      </w:pPr>
      <w:r>
        <w:rPr>
          <w:rFonts w:ascii="Arial" w:cs="Arial" w:eastAsia="Arial" w:hAnsi="Arial"/>
          <w:sz w:val="16"/>
          <w:szCs w:val="16"/>
          <w:color w:val="auto"/>
        </w:rPr>
        <w:t xml:space="preserve">measurement alternative in accordance with Accounting Standards Codification ("ASC") 321, </w:t>
      </w:r>
      <w:r>
        <w:rPr>
          <w:rFonts w:ascii="Arial" w:cs="Arial" w:eastAsia="Arial" w:hAnsi="Arial"/>
          <w:sz w:val="16"/>
          <w:szCs w:val="16"/>
          <w:i w:val="1"/>
          <w:iCs w:val="1"/>
          <w:color w:val="auto"/>
        </w:rPr>
        <w:t>Investments –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which is cost minus impairment, if any, plus or minus changes resulting from observable price changes. We did</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any changes resulting from observable price changes or impairment losses on our minority equity interest investments during the three and nine months ended September 30, 2025 and 2024. Equity investments included in other assets on our condensed consolidated balance sheets were $15.0 million as of September 30, 2025 and December 31, 2024.</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Impairment of Long-Lived Assets</w:t>
      </w:r>
    </w:p>
    <w:p>
      <w:pPr>
        <w:sectPr>
          <w:pgSz w:w="11900" w:h="16838" w:orient="portrait"/>
          <w:cols w:equalWidth="0" w:num="1">
            <w:col w:w="9019"/>
          </w:cols>
          <w:pgMar w:left="1440" w:top="114" w:right="1440" w:bottom="0" w:gutter="0" w:footer="0" w:header="0"/>
        </w:sectPr>
      </w:pPr>
    </w:p>
    <w:p>
      <w:pPr>
        <w:spacing w:after="0" w:line="127" w:lineRule="exact"/>
        <w:rPr>
          <w:sz w:val="20"/>
          <w:szCs w:val="20"/>
          <w:color w:val="auto"/>
        </w:rPr>
      </w:pPr>
    </w:p>
    <w:p>
      <w:pPr>
        <w:ind w:left="380"/>
        <w:spacing w:after="0"/>
        <w:tabs>
          <w:tab w:leader="none" w:pos="6380" w:val="left"/>
        </w:tabs>
        <w:rPr>
          <w:sz w:val="20"/>
          <w:szCs w:val="20"/>
          <w:color w:val="auto"/>
        </w:rPr>
      </w:pPr>
      <w:r>
        <w:rPr>
          <w:rFonts w:ascii="Arial" w:cs="Arial" w:eastAsia="Arial" w:hAnsi="Arial"/>
          <w:sz w:val="16"/>
          <w:szCs w:val="16"/>
          <w:color w:val="auto"/>
        </w:rPr>
        <w:t>We account for the impairment of long-lived assets in accordance with ASC 360,</w:t>
      </w:r>
      <w:r>
        <w:rPr>
          <w:sz w:val="20"/>
          <w:szCs w:val="20"/>
          <w:color w:val="auto"/>
        </w:rPr>
        <w:tab/>
      </w:r>
      <w:r>
        <w:rPr>
          <w:rFonts w:ascii="Arial" w:cs="Arial" w:eastAsia="Arial" w:hAnsi="Arial"/>
          <w:sz w:val="16"/>
          <w:szCs w:val="16"/>
          <w:i w:val="1"/>
          <w:iCs w:val="1"/>
          <w:color w:val="auto"/>
        </w:rPr>
        <w:t>Property, Plant, and Equipment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 In</w:t>
      </w:r>
    </w:p>
    <w:p>
      <w:pPr>
        <w:spacing w:after="0" w:line="42" w:lineRule="exact"/>
        <w:rPr>
          <w:sz w:val="20"/>
          <w:szCs w:val="20"/>
          <w:color w:val="auto"/>
        </w:rPr>
      </w:pPr>
    </w:p>
    <w:p>
      <w:pPr>
        <w:sectPr>
          <w:pgSz w:w="11900" w:h="16838" w:orient="portrait"/>
          <w:cols w:equalWidth="0" w:num="2">
            <w:col w:w="8640" w:space="80"/>
            <w:col w:w="299"/>
          </w:cols>
          <w:pgMar w:left="1440" w:top="114" w:right="1440" w:bottom="0" w:gutter="0" w:footer="0" w:header="0"/>
          <w:type w:val="continuous"/>
        </w:sectPr>
      </w:pPr>
    </w:p>
    <w:p>
      <w:pPr>
        <w:ind w:left="40" w:right="139"/>
        <w:spacing w:after="0" w:line="254" w:lineRule="auto"/>
        <w:rPr>
          <w:sz w:val="20"/>
          <w:szCs w:val="20"/>
          <w:color w:val="auto"/>
        </w:rPr>
      </w:pPr>
      <w:r>
        <w:rPr>
          <w:rFonts w:ascii="Arial" w:cs="Arial" w:eastAsia="Arial" w:hAnsi="Arial"/>
          <w:sz w:val="16"/>
          <w:szCs w:val="16"/>
          <w:color w:val="auto"/>
        </w:rPr>
        <w:t>accordance with ASC 360, long-lived assets to be held and used are reviewed for impairment when events or changes in circumstances indicate that their carrying values may not be recoverable. We perform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w:t>
      </w:r>
    </w:p>
    <w:p>
      <w:pPr>
        <w:spacing w:after="0" w:line="75" w:lineRule="exact"/>
        <w:rPr>
          <w:sz w:val="20"/>
          <w:szCs w:val="20"/>
          <w:color w:val="auto"/>
        </w:rPr>
      </w:pPr>
    </w:p>
    <w:p>
      <w:pPr>
        <w:ind w:left="40" w:right="79" w:firstLine="324"/>
        <w:spacing w:after="0" w:line="246" w:lineRule="auto"/>
        <w:rPr>
          <w:sz w:val="20"/>
          <w:szCs w:val="20"/>
          <w:color w:val="auto"/>
        </w:rPr>
      </w:pPr>
      <w:r>
        <w:rPr>
          <w:rFonts w:ascii="Arial" w:cs="Arial" w:eastAsia="Arial" w:hAnsi="Arial"/>
          <w:sz w:val="16"/>
          <w:szCs w:val="16"/>
          <w:color w:val="auto"/>
        </w:rPr>
        <w:t>During the three months ended March 31, 2025, we recognized an impairment loss of $4.4 million within general and administrative expenses to reduce the carrying value of an asset group to its estimated fair value of $3.4 million. The asset group was comprised of an operating lease right-of-use asset and related improvements that we had determined to sublease in 2022. The facts and circumstances leading to the impairment were primarily based on a recently submitted sublease proposal which indicated a significant deterioration in the sublease market and rental rates whereby the carrying value of the asset group may not be recoverable. The estimated fair value was determined by using a discounted cash flow method which is a non-recurring fair value measurement based on Level 3 inputs. Key inputs used in this estimate included projected sublease income and a discount rate which incorporated the risk of achievement associated with the forecast. We</w:t>
      </w:r>
    </w:p>
    <w:p>
      <w:pPr>
        <w:spacing w:after="0" w:line="6" w:lineRule="exact"/>
        <w:rPr>
          <w:sz w:val="20"/>
          <w:szCs w:val="20"/>
          <w:color w:val="auto"/>
        </w:rPr>
      </w:pPr>
    </w:p>
    <w:p>
      <w:pPr>
        <w:ind w:left="40" w:right="159"/>
        <w:spacing w:after="0" w:line="265" w:lineRule="auto"/>
        <w:rPr>
          <w:sz w:val="20"/>
          <w:szCs w:val="20"/>
          <w:color w:val="auto"/>
        </w:rPr>
      </w:pPr>
      <w:r>
        <w:rPr>
          <w:rFonts w:ascii="Arial" w:cs="Arial" w:eastAsia="Arial" w:hAnsi="Arial"/>
          <w:sz w:val="16"/>
          <w:szCs w:val="16"/>
          <w:color w:val="auto"/>
        </w:rPr>
        <w:t>otherwise have not recognized any impairment losses of our long-lived assets during the three and nine months ended September 30, 2025 and 2024.</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September 2025, the Financial Accounting Standards Board ("FASB") issued Accounting Standards Update ("ASU")</w:t>
      </w:r>
    </w:p>
    <w:p>
      <w:pPr>
        <w:spacing w:after="0" w:line="21"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 xml:space="preserve">2025-06, </w:t>
      </w:r>
      <w:r>
        <w:rPr>
          <w:rFonts w:ascii="Arial" w:cs="Arial" w:eastAsia="Arial" w:hAnsi="Arial"/>
          <w:sz w:val="16"/>
          <w:szCs w:val="16"/>
          <w:i w:val="1"/>
          <w:iCs w:val="1"/>
          <w:color w:val="auto"/>
        </w:rPr>
        <w:t>Intangibles-Goodwill and Other-Internal-Use Software (Subtopic 350-40),</w:t>
      </w:r>
      <w:r>
        <w:rPr>
          <w:rFonts w:ascii="Arial" w:cs="Arial" w:eastAsia="Arial" w:hAnsi="Arial"/>
          <w:sz w:val="16"/>
          <w:szCs w:val="16"/>
          <w:color w:val="auto"/>
        </w:rPr>
        <w:tab/>
        <w:t>which amends certain aspects of the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465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39"/>
        <w:spacing w:after="0" w:line="263" w:lineRule="auto"/>
        <w:rPr>
          <w:sz w:val="20"/>
          <w:szCs w:val="20"/>
          <w:color w:val="auto"/>
        </w:rPr>
      </w:pPr>
      <w:r>
        <w:rPr>
          <w:rFonts w:ascii="Arial" w:cs="Arial" w:eastAsia="Arial" w:hAnsi="Arial"/>
          <w:sz w:val="16"/>
          <w:szCs w:val="16"/>
          <w:color w:val="auto"/>
        </w:rPr>
        <w:t>accounting for and disclosure of software costs under ASC 350-40. The amendments in this ASU, amongst other things, eliminate accounting considerations of software development stages and instead require entities to capitalize internal-use</w:t>
      </w:r>
    </w:p>
    <w:p>
      <w:pPr>
        <w:ind w:left="40"/>
        <w:spacing w:after="0"/>
        <w:tabs>
          <w:tab w:leader="none" w:pos="6160" w:val="left"/>
        </w:tabs>
        <w:rPr>
          <w:sz w:val="20"/>
          <w:szCs w:val="20"/>
          <w:color w:val="auto"/>
        </w:rPr>
      </w:pPr>
      <w:r>
        <w:rPr>
          <w:rFonts w:ascii="Arial" w:cs="Arial" w:eastAsia="Arial" w:hAnsi="Arial"/>
          <w:sz w:val="16"/>
          <w:szCs w:val="16"/>
          <w:color w:val="auto"/>
        </w:rPr>
        <w:t>software costs when management commits to funding the software project and it is</w:t>
        <w:tab/>
        <w:t>probable the project will be completed</w:t>
      </w:r>
    </w:p>
    <w:p>
      <w:pPr>
        <w:spacing w:after="0" w:line="9" w:lineRule="exact"/>
        <w:rPr>
          <w:sz w:val="20"/>
          <w:szCs w:val="20"/>
          <w:color w:val="auto"/>
        </w:rPr>
      </w:pPr>
    </w:p>
    <w:p>
      <w:pPr>
        <w:ind w:left="40" w:right="79"/>
        <w:spacing w:after="0" w:line="258" w:lineRule="auto"/>
        <w:rPr>
          <w:sz w:val="20"/>
          <w:szCs w:val="20"/>
          <w:color w:val="auto"/>
        </w:rPr>
      </w:pPr>
      <w:r>
        <w:rPr>
          <w:rFonts w:ascii="Arial" w:cs="Arial" w:eastAsia="Arial" w:hAnsi="Arial"/>
          <w:sz w:val="16"/>
          <w:szCs w:val="16"/>
          <w:color w:val="auto"/>
        </w:rPr>
        <w:t>and will be used to perform the function intended. This ASU will be effective for all entities for annual reporting periods beginning after December 15, 2027, and for interim reporting periods within those annual reporting periods. Early adoption of this ASU is permitted and can be applied retrospectively , prospectively or on a modified prospective basis. We are currently evaluating the impact of the adoption of this ASU on our consolidated financial statements.</w:t>
      </w:r>
    </w:p>
    <w:p>
      <w:pPr>
        <w:spacing w:after="0" w:line="84"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6"/>
          <w:szCs w:val="16"/>
          <w:color w:val="auto"/>
        </w:rPr>
        <w:t xml:space="preserve">In July 2025, the FASB issued ASU 2025-05, </w:t>
      </w:r>
      <w:r>
        <w:rPr>
          <w:rFonts w:ascii="Arial" w:cs="Arial" w:eastAsia="Arial" w:hAnsi="Arial"/>
          <w:sz w:val="16"/>
          <w:szCs w:val="16"/>
          <w:i w:val="1"/>
          <w:iCs w:val="1"/>
          <w:color w:val="auto"/>
        </w:rPr>
        <w:t>Financial Instruments-Credit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for Accounts Receivable and Contract Assets for Private Companies and Certain Not-For-Profit Entities. </w:t>
      </w:r>
      <w:r>
        <w:rPr>
          <w:rFonts w:ascii="Arial" w:cs="Arial" w:eastAsia="Arial" w:hAnsi="Arial"/>
          <w:sz w:val="16"/>
          <w:szCs w:val="16"/>
          <w:color w:val="auto"/>
        </w:rPr>
        <w:t>This ASU</w:t>
      </w:r>
    </w:p>
    <w:p>
      <w:pPr>
        <w:ind w:left="40" w:right="219"/>
        <w:spacing w:after="0" w:line="252" w:lineRule="auto"/>
        <w:rPr>
          <w:sz w:val="20"/>
          <w:szCs w:val="20"/>
          <w:color w:val="auto"/>
        </w:rPr>
      </w:pPr>
      <w:r>
        <w:rPr>
          <w:rFonts w:ascii="Arial" w:cs="Arial" w:eastAsia="Arial" w:hAnsi="Arial"/>
          <w:sz w:val="16"/>
          <w:szCs w:val="16"/>
          <w:color w:val="auto"/>
        </w:rPr>
        <w:t xml:space="preserve">amends ASC 326-20 in part to provide a practical expedient election to assume that current conditions as of the balance sheet date do not change for the remaining life of current accounts receivable and/or current contract assets arising from transactions accounted for under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 This ASU will be effective for all entities for annual reporting periods beginning after December 15, 2025, and for interim reporting periods within those</w:t>
      </w:r>
    </w:p>
    <w:p>
      <w:pPr>
        <w:spacing w:after="0" w:line="1" w:lineRule="exact"/>
        <w:rPr>
          <w:sz w:val="20"/>
          <w:szCs w:val="20"/>
          <w:color w:val="auto"/>
        </w:rPr>
      </w:pPr>
    </w:p>
    <w:p>
      <w:pPr>
        <w:ind w:left="40" w:right="119"/>
        <w:spacing w:after="0" w:line="283" w:lineRule="auto"/>
        <w:rPr>
          <w:sz w:val="20"/>
          <w:szCs w:val="20"/>
          <w:color w:val="auto"/>
        </w:rPr>
      </w:pPr>
      <w:r>
        <w:rPr>
          <w:rFonts w:ascii="Arial" w:cs="Arial" w:eastAsia="Arial" w:hAnsi="Arial"/>
          <w:sz w:val="16"/>
          <w:szCs w:val="16"/>
          <w:color w:val="auto"/>
        </w:rPr>
        <w:t>annual reporting periods. Early adoption of this ASU is permitted and should be applied prospectively. We are currently evaluating the impact of the adoption of this ASU on our consolidated financial statements.</w:t>
      </w:r>
    </w:p>
    <w:p>
      <w:pPr>
        <w:spacing w:after="0" w:line="50"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Disaggregation Disclosures (Subtopic 220-40): Disaggregation of Income Statement Expenses</w:t>
      </w:r>
      <w:r>
        <w:rPr>
          <w:rFonts w:ascii="Arial" w:cs="Arial" w:eastAsia="Arial" w:hAnsi="Arial"/>
          <w:sz w:val="16"/>
          <w:szCs w:val="16"/>
          <w:color w:val="auto"/>
        </w:rPr>
        <w:t>, which is intended to improve</w:t>
      </w:r>
    </w:p>
    <w:p>
      <w:pPr>
        <w:ind w:left="40" w:right="79"/>
        <w:spacing w:after="0" w:line="256" w:lineRule="auto"/>
        <w:rPr>
          <w:sz w:val="20"/>
          <w:szCs w:val="20"/>
          <w:color w:val="auto"/>
        </w:rPr>
      </w:pPr>
      <w:r>
        <w:rPr>
          <w:rFonts w:ascii="Arial" w:cs="Arial" w:eastAsia="Arial" w:hAnsi="Arial"/>
          <w:sz w:val="16"/>
          <w:szCs w:val="16"/>
          <w:color w:val="auto"/>
        </w:rPr>
        <w:t>the disclosures of expenses by providing more detailed information about the types of expenses in commonly presented expense captions. This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This ASU also requires disclosure of the total amount of selling expense and, in annual reporting periods, an entity’s definition of selling expenses. In January 2025, the FASB issued ASU 2025-01 which clarified the effective date of this ASU. This ASU applies to all public entities and will be effective for fiscal years beginning after December 15, 2026, and for interim periods within fiscal years beginning after December 15, 2027. Early adoption of this ASU is permitted. This ASU should be applied either prospectively to financial statements issued for reporting periods after the effective date of this ASU or retrospectively to any or all prior periods presented in the financial statements. We are currently evaluating the impact of the adoption of this ASU on our consolidated financial statement disclosures.</w:t>
      </w:r>
    </w:p>
    <w:p>
      <w:pPr>
        <w:spacing w:after="0" w:line="70" w:lineRule="exact"/>
        <w:rPr>
          <w:sz w:val="20"/>
          <w:szCs w:val="20"/>
          <w:color w:val="auto"/>
        </w:rPr>
      </w:pPr>
    </w:p>
    <w:p>
      <w:pPr>
        <w:ind w:left="380"/>
        <w:spacing w:after="0"/>
        <w:tabs>
          <w:tab w:leader="none" w:pos="4500" w:val="left"/>
        </w:tabs>
        <w:rPr>
          <w:sz w:val="20"/>
          <w:szCs w:val="20"/>
          <w:color w:val="auto"/>
        </w:rPr>
      </w:pPr>
      <w:r>
        <w:rPr>
          <w:rFonts w:ascii="Arial" w:cs="Arial" w:eastAsia="Arial" w:hAnsi="Arial"/>
          <w:sz w:val="16"/>
          <w:szCs w:val="16"/>
          <w:color w:val="auto"/>
        </w:rPr>
        <w:t>In December 2023, the FASB issued ASU 2023-09,</w:t>
      </w:r>
      <w:r>
        <w:rPr>
          <w:sz w:val="20"/>
          <w:szCs w:val="20"/>
          <w:color w:val="auto"/>
        </w:rPr>
        <w:tab/>
      </w:r>
      <w:r>
        <w:rPr>
          <w:rFonts w:ascii="Arial" w:cs="Arial" w:eastAsia="Arial" w:hAnsi="Arial"/>
          <w:sz w:val="16"/>
          <w:szCs w:val="16"/>
          <w:i w:val="1"/>
          <w:iCs w:val="1"/>
          <w:color w:val="auto"/>
        </w:rPr>
        <w:t>Income Taxes (Topic 740): Improvements to Income Tax</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Disclosures</w:t>
      </w:r>
      <w:r>
        <w:rPr>
          <w:rFonts w:ascii="Arial" w:cs="Arial" w:eastAsia="Arial" w:hAnsi="Arial"/>
          <w:sz w:val="16"/>
          <w:szCs w:val="16"/>
          <w:color w:val="auto"/>
        </w:rPr>
        <w:t>. This ASU is intended to enhance the transparency and decision usefulness of income tax disclosures. The</w:t>
      </w:r>
    </w:p>
    <w:p>
      <w:pPr>
        <w:sectPr>
          <w:pgSz w:w="11900" w:h="16838" w:orient="portrait"/>
          <w:cols w:equalWidth="0" w:num="1">
            <w:col w:w="9019"/>
          </w:cols>
          <w:pgMar w:left="1440" w:top="114" w:right="1440" w:bottom="0" w:gutter="0" w:footer="0" w:header="0"/>
          <w:type w:val="continuous"/>
        </w:sectPr>
      </w:pPr>
    </w:p>
    <w:bookmarkStart w:id="10" w:name="page11"/>
    <w:bookmarkEnd w:id="10"/>
    <w:p>
      <w:pPr>
        <w:ind w:left="40" w:right="259"/>
        <w:spacing w:after="0" w:line="218" w:lineRule="auto"/>
        <w:rPr>
          <w:sz w:val="20"/>
          <w:szCs w:val="20"/>
          <w:color w:val="auto"/>
        </w:rPr>
      </w:pPr>
      <w:r>
        <w:rPr>
          <w:rFonts w:ascii="Arial" w:cs="Arial" w:eastAsia="Arial" w:hAnsi="Arial"/>
          <w:sz w:val="16"/>
          <w:szCs w:val="16"/>
          <w:color w:val="auto"/>
        </w:rPr>
        <w:t>amendments in this ASU address investor requests for enhanced income tax information primarily through changes to the rate reconciliation and income taxes paid information. This ASU applies to all public entities and will be effective for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-194945</wp:posOffset>
            </wp:positionV>
            <wp:extent cx="7016115" cy="4596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ind w:left="40" w:right="59"/>
        <w:spacing w:after="0" w:line="256" w:lineRule="auto"/>
        <w:rPr>
          <w:sz w:val="20"/>
          <w:szCs w:val="20"/>
          <w:color w:val="auto"/>
        </w:rPr>
      </w:pPr>
      <w:r>
        <w:rPr>
          <w:rFonts w:ascii="Arial" w:cs="Arial" w:eastAsia="Arial" w:hAnsi="Arial"/>
          <w:sz w:val="16"/>
          <w:szCs w:val="16"/>
          <w:color w:val="auto"/>
        </w:rPr>
        <w:t>years beginning after December 15, 2024, and for interim periods for fiscal years beginning after December 15, 2025. Early adoption of this ASU is permitted. The disclosure requirements can be applied either on a prospective or retrospective basis. We expect the adoption of this ASU will lead to additional income tax disclosures in our consolidated financial statements for 2025 and future annual periods. The additional income tax disclosures are expected to include, but not limited to, additional specified categories in the rate reconciliation in both percentage and dollar amounts with additional information for reconciling items that meet a quantitative threshold, as well as disaggregation of income taxes paid by jurisdiction. We plan to apply the disclosure requirements on a retrospective basis upon adoption.</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Business Combination</w:t>
      </w:r>
    </w:p>
    <w:p>
      <w:pPr>
        <w:spacing w:after="0" w:line="113" w:lineRule="exact"/>
        <w:rPr>
          <w:sz w:val="20"/>
          <w:szCs w:val="20"/>
          <w:color w:val="auto"/>
        </w:rPr>
      </w:pPr>
    </w:p>
    <w:p>
      <w:pPr>
        <w:ind w:left="40" w:right="99" w:firstLine="324"/>
        <w:spacing w:after="0" w:line="265" w:lineRule="auto"/>
        <w:rPr>
          <w:sz w:val="20"/>
          <w:szCs w:val="20"/>
          <w:color w:val="auto"/>
        </w:rPr>
      </w:pPr>
      <w:r>
        <w:rPr>
          <w:rFonts w:ascii="Arial" w:cs="Arial" w:eastAsia="Arial" w:hAnsi="Arial"/>
          <w:sz w:val="16"/>
          <w:szCs w:val="16"/>
          <w:color w:val="auto"/>
        </w:rPr>
        <w:t>On January 13, 2025, we acquired substantially all of the assets and assembled workforce of VCRx, a prescription savings business of Vivid Clear Rx, Inc., for $30.0 million in cash. VCRx operates a price comparison platform that provides consumer prescription savings through its partnership with PBMs. The acquisition expands our consumer reach particularly with respect to our prescription transactions offering.</w:t>
      </w:r>
    </w:p>
    <w:p>
      <w:pPr>
        <w:spacing w:after="0" w:line="78"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Goodwill associated with this acquisition totaled $11.0 million and primarily related to the expected long-term synergies and other benefits, including the acquired assembled workforce. The goodwill is deductible for tax purposes. Identifiable intangible assets related to this acquisition, totaled $19.0 million , of which $18.1 million was attributable to a customer related intangible asset, with an estimated useful life of 6 years.</w:t>
      </w:r>
    </w:p>
    <w:p>
      <w:pPr>
        <w:spacing w:after="0" w:line="65" w:lineRule="exact"/>
        <w:rPr>
          <w:sz w:val="20"/>
          <w:szCs w:val="20"/>
          <w:color w:val="auto"/>
        </w:rPr>
      </w:pPr>
    </w:p>
    <w:p>
      <w:pPr>
        <w:ind w:left="40" w:right="579" w:firstLine="324"/>
        <w:spacing w:after="0" w:line="275" w:lineRule="auto"/>
        <w:rPr>
          <w:sz w:val="20"/>
          <w:szCs w:val="20"/>
          <w:color w:val="auto"/>
        </w:rPr>
      </w:pPr>
      <w:r>
        <w:rPr>
          <w:rFonts w:ascii="Arial" w:cs="Arial" w:eastAsia="Arial" w:hAnsi="Arial"/>
          <w:sz w:val="16"/>
          <w:szCs w:val="16"/>
          <w:color w:val="auto"/>
        </w:rPr>
        <w:t>Unaudited supplemental pro forma financial information, revenue and earnings from the date of acquisition, and transaction costs related to the VCRx acquisition have not been presented because the effects are not material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5836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 Prepaid Expenses and Other Current Assets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 consist of the following: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shd w:val="clear" w:color="auto" w:fill="CCEEFF"/>
          </w:tcPr>
          <w:p>
            <w:pPr>
              <w:ind w:left="60"/>
              <w:spacing w:after="0" w:line="237" w:lineRule="exact"/>
              <w:rPr>
                <w:sz w:val="20"/>
                <w:szCs w:val="20"/>
                <w:color w:val="auto"/>
              </w:rPr>
            </w:pPr>
            <w:r>
              <w:rPr>
                <w:rFonts w:ascii="Arial" w:cs="Arial" w:eastAsia="Arial" w:hAnsi="Arial"/>
                <w:sz w:val="16"/>
                <w:szCs w:val="16"/>
                <w:color w:val="auto"/>
              </w:rPr>
              <w:t xml:space="preserve">Insurance recovery receivable </w:t>
            </w:r>
            <w:r>
              <w:rPr>
                <w:rFonts w:ascii="Arial" w:cs="Arial" w:eastAsia="Arial" w:hAnsi="Arial"/>
                <w:sz w:val="21"/>
                <w:szCs w:val="21"/>
                <w:color w:val="auto"/>
                <w:vertAlign w:val="superscript"/>
              </w:rPr>
              <w:t>(1)</w:t>
            </w:r>
          </w:p>
        </w:tc>
        <w:tc>
          <w:tcPr>
            <w:tcW w:w="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11,900</w:t>
            </w: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Income taxes receivable</w:t>
            </w: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1,277</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Reimbursable third-party payments </w:t>
            </w:r>
            <w:r>
              <w:rPr>
                <w:rFonts w:ascii="Arial" w:cs="Arial" w:eastAsia="Arial" w:hAnsi="Arial"/>
                <w:sz w:val="21"/>
                <w:szCs w:val="21"/>
                <w:color w:val="auto"/>
                <w:vertAlign w:val="superscript"/>
              </w:rPr>
              <w:t>(2)</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54,004</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22,944</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 xml:space="preserve">Other prepaid expenses and other current assets </w:t>
            </w:r>
            <w:r>
              <w:rPr>
                <w:rFonts w:ascii="Arial" w:cs="Arial" w:eastAsia="Arial" w:hAnsi="Arial"/>
                <w:sz w:val="21"/>
                <w:szCs w:val="21"/>
                <w:color w:val="auto"/>
                <w:vertAlign w:val="superscript"/>
              </w:rPr>
              <w:t>(3)</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21,067</w:t>
            </w:r>
          </w:p>
        </w:tc>
        <w:tc>
          <w:tcPr>
            <w:tcW w:w="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27,131</w:t>
            </w: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prepaid expenses and other current assets</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88,248</w:t>
            </w: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64,975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00" w:right="99" w:hanging="651"/>
        <w:spacing w:after="0" w:line="25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 receivable for the probable recovery related to an incurred loss in connection with certain contingencies. Loss recoveries are recognized when a loss has been incurred and the recovery is probable. This determination is based on our analysis of the underlying insurance policies, historical experience with insurers, and ongoing review of the solvency of insurers, among other factors.</w:t>
      </w:r>
    </w:p>
    <w:p>
      <w:pPr>
        <w:ind w:left="700" w:right="479" w:hanging="651"/>
        <w:spacing w:after="0" w:line="255"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payments we make to third parties on behalf of, and reimbursable from, pharma manufacturers in connection with our consumer affordability solutions, including consumer direct pricing.</w:t>
      </w:r>
    </w:p>
    <w:p>
      <w:pPr>
        <w:ind w:left="700" w:hanging="65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current assets were not material as of September 30, 2025 and December 31, 2024.</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 Accrued Expenses and Other Current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Accrued bonus and other payroll related</w:t>
            </w: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28,116</w:t>
            </w: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28,260</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Accrued legal settlement</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30,898</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marketing</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Income taxes payable</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7,677</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Reimbursable liabilities </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42,305</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6,282</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6,036</w:t>
            </w:r>
          </w:p>
        </w:tc>
        <w:tc>
          <w:tcPr>
            <w:tcW w:w="0" w:type="dxa"/>
            <w:vAlign w:val="bottom"/>
          </w:tcPr>
          <w:p>
            <w:pPr>
              <w:spacing w:after="0"/>
              <w:rPr>
                <w:sz w:val="1"/>
                <w:szCs w:val="1"/>
                <w:color w:val="auto"/>
              </w:rPr>
            </w:pPr>
          </w:p>
        </w:tc>
      </w:tr>
      <w:tr>
        <w:trPr>
          <w:trHeight w:val="283"/>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accrued expenses</w:t>
            </w:r>
          </w:p>
        </w:tc>
        <w:tc>
          <w:tcPr>
            <w:tcW w:w="4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16,512</w:t>
            </w:r>
          </w:p>
        </w:tc>
        <w:tc>
          <w:tcPr>
            <w:tcW w:w="6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8,268</w:t>
            </w:r>
          </w:p>
        </w:tc>
        <w:tc>
          <w:tcPr>
            <w:tcW w:w="0" w:type="dxa"/>
            <w:vAlign w:val="bottom"/>
          </w:tcPr>
          <w:p>
            <w:pPr>
              <w:spacing w:after="0"/>
              <w:rPr>
                <w:sz w:val="1"/>
                <w:szCs w:val="1"/>
                <w:color w:val="auto"/>
              </w:rPr>
            </w:pPr>
          </w:p>
        </w:tc>
      </w:tr>
      <w:tr>
        <w:trPr>
          <w:trHeight w:val="237"/>
        </w:trPr>
        <w:tc>
          <w:tcPr>
            <w:tcW w:w="5980" w:type="dxa"/>
            <w:vAlign w:val="bottom"/>
          </w:tcPr>
          <w:p>
            <w:pPr>
              <w:ind w:left="220"/>
              <w:spacing w:after="0"/>
              <w:rPr>
                <w:sz w:val="20"/>
                <w:szCs w:val="20"/>
                <w:color w:val="auto"/>
              </w:rPr>
            </w:pPr>
            <w:r>
              <w:rPr>
                <w:rFonts w:ascii="Arial" w:cs="Arial" w:eastAsia="Arial" w:hAnsi="Arial"/>
                <w:sz w:val="16"/>
                <w:szCs w:val="16"/>
                <w:color w:val="auto"/>
              </w:rPr>
              <w:t>Total accrued expenses and other current liabilities</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143,372</w:t>
            </w:r>
          </w:p>
        </w:tc>
        <w:tc>
          <w:tcPr>
            <w:tcW w:w="60" w:type="dxa"/>
            <w:vAlign w:val="bottom"/>
          </w:tcPr>
          <w:p>
            <w:pPr>
              <w:spacing w:after="0"/>
              <w:rPr>
                <w:sz w:val="20"/>
                <w:szCs w:val="20"/>
                <w:color w:val="auto"/>
              </w:rPr>
            </w:pPr>
          </w:p>
        </w:tc>
        <w:tc>
          <w:tcPr>
            <w:tcW w:w="5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99,130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598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700" w:right="879" w:hanging="651"/>
        <w:spacing w:after="0" w:line="270"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amounts owed to third parties on behalf of and, as applicable, reimbursable from, pharma manufacturers in connection with our consumer affordability solutions, including consumer direct pricing.</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revenue represents payments received in advance of providing services for certain advertising contracts with</w:t>
      </w:r>
    </w:p>
    <w:p>
      <w:pPr>
        <w:sectPr>
          <w:pgSz w:w="11900" w:h="16838" w:orient="portrait"/>
          <w:cols w:equalWidth="0" w:num="1">
            <w:col w:w="9019"/>
          </w:cols>
          <w:pgMar w:left="1440" w:top="114" w:right="1440" w:bottom="0" w:gutter="0" w:footer="0" w:header="0"/>
        </w:sectPr>
      </w:pPr>
    </w:p>
    <w:bookmarkStart w:id="11" w:name="page12"/>
    <w:bookmarkEnd w:id="11"/>
    <w:p>
      <w:pPr>
        <w:ind w:left="40" w:right="59"/>
        <w:spacing w:after="0" w:line="191" w:lineRule="auto"/>
        <w:rPr>
          <w:sz w:val="20"/>
          <w:szCs w:val="20"/>
          <w:color w:val="auto"/>
        </w:rPr>
      </w:pPr>
      <w:r>
        <w:rPr>
          <w:rFonts w:ascii="Arial" w:cs="Arial" w:eastAsia="Arial" w:hAnsi="Arial"/>
          <w:sz w:val="16"/>
          <w:szCs w:val="16"/>
          <w:color w:val="auto"/>
        </w:rPr>
        <w:t>customers and subscriptions. We expect substantially all of the deferred revenue at September 30, 2025 will be recognized as revenue within the subsequent twelve months. Of the $6.0 million of deferred revenue at December 31, 2024, $0.5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-168910</wp:posOffset>
            </wp:positionV>
            <wp:extent cx="7016115" cy="3225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ectPr>
          <w:pgSz w:w="11900" w:h="16838" w:orient="portrait"/>
          <w:cols w:equalWidth="0" w:num="1">
            <w:col w:w="9019"/>
          </w:cols>
          <w:pgMar w:left="1440" w:top="114" w:right="1440" w:bottom="0" w:gutter="0" w:footer="0" w:header="0"/>
        </w:sectPr>
      </w:pPr>
    </w:p>
    <w:p>
      <w:pPr>
        <w:spacing w:after="0" w:line="1" w:lineRule="exact"/>
        <w:rPr>
          <w:sz w:val="20"/>
          <w:szCs w:val="20"/>
          <w:color w:val="auto"/>
        </w:rPr>
      </w:pPr>
    </w:p>
    <w:p>
      <w:pPr>
        <w:ind w:left="40"/>
        <w:spacing w:after="0" w:line="258" w:lineRule="auto"/>
        <w:rPr>
          <w:sz w:val="20"/>
          <w:szCs w:val="20"/>
          <w:color w:val="auto"/>
        </w:rPr>
      </w:pPr>
      <w:r>
        <w:rPr>
          <w:rFonts w:ascii="Arial" w:cs="Arial" w:eastAsia="Arial" w:hAnsi="Arial"/>
          <w:sz w:val="16"/>
          <w:szCs w:val="16"/>
          <w:color w:val="auto"/>
        </w:rPr>
        <w:t>and $5.7 million was recognized as revenue during the three and nine months ended September 30, 2025 Revenue recognized during the three and nine months ended September 30, 2024 of $0.5 million and respectively, was included as deferred revenue at December 31, 2023.</w:t>
      </w:r>
    </w:p>
    <w:p>
      <w:pPr>
        <w:spacing w:after="0" w:line="20" w:lineRule="exact"/>
        <w:rPr>
          <w:sz w:val="20"/>
          <w:szCs w:val="20"/>
          <w:color w:val="auto"/>
        </w:rPr>
      </w:pPr>
      <w:r>
        <w:rPr>
          <w:sz w:val="20"/>
          <w:szCs w:val="20"/>
          <w:color w:val="auto"/>
        </w:rPr>
        <w:br w:type="column"/>
      </w:r>
    </w:p>
    <w:p>
      <w:pPr>
        <w:jc w:val="right"/>
        <w:ind w:right="59"/>
        <w:spacing w:after="0" w:line="270" w:lineRule="auto"/>
        <w:rPr>
          <w:sz w:val="20"/>
          <w:szCs w:val="20"/>
          <w:color w:val="auto"/>
        </w:rPr>
      </w:pPr>
      <w:r>
        <w:rPr>
          <w:rFonts w:ascii="Arial" w:cs="Arial" w:eastAsia="Arial" w:hAnsi="Arial"/>
          <w:sz w:val="16"/>
          <w:szCs w:val="16"/>
          <w:color w:val="auto"/>
        </w:rPr>
        <w:t>, respectively. $6.9 million ,</w:t>
      </w:r>
    </w:p>
    <w:p>
      <w:pPr>
        <w:spacing w:after="0" w:line="379" w:lineRule="exact"/>
        <w:rPr>
          <w:sz w:val="20"/>
          <w:szCs w:val="20"/>
          <w:color w:val="auto"/>
        </w:rPr>
      </w:pPr>
    </w:p>
    <w:p>
      <w:pPr>
        <w:sectPr>
          <w:pgSz w:w="11900" w:h="16838" w:orient="portrait"/>
          <w:cols w:equalWidth="0" w:num="2">
            <w:col w:w="7920" w:space="40"/>
            <w:col w:w="1059"/>
          </w:cols>
          <w:pgMar w:left="1440" w:top="114" w:right="1440" w:bottom="0" w:gutter="0" w:footer="0" w:header="0"/>
          <w:type w:val="continuous"/>
        </w:sectPr>
      </w:pPr>
    </w:p>
    <w:p>
      <w:pPr>
        <w:spacing w:after="0" w:line="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6. Income Taxes</w:t>
      </w:r>
    </w:p>
    <w:p>
      <w:pPr>
        <w:spacing w:after="0" w:line="113" w:lineRule="exact"/>
        <w:rPr>
          <w:sz w:val="20"/>
          <w:szCs w:val="20"/>
          <w:color w:val="auto"/>
        </w:rPr>
      </w:pPr>
    </w:p>
    <w:p>
      <w:pPr>
        <w:ind w:left="40" w:right="219" w:firstLine="324"/>
        <w:spacing w:after="0" w:line="265" w:lineRule="auto"/>
        <w:rPr>
          <w:sz w:val="20"/>
          <w:szCs w:val="20"/>
          <w:color w:val="auto"/>
        </w:rPr>
      </w:pPr>
      <w:r>
        <w:rPr>
          <w:rFonts w:ascii="Arial" w:cs="Arial" w:eastAsia="Arial" w:hAnsi="Arial"/>
          <w:sz w:val="16"/>
          <w:szCs w:val="16"/>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64"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The effective income tax rate for the three months ended September 30, 2025 and 2024 was 81.7% and 51.1%, respectively. The effective income tax rate for the nine months ended September 30, 2025 and 2024 was 40.9% and 51.9%, respectively. The primary differences between our effective income tax rates and the federal statutory tax rate for the three and nine months ended September 30, 2025 and 2024 were due to the effects of non-deductible officers’ stock-based compensation expense, state income taxes, benefits from research and development tax credits, and tax effects from our equity awards.</w:t>
      </w:r>
    </w:p>
    <w:p>
      <w:pPr>
        <w:spacing w:after="0" w:line="82" w:lineRule="exact"/>
        <w:rPr>
          <w:sz w:val="20"/>
          <w:szCs w:val="20"/>
          <w:color w:val="auto"/>
        </w:rPr>
      </w:pPr>
    </w:p>
    <w:p>
      <w:pPr>
        <w:ind w:left="40" w:right="359" w:firstLine="324"/>
        <w:spacing w:after="0" w:line="268" w:lineRule="auto"/>
        <w:rPr>
          <w:sz w:val="20"/>
          <w:szCs w:val="20"/>
          <w:color w:val="auto"/>
        </w:rPr>
      </w:pPr>
      <w:r>
        <w:rPr>
          <w:rFonts w:ascii="Arial" w:cs="Arial" w:eastAsia="Arial" w:hAnsi="Arial"/>
          <w:sz w:val="16"/>
          <w:szCs w:val="16"/>
          <w:color w:val="auto"/>
        </w:rPr>
        <w:t>On July 4, 2025 , H.R. 1, titled "A bill to provide for reconciliation pursuant to Title II of H. Con. Res. 14," commonly referred to as the One Big Beautiful Bill Act ("OBBBA") was enacted. The OBBBA contains several changes to corporate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20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59"/>
        <w:spacing w:after="0" w:line="250" w:lineRule="auto"/>
        <w:rPr>
          <w:sz w:val="20"/>
          <w:szCs w:val="20"/>
          <w:color w:val="auto"/>
        </w:rPr>
      </w:pPr>
      <w:r>
        <w:rPr>
          <w:rFonts w:ascii="Arial" w:cs="Arial" w:eastAsia="Arial" w:hAnsi="Arial"/>
          <w:sz w:val="16"/>
          <w:szCs w:val="16"/>
          <w:color w:val="auto"/>
        </w:rPr>
        <w:t>taxation including, but not limited to, capitalization of research and development expenses, limitations on deductions for interest expense and accelerated fixed asset depreciation. The effect of changes in tax rates and laws is recognized in the period of enactment. We completed an initial assessment of t he impact from the OBBBA and recorded the estimated effects to our income tax expense for three and nine months ended September 30, 2025 . Specifically, the estimated effects were principally a timing difference between current and deferred taxes and therefore an adjustment to our net deferred tax assets and net income taxes payable was recorded . We do not currently expect the OBBBA to have a material impact on our 2025 effective income tax rate.</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 Debt</w:t>
      </w:r>
    </w:p>
    <w:p>
      <w:pPr>
        <w:spacing w:after="0" w:line="113"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Our First Lien Credit Agreement (as amended from time to time, the "Credit Agreement") provides for (i) a $500.0 million term loan maturing on July 10, 2029 ("2024 Term Loan Facility"); and (ii) a revolving credit facility for up to $100.0 million (the "Revolving Credit Facility") of which $12.0 million matured on July 11, 2025 and the remaining $88.0 million will mature on April 10, 2029 . As of September 30, 2025 , there were no changes to the terms of our 2024 Term Loan Facility and Revolving Credit Facility as disclosed in Note 12 to our consolidated financial statements included in our 2024 10-K.</w:t>
      </w:r>
    </w:p>
    <w:p>
      <w:pPr>
        <w:spacing w:after="0" w:line="64"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6"/>
          <w:szCs w:val="16"/>
          <w:color w:val="auto"/>
        </w:rPr>
        <w:t>The effective interest rate on our term loans for the three months ended September 30, 2025 and 2024 was 8.70% and 9.60%, respectively. The effective interest rate on our term loans for the nine months ended September 30, 2025 and 2024 was 8.61% and 9.04%, respectively.</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no borrowings against the Revolving Credit Facility as of September 30, 2025 and December 31, 2024.</w:t>
      </w:r>
    </w:p>
    <w:p>
      <w:pPr>
        <w:spacing w:after="0" w:line="127" w:lineRule="exact"/>
        <w:rPr>
          <w:sz w:val="20"/>
          <w:szCs w:val="20"/>
          <w:color w:val="auto"/>
        </w:rPr>
      </w:pPr>
    </w:p>
    <w:p>
      <w:pPr>
        <w:ind w:left="40" w:right="79" w:firstLine="324"/>
        <w:spacing w:after="0" w:line="266" w:lineRule="auto"/>
        <w:rPr>
          <w:sz w:val="20"/>
          <w:szCs w:val="20"/>
          <w:color w:val="auto"/>
        </w:rPr>
      </w:pPr>
      <w:r>
        <w:rPr>
          <w:rFonts w:ascii="Arial" w:cs="Arial" w:eastAsia="Arial" w:hAnsi="Arial"/>
          <w:sz w:val="16"/>
          <w:szCs w:val="16"/>
          <w:color w:val="auto"/>
        </w:rPr>
        <w:t>We had outstanding letters of credit issued against the Revolving Credit Facility for $7.8 million and $8.3 million as of September 30, 2025 and December 31, 2024 , respectively, which reduce our available borrowings under the Revolving Credit Facility.</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debt balance is as follows: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37"/>
        </w:trPr>
        <w:tc>
          <w:tcPr>
            <w:tcW w:w="59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Principal balance under 2024 Term Loan Facility</w:t>
            </w: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496,250</w:t>
            </w:r>
          </w:p>
        </w:tc>
        <w:tc>
          <w:tcPr>
            <w:tcW w:w="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56"/>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Unamortized debt issuance costs and discounts</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(7,136)</w:t>
            </w:r>
          </w:p>
        </w:tc>
        <w:tc>
          <w:tcPr>
            <w:tcW w:w="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(8,289)</w:t>
            </w:r>
          </w:p>
        </w:tc>
      </w:tr>
      <w:tr>
        <w:trPr>
          <w:trHeight w:val="235"/>
        </w:trPr>
        <w:tc>
          <w:tcPr>
            <w:tcW w:w="59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489,114</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491,711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The estimated fair value of our debt approximated its carrying value as of September 30, 2025 and December 31, 2024, based on inputs categorized as Level 2 in the fair value hierarchy.</w:t>
      </w:r>
    </w:p>
    <w:p>
      <w:pPr>
        <w:spacing w:after="0" w:line="61" w:lineRule="exact"/>
        <w:rPr>
          <w:sz w:val="20"/>
          <w:szCs w:val="20"/>
          <w:color w:val="auto"/>
        </w:rPr>
      </w:pPr>
    </w:p>
    <w:p>
      <w:pPr>
        <w:ind w:left="40" w:right="79" w:firstLine="324"/>
        <w:spacing w:after="0" w:line="260" w:lineRule="auto"/>
        <w:rPr>
          <w:sz w:val="20"/>
          <w:szCs w:val="20"/>
          <w:color w:val="auto"/>
        </w:rPr>
      </w:pPr>
      <w:r>
        <w:rPr>
          <w:rFonts w:ascii="Arial" w:cs="Arial" w:eastAsia="Arial" w:hAnsi="Arial"/>
          <w:sz w:val="16"/>
          <w:szCs w:val="16"/>
          <w:color w:val="auto"/>
        </w:rPr>
        <w:t>Under the Credit Agreement, we are subject to a financial covenant requiring maintenance of a First Lien Net Leverage Ratio (as defined in the Credit Agreement) not to exceed 8.2 to 1.0 only in the event that the amounts outstanding under the Revolving Credit Facility exceed a specified percentage of commitments under the Revolving Credit Facility, and other nonfinancial covenants under the Credit Agreement. At September 30, 2025 , we were in compliance with our covenants under the Credit Agreement.</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 Commitments and Contingencies</w:t>
      </w:r>
    </w:p>
    <w:p>
      <w:pPr>
        <w:spacing w:after="0" w:line="113" w:lineRule="exact"/>
        <w:rPr>
          <w:sz w:val="20"/>
          <w:szCs w:val="20"/>
          <w:color w:val="auto"/>
        </w:rPr>
      </w:pPr>
    </w:p>
    <w:p>
      <w:pPr>
        <w:ind w:left="40" w:right="579" w:firstLine="324"/>
        <w:spacing w:after="0" w:line="286" w:lineRule="auto"/>
        <w:rPr>
          <w:sz w:val="20"/>
          <w:szCs w:val="20"/>
          <w:color w:val="auto"/>
        </w:rPr>
      </w:pPr>
      <w:r>
        <w:rPr>
          <w:rFonts w:ascii="Arial" w:cs="Arial" w:eastAsia="Arial" w:hAnsi="Arial"/>
          <w:sz w:val="16"/>
          <w:szCs w:val="16"/>
          <w:color w:val="auto"/>
        </w:rPr>
        <w:t>Aside from the below, as of September 30, 2025 , there were no material changes to our commitments and contingencies as disclosed in the notes to our consolidated financial statements included in our 2024 10-K.</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Leases</w:t>
      </w:r>
    </w:p>
    <w:p>
      <w:pPr>
        <w:spacing w:after="0" w:line="113" w:lineRule="exact"/>
        <w:rPr>
          <w:sz w:val="20"/>
          <w:szCs w:val="20"/>
          <w:color w:val="auto"/>
        </w:rPr>
      </w:pPr>
    </w:p>
    <w:p>
      <w:pPr>
        <w:ind w:left="40" w:right="219" w:firstLine="324"/>
        <w:spacing w:after="0" w:line="275" w:lineRule="auto"/>
        <w:rPr>
          <w:sz w:val="20"/>
          <w:szCs w:val="20"/>
          <w:color w:val="auto"/>
        </w:rPr>
      </w:pPr>
      <w:r>
        <w:rPr>
          <w:rFonts w:ascii="Arial" w:cs="Arial" w:eastAsia="Arial" w:hAnsi="Arial"/>
          <w:sz w:val="16"/>
          <w:szCs w:val="16"/>
          <w:color w:val="auto"/>
        </w:rPr>
        <w:t>On April 16, 2025, we entered into a non-cancellable office lease agreement in New York, New York that extended the lease term of an existing space and provided for a new space, both of which end in early 2036. The total future minimum lease payments are approximately $14.7 million.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Legal Contingencies</w:t>
      </w:r>
    </w:p>
    <w:p>
      <w:pPr>
        <w:sectPr>
          <w:pgSz w:w="11900" w:h="16838" w:orient="portrait"/>
          <w:cols w:equalWidth="0" w:num="1">
            <w:col w:w="9019"/>
          </w:cols>
          <w:pgMar w:left="1440" w:top="114" w:right="1440" w:bottom="0" w:gutter="0" w:footer="0" w:header="0"/>
          <w:type w:val="continuous"/>
        </w:sectPr>
      </w:pPr>
    </w:p>
    <w:bookmarkStart w:id="12" w:name="page13"/>
    <w:bookmarkEnd w:id="12"/>
    <w:p>
      <w:pPr>
        <w:ind w:left="40" w:right="59" w:firstLine="324"/>
        <w:spacing w:after="0" w:line="191" w:lineRule="auto"/>
        <w:rPr>
          <w:sz w:val="20"/>
          <w:szCs w:val="20"/>
          <w:color w:val="auto"/>
        </w:rPr>
      </w:pPr>
      <w:r>
        <w:rPr>
          <w:rFonts w:ascii="Arial" w:cs="Arial" w:eastAsia="Arial" w:hAnsi="Arial"/>
          <w:sz w:val="16"/>
          <w:szCs w:val="16"/>
          <w:i w:val="1"/>
          <w:iCs w:val="1"/>
          <w:color w:val="auto"/>
        </w:rPr>
        <w:t xml:space="preserve">Consumer privacy class action </w:t>
      </w:r>
      <w:r>
        <w:rPr>
          <w:rFonts w:ascii="Arial" w:cs="Arial" w:eastAsia="Arial" w:hAnsi="Arial"/>
          <w:sz w:val="16"/>
          <w:szCs w:val="16"/>
          <w:color w:val="auto"/>
        </w:rPr>
        <w:t>- Between February 2, 2023, and March 30, 2023, five individual plaintiffs filed five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putative class actions lawsuits against Google, Meta, Criteo and us, alleging generally that we have not 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-168910</wp:posOffset>
            </wp:positionV>
            <wp:extent cx="7016115" cy="1853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ind w:left="40"/>
        <w:spacing w:after="0"/>
        <w:tabs>
          <w:tab w:leader="none" w:pos="8260" w:val="left"/>
        </w:tabs>
        <w:rPr>
          <w:sz w:val="20"/>
          <w:szCs w:val="20"/>
          <w:color w:val="auto"/>
        </w:rPr>
      </w:pPr>
      <w:r>
        <w:rPr>
          <w:rFonts w:ascii="Arial" w:cs="Arial" w:eastAsia="Arial" w:hAnsi="Arial"/>
          <w:sz w:val="16"/>
          <w:szCs w:val="16"/>
          <w:color w:val="auto"/>
        </w:rPr>
        <w:t>protected consumer privacy and that we communicated consumer information to third parties, including the</w:t>
      </w:r>
      <w:r>
        <w:rPr>
          <w:sz w:val="20"/>
          <w:szCs w:val="20"/>
          <w:color w:val="auto"/>
        </w:rPr>
        <w:tab/>
      </w:r>
      <w:r>
        <w:rPr>
          <w:rFonts w:ascii="Arial" w:cs="Arial" w:eastAsia="Arial" w:hAnsi="Arial"/>
          <w:sz w:val="16"/>
          <w:szCs w:val="16"/>
          <w:color w:val="auto"/>
        </w:rPr>
        <w:t>three co-</w:t>
      </w:r>
    </w:p>
    <w:p>
      <w:pPr>
        <w:spacing w:after="0" w:line="9" w:lineRule="exact"/>
        <w:rPr>
          <w:sz w:val="20"/>
          <w:szCs w:val="20"/>
          <w:color w:val="auto"/>
        </w:rPr>
      </w:pPr>
    </w:p>
    <w:p>
      <w:pPr>
        <w:ind w:left="40" w:right="119"/>
        <w:spacing w:after="0" w:line="256" w:lineRule="auto"/>
        <w:rPr>
          <w:sz w:val="20"/>
          <w:szCs w:val="20"/>
          <w:color w:val="auto"/>
        </w:rPr>
      </w:pPr>
      <w:r>
        <w:rPr>
          <w:rFonts w:ascii="Arial" w:cs="Arial" w:eastAsia="Arial" w:hAnsi="Arial"/>
          <w:sz w:val="16"/>
          <w:szCs w:val="16"/>
          <w:color w:val="auto"/>
        </w:rPr>
        <w:t>defendants. Four of the plaintiffs allege common law intrusion upon seclusion and unjust enrichment claims, as well as claims under California’s Confidentiality of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Four of these cases were originally filed in the United States District Court for the Northern District of California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580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19"/>
        <w:spacing w:after="0" w:line="259" w:lineRule="auto"/>
        <w:rPr>
          <w:sz w:val="20"/>
          <w:szCs w:val="20"/>
          <w:color w:val="auto"/>
        </w:rPr>
      </w:pPr>
      <w:r>
        <w:rPr>
          <w:rFonts w:ascii="Arial" w:cs="Arial" w:eastAsia="Arial" w:hAnsi="Arial"/>
          <w:sz w:val="16"/>
          <w:szCs w:val="16"/>
          <w:color w:val="auto"/>
        </w:rPr>
        <w:t>and assigned to U.S. District Judge Araceli Martínez-Olguín in the NDCA. The court also set a briefing schedule for filing a single consolidated complaint, which the plaintiffs filed on May 21, 2023 (Case No. 3:23-cv-00501-AMO; the "NDCA Class Action Matter"), as well as motions to dismiss and motions to compel arbitration. In addition to the aforementioned claims, the plaintiffs in the now consolidated matter bring claims under the Illinois Consumer Fraud and Deceptive Business Practices Act, common law negligence and negligence per se, in each case, pleaded in the alternative. The plaintiffs are seeking various forms of monetary damages (such as statutory damages, compensatory damages, attorneys’ fees and disgorgement of profits) as well as injunctive relief. Briefing on the motions to dismiss and motions to compel arbitration was completed on August 24, 2023.</w:t>
      </w:r>
    </w:p>
    <w:p>
      <w:pPr>
        <w:spacing w:after="0" w:line="72" w:lineRule="exact"/>
        <w:rPr>
          <w:sz w:val="20"/>
          <w:szCs w:val="20"/>
          <w:color w:val="auto"/>
        </w:rPr>
      </w:pPr>
    </w:p>
    <w:p>
      <w:pPr>
        <w:ind w:left="40" w:right="39" w:firstLine="324"/>
        <w:spacing w:after="0" w:line="258" w:lineRule="auto"/>
        <w:rPr>
          <w:sz w:val="20"/>
          <w:szCs w:val="20"/>
          <w:color w:val="auto"/>
        </w:rPr>
      </w:pPr>
      <w:r>
        <w:rPr>
          <w:rFonts w:ascii="Arial" w:cs="Arial" w:eastAsia="Arial" w:hAnsi="Arial"/>
          <w:sz w:val="16"/>
          <w:szCs w:val="16"/>
          <w:color w:val="auto"/>
        </w:rPr>
        <w:t>On October 27, 2023 , six plaintiffs filed a class action complaint (Case No. 1:23-cv-24127-BB; the “SDFL Class Action Matter”) against us in the United States District Court for the Southern District of Florida ("SDFL"). The plaintiffs alleged, on behalf of the same nationwide class as the NDCA Class Action Matter, substantially the same statutory and common law violation claims as alleged in that matter as well as claims based on the federal Electronic Communications Privacy Act, invasion of privacy under California common law and the California constitution, invasion of privacy under New Jersey's Constitution, and violations of Pennsylvania’s Wiretapping and Electronic Surveillance Control Act, Florida’s Security of Communications Act, New York’s Civil Rights Law and Stop Hack and Improve Electronic Data Security Act. The plaintiffs in the SDFL Class Action Matter seek various forms of monetary damages as well as injunctive and other unspecified equitable relief.</w:t>
      </w:r>
    </w:p>
    <w:p>
      <w:pPr>
        <w:spacing w:after="0" w:line="83"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On October 27, 2023 , we entered into a proposed settlement agreement with the plaintiffs in the SDFL Class Action Matter, on behalf of a nationwide settlement class that includes the NDCA Class Action Matter, which provides for a payment of $13.0 million by us. On October 30, 2023, the plaintiffs in the SDFL Class Action Matter filed a motion and memorandum in support of preliminary approval of the proposed class action settlement and, on October 31, 2023, the SDFL granted preliminary approval of the proposed settlement. Members of the class have the opportunity to opt-out of the class and commence their own actions.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response to the proposed settlement in the SDFL Class Action Matter, plaintiffs in the NDCA Class Action Matter filed</w:t>
      </w:r>
    </w:p>
    <w:p>
      <w:pPr>
        <w:spacing w:after="0" w:line="31" w:lineRule="exact"/>
        <w:rPr>
          <w:sz w:val="20"/>
          <w:szCs w:val="20"/>
          <w:color w:val="auto"/>
        </w:rPr>
      </w:pPr>
    </w:p>
    <w:p>
      <w:pPr>
        <w:ind w:left="40" w:right="99" w:firstLine="9"/>
        <w:spacing w:after="0" w:line="256"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November 1, 2023, a motion in the NDCA for an order to require us to cease litigation of, or alternatively file a motion to stay in, the SDFL Class Action Matter and enjoin us from seeking settlement with counsel other than plaintiffs’ counsel in the NDCA Class Action Matter; and (ii) on November 2, 2023, a motion in the SDFL for that court to allow them to intervene and appear in the SDFL action, transfer the SDFL Class Action Matter to the NDCA and reconsider and deny its preliminary approval of the proposed settlement. The SDFL has issued an order requiring the SDFL plaintiffs to, among other things, file a response to the NDCA plaintiffs' motion to intervene. Additionally, U.S. District Judge Araceli Martínez-Olguín in the NDCA issued an order for us to show cause as to why we should not be sanctioned for an alleged failure to provide notification to the NDCA of the pendency of the SDFL Class Action Matter. We filed our written response to this order on November 8, 2023. The NDCA held a hearing on November 14, 2023, and ordered parties to the litigation to participate in mediation. The parties participated in mediation on January 10, 2024, and agreed to participate in an additional day of mediation, which occurred on March 7, 2024.</w:t>
      </w:r>
    </w:p>
    <w:p>
      <w:pPr>
        <w:spacing w:after="0" w:line="70"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6"/>
          <w:szCs w:val="16"/>
          <w:color w:val="auto"/>
        </w:rPr>
        <w:t>On December 3, 2024, the SDFL plaintiffs filed a voluntary motion to dismiss, with prejudice, which was approved by the court on December 4, 2024. On November 25, 2024, we entered into a settlement agreement, with the NDCA plaintiffs for $25.0 million, subject to approval by the court. On June 12, 2025, the court denied the motion for preliminary approval of the settlement with prejudice, with leave for the plaintiffs to refile with additional information requested by the court. Based on the settlement agreement, an estimated probable loss of $25.0 million was recognized within accrued expenses and other current liabilities on our consolidated balance sheet as of December 31, 2024, and remained accrued as of September 30, 2025. While this amount represents our best judgment of the probable loss based on the information currently available to us, it is subject to significant judgments and estimates and numerous factors beyond our control, including, without limitation, final approval of the court. Additionally, in the third quarter of 2025, we estimated a probable loss of $5.5 million relating to the indemnification of certain parties named in the class action lawsuits. We have accrued this estimated probable loss within accrued expenses and other current liabilities on our condensed consolidated balance sheet as of September 30, 2025. The results of legal proceedings are inherently uncertain, and upon final resolution of these matters, it is reasonably possible that the actual loss may differ from our estimates.</w:t>
      </w:r>
    </w:p>
    <w:p>
      <w:pPr>
        <w:spacing w:after="0" w:line="71" w:lineRule="exact"/>
        <w:rPr>
          <w:sz w:val="20"/>
          <w:szCs w:val="20"/>
          <w:color w:val="auto"/>
        </w:rPr>
      </w:pPr>
    </w:p>
    <w:p>
      <w:pPr>
        <w:ind w:left="40" w:right="59" w:firstLine="324"/>
        <w:spacing w:after="0" w:line="258" w:lineRule="auto"/>
        <w:rPr>
          <w:sz w:val="20"/>
          <w:szCs w:val="20"/>
          <w:color w:val="auto"/>
        </w:rPr>
      </w:pPr>
      <w:r>
        <w:rPr>
          <w:rFonts w:ascii="Arial" w:cs="Arial" w:eastAsia="Arial" w:hAnsi="Arial"/>
          <w:sz w:val="16"/>
          <w:szCs w:val="16"/>
          <w:i w:val="1"/>
          <w:iCs w:val="1"/>
          <w:color w:val="auto"/>
        </w:rPr>
        <w:t xml:space="preserve">Securities class action &amp; derivative lawsuits </w:t>
      </w:r>
      <w:r>
        <w:rPr>
          <w:rFonts w:ascii="Arial" w:cs="Arial" w:eastAsia="Arial" w:hAnsi="Arial"/>
          <w:sz w:val="16"/>
          <w:szCs w:val="16"/>
          <w:color w:val="auto"/>
        </w:rPr>
        <w:t>- On April 22, 2024, Lisa Marie Barsuli, individually and on behalf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others similarly situated, filed a class action lawsuit against us and certain of our executive officers in the United States District Court for the Central District of California (Case No. 2:24-cv-3282). The plaintiffs seek compensatory damages and equitable relief as well as interest, fees and costs. The complaint alleges violations of Sections 10(b) and 20(a) of the Exchange Act and Rule 10b-5 promulgated thereunder, and asserts that we and certain of our executive officers failed to disclose to investors the risk relating to a grocery chain taking actions that impacted acceptance of our discounted pricing for a subset of prescription drugs from PBMs, whose pricing we promote on our platform (the “grocer issue”), which occurred late in the first quarter of 2022. As alleged in the complaint, when we disclosed the occurrence of the grocer issue, our stock price fell, causing investor losses. On July 25, 2024, U.S. District Judge André Birotte Jr. appointed The Kalmanson Family as the lead plaintiff and approved selection of lead plaintiff's counsel. We filed a motion to dismiss the class action lawsuit on</w:t>
      </w:r>
    </w:p>
    <w:p>
      <w:pPr>
        <w:sectPr>
          <w:pgSz w:w="11900" w:h="16838" w:orient="portrait"/>
          <w:cols w:equalWidth="0" w:num="1">
            <w:col w:w="9019"/>
          </w:cols>
          <w:pgMar w:left="1440" w:top="114" w:right="1440" w:bottom="441" w:gutter="0" w:footer="0" w:header="0"/>
        </w:sectPr>
      </w:pPr>
    </w:p>
    <w:bookmarkStart w:id="13" w:name="page14"/>
    <w:bookmarkEnd w:id="13"/>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4819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519"/>
        <w:spacing w:after="0" w:line="286" w:lineRule="auto"/>
        <w:rPr>
          <w:sz w:val="20"/>
          <w:szCs w:val="20"/>
          <w:color w:val="auto"/>
        </w:rPr>
      </w:pPr>
      <w:r>
        <w:rPr>
          <w:rFonts w:ascii="Arial" w:cs="Arial" w:eastAsia="Arial" w:hAnsi="Arial"/>
          <w:sz w:val="16"/>
          <w:szCs w:val="16"/>
          <w:color w:val="auto"/>
        </w:rPr>
        <w:t>November 19, 2024. On January 10, 2025, the plaintiffs filed their opposition to our motion to dismiss, and we filed our response on February 11, 2025.</w:t>
      </w:r>
    </w:p>
    <w:p>
      <w:pPr>
        <w:spacing w:after="0" w:line="61"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6"/>
          <w:szCs w:val="16"/>
          <w:color w:val="auto"/>
        </w:rPr>
        <w:t>Additionally, on various dates between May 23, 2024 and November 6, 2024, alleged stockholders Benjamin Solomon (Case No. 2:24-cv-04301), Joseph Caetano (Case No. 2:24-cv-06993), Colby Mayes (Case No. 2:24-cv-07264), Sharon Burgs (Case No. 2:24-cv-07281), and Stephen Bushansky (Case No. 2:24-cv-09611) each filed separate derivative lawsuits in the United States District Court for the Central District of California, in each case, purportedly on behalf of us against certain of our current and former executive officers and directors. The derivative complaints assert various claims, including for violations of, and contribution under, the Exchange Act, breach of fiduciary duty, unjust enrichment, abuse of control, gross mismanagement, corporate waste and violations of insider trading laws. The claims in each of these derivative lawsuits are based on allegations substantially similar to those in the class action lawsuit described above and also allege that we failed to maintain adequate internal controls. The plaintiffs in these derivative lawsuits are seeking declaratory relief, monetary damages, restitution, disgorgement of alleged illegal profits and/or certain governance reforms. On December 20, 2024, plaintiffs in the derivative lawsuits agreed to consolidate the cases and stay the action pending the resolution of the securities class action's motion to dismiss. On February 20, 2025, the court granted the stipulation and consolidated the cases under Case No. 2:24-cv-04301-AB-JPR.</w:t>
      </w:r>
    </w:p>
    <w:p>
      <w:pPr>
        <w:spacing w:after="0" w:line="71" w:lineRule="exact"/>
        <w:rPr>
          <w:sz w:val="20"/>
          <w:szCs w:val="20"/>
          <w:color w:val="auto"/>
        </w:rPr>
      </w:pPr>
    </w:p>
    <w:p>
      <w:pPr>
        <w:jc w:val="both"/>
        <w:ind w:left="40" w:right="119" w:firstLine="324"/>
        <w:spacing w:after="0" w:line="275" w:lineRule="auto"/>
        <w:rPr>
          <w:sz w:val="20"/>
          <w:szCs w:val="20"/>
          <w:color w:val="auto"/>
        </w:rPr>
      </w:pPr>
      <w:r>
        <w:rPr>
          <w:rFonts w:ascii="Arial" w:cs="Arial" w:eastAsia="Arial" w:hAnsi="Arial"/>
          <w:sz w:val="16"/>
          <w:szCs w:val="16"/>
          <w:color w:val="auto"/>
        </w:rPr>
        <w:t>On April 23, 2025, the court granted our motion to dismiss the securities class action lawsuit, without prejudice and with leave to amend. Plaintiffs in the securities class action did not file an amended complain t. After the court dismissed the securities class action litigation, the derivative plaintiffs dismissed their claims without prejudice.</w:t>
      </w:r>
    </w:p>
    <w:p>
      <w:pPr>
        <w:spacing w:after="0" w:line="56" w:lineRule="exact"/>
        <w:rPr>
          <w:sz w:val="20"/>
          <w:szCs w:val="20"/>
          <w:color w:val="auto"/>
        </w:rPr>
      </w:pPr>
    </w:p>
    <w:p>
      <w:pPr>
        <w:ind w:left="40" w:right="39" w:firstLine="324"/>
        <w:spacing w:after="0" w:line="256" w:lineRule="auto"/>
        <w:rPr>
          <w:sz w:val="20"/>
          <w:szCs w:val="20"/>
          <w:color w:val="auto"/>
        </w:rPr>
      </w:pPr>
      <w:r>
        <w:rPr>
          <w:rFonts w:ascii="Arial" w:cs="Arial" w:eastAsia="Arial" w:hAnsi="Arial"/>
          <w:sz w:val="16"/>
          <w:szCs w:val="16"/>
          <w:i w:val="1"/>
          <w:iCs w:val="1"/>
          <w:color w:val="auto"/>
        </w:rPr>
        <w:t xml:space="preserve">Consumer state litigations </w:t>
      </w:r>
      <w:r>
        <w:rPr>
          <w:rFonts w:ascii="Arial" w:cs="Arial" w:eastAsia="Arial" w:hAnsi="Arial"/>
          <w:sz w:val="16"/>
          <w:szCs w:val="16"/>
          <w:color w:val="auto"/>
        </w:rPr>
        <w:t>- On May 28, 2024, The Bert and Annette Mullens Foundation ("Mullens Foundation")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lawsuit against us in Pope County, Arkansas, alleging that we violated an Arkansas statute related to the distribution of health-related discount cards. Specifically, the statute provides that each discount card must “expressly provide in bold and prominent type that the discounts are not insurance.” Ark. Code Ann. § 4-106-201(1). Furthermore, the statute provides that each card must “expressly provide in bold and prominent type on the card or in a statement attached to the card that the consumer has the right to cancel his or her registration within thirty (30) days from the effective date of the card.” Ark. Code Ann. § 4-106-201(2). The plaintiff alleges that our cards did not comply with these requirements, and sought an injunction and statutory damages. We filed a motion to dismiss the complaint, which was denied on December 2, 2024. On May 9, 2025, the Arkansas Attorney General moved to intervene in the case. On May 13, 2025, the plaintiff moved for partial summary judgment, which we and the Arkansas Attorney General opposed. Separately, on September 24, 2025, the State of Arkansas, ex rel. Tim Griffin, Attorney General, filed suit in Faulkner County, Arkansas alleging the same violations of Ark. Code Ann. § 4-106-201 et seq. as the Mullens Foundation in addition to violations of the Arkansas Deceptive Trade Practices Act ("ADTPA"). On September 25, 2025, the Circuit Court of Faulkner County entered a Consent Judgment through which the plaintiff, acting parens patriae for the people of Arkansas, released us from any and all claims and remedies available or potentially available under the ADTPA and the discount card statute, Ark. Code Ann. §§ 4-106-201 et seq. for GoodRx discount cards sold, marketed, promoted, advertised, or otherwise distributed in Arkansas from January 1, 2022 until the effective date of the agreement. As part of the Consent Judgment we also agreed to pay an immaterial monetary relief.</w:t>
      </w:r>
    </w:p>
    <w:p>
      <w:pPr>
        <w:spacing w:after="0" w:line="268"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6"/>
          <w:szCs w:val="16"/>
          <w:color w:val="auto"/>
        </w:rPr>
        <w:t>Furthermore, on June 11, 2024, the Minnesota Teamsters Service Bureau, also filed a lawsuit against us in Hennepin County, Minnesota, alleging that we violated a Minnesota statute related to the distribution of health-related discount cards. Specifically, the statute provides that each discount card must “expressly provide in bold and prominent type that the discounts are not insurance.” Minn. Stat. Ann. § 325F.784, subd. 1(1). The plaintiff alleges that our cards do not comply with these requirements and also seeks an injunction and statutory damages. We filed a motion to dismiss the complaint, which was denied on December 17, 2024. On June 10, 2025, the plaintiff moved to dismiss some of our counterclaims; the court granted the motion to dismiss. Discovery has been completed in Minnesota. On October 10, 2025, we moved for summary judgment and plaintiff moved for partial summary judgment.</w:t>
      </w:r>
    </w:p>
    <w:p>
      <w:pPr>
        <w:spacing w:after="0" w:line="86"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We intend to vigorously defend against the claims asserted in the Mullens Foundation matter and the Minnesota Teamsters Service Bureau matters as we believe we have meritorious defenses to such claims. While it is reasonably possible a loss may have been incurred, we have not accrued a loss as a loss is not probable and we are unable to estimate a loss or range of loss.</w:t>
      </w:r>
    </w:p>
    <w:p>
      <w:pPr>
        <w:spacing w:after="0" w:line="65" w:lineRule="exact"/>
        <w:rPr>
          <w:sz w:val="20"/>
          <w:szCs w:val="20"/>
          <w:color w:val="auto"/>
        </w:rPr>
      </w:pPr>
    </w:p>
    <w:p>
      <w:pPr>
        <w:ind w:left="40" w:right="79" w:firstLine="324"/>
        <w:spacing w:after="0" w:line="258" w:lineRule="auto"/>
        <w:rPr>
          <w:sz w:val="20"/>
          <w:szCs w:val="20"/>
          <w:color w:val="auto"/>
        </w:rPr>
      </w:pPr>
      <w:r>
        <w:rPr>
          <w:rFonts w:ascii="Arial" w:cs="Arial" w:eastAsia="Arial" w:hAnsi="Arial"/>
          <w:sz w:val="16"/>
          <w:szCs w:val="16"/>
          <w:color w:val="auto"/>
        </w:rPr>
        <w:t>These pending proceedings involve complex questions of fact and law and may require the expenditure of significant funds and the diversion of other resources to defend. In addition, during the normal course of business, we (including our directors and officers whom we indemnify) may become subject to, and are presently involved in, legal proceedings, claims and litigation. Such matters are subject to many uncertainties and outcomes are not predictable with assurance. We have not accrued for a material loss for any other matters as a loss is not probable and a loss, or a range of loss, is not reasonably estimable. Accruals for loss contingencies are recognized when a loss is probable, and the amount of such loss can be reasonably estimated. See "Note 5. Accrued Expenses and Other Current Liabilities" for additional information. Loss recoveries are recognized when a loss has been incurred and the recovery is probable. See "Note 4. Prepaid Expenses and Other Current Assets" for additional information.</w:t>
      </w:r>
    </w:p>
    <w:p>
      <w:pPr>
        <w:spacing w:after="0" w:line="83" w:lineRule="exact"/>
        <w:rPr>
          <w:sz w:val="20"/>
          <w:szCs w:val="20"/>
          <w:color w:val="auto"/>
        </w:rPr>
      </w:pPr>
    </w:p>
    <w:p>
      <w:pPr>
        <w:ind w:left="40" w:right="99" w:firstLine="324"/>
        <w:spacing w:after="0" w:line="265" w:lineRule="auto"/>
        <w:rPr>
          <w:sz w:val="20"/>
          <w:szCs w:val="20"/>
          <w:color w:val="auto"/>
        </w:rPr>
      </w:pPr>
      <w:r>
        <w:rPr>
          <w:rFonts w:ascii="Arial" w:cs="Arial" w:eastAsia="Arial" w:hAnsi="Arial"/>
          <w:sz w:val="16"/>
          <w:szCs w:val="16"/>
          <w:i w:val="1"/>
          <w:iCs w:val="1"/>
          <w:color w:val="auto"/>
        </w:rPr>
        <w:t xml:space="preserve">GoodRx as plaintiff in arbitration award - </w:t>
      </w:r>
      <w:r>
        <w:rPr>
          <w:rFonts w:ascii="Arial" w:cs="Arial" w:eastAsia="Arial" w:hAnsi="Arial"/>
          <w:sz w:val="16"/>
          <w:szCs w:val="16"/>
          <w:color w:val="auto"/>
        </w:rPr>
        <w:t>In February 2023, we initiated arbitration against Famulus Health, LLC</w:t>
      </w:r>
      <w:r>
        <w:rPr>
          <w:rFonts w:ascii="Arial" w:cs="Arial" w:eastAsia="Arial" w:hAnsi="Arial"/>
          <w:sz w:val="16"/>
          <w:szCs w:val="16"/>
          <w:i w:val="1"/>
          <w:iCs w:val="1"/>
          <w:color w:val="auto"/>
        </w:rPr>
        <w:t xml:space="preserve"> </w:t>
      </w:r>
      <w:r>
        <w:rPr>
          <w:rFonts w:ascii="Arial" w:cs="Arial" w:eastAsia="Arial" w:hAnsi="Arial"/>
          <w:sz w:val="16"/>
          <w:szCs w:val="16"/>
          <w:color w:val="auto"/>
        </w:rPr>
        <w:t>(“Famulus”) before the American Arbitration Association in relation to Famulus’ breach of an agreement entered into by Famulus and us in June 2020, as amended (the “Agreement”). We asserted claims for Famulus' breach of the confidentiality and exclusivity provisions in the Agreement, seeking to recover damages and injunctive relief. On February 15, 2024, an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96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ectPr>
          <w:pgSz w:w="11900" w:h="16883" w:orient="portrait"/>
          <w:cols w:equalWidth="0" w:num="1">
            <w:col w:w="9019"/>
          </w:cols>
          <w:pgMar w:left="1440" w:top="431" w:right="1440" w:bottom="0" w:gutter="0" w:footer="0" w:header="0"/>
        </w:sectPr>
      </w:pPr>
    </w:p>
    <w:p>
      <w:pPr>
        <w:spacing w:after="0" w:line="365" w:lineRule="exact"/>
        <w:rPr>
          <w:sz w:val="20"/>
          <w:szCs w:val="20"/>
          <w:color w:val="auto"/>
        </w:rPr>
      </w:pPr>
    </w:p>
    <w:p>
      <w:pPr>
        <w:ind w:left="40" w:right="439"/>
        <w:spacing w:after="0" w:line="286" w:lineRule="auto"/>
        <w:rPr>
          <w:sz w:val="20"/>
          <w:szCs w:val="20"/>
          <w:color w:val="auto"/>
        </w:rPr>
      </w:pPr>
      <w:r>
        <w:rPr>
          <w:rFonts w:ascii="Arial" w:cs="Arial" w:eastAsia="Arial" w:hAnsi="Arial"/>
          <w:sz w:val="16"/>
          <w:szCs w:val="16"/>
          <w:color w:val="auto"/>
        </w:rPr>
        <w:t>arbitration award was rendered, which included a damages award and a permanent injunction (the "Arbitration Award"). Famulus filed a petition to vacate the Arbitration Award on February 21, 2024 in the United States District Court for the</w:t>
      </w:r>
    </w:p>
    <w:p>
      <w:pPr>
        <w:sectPr>
          <w:pgSz w:w="11900" w:h="16883" w:orient="portrait"/>
          <w:cols w:equalWidth="0" w:num="1">
            <w:col w:w="9019"/>
          </w:cols>
          <w:pgMar w:left="1440" w:top="431" w:right="1440" w:bottom="0" w:gutter="0" w:footer="0" w:header="0"/>
          <w:type w:val="continuous"/>
        </w:sectPr>
      </w:pPr>
    </w:p>
    <w:bookmarkStart w:id="14" w:name="page15"/>
    <w:bookmarkEnd w:id="14"/>
    <w:p>
      <w:pPr>
        <w:ind w:left="40" w:right="239"/>
        <w:spacing w:after="0" w:line="226" w:lineRule="auto"/>
        <w:rPr>
          <w:sz w:val="20"/>
          <w:szCs w:val="20"/>
          <w:color w:val="auto"/>
        </w:rPr>
      </w:pPr>
      <w:r>
        <w:rPr>
          <w:rFonts w:ascii="Arial" w:cs="Arial" w:eastAsia="Arial" w:hAnsi="Arial"/>
          <w:sz w:val="16"/>
          <w:szCs w:val="16"/>
          <w:color w:val="auto"/>
        </w:rPr>
        <w:t>District of South Carolina ("DSC"). We filed a petition to confirm the Arbitration Award on February 22, 2024 in the DSC. In April 2024, several motions and oppositions were filed, which were consolidated by the DSC on April 12, 2024.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-203200</wp:posOffset>
            </wp:positionV>
            <wp:extent cx="7016115" cy="8265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ind w:left="40" w:right="79"/>
        <w:spacing w:after="0" w:line="256" w:lineRule="auto"/>
        <w:rPr>
          <w:sz w:val="20"/>
          <w:szCs w:val="20"/>
          <w:color w:val="auto"/>
        </w:rPr>
      </w:pPr>
      <w:r>
        <w:rPr>
          <w:rFonts w:ascii="Arial" w:cs="Arial" w:eastAsia="Arial" w:hAnsi="Arial"/>
          <w:sz w:val="16"/>
          <w:szCs w:val="16"/>
          <w:color w:val="auto"/>
        </w:rPr>
        <w:t xml:space="preserve">September 11, 2024, the DSC entered an opinion and order denying Famulus’s motion to vacate the Arbitration Award and granting our motion to confirm the Arbitration Award as modified by the DSC. On October 11, 2024, we filed an application for writ of execution in the DSC, which was issued on October 16, 2024. The writ directs a U.S. Marshal of the District of South Carolina to levy Famulus’s property in execution of our judgment. We cannot make any assurance as to the outcome of the Arbitration Award or if the Arbitration Award will be collected. Any gain on this matter is considered a gain contingency and will be recognized in the period in which the Arbitration Award is realized or realizable, pursuant to ASC 450, </w:t>
      </w:r>
      <w:r>
        <w:rPr>
          <w:rFonts w:ascii="Arial" w:cs="Arial" w:eastAsia="Arial" w:hAnsi="Arial"/>
          <w:sz w:val="16"/>
          <w:szCs w:val="16"/>
          <w:i w:val="1"/>
          <w:iCs w:val="1"/>
          <w:color w:val="auto"/>
        </w:rPr>
        <w:t>Contingencies.</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9. Revenue</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nine months ended September 30, 2025 and 2024, revenue comprised the following:</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6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37"/>
        </w:trPr>
        <w:tc>
          <w:tcPr>
            <w:tcW w:w="372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r>
      <w:tr>
        <w:trPr>
          <w:trHeight w:val="237"/>
        </w:trPr>
        <w:tc>
          <w:tcPr>
            <w:tcW w:w="3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Prescription transactions revenue</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127,294</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140,419</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419,281</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432,562</w:t>
            </w:r>
          </w:p>
        </w:tc>
      </w:tr>
      <w:tr>
        <w:trPr>
          <w:trHeight w:val="257"/>
        </w:trPr>
        <w:tc>
          <w:tcPr>
            <w:tcW w:w="3720" w:type="dxa"/>
            <w:vAlign w:val="bottom"/>
          </w:tcPr>
          <w:p>
            <w:pPr>
              <w:ind w:left="60"/>
              <w:spacing w:after="0"/>
              <w:rPr>
                <w:sz w:val="20"/>
                <w:szCs w:val="20"/>
                <w:color w:val="auto"/>
              </w:rPr>
            </w:pPr>
            <w:r>
              <w:rPr>
                <w:rFonts w:ascii="Arial" w:cs="Arial" w:eastAsia="Arial" w:hAnsi="Arial"/>
                <w:sz w:val="16"/>
                <w:szCs w:val="16"/>
                <w:color w:val="auto"/>
              </w:rPr>
              <w:t>Subscription revenue</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20,724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21,306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62,264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65,860</w:t>
            </w:r>
          </w:p>
        </w:tc>
      </w:tr>
      <w:tr>
        <w:trPr>
          <w:trHeight w:val="257"/>
        </w:trPr>
        <w:tc>
          <w:tcPr>
            <w:tcW w:w="3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Pharma manufacturer solutions revenue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43,372</w:t>
            </w: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28,136</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107,001</w:t>
            </w: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79,149</w:t>
            </w:r>
          </w:p>
        </w:tc>
      </w:tr>
      <w:tr>
        <w:trPr>
          <w:trHeight w:val="256"/>
        </w:trPr>
        <w:tc>
          <w:tcPr>
            <w:tcW w:w="37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Other revenue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4,638</w:t>
            </w:r>
          </w:p>
        </w:tc>
        <w:tc>
          <w:tcPr>
            <w:tcW w:w="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13,522</w:t>
            </w:r>
          </w:p>
        </w:tc>
        <w:tc>
          <w:tcPr>
            <w:tcW w:w="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16,170</w:t>
            </w:r>
          </w:p>
        </w:tc>
      </w:tr>
      <w:tr>
        <w:trPr>
          <w:trHeight w:val="235"/>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196,028</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195,251</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602,068</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593,741</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Stockholders' Equity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February 23, 2022, our board of directors ("Board") authorized the repurchase of up to an aggregate of</w:t>
      </w:r>
    </w:p>
    <w:p>
      <w:pPr>
        <w:spacing w:after="0" w:line="31" w:lineRule="exact"/>
        <w:rPr>
          <w:sz w:val="20"/>
          <w:szCs w:val="20"/>
          <w:color w:val="auto"/>
        </w:rPr>
      </w:pPr>
    </w:p>
    <w:p>
      <w:pPr>
        <w:ind w:left="40" w:right="79"/>
        <w:spacing w:after="0" w:line="255" w:lineRule="auto"/>
        <w:rPr>
          <w:sz w:val="20"/>
          <w:szCs w:val="20"/>
          <w:color w:val="auto"/>
        </w:rPr>
      </w:pPr>
      <w:r>
        <w:rPr>
          <w:rFonts w:ascii="Arial" w:cs="Arial" w:eastAsia="Arial" w:hAnsi="Arial"/>
          <w:sz w:val="16"/>
          <w:szCs w:val="16"/>
          <w:color w:val="auto"/>
        </w:rPr>
        <w:t>$250.0 million of our Class A common stock through February 23, 2024. On February 27, 2024, our Board approved a new stock repurchase program which authorized the repurchase of up to an aggregate of $450.0 million of our Class A common stock with no expiration date. Repurchases under these repurchase programs may be made in the open market, in privately negotiated transactions or otherwise, with the amount and timing of repurchases to be determined at our discretion, depending on market conditions and corporate needs, or under a trading plan intended to satisfy the affirmative defense conditions of Rule 10b5-1(c)(1) under the Exchange Act. These repurchase programs do not obligate us to acquire any particular amount of Class A common stock and may be modified, suspended or terminated at any time at the discretion of our Board. Repurchased shares are subsequently retired and returned to the status of authorized but unissued. As of September 30, 2025 , we had $81.4 million available for future repurchases of our Class A common stock under the new stock repurchase program.</w:t>
      </w:r>
    </w:p>
    <w:p>
      <w:pPr>
        <w:spacing w:after="0" w:line="8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6"/>
          <w:szCs w:val="16"/>
          <w:color w:val="auto"/>
        </w:rPr>
        <w:t>In March 2024, we repurchased 14.6 million and 6.2 million shares of our Class A common stock (after giving effect to the automatic conversion of our Class B common stock to Class A common stock upon such repurchase) from related parties, Francisco Partners IV, L.P. and Francisco Partners IV-A (collectively, “Francisco Partners”) and Spectrum Equity VII, L.P., Spectrum VII Investment Managers’ Fund, L.P., and Spectrum VII Co-Investment Fund, L.P. (collectively, “Spectrum”), respectively, for an aggregate repurchase of 20.9 million shares of our Class A common stock at a price of $7.19 per share, in each case representing a discount from our closing share price of $7.57 on the date of the transaction execution. The aggregate consideration for these repurchases was $151.4 million , inclusive of direct costs and estimated excise taxes associated with these transactions.</w:t>
      </w:r>
    </w:p>
    <w:p>
      <w:pPr>
        <w:spacing w:after="0" w:line="84"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6"/>
          <w:szCs w:val="16"/>
          <w:color w:val="auto"/>
        </w:rPr>
        <w:t>In March 2025, we repurchased 10.0 million, 7.0 million, and 3.0 million shares of our Class A common stock (after giving effect to the automatic conversion of our Class B common stock to Class A common stock upon such repurchase) from related parties, Francisco Partners, Idea Men, LLC and Spectrum, respectively, for an aggregate repurchase of</w:t>
      </w:r>
    </w:p>
    <w:p>
      <w:pPr>
        <w:spacing w:after="0" w:line="1" w:lineRule="exact"/>
        <w:rPr>
          <w:sz w:val="20"/>
          <w:szCs w:val="20"/>
          <w:color w:val="auto"/>
        </w:rPr>
      </w:pPr>
    </w:p>
    <w:p>
      <w:pPr>
        <w:ind w:left="40" w:right="159"/>
        <w:spacing w:after="0" w:line="258" w:lineRule="auto"/>
        <w:rPr>
          <w:sz w:val="20"/>
          <w:szCs w:val="20"/>
          <w:color w:val="auto"/>
        </w:rPr>
      </w:pPr>
      <w:r>
        <w:rPr>
          <w:rFonts w:ascii="Arial" w:cs="Arial" w:eastAsia="Arial" w:hAnsi="Arial"/>
          <w:sz w:val="16"/>
          <w:szCs w:val="16"/>
          <w:color w:val="auto"/>
        </w:rPr>
        <w:t>20.0 million shares of our Class A common stock at a price of $4.20 per share, in each case representing a discount from our closing share price of $4.42 as of the last trading day prior to the execution date of these transactions. The aggregate consideration for these repurchases was $84.9 million, inclusive of direct costs and estimated excise taxes associated with these transactions.</w:t>
      </w:r>
    </w:p>
    <w:p>
      <w:pPr>
        <w:spacing w:after="0" w:line="84" w:lineRule="exact"/>
        <w:rPr>
          <w:sz w:val="20"/>
          <w:szCs w:val="20"/>
          <w:color w:val="auto"/>
        </w:rPr>
      </w:pPr>
    </w:p>
    <w:p>
      <w:pPr>
        <w:ind w:left="40" w:right="799" w:firstLine="324"/>
        <w:spacing w:after="0" w:line="286" w:lineRule="auto"/>
        <w:rPr>
          <w:sz w:val="20"/>
          <w:szCs w:val="20"/>
          <w:color w:val="auto"/>
        </w:rPr>
      </w:pPr>
      <w:r>
        <w:rPr>
          <w:rFonts w:ascii="Arial" w:cs="Arial" w:eastAsia="Arial" w:hAnsi="Arial"/>
          <w:sz w:val="16"/>
          <w:szCs w:val="16"/>
          <w:color w:val="auto"/>
        </w:rPr>
        <w:t>These related party repurchases were approved by our Board and its Audit and Risk Committee as part of the aforementioned repurchase programs.</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information about our repurchases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2167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6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4"/>
                <w:szCs w:val="14"/>
                <w:b w:val="1"/>
                <w:bCs w:val="1"/>
                <w:color w:val="auto"/>
              </w:rPr>
              <w:t>September 30,</w:t>
            </w:r>
          </w:p>
        </w:tc>
      </w:tr>
      <w:tr>
        <w:trPr>
          <w:trHeight w:val="237"/>
        </w:trPr>
        <w:tc>
          <w:tcPr>
            <w:tcW w:w="32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r>
      <w:tr>
        <w:trPr>
          <w:trHeight w:val="236"/>
        </w:trPr>
        <w:tc>
          <w:tcPr>
            <w:tcW w:w="3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Number of shares repurchased</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13,359</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46,923</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22,085</w:t>
            </w:r>
          </w:p>
        </w:tc>
      </w:tr>
      <w:tr>
        <w:trPr>
          <w:trHeight w:val="268"/>
        </w:trPr>
        <w:tc>
          <w:tcPr>
            <w:tcW w:w="3240" w:type="dxa"/>
            <w:vAlign w:val="bottom"/>
          </w:tcPr>
          <w:p>
            <w:pPr>
              <w:ind w:left="60"/>
              <w:spacing w:after="0"/>
              <w:rPr>
                <w:sz w:val="20"/>
                <w:szCs w:val="20"/>
                <w:color w:val="auto"/>
              </w:rPr>
            </w:pPr>
            <w:r>
              <w:rPr>
                <w:rFonts w:ascii="Arial" w:cs="Arial" w:eastAsia="Arial" w:hAnsi="Arial"/>
                <w:sz w:val="16"/>
                <w:szCs w:val="16"/>
                <w:color w:val="auto"/>
              </w:rPr>
              <w:t>Cost of shares repurchased</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61,589</w:t>
            </w:r>
          </w:p>
        </w:tc>
        <w:tc>
          <w:tcPr>
            <w:tcW w:w="60" w:type="dxa"/>
            <w:vAlign w:val="bottom"/>
          </w:tcPr>
          <w:p>
            <w:pPr>
              <w:spacing w:after="0"/>
              <w:rPr>
                <w:sz w:val="23"/>
                <w:szCs w:val="23"/>
                <w:color w:val="auto"/>
              </w:rPr>
            </w:pP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5,254</w:t>
            </w:r>
          </w:p>
        </w:tc>
        <w:tc>
          <w:tcPr>
            <w:tcW w:w="60" w:type="dxa"/>
            <w:vAlign w:val="bottom"/>
          </w:tcPr>
          <w:p>
            <w:pPr>
              <w:spacing w:after="0"/>
              <w:rPr>
                <w:sz w:val="23"/>
                <w:szCs w:val="23"/>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208,861</w:t>
            </w:r>
          </w:p>
        </w:tc>
        <w:tc>
          <w:tcPr>
            <w:tcW w:w="60" w:type="dxa"/>
            <w:vAlign w:val="bottom"/>
          </w:tcPr>
          <w:p>
            <w:pPr>
              <w:spacing w:after="0"/>
              <w:rPr>
                <w:sz w:val="23"/>
                <w:szCs w:val="23"/>
                <w:color w:val="auto"/>
              </w:rPr>
            </w:pP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159,778</w:t>
            </w:r>
          </w:p>
        </w:tc>
      </w:tr>
      <w:tr>
        <w:trPr>
          <w:trHeight w:val="602"/>
        </w:trPr>
        <w:tc>
          <w:tcPr>
            <w:tcW w:w="3240" w:type="dxa"/>
            <w:vAlign w:val="bottom"/>
          </w:tcPr>
          <w:p>
            <w:pPr>
              <w:spacing w:after="0"/>
              <w:rPr>
                <w:sz w:val="20"/>
                <w:szCs w:val="20"/>
                <w:color w:val="auto"/>
              </w:rPr>
            </w:pPr>
            <w:r>
              <w:rPr>
                <w:rFonts w:ascii="Arial" w:cs="Arial" w:eastAsia="Arial" w:hAnsi="Arial"/>
                <w:sz w:val="16"/>
                <w:szCs w:val="16"/>
                <w:b w:val="1"/>
                <w:bCs w:val="1"/>
                <w:color w:val="auto"/>
              </w:rPr>
              <w:t>11. Basic and Diluted Earnings Per Share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3"/>
        </w:trPr>
        <w:tc>
          <w:tcPr>
            <w:tcW w:w="3240" w:type="dxa"/>
            <w:vAlign w:val="bottom"/>
          </w:tcPr>
          <w:p>
            <w:pPr>
              <w:ind w:left="340"/>
              <w:spacing w:after="0"/>
              <w:rPr>
                <w:sz w:val="20"/>
                <w:szCs w:val="20"/>
                <w:color w:val="auto"/>
              </w:rPr>
            </w:pPr>
            <w:r>
              <w:rPr>
                <w:rFonts w:ascii="Arial" w:cs="Arial" w:eastAsia="Arial" w:hAnsi="Arial"/>
                <w:sz w:val="16"/>
                <w:szCs w:val="16"/>
                <w:color w:val="auto"/>
              </w:rPr>
              <w:t>The computation of  earnings per share</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for the</w:t>
            </w:r>
          </w:p>
        </w:tc>
        <w:tc>
          <w:tcPr>
            <w:tcW w:w="3780" w:type="dxa"/>
            <w:vAlign w:val="bottom"/>
            <w:gridSpan w:val="8"/>
          </w:tcPr>
          <w:p>
            <w:pPr>
              <w:spacing w:after="0"/>
              <w:rPr>
                <w:sz w:val="20"/>
                <w:szCs w:val="20"/>
                <w:color w:val="auto"/>
              </w:rPr>
            </w:pPr>
            <w:r>
              <w:rPr>
                <w:rFonts w:ascii="Arial" w:cs="Arial" w:eastAsia="Arial" w:hAnsi="Arial"/>
                <w:sz w:val="16"/>
                <w:szCs w:val="16"/>
                <w:color w:val="auto"/>
              </w:rPr>
              <w:t>three and nine months ended September 30, 2025</w:t>
            </w:r>
          </w:p>
        </w:tc>
        <w:tc>
          <w:tcPr>
            <w:tcW w:w="420" w:type="dxa"/>
            <w:vAlign w:val="bottom"/>
          </w:tcPr>
          <w:p>
            <w:pPr>
              <w:jc w:val="right"/>
              <w:spacing w:after="0"/>
              <w:rPr>
                <w:sz w:val="20"/>
                <w:szCs w:val="20"/>
                <w:color w:val="auto"/>
              </w:rPr>
            </w:pPr>
            <w:r>
              <w:rPr>
                <w:rFonts w:ascii="Arial" w:cs="Arial" w:eastAsia="Arial" w:hAnsi="Arial"/>
                <w:sz w:val="16"/>
                <w:szCs w:val="16"/>
                <w:color w:val="auto"/>
              </w:rPr>
              <w:t>and</w:t>
            </w:r>
          </w:p>
        </w:tc>
        <w:tc>
          <w:tcPr>
            <w:tcW w:w="840" w:type="dxa"/>
            <w:vAlign w:val="bottom"/>
          </w:tcPr>
          <w:p>
            <w:pPr>
              <w:jc w:val="right"/>
              <w:spacing w:after="0"/>
              <w:rPr>
                <w:sz w:val="20"/>
                <w:szCs w:val="20"/>
                <w:color w:val="auto"/>
              </w:rPr>
            </w:pPr>
            <w:r>
              <w:rPr>
                <w:rFonts w:ascii="Arial" w:cs="Arial" w:eastAsia="Arial" w:hAnsi="Arial"/>
                <w:sz w:val="16"/>
                <w:szCs w:val="16"/>
                <w:color w:val="auto"/>
              </w:rPr>
              <w:t>2024 is as</w:t>
            </w:r>
          </w:p>
        </w:tc>
      </w:tr>
      <w:tr>
        <w:trPr>
          <w:trHeight w:val="215"/>
        </w:trPr>
        <w:tc>
          <w:tcPr>
            <w:tcW w:w="3240" w:type="dxa"/>
            <w:vAlign w:val="bottom"/>
          </w:tcPr>
          <w:p>
            <w:pPr>
              <w:spacing w:after="0"/>
              <w:rPr>
                <w:sz w:val="20"/>
                <w:szCs w:val="20"/>
                <w:color w:val="auto"/>
              </w:rPr>
            </w:pPr>
            <w:r>
              <w:rPr>
                <w:rFonts w:ascii="Arial" w:cs="Arial" w:eastAsia="Arial" w:hAnsi="Arial"/>
                <w:sz w:val="16"/>
                <w:szCs w:val="16"/>
                <w:color w:val="auto"/>
              </w:rPr>
              <w:t>follows: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ectPr>
          <w:pgSz w:w="11900" w:h="16838" w:orient="portrait"/>
          <w:cols w:equalWidth="0" w:num="1">
            <w:col w:w="9019"/>
          </w:cols>
          <w:pgMar w:left="1440" w:top="114" w:right="1440" w:bottom="0" w:gutter="0" w:footer="0" w:header="0"/>
        </w:sectPr>
      </w:pPr>
    </w:p>
    <w:bookmarkStart w:id="15" w:name="page16"/>
    <w:bookmarkEnd w:id="1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6"/>
        </w:trPr>
        <w:tc>
          <w:tcPr>
            <w:tcW w:w="3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740" w:type="dxa"/>
            <w:vAlign w:val="bottom"/>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9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380"/>
              <w:spacing w:after="0"/>
              <w:rPr>
                <w:sz w:val="20"/>
                <w:szCs w:val="20"/>
                <w:color w:val="auto"/>
              </w:rPr>
            </w:pPr>
            <w:r>
              <w:rPr>
                <w:rFonts w:ascii="Arial" w:cs="Arial" w:eastAsia="Arial" w:hAnsi="Arial"/>
                <w:sz w:val="14"/>
                <w:szCs w:val="14"/>
                <w:b w:val="1"/>
                <w:bCs w:val="1"/>
                <w:color w:val="auto"/>
                <w:w w:val="96"/>
              </w:rPr>
              <w:t>2024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1"/>
        </w:trPr>
        <w:tc>
          <w:tcPr>
            <w:tcW w:w="3740" w:type="dxa"/>
            <w:vAlign w:val="bottom"/>
          </w:tcPr>
          <w:p>
            <w:pPr>
              <w:ind w:left="60"/>
              <w:spacing w:after="0"/>
              <w:rPr>
                <w:sz w:val="20"/>
                <w:szCs w:val="20"/>
                <w:color w:val="auto"/>
              </w:rPr>
            </w:pPr>
            <w:r>
              <w:rPr>
                <w:rFonts w:ascii="Arial" w:cs="Arial" w:eastAsia="Arial" w:hAnsi="Arial"/>
                <w:sz w:val="16"/>
                <w:szCs w:val="16"/>
                <w:b w:val="1"/>
                <w:bCs w:val="1"/>
                <w:color w:val="auto"/>
              </w:rPr>
              <w:t>Numerator: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374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1,119</w:t>
            </w:r>
          </w:p>
        </w:tc>
        <w:tc>
          <w:tcPr>
            <w:tcW w:w="40" w:type="dxa"/>
            <w:vAlign w:val="bottom"/>
          </w:tcPr>
          <w:p>
            <w:pPr>
              <w:spacing w:after="0"/>
              <w:rPr>
                <w:sz w:val="24"/>
                <w:szCs w:val="24"/>
                <w:color w:val="auto"/>
              </w:rPr>
            </w:pP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3,965</w:t>
            </w:r>
          </w:p>
        </w:tc>
        <w:tc>
          <w:tcPr>
            <w:tcW w:w="60" w:type="dxa"/>
            <w:vAlign w:val="bottom"/>
          </w:tcPr>
          <w:p>
            <w:pPr>
              <w:spacing w:after="0"/>
              <w:rPr>
                <w:sz w:val="24"/>
                <w:szCs w:val="24"/>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25,014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9,650</w:t>
            </w:r>
          </w:p>
        </w:tc>
        <w:tc>
          <w:tcPr>
            <w:tcW w:w="0" w:type="dxa"/>
            <w:vAlign w:val="bottom"/>
          </w:tcPr>
          <w:p>
            <w:pPr>
              <w:spacing w:after="0"/>
              <w:rPr>
                <w:sz w:val="1"/>
                <w:szCs w:val="1"/>
                <w:color w:val="auto"/>
              </w:rPr>
            </w:pPr>
          </w:p>
        </w:tc>
      </w:tr>
      <w:tr>
        <w:trPr>
          <w:trHeight w:val="265"/>
        </w:trPr>
        <w:tc>
          <w:tcPr>
            <w:tcW w:w="3740" w:type="dxa"/>
            <w:vAlign w:val="bottom"/>
          </w:tcPr>
          <w:p>
            <w:pPr>
              <w:ind w:left="6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740" w:type="dxa"/>
            <w:vAlign w:val="bottom"/>
          </w:tcPr>
          <w:p>
            <w:pPr>
              <w:ind w:left="6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346,776</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379,667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360,746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385,553</w:t>
            </w:r>
          </w:p>
        </w:tc>
        <w:tc>
          <w:tcPr>
            <w:tcW w:w="0" w:type="dxa"/>
            <w:vAlign w:val="bottom"/>
          </w:tcPr>
          <w:p>
            <w:pPr>
              <w:spacing w:after="0"/>
              <w:rPr>
                <w:sz w:val="1"/>
                <w:szCs w:val="1"/>
                <w:color w:val="auto"/>
              </w:rPr>
            </w:pPr>
          </w:p>
        </w:tc>
      </w:tr>
      <w:tr>
        <w:trPr>
          <w:trHeight w:val="231"/>
        </w:trPr>
        <w:tc>
          <w:tcPr>
            <w:tcW w:w="3740" w:type="dxa"/>
            <w:vAlign w:val="bottom"/>
          </w:tcPr>
          <w:p>
            <w:pPr>
              <w:ind w:left="300"/>
              <w:spacing w:after="0"/>
              <w:rPr>
                <w:sz w:val="20"/>
                <w:szCs w:val="20"/>
                <w:color w:val="auto"/>
              </w:rPr>
            </w:pPr>
            <w:r>
              <w:rPr>
                <w:rFonts w:ascii="Arial" w:cs="Arial" w:eastAsia="Arial" w:hAnsi="Arial"/>
                <w:sz w:val="16"/>
                <w:szCs w:val="16"/>
                <w:color w:val="auto"/>
              </w:rPr>
              <w:t>Dilutive impact of stock options and restricted</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380"/>
              <w:spacing w:after="0"/>
              <w:rPr>
                <w:sz w:val="20"/>
                <w:szCs w:val="20"/>
                <w:color w:val="auto"/>
              </w:rPr>
            </w:pPr>
            <w:r>
              <w:rPr>
                <w:rFonts w:ascii="Arial" w:cs="Arial" w:eastAsia="Arial" w:hAnsi="Arial"/>
                <w:sz w:val="16"/>
                <w:szCs w:val="16"/>
                <w:color w:val="auto"/>
              </w:rPr>
              <w:t>stock units</w:t>
            </w:r>
          </w:p>
        </w:tc>
        <w:tc>
          <w:tcPr>
            <w:tcW w:w="3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1,034</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8,837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7,924</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347,810</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388,504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361,423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393,477</w:t>
            </w:r>
          </w:p>
        </w:tc>
        <w:tc>
          <w:tcPr>
            <w:tcW w:w="0" w:type="dxa"/>
            <w:vAlign w:val="bottom"/>
          </w:tcPr>
          <w:p>
            <w:pPr>
              <w:spacing w:after="0"/>
              <w:rPr>
                <w:sz w:val="1"/>
                <w:szCs w:val="1"/>
                <w:color w:val="auto"/>
              </w:rPr>
            </w:pPr>
          </w:p>
        </w:tc>
      </w:tr>
      <w:tr>
        <w:trPr>
          <w:trHeight w:val="164"/>
        </w:trPr>
        <w:tc>
          <w:tcPr>
            <w:tcW w:w="37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Earnings per share:</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7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3740" w:type="dxa"/>
            <w:vAlign w:val="bottom"/>
          </w:tcPr>
          <w:p>
            <w:pPr>
              <w:ind w:left="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0.00</w:t>
            </w:r>
          </w:p>
        </w:tc>
        <w:tc>
          <w:tcPr>
            <w:tcW w:w="40" w:type="dxa"/>
            <w:vAlign w:val="bottom"/>
          </w:tcPr>
          <w:p>
            <w:pPr>
              <w:spacing w:after="0"/>
              <w:rPr>
                <w:sz w:val="24"/>
                <w:szCs w:val="24"/>
                <w:color w:val="auto"/>
              </w:rPr>
            </w:pP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c>
          <w:tcPr>
            <w:tcW w:w="60" w:type="dxa"/>
            <w:vAlign w:val="bottom"/>
          </w:tcPr>
          <w:p>
            <w:pPr>
              <w:spacing w:after="0"/>
              <w:rPr>
                <w:sz w:val="24"/>
                <w:szCs w:val="24"/>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0.00</w:t>
            </w:r>
          </w:p>
        </w:tc>
        <w:tc>
          <w:tcPr>
            <w:tcW w:w="40" w:type="dxa"/>
            <w:vAlign w:val="bottom"/>
          </w:tcPr>
          <w:p>
            <w:pPr>
              <w:spacing w:after="0"/>
              <w:rPr>
                <w:sz w:val="22"/>
                <w:szCs w:val="22"/>
                <w:color w:val="auto"/>
              </w:rPr>
            </w:pP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c>
          <w:tcPr>
            <w:tcW w:w="60" w:type="dxa"/>
            <w:vAlign w:val="bottom"/>
          </w:tcPr>
          <w:p>
            <w:pPr>
              <w:spacing w:after="0"/>
              <w:rPr>
                <w:sz w:val="22"/>
                <w:szCs w:val="22"/>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68"/>
        </w:trPr>
        <w:tc>
          <w:tcPr>
            <w:tcW w:w="7700" w:type="dxa"/>
            <w:vAlign w:val="bottom"/>
            <w:gridSpan w:val="11"/>
          </w:tcPr>
          <w:p>
            <w:pPr>
              <w:ind w:left="340"/>
              <w:spacing w:after="0"/>
              <w:rPr>
                <w:sz w:val="20"/>
                <w:szCs w:val="20"/>
                <w:color w:val="auto"/>
              </w:rPr>
            </w:pPr>
            <w:r>
              <w:rPr>
                <w:rFonts w:ascii="Arial" w:cs="Arial" w:eastAsia="Arial" w:hAnsi="Arial"/>
                <w:sz w:val="16"/>
                <w:szCs w:val="16"/>
                <w:color w:val="auto"/>
              </w:rPr>
              <w:t>The following weighted average potentially dilutive shares are excluded from the computation of diluted</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earnings per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-2126615</wp:posOffset>
            </wp:positionV>
            <wp:extent cx="7016115" cy="6894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share for the periods presented because including them would have been antidilutive:</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74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686"/>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06"/>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36"/>
        </w:trPr>
        <w:tc>
          <w:tcPr>
            <w:tcW w:w="37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w w:val="96"/>
              </w:rPr>
              <w:t>2024</w:t>
            </w: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2024</w:t>
            </w:r>
          </w:p>
        </w:tc>
      </w:tr>
      <w:tr>
        <w:trPr>
          <w:trHeight w:val="237"/>
        </w:trPr>
        <w:tc>
          <w:tcPr>
            <w:tcW w:w="3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and restricted stock units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40,026</w:t>
            </w: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12,767</w:t>
            </w: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46,077</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16,905</w:t>
            </w:r>
          </w:p>
        </w:tc>
      </w:tr>
    </w:tbl>
    <w:p>
      <w:pPr>
        <w:spacing w:after="0" w:line="39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12. Subsequent Event</w:t>
      </w:r>
    </w:p>
    <w:p>
      <w:pPr>
        <w:spacing w:after="0" w:line="113" w:lineRule="exact"/>
        <w:rPr>
          <w:sz w:val="20"/>
          <w:szCs w:val="20"/>
          <w:color w:val="auto"/>
        </w:rPr>
      </w:pPr>
    </w:p>
    <w:p>
      <w:pPr>
        <w:jc w:val="both"/>
        <w:ind w:left="40" w:right="139" w:firstLine="324"/>
        <w:spacing w:after="0" w:line="265" w:lineRule="auto"/>
        <w:rPr>
          <w:sz w:val="20"/>
          <w:szCs w:val="20"/>
          <w:color w:val="auto"/>
        </w:rPr>
      </w:pPr>
      <w:r>
        <w:rPr>
          <w:rFonts w:ascii="Arial" w:cs="Arial" w:eastAsia="Arial" w:hAnsi="Arial"/>
          <w:sz w:val="16"/>
          <w:szCs w:val="16"/>
          <w:color w:val="auto"/>
        </w:rPr>
        <w:t>On October 16, 2025, we acquired substantially all of the assets and assumed certain liabilities of ScriptDrop, Inc., a prescription delivery technology platform for $13.5 million in cash, subject to customary adjustments . The acquisition is</w:t>
      </w:r>
    </w:p>
    <w:p>
      <w:pPr>
        <w:spacing w:after="0" w:line="1" w:lineRule="exact"/>
        <w:rPr>
          <w:sz w:val="20"/>
          <w:szCs w:val="20"/>
          <w:color w:val="auto"/>
        </w:rPr>
      </w:pPr>
    </w:p>
    <w:p>
      <w:pPr>
        <w:ind w:left="40" w:right="139"/>
        <w:spacing w:after="0" w:line="258" w:lineRule="auto"/>
        <w:rPr>
          <w:sz w:val="20"/>
          <w:szCs w:val="20"/>
          <w:color w:val="auto"/>
        </w:rPr>
      </w:pPr>
      <w:r>
        <w:rPr>
          <w:rFonts w:ascii="Arial" w:cs="Arial" w:eastAsia="Arial" w:hAnsi="Arial"/>
          <w:sz w:val="16"/>
          <w:szCs w:val="16"/>
          <w:color w:val="auto"/>
        </w:rPr>
        <w:t>expected to expand our business capabilities, particularly our prescription transactions offering by enhancing our prescription delivery solutions and improving consumer's end-to-end experience. The determination of the fair values of the acquired assets and assumed liabilities is incomplete due to the recent date of the acquisition. The results of operations of the acquired business will be included in our consolidated results beginning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539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5" w:lineRule="exact"/>
        <w:rPr>
          <w:sz w:val="20"/>
          <w:szCs w:val="20"/>
          <w:color w:val="auto"/>
        </w:rPr>
      </w:pPr>
    </w:p>
    <w:p>
      <w:pPr>
        <w:ind w:left="40" w:right="59" w:firstLine="324"/>
        <w:spacing w:after="0"/>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Operations” and Part II, Item 8, “Financial Statements and Supplementary Data” included in our Annual Report on Form 10-K for the fiscal year ended December 31, 2024 filed with the Securities and Exchange Commission ("SEC") on February 27, 2025 (“2024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2024 10-K and this Quarterly Report on Form 10-Q and other factors set forth in other parts of this Quarterly Report on Form 10-Q and our filings with the SEC.</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Glossary of Selected Terminology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used in this Quarterly Report on Form 10-Q, unless the context otherwise requires, references to:</w:t>
      </w:r>
    </w:p>
    <w:p>
      <w:pPr>
        <w:spacing w:after="0" w:line="127" w:lineRule="exact"/>
        <w:rPr>
          <w:sz w:val="20"/>
          <w:szCs w:val="20"/>
          <w:color w:val="auto"/>
        </w:rPr>
      </w:pPr>
    </w:p>
    <w:p>
      <w:pPr>
        <w:ind w:left="1020" w:right="259" w:hanging="647"/>
        <w:spacing w:after="0" w:line="28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we</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us</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our</w:t>
      </w:r>
      <w:r>
        <w:rPr>
          <w:rFonts w:ascii="Arial" w:cs="Arial" w:eastAsia="Arial" w:hAnsi="Arial"/>
          <w:sz w:val="16"/>
          <w:szCs w:val="16"/>
          <w:color w:val="auto"/>
        </w:rPr>
        <w:t xml:space="preserve">,” the “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GoodRx</w:t>
      </w:r>
      <w:r>
        <w:rPr>
          <w:rFonts w:ascii="Arial" w:cs="Arial" w:eastAsia="Arial" w:hAnsi="Arial"/>
          <w:sz w:val="16"/>
          <w:szCs w:val="16"/>
          <w:color w:val="auto"/>
        </w:rPr>
        <w:t>,” and similar references refer to GoodRx Holdings, Inc. and its consolidated subsidiaries.</w:t>
      </w:r>
    </w:p>
    <w:p>
      <w:pPr>
        <w:spacing w:after="0" w:line="47" w:lineRule="exact"/>
        <w:rPr>
          <w:rFonts w:ascii="Arial" w:cs="Arial" w:eastAsia="Arial" w:hAnsi="Arial"/>
          <w:sz w:val="16"/>
          <w:szCs w:val="16"/>
          <w:color w:val="auto"/>
        </w:rPr>
      </w:pPr>
    </w:p>
    <w:p>
      <w:pPr>
        <w:ind w:left="1020" w:right="59" w:hanging="647"/>
        <w:spacing w:after="0" w:line="30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Co-Founders</w:t>
      </w:r>
      <w:r>
        <w:rPr>
          <w:rFonts w:ascii="Arial" w:cs="Arial" w:eastAsia="Arial" w:hAnsi="Arial"/>
          <w:sz w:val="16"/>
          <w:szCs w:val="16"/>
          <w:color w:val="auto"/>
        </w:rPr>
        <w:t>” refers to Trevor Bezdek, our Co-Chairman and a director of the Company, and Douglas Hirsch, a director of the Company.</w:t>
      </w:r>
    </w:p>
    <w:p>
      <w:pPr>
        <w:spacing w:after="0" w:line="33" w:lineRule="exact"/>
        <w:rPr>
          <w:rFonts w:ascii="Arial" w:cs="Arial" w:eastAsia="Arial" w:hAnsi="Arial"/>
          <w:sz w:val="16"/>
          <w:szCs w:val="16"/>
          <w:color w:val="auto"/>
        </w:rPr>
      </w:pPr>
    </w:p>
    <w:p>
      <w:pPr>
        <w:jc w:val="both"/>
        <w:ind w:left="1020" w:right="139" w:hanging="647"/>
        <w:spacing w:after="0" w:line="27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 to the general population in the United States that uses or otherwise purchases healthcare products and services. References to “ </w:t>
      </w:r>
      <w:r>
        <w:rPr>
          <w:rFonts w:ascii="Arial" w:cs="Arial" w:eastAsia="Arial" w:hAnsi="Arial"/>
          <w:sz w:val="16"/>
          <w:szCs w:val="16"/>
          <w:b w:val="1"/>
          <w:bCs w:val="1"/>
          <w:i w:val="1"/>
          <w:iCs w:val="1"/>
          <w:color w:val="auto"/>
        </w:rPr>
        <w:t>our consumers</w:t>
      </w:r>
      <w:r>
        <w:rPr>
          <w:rFonts w:ascii="Arial" w:cs="Arial" w:eastAsia="Arial" w:hAnsi="Arial"/>
          <w:sz w:val="16"/>
          <w:szCs w:val="16"/>
          <w:color w:val="auto"/>
        </w:rPr>
        <w:t xml:space="preserve"> ” or “ </w:t>
      </w:r>
      <w:r>
        <w:rPr>
          <w:rFonts w:ascii="Arial" w:cs="Arial" w:eastAsia="Arial" w:hAnsi="Arial"/>
          <w:sz w:val="16"/>
          <w:szCs w:val="16"/>
          <w:b w:val="1"/>
          <w:bCs w:val="1"/>
          <w:i w:val="1"/>
          <w:iCs w:val="1"/>
          <w:color w:val="auto"/>
        </w:rPr>
        <w:t>GoodRx consumers</w:t>
      </w:r>
      <w:r>
        <w:rPr>
          <w:rFonts w:ascii="Arial" w:cs="Arial" w:eastAsia="Arial" w:hAnsi="Arial"/>
          <w:sz w:val="16"/>
          <w:szCs w:val="16"/>
          <w:color w:val="auto"/>
        </w:rPr>
        <w:t xml:space="preserve"> ” refer to consumers that have used one or more of our offerings.</w:t>
      </w:r>
    </w:p>
    <w:p>
      <w:pPr>
        <w:sectPr>
          <w:pgSz w:w="11900" w:h="16838" w:orient="portrait"/>
          <w:cols w:equalWidth="0" w:num="1">
            <w:col w:w="9019"/>
          </w:cols>
          <w:pgMar w:left="1440" w:top="100" w:right="1440" w:bottom="0" w:gutter="0" w:footer="0" w:header="0"/>
        </w:sectPr>
      </w:pPr>
    </w:p>
    <w:bookmarkStart w:id="16" w:name="page17"/>
    <w:bookmarkEnd w:id="16"/>
    <w:p>
      <w:pPr>
        <w:spacing w:after="0" w:line="23" w:lineRule="exact"/>
        <w:rPr>
          <w:sz w:val="20"/>
          <w:szCs w:val="20"/>
          <w:color w:val="auto"/>
        </w:rPr>
      </w:pPr>
    </w:p>
    <w:p>
      <w:pPr>
        <w:ind w:left="1020" w:right="99" w:hanging="647"/>
        <w:spacing w:after="0" w:line="25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discounted price</w:t>
      </w:r>
      <w:r>
        <w:rPr>
          <w:rFonts w:ascii="Arial" w:cs="Arial" w:eastAsia="Arial" w:hAnsi="Arial"/>
          <w:sz w:val="16"/>
          <w:szCs w:val="16"/>
          <w:color w:val="auto"/>
        </w:rPr>
        <w:t>” refers to a price for a prescription provided on our platform that represents a negotiated rate provided by one of our PBM partners at a retail pharmacy or under a direct contract with one of our partner pharmacies.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w:t>
      </w:r>
    </w:p>
    <w:p>
      <w:pPr>
        <w:spacing w:after="0" w:line="77" w:lineRule="exact"/>
        <w:rPr>
          <w:rFonts w:ascii="Arial" w:cs="Arial" w:eastAsia="Arial" w:hAnsi="Arial"/>
          <w:sz w:val="16"/>
          <w:szCs w:val="16"/>
          <w:color w:val="auto"/>
        </w:rPr>
      </w:pPr>
    </w:p>
    <w:p>
      <w:pPr>
        <w:jc w:val="both"/>
        <w:ind w:left="1020" w:right="159" w:hanging="647"/>
        <w:spacing w:after="0" w:line="26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GoodRx code</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78" w:lineRule="exact"/>
        <w:rPr>
          <w:rFonts w:ascii="Arial" w:cs="Arial" w:eastAsia="Arial" w:hAnsi="Arial"/>
          <w:sz w:val="16"/>
          <w:szCs w:val="16"/>
          <w:color w:val="auto"/>
        </w:rPr>
      </w:pPr>
    </w:p>
    <w:p>
      <w:pPr>
        <w:ind w:left="1020" w:right="99" w:hanging="647"/>
        <w:spacing w:after="0" w:line="25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Monthly Active Consumers</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Effective January 1, 2025, Monthly Active Consumers from acquired companies are included beginning from the acquisition date. Prior to January 1, 2025, Monthly Active Consumers from acquired companies were only included beginning in the first full quarter following the acquisition.</w:t>
      </w:r>
    </w:p>
    <w:p>
      <w:pPr>
        <w:spacing w:after="0" w:line="92" w:lineRule="exact"/>
        <w:rPr>
          <w:rFonts w:ascii="Arial" w:cs="Arial" w:eastAsia="Arial" w:hAnsi="Arial"/>
          <w:sz w:val="16"/>
          <w:szCs w:val="16"/>
          <w:color w:val="auto"/>
        </w:rPr>
      </w:pPr>
    </w:p>
    <w:p>
      <w:pPr>
        <w:ind w:left="1020" w:hanging="647"/>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 pharmacies</w:t>
      </w:r>
      <w:r>
        <w:rPr>
          <w:rFonts w:ascii="Arial" w:cs="Arial" w:eastAsia="Arial" w:hAnsi="Arial"/>
          <w:sz w:val="16"/>
          <w:szCs w:val="16"/>
          <w:color w:val="auto"/>
        </w:rPr>
        <w:t>" refers to select licensed pharmacies with whom we have direct contractual agreements.</w:t>
      </w:r>
    </w:p>
    <w:p>
      <w:pPr>
        <w:spacing w:after="0" w:line="113" w:lineRule="exact"/>
        <w:rPr>
          <w:rFonts w:ascii="Arial" w:cs="Arial" w:eastAsia="Arial" w:hAnsi="Arial"/>
          <w:sz w:val="16"/>
          <w:szCs w:val="16"/>
          <w:color w:val="auto"/>
        </w:rPr>
      </w:pPr>
    </w:p>
    <w:p>
      <w:pPr>
        <w:ind w:left="1020" w:right="79" w:hanging="647"/>
        <w:spacing w:after="0" w:line="26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PBM</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4" w:lineRule="exact"/>
        <w:rPr>
          <w:rFonts w:ascii="Arial" w:cs="Arial" w:eastAsia="Arial" w:hAnsi="Arial"/>
          <w:sz w:val="16"/>
          <w:szCs w:val="16"/>
          <w:color w:val="auto"/>
        </w:rPr>
      </w:pPr>
    </w:p>
    <w:p>
      <w:pPr>
        <w:ind w:left="1020" w:hanging="647"/>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pharma</w:t>
      </w:r>
      <w:r>
        <w:rPr>
          <w:rFonts w:ascii="Arial" w:cs="Arial" w:eastAsia="Arial" w:hAnsi="Arial"/>
          <w:sz w:val="16"/>
          <w:szCs w:val="16"/>
          <w:color w:val="auto"/>
        </w:rPr>
        <w:t>” is an abbreviation for pharmaceutical.</w:t>
      </w:r>
    </w:p>
    <w:p>
      <w:pPr>
        <w:spacing w:after="0" w:line="113" w:lineRule="exact"/>
        <w:rPr>
          <w:rFonts w:ascii="Arial" w:cs="Arial" w:eastAsia="Arial" w:hAnsi="Arial"/>
          <w:sz w:val="16"/>
          <w:szCs w:val="16"/>
          <w:color w:val="auto"/>
        </w:rPr>
      </w:pPr>
    </w:p>
    <w:p>
      <w:pPr>
        <w:ind w:left="1020" w:right="139" w:hanging="647"/>
        <w:spacing w:after="0" w:line="30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savings,</w:t>
      </w:r>
      <w:r>
        <w:rPr>
          <w:rFonts w:ascii="Arial" w:cs="Arial" w:eastAsia="Arial" w:hAnsi="Arial"/>
          <w:sz w:val="16"/>
          <w:szCs w:val="16"/>
          <w:i w:val="1"/>
          <w:iCs w:val="1"/>
          <w:color w:val="auto"/>
        </w:rPr>
        <w:t>”</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saved</w:t>
      </w:r>
      <w:r>
        <w:rPr>
          <w:rFonts w:ascii="Arial" w:cs="Arial" w:eastAsia="Arial" w:hAnsi="Arial"/>
          <w:sz w:val="16"/>
          <w:szCs w:val="16"/>
          <w:i w:val="1"/>
          <w:iCs w:val="1"/>
          <w:color w:val="auto"/>
        </w:rPr>
        <w:t>”</w:t>
      </w:r>
      <w:r>
        <w:rPr>
          <w:rFonts w:ascii="Arial" w:cs="Arial" w:eastAsia="Arial" w:hAnsi="Arial"/>
          <w:sz w:val="16"/>
          <w:szCs w:val="16"/>
          <w:color w:val="auto"/>
        </w:rPr>
        <w:t xml:space="preserve"> and similar references refer to the difference between the list price for a particular prescription at a particular pharmacy and the price paid by the GoodRx consumer for that prescription utilizing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-4984115</wp:posOffset>
            </wp:positionV>
            <wp:extent cx="7016115" cy="5522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911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1020" w:right="99"/>
        <w:spacing w:after="0" w:line="256" w:lineRule="auto"/>
        <w:rPr>
          <w:sz w:val="20"/>
          <w:szCs w:val="20"/>
          <w:color w:val="auto"/>
        </w:rPr>
      </w:pPr>
      <w:r>
        <w:rPr>
          <w:rFonts w:ascii="Arial" w:cs="Arial" w:eastAsia="Arial" w:hAnsi="Arial"/>
          <w:sz w:val="16"/>
          <w:szCs w:val="16"/>
          <w:color w:val="auto"/>
        </w:rPr>
        <w:t>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285" w:lineRule="exact"/>
        <w:rPr>
          <w:sz w:val="20"/>
          <w:szCs w:val="20"/>
          <w:color w:val="auto"/>
        </w:rPr>
      </w:pPr>
    </w:p>
    <w:p>
      <w:pPr>
        <w:ind w:left="1020" w:right="79" w:hanging="647"/>
        <w:spacing w:after="0" w:line="25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subscribers</w:t>
      </w:r>
      <w:r>
        <w:rPr>
          <w:rFonts w:ascii="Arial" w:cs="Arial" w:eastAsia="Arial" w:hAnsi="Arial"/>
          <w:sz w:val="16"/>
          <w:szCs w:val="16"/>
          <w:color w:val="auto"/>
        </w:rPr>
        <w:t>” and similar references refers to our consumers that are subscribed to our subscription offerings, GoodRx Gold (“</w:t>
      </w:r>
      <w:r>
        <w:rPr>
          <w:rFonts w:ascii="Arial" w:cs="Arial" w:eastAsia="Arial" w:hAnsi="Arial"/>
          <w:sz w:val="16"/>
          <w:szCs w:val="16"/>
          <w:b w:val="1"/>
          <w:bCs w:val="1"/>
          <w:i w:val="1"/>
          <w:iCs w:val="1"/>
          <w:color w:val="auto"/>
        </w:rPr>
        <w:t>Gold</w:t>
      </w:r>
      <w:r>
        <w:rPr>
          <w:rFonts w:ascii="Arial" w:cs="Arial" w:eastAsia="Arial" w:hAnsi="Arial"/>
          <w:sz w:val="16"/>
          <w:szCs w:val="16"/>
          <w:color w:val="auto"/>
        </w:rPr>
        <w:t xml:space="preserve">”), Kroger Rx Savings Club powered by GoodRx (“ </w:t>
      </w:r>
      <w:r>
        <w:rPr>
          <w:rFonts w:ascii="Arial" w:cs="Arial" w:eastAsia="Arial" w:hAnsi="Arial"/>
          <w:sz w:val="16"/>
          <w:szCs w:val="16"/>
          <w:b w:val="1"/>
          <w:bCs w:val="1"/>
          <w:i w:val="1"/>
          <w:iCs w:val="1"/>
          <w:color w:val="auto"/>
        </w:rPr>
        <w:t>Kroger Savings</w:t>
      </w:r>
      <w:r>
        <w:rPr>
          <w:rFonts w:ascii="Arial" w:cs="Arial" w:eastAsia="Arial" w:hAnsi="Arial"/>
          <w:sz w:val="16"/>
          <w:szCs w:val="16"/>
          <w:color w:val="auto"/>
        </w:rPr>
        <w:t xml:space="preserve">”) which sunset in July 2024, condition-specific related subscription programs which first launched in June 2025, and RxSmartSaver+ powered by GoodRx (" </w:t>
      </w:r>
      <w:r>
        <w:rPr>
          <w:rFonts w:ascii="Arial" w:cs="Arial" w:eastAsia="Arial" w:hAnsi="Arial"/>
          <w:sz w:val="16"/>
          <w:szCs w:val="16"/>
          <w:b w:val="1"/>
          <w:bCs w:val="1"/>
          <w:i w:val="1"/>
          <w:iCs w:val="1"/>
          <w:color w:val="auto"/>
        </w:rPr>
        <w:t>RxSmartSaver+</w:t>
      </w:r>
      <w:r>
        <w:rPr>
          <w:rFonts w:ascii="Arial" w:cs="Arial" w:eastAsia="Arial" w:hAnsi="Arial"/>
          <w:sz w:val="16"/>
          <w:szCs w:val="16"/>
          <w:color w:val="auto"/>
        </w:rPr>
        <w:t>") which launched in July 2025 . References to subscription plans as of a particular date represents an active subscription to any one of our aforementioned subscription offerings as of the specified date. For Gold, Kroger Savings, and RxSmartSaver+, each subscription plan may represent more than one subscriber since family subscription plans may include multiple members.</w:t>
      </w:r>
    </w:p>
    <w:p>
      <w:pPr>
        <w:spacing w:after="0" w:line="82"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6"/>
          <w:szCs w:val="16"/>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ind w:left="40" w:right="59" w:firstLine="324"/>
        <w:spacing w:after="0" w:line="260" w:lineRule="auto"/>
        <w:rPr>
          <w:sz w:val="20"/>
          <w:szCs w:val="20"/>
          <w:color w:val="auto"/>
        </w:rPr>
      </w:pPr>
      <w:r>
        <w:rPr>
          <w:rFonts w:ascii="Arial" w:cs="Arial" w:eastAsia="Arial" w:hAnsi="Arial"/>
          <w:sz w:val="16"/>
          <w:szCs w:val="16"/>
          <w:color w:val="auto"/>
        </w:rPr>
        <w:t>Our mission is to help Americans save time and money when filling their medications. To achieve this, we are building the leading consumer-focused digital healthcare platform in the United States. For example, in the second quarter of 2025, we announced the launch of our first condition-specific subscription program for erectile dysfunction, and in October 2025 expanded into hair loss. These condition-specific subscription programs offer consumers a single solution for comprehensive care by bundling the clinician visit, prescription (if deemed medically appropriate by the treating healthcare provider), and</w:t>
      </w:r>
    </w:p>
    <w:p>
      <w:pPr>
        <w:sectPr>
          <w:pgSz w:w="11900" w:h="16861" w:orient="portrait"/>
          <w:cols w:equalWidth="0" w:num="1">
            <w:col w:w="9019"/>
          </w:cols>
          <w:pgMar w:left="1440" w:top="114" w:right="1440" w:bottom="0" w:gutter="0" w:footer="0" w:header="0"/>
        </w:sectPr>
      </w:pPr>
    </w:p>
    <w:bookmarkStart w:id="17" w:name="page18"/>
    <w:bookmarkEnd w:id="17"/>
    <w:p>
      <w:pPr>
        <w:ind w:left="40" w:right="199"/>
        <w:spacing w:after="0" w:line="226" w:lineRule="auto"/>
        <w:rPr>
          <w:sz w:val="20"/>
          <w:szCs w:val="20"/>
          <w:color w:val="auto"/>
        </w:rPr>
      </w:pPr>
      <w:r>
        <w:rPr>
          <w:rFonts w:ascii="Arial" w:cs="Arial" w:eastAsia="Arial" w:hAnsi="Arial"/>
          <w:sz w:val="16"/>
          <w:szCs w:val="16"/>
          <w:color w:val="auto"/>
        </w:rPr>
        <w:t>related delivery for a single total subscription price. We plan to continue to expand into additional conditions before the end of 2025. In the third quarter of 2025, we also continued to grow our consumer direct pricing and announced a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-203200</wp:posOffset>
            </wp:positionV>
            <wp:extent cx="7016115" cy="4150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ind w:left="40" w:right="179"/>
        <w:spacing w:after="0" w:line="270" w:lineRule="auto"/>
        <w:rPr>
          <w:sz w:val="20"/>
          <w:szCs w:val="20"/>
          <w:color w:val="auto"/>
        </w:rPr>
      </w:pPr>
      <w:r>
        <w:rPr>
          <w:rFonts w:ascii="Arial" w:cs="Arial" w:eastAsia="Arial" w:hAnsi="Arial"/>
          <w:sz w:val="16"/>
          <w:szCs w:val="16"/>
          <w:color w:val="auto"/>
        </w:rPr>
        <w:t>with a pharmaceutical manufacturer to offer eligible patients nationwide two of the most in-demand GLP-1 medications at a significantly lower cash price through our platform.</w:t>
      </w:r>
    </w:p>
    <w:p>
      <w:pPr>
        <w:spacing w:after="0" w:line="60" w:lineRule="exact"/>
        <w:rPr>
          <w:sz w:val="20"/>
          <w:szCs w:val="20"/>
          <w:color w:val="auto"/>
        </w:rPr>
      </w:pPr>
    </w:p>
    <w:p>
      <w:pPr>
        <w:ind w:left="40" w:right="199" w:firstLine="324"/>
        <w:spacing w:after="0" w:line="257" w:lineRule="auto"/>
        <w:rPr>
          <w:sz w:val="20"/>
          <w:szCs w:val="20"/>
          <w:color w:val="auto"/>
        </w:rPr>
      </w:pPr>
      <w:r>
        <w:rPr>
          <w:rFonts w:ascii="Arial" w:cs="Arial" w:eastAsia="Arial" w:hAnsi="Arial"/>
          <w:sz w:val="16"/>
          <w:szCs w:val="16"/>
          <w:color w:val="auto"/>
        </w:rPr>
        <w:t>With respect to the healthcare landscape, change has become a constant with positive and negative impacts on our business. For example, in July 2025, Congress passed a budget bill that cuts federal funding for Medicaid among other health insurance programs, as well as tightens eligibility requirements and increases the frequency of Medicaid coverage determinations. Further, copays on prescription medication have continued to trend upward in recent years and we believe as insurance providers and government programs continue to shift the cost burden more to consumers, including through changes to Affordable Care Act marketplace subsidies, consumers are now more than ever searching for sustainable and</w:t>
      </w:r>
    </w:p>
    <w:p>
      <w:pPr>
        <w:spacing w:after="0" w:line="5" w:lineRule="exact"/>
        <w:rPr>
          <w:sz w:val="20"/>
          <w:szCs w:val="20"/>
          <w:color w:val="auto"/>
        </w:rPr>
      </w:pPr>
    </w:p>
    <w:p>
      <w:pPr>
        <w:ind w:left="40" w:right="179"/>
        <w:spacing w:after="0" w:line="253" w:lineRule="auto"/>
        <w:rPr>
          <w:sz w:val="20"/>
          <w:szCs w:val="20"/>
          <w:color w:val="auto"/>
        </w:rPr>
      </w:pPr>
      <w:r>
        <w:rPr>
          <w:rFonts w:ascii="Arial" w:cs="Arial" w:eastAsia="Arial" w:hAnsi="Arial"/>
          <w:sz w:val="16"/>
          <w:szCs w:val="16"/>
          <w:color w:val="auto"/>
        </w:rPr>
        <w:t>affordable healthcare solutions which we believe strengthens our value proposition . Separately, certain major drug producers and manufacturers are in negotiations with the current Presidential administration to receive relief from the potential imposition of a 100% tariff on any branded or patented pharmaceutical product produced outside of the United States. As a result of these negotiations, certain manufacturers have announced their participation in a new government sponsored direct-to-consumer platform called “TrumpRx.gov,” designed to offer consumers discounts on their products and</w:t>
      </w:r>
    </w:p>
    <w:p>
      <w:pPr>
        <w:spacing w:after="0" w:line="2" w:lineRule="exact"/>
        <w:rPr>
          <w:sz w:val="20"/>
          <w:szCs w:val="20"/>
          <w:color w:val="auto"/>
        </w:rPr>
      </w:pPr>
    </w:p>
    <w:p>
      <w:pPr>
        <w:ind w:left="40" w:right="59"/>
        <w:spacing w:after="0" w:line="258" w:lineRule="auto"/>
        <w:rPr>
          <w:sz w:val="20"/>
          <w:szCs w:val="20"/>
          <w:color w:val="auto"/>
        </w:rPr>
      </w:pPr>
      <w:r>
        <w:rPr>
          <w:rFonts w:ascii="Arial" w:cs="Arial" w:eastAsia="Arial" w:hAnsi="Arial"/>
          <w:sz w:val="16"/>
          <w:szCs w:val="16"/>
          <w:color w:val="auto"/>
        </w:rPr>
        <w:t>some specialty brands. Details regarding this government sponsored platform, as well as any potential impact on our business, offerings or results of operations, are unclear at this time but may be significant. We are actively engaged with the administration, helping to inform policy efforts that expand access and affordability for all American s. With the introduction of these federal initiatives, including the renewed focus on Most-Favored-Nation pricing, the market is shifting decisively toward greater transparency and direct-to-consumer access. For us, this evolution is both an opportunity and a clear validation of our mission.</w:t>
      </w:r>
    </w:p>
    <w:p>
      <w:pPr>
        <w:spacing w:after="0" w:line="70" w:lineRule="exact"/>
        <w:rPr>
          <w:sz w:val="20"/>
          <w:szCs w:val="20"/>
          <w:color w:val="auto"/>
        </w:rPr>
      </w:pPr>
    </w:p>
    <w:p>
      <w:pPr>
        <w:ind w:left="40" w:right="59" w:firstLine="324"/>
        <w:spacing w:after="0" w:line="262" w:lineRule="auto"/>
        <w:rPr>
          <w:sz w:val="20"/>
          <w:szCs w:val="20"/>
          <w:color w:val="auto"/>
        </w:rPr>
      </w:pPr>
      <w:r>
        <w:rPr>
          <w:rFonts w:ascii="Arial" w:cs="Arial" w:eastAsia="Arial" w:hAnsi="Arial"/>
          <w:sz w:val="16"/>
          <w:szCs w:val="16"/>
          <w:color w:val="auto"/>
        </w:rPr>
        <w:t>Conversely, we have seen rapid changes in the U.S. retail pharmacy landscape recently with announcements of store closures and reduction of footprint from various retail pharmacies, including Rite Aid and Walgreens. In early May 2025, Rite Aid announced its plan to pursue a sale of substantially all of its assets through a voluntary bankruptcy process. Consequently, we saw several PBMs remove Rite Aid from their networks , causing immediate cessation in the associated claims volume, as well as rapid store closures, which altogether adversely impacted our ability to recapture these claims in the near term. As an extension of the changing retail pharmacy landscape, we have seen and continue to expect heightened renegotiations between pharmacies and PBMs, including changes in retailer reimbursement models, as a result of the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282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99"/>
        <w:spacing w:after="0" w:line="257" w:lineRule="auto"/>
        <w:rPr>
          <w:sz w:val="20"/>
          <w:szCs w:val="20"/>
          <w:color w:val="auto"/>
        </w:rPr>
      </w:pPr>
      <w:r>
        <w:rPr>
          <w:rFonts w:ascii="Arial" w:cs="Arial" w:eastAsia="Arial" w:hAnsi="Arial"/>
          <w:sz w:val="16"/>
          <w:szCs w:val="16"/>
          <w:color w:val="auto"/>
        </w:rPr>
        <w:t>pharmacies' increased focus on rationalizing their spending. Furthermore, we saw a material volume reduction in one of our integrated savings programs, which integrate our competitive discounts and pricing in a seamless experience at the pharmacy counter for eligible plan members served by certain PBM partners. Integrated savings programs are operated through PBMs who decide how to implement and manage these programs. Combined, these external factors have adversely impacted our prescription transactions revenue, financial results, and Monthly Active Consumers that we expect</w:t>
      </w:r>
    </w:p>
    <w:p>
      <w:pPr>
        <w:spacing w:after="0" w:line="3" w:lineRule="exact"/>
        <w:rPr>
          <w:sz w:val="20"/>
          <w:szCs w:val="20"/>
          <w:color w:val="auto"/>
        </w:rPr>
      </w:pPr>
    </w:p>
    <w:p>
      <w:pPr>
        <w:ind w:left="40" w:right="99"/>
        <w:spacing w:after="0" w:line="265" w:lineRule="auto"/>
        <w:rPr>
          <w:sz w:val="20"/>
          <w:szCs w:val="20"/>
          <w:color w:val="auto"/>
        </w:rPr>
      </w:pPr>
      <w:r>
        <w:rPr>
          <w:rFonts w:ascii="Arial" w:cs="Arial" w:eastAsia="Arial" w:hAnsi="Arial"/>
          <w:sz w:val="16"/>
          <w:szCs w:val="16"/>
          <w:color w:val="auto"/>
        </w:rPr>
        <w:t>will continue in the near term with the expected impact to prescription transactions revenue estimated at $35.0 to $40.0 million in 2025.</w:t>
      </w:r>
    </w:p>
    <w:p>
      <w:pPr>
        <w:spacing w:after="0" w:line="77"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6"/>
          <w:szCs w:val="16"/>
          <w:color w:val="auto"/>
        </w:rPr>
        <w:t>Despite these near term challenges, we continue to believe that we are well positioned to grow our business over the long term.</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months ended September 30, 2025 as compared to the same period of 2024:</w:t>
      </w:r>
    </w:p>
    <w:p>
      <w:pPr>
        <w:spacing w:after="0" w:line="113" w:lineRule="exact"/>
        <w:rPr>
          <w:sz w:val="20"/>
          <w:szCs w:val="20"/>
          <w:color w:val="auto"/>
        </w:rPr>
      </w:pPr>
    </w:p>
    <w:p>
      <w:pPr>
        <w:ind w:left="1020" w:hanging="647"/>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increased to $196.0 million from $195.3 million;</w:t>
      </w:r>
    </w:p>
    <w:p>
      <w:pPr>
        <w:spacing w:after="0" w:line="113" w:lineRule="exact"/>
        <w:rPr>
          <w:rFonts w:ascii="Arial" w:cs="Arial" w:eastAsia="Arial" w:hAnsi="Arial"/>
          <w:sz w:val="16"/>
          <w:szCs w:val="16"/>
          <w:color w:val="auto"/>
        </w:rPr>
      </w:pPr>
    </w:p>
    <w:p>
      <w:pPr>
        <w:ind w:left="1020" w:right="79" w:hanging="647"/>
        <w:spacing w:after="0" w:line="30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income and net income margin were $1.1 million and 0.6%, respectively, compared to $4.0 million and 2.0%, respectively; and</w:t>
      </w:r>
    </w:p>
    <w:p>
      <w:pPr>
        <w:spacing w:after="0" w:line="33" w:lineRule="exact"/>
        <w:rPr>
          <w:rFonts w:ascii="Arial" w:cs="Arial" w:eastAsia="Arial" w:hAnsi="Arial"/>
          <w:sz w:val="16"/>
          <w:szCs w:val="16"/>
          <w:color w:val="auto"/>
        </w:rPr>
      </w:pPr>
    </w:p>
    <w:p>
      <w:pPr>
        <w:ind w:left="1020" w:right="59" w:hanging="647"/>
        <w:spacing w:after="0" w:line="30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and Adjusted EBITDA Margin were $66.3 million and 33.8%, respectively, compared to $65.0 million and 33.3%, respectively.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nine months ended September 30, 2025 as compared to the same period of 2024:</w:t>
      </w:r>
    </w:p>
    <w:p>
      <w:pPr>
        <w:spacing w:after="0" w:line="113" w:lineRule="exact"/>
        <w:rPr>
          <w:sz w:val="20"/>
          <w:szCs w:val="20"/>
          <w:color w:val="auto"/>
        </w:rPr>
      </w:pPr>
    </w:p>
    <w:p>
      <w:pPr>
        <w:ind w:left="1020" w:hanging="647"/>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increased to $602.1 million from $593.7 million;</w:t>
      </w:r>
    </w:p>
    <w:p>
      <w:pPr>
        <w:spacing w:after="0" w:line="126" w:lineRule="exact"/>
        <w:rPr>
          <w:rFonts w:ascii="Arial" w:cs="Arial" w:eastAsia="Arial" w:hAnsi="Arial"/>
          <w:sz w:val="16"/>
          <w:szCs w:val="16"/>
          <w:color w:val="auto"/>
        </w:rPr>
      </w:pPr>
    </w:p>
    <w:p>
      <w:pPr>
        <w:ind w:left="1020" w:right="79" w:hanging="647"/>
        <w:spacing w:after="0" w:line="286"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income and net income margin were $25.0 million and 4.2%, respectively, compared to $9.7 million and 1.6%, respectively; and</w:t>
      </w:r>
    </w:p>
    <w:p>
      <w:pPr>
        <w:sectPr>
          <w:pgSz w:w="11900" w:h="16838" w:orient="portrait"/>
          <w:cols w:equalWidth="0" w:num="1">
            <w:col w:w="9019"/>
          </w:cols>
          <w:pgMar w:left="1440" w:top="114" w:right="1440" w:bottom="0" w:gutter="0" w:footer="0" w:header="0"/>
        </w:sectPr>
      </w:pPr>
    </w:p>
    <w:p>
      <w:pPr>
        <w:spacing w:after="0" w:line="61" w:lineRule="exact"/>
        <w:rPr>
          <w:sz w:val="20"/>
          <w:szCs w:val="20"/>
          <w:color w:val="auto"/>
        </w:rPr>
      </w:pPr>
    </w:p>
    <w:p>
      <w:pPr>
        <w:ind w:left="3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Adjusted EBITDA and Adjusted EBITDA Margin were $193.2 million and 32.5%, respectively.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$205.5 million and 34.1%, respectively, compared to</w:t>
      </w:r>
    </w:p>
    <w:p>
      <w:pPr>
        <w:spacing w:after="0" w:line="302" w:lineRule="exact"/>
        <w:rPr>
          <w:sz w:val="20"/>
          <w:szCs w:val="20"/>
          <w:color w:val="auto"/>
        </w:rPr>
      </w:pPr>
    </w:p>
    <w:p>
      <w:pPr>
        <w:sectPr>
          <w:pgSz w:w="11900" w:h="16838" w:orient="portrait"/>
          <w:cols w:equalWidth="0" w:num="3">
            <w:col w:w="420" w:space="600"/>
            <w:col w:w="3820" w:space="220"/>
            <w:col w:w="3959"/>
          </w:cols>
          <w:pgMar w:left="1440" w:top="114" w:right="1440" w:bottom="0" w:gutter="0" w:footer="0" w:header="0"/>
          <w:type w:val="continuous"/>
        </w:sectPr>
      </w:pPr>
    </w:p>
    <w:p>
      <w:pPr>
        <w:ind w:left="40" w:right="159" w:firstLine="324"/>
        <w:spacing w:after="0" w:line="261" w:lineRule="auto"/>
        <w:rPr>
          <w:sz w:val="20"/>
          <w:szCs w:val="20"/>
          <w:color w:val="auto"/>
        </w:rPr>
      </w:pPr>
      <w:r>
        <w:rPr>
          <w:rFonts w:ascii="Arial" w:cs="Arial" w:eastAsia="Arial" w:hAnsi="Arial"/>
          <w:sz w:val="16"/>
          <w:szCs w:val="16"/>
          <w:color w:val="auto"/>
        </w:rPr>
        <w:t>Revenue, net income and net income margin are financial measures prepared in conformity with accounting principles generally accepted in the United States ("GAAP"). Adjusted EBITDA and Adjusted EBITDA Margin are non-GAAP financial measures. For a reconciliation and presentation of Adjusted EBITDA and Adjusted EBITDA Margin to the most directly comparable GAAP financial measures, information about why we consider Adjusted EBITDA and Adjusted EBITDA Margin useful and a discussion of the material risks and limitations of these measures, please see “Key Financial and Operating Metrics—Non-GAAP Financial Measures" below.</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Development</w:t>
      </w:r>
    </w:p>
    <w:p>
      <w:pPr>
        <w:spacing w:after="0" w:line="113" w:lineRule="exact"/>
        <w:rPr>
          <w:sz w:val="20"/>
          <w:szCs w:val="20"/>
          <w:color w:val="auto"/>
        </w:rPr>
      </w:pPr>
    </w:p>
    <w:p>
      <w:pPr>
        <w:jc w:val="both"/>
        <w:ind w:left="40" w:right="299" w:firstLine="324"/>
        <w:spacing w:after="0" w:line="275" w:lineRule="auto"/>
        <w:rPr>
          <w:sz w:val="20"/>
          <w:szCs w:val="20"/>
          <w:color w:val="auto"/>
        </w:rPr>
      </w:pPr>
      <w:r>
        <w:rPr>
          <w:rFonts w:ascii="Arial" w:cs="Arial" w:eastAsia="Arial" w:hAnsi="Arial"/>
          <w:sz w:val="16"/>
          <w:szCs w:val="16"/>
          <w:color w:val="auto"/>
        </w:rPr>
        <w:t>On October 16, 2025, we acquired substantially all of the assets and assumed certain liabilities of ScriptDrop, Inc., a prescription delivery technology platform for $13.5 million in cash. See Note 12 to our condensed consolidated financial statements included elsewhere in this Quarterly Report on Form 10-Q for additional information.</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Key Financial and Operating Metrics</w:t>
      </w:r>
    </w:p>
    <w:p>
      <w:pPr>
        <w:spacing w:after="0" w:line="127"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We use Monthly Active Consumers, subscription plans, Adjusted Revenue,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w:t>
      </w:r>
    </w:p>
    <w:p>
      <w:pPr>
        <w:sectPr>
          <w:pgSz w:w="11900" w:h="16838" w:orient="portrait"/>
          <w:cols w:equalWidth="0" w:num="1">
            <w:col w:w="9019"/>
          </w:cols>
          <w:pgMar w:left="1440" w:top="114" w:right="1440" w:bottom="0" w:gutter="0" w:footer="0" w:header="0"/>
          <w:type w:val="continuous"/>
        </w:sectPr>
      </w:pPr>
    </w:p>
    <w:bookmarkStart w:id="18" w:name="page19"/>
    <w:bookmarkEnd w:id="18"/>
    <w:p>
      <w:pPr>
        <w:ind w:left="40" w:right="359"/>
        <w:spacing w:after="0" w:line="185" w:lineRule="auto"/>
        <w:rPr>
          <w:sz w:val="20"/>
          <w:szCs w:val="20"/>
          <w:color w:val="auto"/>
        </w:rPr>
      </w:pPr>
      <w:r>
        <w:rPr>
          <w:rFonts w:ascii="Arial" w:cs="Arial" w:eastAsia="Arial" w:hAnsi="Arial"/>
          <w:sz w:val="15"/>
          <w:szCs w:val="15"/>
          <w:color w:val="auto"/>
        </w:rPr>
        <w:t>consumers. As our business continues to evolve, we are reassessing the Monthly Active Consumers metric as a primary indicator of performance to ensure it aligns with how we measure growth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-151765</wp:posOffset>
            </wp:positionV>
            <wp:extent cx="7016115" cy="2779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spacing w:after="0" w:line="63"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We exited the third quarter of 2025 with over 6 million prescription-related consumers that used GoodRx across our prescription transactions and subscription offerings. Our prescription-related consumers represent the sum of Monthly Active Consumers for the three months ended September 30, 2025 and subscribers to our subscription plans as of September 30, 2025.</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Monthly Active Consumers</w:t>
      </w:r>
    </w:p>
    <w:p>
      <w:pPr>
        <w:spacing w:after="0" w:line="111"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6"/>
          <w:szCs w:val="16"/>
          <w:color w:val="auto"/>
        </w:rPr>
        <w:t>The factors described in the "Overview" section have adversely impacted our Monthly Active Consumers beginning in the second quarter of 2025 and are expected to contribute to the year-over-year decline in Monthly Active Consumers in the near term.</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19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3"/>
                <w:szCs w:val="13"/>
                <w:b w:val="1"/>
                <w:bCs w:val="1"/>
                <w:color w:val="auto"/>
                <w:w w:val="96"/>
              </w:rPr>
              <w:t>Three Months Ended</w:t>
            </w: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78"/>
        </w:trPr>
        <w:tc>
          <w:tcPr>
            <w:tcW w:w="190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September 30,</w:t>
            </w: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June 30,</w:t>
            </w: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March 31,</w:t>
            </w:r>
          </w:p>
        </w:tc>
        <w:tc>
          <w:tcPr>
            <w:tcW w:w="10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September 30,</w:t>
            </w:r>
          </w:p>
        </w:tc>
        <w:tc>
          <w:tcPr>
            <w:tcW w:w="10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June 30,</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March 31,</w:t>
            </w:r>
          </w:p>
        </w:tc>
      </w:tr>
      <w:tr>
        <w:trPr>
          <w:trHeight w:val="166"/>
        </w:trPr>
        <w:tc>
          <w:tcPr>
            <w:tcW w:w="190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millions)</w:t>
            </w: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2024</w:t>
            </w:r>
          </w:p>
        </w:tc>
        <w:tc>
          <w:tcPr>
            <w:tcW w:w="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2024</w:t>
            </w:r>
          </w:p>
        </w:tc>
      </w:tr>
      <w:tr>
        <w:trPr>
          <w:trHeight w:val="196"/>
        </w:trPr>
        <w:tc>
          <w:tcPr>
            <w:tcW w:w="19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Monthly Active Consumers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65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Subscription Plans</w:t>
      </w:r>
    </w:p>
    <w:p>
      <w:pPr>
        <w:spacing w:after="0" w:line="111" w:lineRule="exact"/>
        <w:rPr>
          <w:sz w:val="20"/>
          <w:szCs w:val="20"/>
          <w:color w:val="auto"/>
        </w:rPr>
      </w:pPr>
    </w:p>
    <w:p>
      <w:pPr>
        <w:ind w:left="40" w:right="179" w:firstLine="324"/>
        <w:spacing w:after="0" w:line="304" w:lineRule="auto"/>
        <w:rPr>
          <w:sz w:val="20"/>
          <w:szCs w:val="20"/>
          <w:color w:val="auto"/>
        </w:rPr>
      </w:pPr>
      <w:r>
        <w:rPr>
          <w:rFonts w:ascii="Arial" w:cs="Arial" w:eastAsia="Arial" w:hAnsi="Arial"/>
          <w:sz w:val="16"/>
          <w:szCs w:val="16"/>
          <w:color w:val="auto"/>
        </w:rPr>
        <w:t>Subscription plans through the second quarter of 2024 included subscription plans for Kroger Savings, which sunset in July 2024.</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8"/>
              </w:rPr>
              <w:t>As of</w:t>
            </w: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69"/>
        </w:trPr>
        <w:tc>
          <w:tcPr>
            <w:tcW w:w="19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September 30,</w:t>
            </w: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June 30,</w:t>
            </w: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March 31,</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September 30,</w:t>
            </w: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June 30,</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March 31,</w:t>
            </w:r>
          </w:p>
        </w:tc>
      </w:tr>
      <w:tr>
        <w:trPr>
          <w:trHeight w:val="176"/>
        </w:trPr>
        <w:tc>
          <w:tcPr>
            <w:tcW w:w="192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thousands)</w:t>
            </w: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2024</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2024</w:t>
            </w:r>
          </w:p>
        </w:tc>
      </w:tr>
      <w:tr>
        <w:trPr>
          <w:trHeight w:val="200"/>
        </w:trPr>
        <w:tc>
          <w:tcPr>
            <w:tcW w:w="1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Subscription plans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w:t>
            </w:r>
          </w:p>
        </w:tc>
      </w:tr>
    </w:tbl>
    <w:p>
      <w:pPr>
        <w:spacing w:after="0" w:line="3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11" w:lineRule="exact"/>
        <w:rPr>
          <w:sz w:val="20"/>
          <w:szCs w:val="20"/>
          <w:color w:val="auto"/>
        </w:rPr>
      </w:pPr>
    </w:p>
    <w:p>
      <w:pPr>
        <w:ind w:left="40" w:right="79" w:firstLine="324"/>
        <w:spacing w:after="0" w:line="265" w:lineRule="auto"/>
        <w:rPr>
          <w:sz w:val="20"/>
          <w:szCs w:val="20"/>
          <w:color w:val="auto"/>
        </w:rPr>
      </w:pPr>
      <w:r>
        <w:rPr>
          <w:rFonts w:ascii="Arial" w:cs="Arial" w:eastAsia="Arial" w:hAnsi="Arial"/>
          <w:sz w:val="16"/>
          <w:szCs w:val="16"/>
          <w:color w:val="auto"/>
        </w:rPr>
        <w:t>Adjusted Revenue, Adjusted EBITDA and Adjusted EBITDA Margin are key measures we use to assess our financial performance and are also used for internal planning and forecasting purposes. We believe Adjusted Revenue,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64" w:lineRule="exact"/>
        <w:rPr>
          <w:sz w:val="20"/>
          <w:szCs w:val="20"/>
          <w:color w:val="auto"/>
        </w:rPr>
      </w:pPr>
    </w:p>
    <w:p>
      <w:pPr>
        <w:ind w:left="40" w:right="99" w:firstLine="324"/>
        <w:spacing w:after="0" w:line="265" w:lineRule="auto"/>
        <w:rPr>
          <w:sz w:val="20"/>
          <w:szCs w:val="20"/>
          <w:color w:val="auto"/>
        </w:rPr>
      </w:pPr>
      <w:r>
        <w:rPr>
          <w:rFonts w:ascii="Arial" w:cs="Arial" w:eastAsia="Arial" w:hAnsi="Arial"/>
          <w:sz w:val="16"/>
          <w:szCs w:val="16"/>
          <w:color w:val="auto"/>
        </w:rPr>
        <w:t>We define Adjusted Revenue for a particular period as revenue excluding client contract termination costs associated with restructuring related activities. We exclude these costs from revenue because we believe they are not indicative of past or future underlying performance of the business. For the three and nine months ended September 30, 2025 and 2024, revenue was equal to Adjusted Revenue.</w:t>
      </w:r>
    </w:p>
    <w:p>
      <w:pPr>
        <w:spacing w:after="0" w:line="78"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6"/>
          <w:szCs w:val="16"/>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gain on sale of business and other income or expense, net. These excluded items are either non-cash charges or such that we believe they do not represent our underlying core operating performance and that their exclusion provides investors with a better understanding of the factors and trends affecting our business. Adjusted EBITDA Margin represents Adjusted EBITDA as a percentage of Adjusted Revenue.</w:t>
      </w:r>
    </w:p>
    <w:p>
      <w:pPr>
        <w:spacing w:after="0" w:line="72"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6"/>
          <w:szCs w:val="16"/>
          <w:color w:val="auto"/>
        </w:rPr>
        <w:t>Adjusted Revenue, 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costs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ectPr>
          <w:pgSz w:w="11900" w:h="16838" w:orient="portrait"/>
          <w:cols w:equalWidth="0" w:num="1">
            <w:col w:w="9019"/>
          </w:cols>
          <w:pgMar w:left="1440" w:top="114"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07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25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6"/>
          <w:szCs w:val="16"/>
          <w:color w:val="auto"/>
        </w:rPr>
        <w:t>The following table presents a reconciliation of net income, the most directly comparable financial measure calculated in accordance with GAAP, to Adjusted EBITDA, and presents net income margin, the most directly comparable financial measure calculated in accordance with GAAP, with Adjusted EBITDA Margin:</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6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226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September 30,</w:t>
            </w:r>
          </w:p>
        </w:tc>
      </w:tr>
      <w:tr>
        <w:trPr>
          <w:trHeight w:val="236"/>
        </w:trPr>
        <w:tc>
          <w:tcPr>
            <w:tcW w:w="37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r>
      <w:tr>
        <w:trPr>
          <w:trHeight w:val="237"/>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1,119</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3,965</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25,014</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9,650</w:t>
            </w:r>
          </w:p>
        </w:tc>
      </w:tr>
      <w:tr>
        <w:trPr>
          <w:trHeight w:val="257"/>
        </w:trPr>
        <w:tc>
          <w:tcPr>
            <w:tcW w:w="3740" w:type="dxa"/>
            <w:vAlign w:val="bottom"/>
          </w:tcPr>
          <w:p>
            <w:pPr>
              <w:ind w:left="60"/>
              <w:spacing w:after="0"/>
              <w:rPr>
                <w:sz w:val="20"/>
                <w:szCs w:val="20"/>
                <w:color w:val="auto"/>
              </w:rPr>
            </w:pPr>
            <w:r>
              <w:rPr>
                <w:rFonts w:ascii="Arial" w:cs="Arial" w:eastAsia="Arial" w:hAnsi="Arial"/>
                <w:sz w:val="16"/>
                <w:szCs w:val="16"/>
                <w:color w:val="auto"/>
              </w:rPr>
              <w:t>Adjusted to exclude the following:</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(2,309)</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(4,797)</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(9,044)</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(18,686)</w:t>
            </w:r>
          </w:p>
        </w:tc>
      </w:tr>
      <w:tr>
        <w:trPr>
          <w:trHeight w:val="256"/>
        </w:trPr>
        <w:tc>
          <w:tcPr>
            <w:tcW w:w="3740" w:type="dxa"/>
            <w:vAlign w:val="bottom"/>
          </w:tcPr>
          <w:p>
            <w:pPr>
              <w:ind w:left="30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10,829</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12,355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32,202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41,564</w:t>
            </w:r>
          </w:p>
        </w:tc>
      </w:tr>
      <w:tr>
        <w:trPr>
          <w:trHeight w:val="257"/>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4,981</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4,147</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17,331</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10,401</w:t>
            </w:r>
          </w:p>
        </w:tc>
      </w:tr>
      <w:tr>
        <w:trPr>
          <w:trHeight w:val="257"/>
        </w:trPr>
        <w:tc>
          <w:tcPr>
            <w:tcW w:w="37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21,431</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17,535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62,072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50,442</w:t>
            </w:r>
          </w:p>
        </w:tc>
      </w:tr>
      <w:tr>
        <w:trPr>
          <w:trHeight w:val="257"/>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expense (income)</w:t>
            </w:r>
          </w:p>
        </w:tc>
        <w:tc>
          <w:tcPr>
            <w:tcW w:w="3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2,660</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(694)</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2,660</w:t>
            </w:r>
          </w:p>
        </w:tc>
      </w:tr>
      <w:tr>
        <w:trPr>
          <w:trHeight w:val="256"/>
        </w:trPr>
        <w:tc>
          <w:tcPr>
            <w:tcW w:w="3740" w:type="dxa"/>
            <w:vAlign w:val="bottom"/>
          </w:tcPr>
          <w:p>
            <w:pPr>
              <w:ind w:left="30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2,077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2,077</w:t>
            </w:r>
          </w:p>
        </w:tc>
      </w:tr>
      <w:tr>
        <w:trPr>
          <w:trHeight w:val="257"/>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xml:space="preserve">Financing related expenses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898</w:t>
            </w:r>
          </w:p>
        </w:tc>
      </w:tr>
      <w:tr>
        <w:trPr>
          <w:trHeight w:val="256"/>
        </w:trPr>
        <w:tc>
          <w:tcPr>
            <w:tcW w:w="3740" w:type="dxa"/>
            <w:vAlign w:val="bottom"/>
          </w:tcPr>
          <w:p>
            <w:pPr>
              <w:ind w:left="300"/>
              <w:spacing w:after="0"/>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1"/>
                <w:szCs w:val="21"/>
                <w:color w:val="auto"/>
                <w:vertAlign w:val="superscript"/>
              </w:rPr>
              <w:t>(2)</w:t>
            </w:r>
          </w:p>
        </w:tc>
        <w:tc>
          <w:tcPr>
            <w:tcW w:w="3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776</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802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413</w:t>
            </w:r>
          </w:p>
        </w:tc>
      </w:tr>
      <w:tr>
        <w:trPr>
          <w:trHeight w:val="257"/>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xml:space="preserve">Restructuring related expenses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5,526</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7,291</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441</w:t>
            </w:r>
          </w:p>
        </w:tc>
      </w:tr>
      <w:tr>
        <w:trPr>
          <w:trHeight w:val="256"/>
        </w:trPr>
        <w:tc>
          <w:tcPr>
            <w:tcW w:w="3740" w:type="dxa"/>
            <w:vAlign w:val="bottom"/>
          </w:tcPr>
          <w:p>
            <w:pPr>
              <w:ind w:left="300"/>
              <w:spacing w:after="0"/>
              <w:rPr>
                <w:sz w:val="20"/>
                <w:szCs w:val="20"/>
                <w:color w:val="auto"/>
              </w:rPr>
            </w:pPr>
            <w:r>
              <w:rPr>
                <w:rFonts w:ascii="Arial" w:cs="Arial" w:eastAsia="Arial" w:hAnsi="Arial"/>
                <w:sz w:val="16"/>
                <w:szCs w:val="16"/>
                <w:color w:val="auto"/>
              </w:rPr>
              <w:t xml:space="preserve">Legal settlement expenses </w:t>
            </w:r>
            <w:r>
              <w:rPr>
                <w:rFonts w:ascii="Arial" w:cs="Arial" w:eastAsia="Arial" w:hAnsi="Arial"/>
                <w:sz w:val="21"/>
                <w:szCs w:val="21"/>
                <w:color w:val="auto"/>
                <w:vertAlign w:val="superscript"/>
              </w:rPr>
              <w:t>(4)</w:t>
            </w:r>
          </w:p>
        </w:tc>
        <w:tc>
          <w:tcPr>
            <w:tcW w:w="3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5,500</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5,855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13,000</w:t>
            </w:r>
          </w:p>
        </w:tc>
      </w:tr>
      <w:tr>
        <w:trPr>
          <w:trHeight w:val="257"/>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18,118</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26,381</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58,707</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78,067</w:t>
            </w:r>
          </w:p>
        </w:tc>
      </w:tr>
      <w:tr>
        <w:trPr>
          <w:trHeight w:val="242"/>
        </w:trPr>
        <w:tc>
          <w:tcPr>
            <w:tcW w:w="3740" w:type="dxa"/>
            <w:vAlign w:val="bottom"/>
          </w:tcPr>
          <w:p>
            <w:pPr>
              <w:ind w:left="300"/>
              <w:spacing w:after="0"/>
              <w:rPr>
                <w:sz w:val="20"/>
                <w:szCs w:val="20"/>
                <w:color w:val="auto"/>
              </w:rPr>
            </w:pPr>
            <w:r>
              <w:rPr>
                <w:rFonts w:ascii="Arial" w:cs="Arial" w:eastAsia="Arial" w:hAnsi="Arial"/>
                <w:sz w:val="16"/>
                <w:szCs w:val="16"/>
                <w:color w:val="auto"/>
              </w:rPr>
              <w:t>Payroll tax expense related to stock-based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3"/>
        </w:trPr>
        <w:tc>
          <w:tcPr>
            <w:tcW w:w="3740" w:type="dxa"/>
            <w:vAlign w:val="bottom"/>
          </w:tcPr>
          <w:p>
            <w:pPr>
              <w:ind w:left="460"/>
              <w:spacing w:after="0"/>
              <w:rPr>
                <w:sz w:val="20"/>
                <w:szCs w:val="20"/>
                <w:color w:val="auto"/>
              </w:rPr>
            </w:pPr>
            <w:r>
              <w:rPr>
                <w:rFonts w:ascii="Arial" w:cs="Arial" w:eastAsia="Arial" w:hAnsi="Arial"/>
                <w:sz w:val="16"/>
                <w:szCs w:val="16"/>
                <w:color w:val="auto"/>
              </w:rPr>
              <w:t>compensation</w:t>
            </w:r>
          </w:p>
        </w:tc>
        <w:tc>
          <w:tcPr>
            <w:tcW w:w="300" w:type="dxa"/>
            <w:vAlign w:val="bottom"/>
          </w:tcPr>
          <w:p>
            <w:pPr>
              <w:spacing w:after="0"/>
              <w:rPr>
                <w:sz w:val="17"/>
                <w:szCs w:val="17"/>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313</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510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1,547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2,236</w:t>
            </w:r>
          </w:p>
        </w:tc>
      </w:tr>
      <w:tr>
        <w:trPr>
          <w:trHeight w:val="256"/>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xml:space="preserve">Loss on operating lease asset </w:t>
            </w:r>
            <w:r>
              <w:rPr>
                <w:rFonts w:ascii="Arial" w:cs="Arial" w:eastAsia="Arial" w:hAnsi="Arial"/>
                <w:sz w:val="21"/>
                <w:szCs w:val="21"/>
                <w:color w:val="auto"/>
                <w:vertAlign w:val="superscript"/>
              </w:rPr>
              <w:t>(5)</w:t>
            </w:r>
          </w:p>
        </w:tc>
        <w:tc>
          <w:tcPr>
            <w:tcW w:w="3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4,409</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0"/>
        </w:trPr>
        <w:tc>
          <w:tcPr>
            <w:tcW w:w="3740" w:type="dxa"/>
            <w:vAlign w:val="bottom"/>
          </w:tcPr>
          <w:p>
            <w:pPr>
              <w:ind w:left="6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66,284</w:t>
            </w: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64,964</w:t>
            </w: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205,492</w:t>
            </w: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193,163</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3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6"/>
        </w:trPr>
        <w:tc>
          <w:tcPr>
            <w:tcW w:w="3740" w:type="dxa"/>
            <w:vAlign w:val="bottom"/>
          </w:tcPr>
          <w:p>
            <w:pPr>
              <w:ind w:left="6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196,028</w:t>
            </w:r>
          </w:p>
        </w:tc>
        <w:tc>
          <w:tcPr>
            <w:tcW w:w="40" w:type="dxa"/>
            <w:vAlign w:val="bottom"/>
          </w:tcPr>
          <w:p>
            <w:pPr>
              <w:spacing w:after="0"/>
              <w:rPr>
                <w:sz w:val="22"/>
                <w:szCs w:val="22"/>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195,251</w:t>
            </w:r>
          </w:p>
        </w:tc>
        <w:tc>
          <w:tcPr>
            <w:tcW w:w="60" w:type="dxa"/>
            <w:vAlign w:val="bottom"/>
          </w:tcPr>
          <w:p>
            <w:pPr>
              <w:spacing w:after="0"/>
              <w:rPr>
                <w:sz w:val="22"/>
                <w:szCs w:val="22"/>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602,068</w:t>
            </w:r>
          </w:p>
        </w:tc>
        <w:tc>
          <w:tcPr>
            <w:tcW w:w="60" w:type="dxa"/>
            <w:vAlign w:val="bottom"/>
          </w:tcPr>
          <w:p>
            <w:pPr>
              <w:spacing w:after="0"/>
              <w:rPr>
                <w:sz w:val="22"/>
                <w:szCs w:val="22"/>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593,741</w:t>
            </w:r>
          </w:p>
        </w:tc>
      </w:tr>
      <w:tr>
        <w:trPr>
          <w:trHeight w:val="257"/>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 margin</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8"/>
        </w:trPr>
        <w:tc>
          <w:tcPr>
            <w:tcW w:w="3740" w:type="dxa"/>
            <w:vAlign w:val="bottom"/>
          </w:tcPr>
          <w:p>
            <w:pPr>
              <w:ind w:left="60"/>
              <w:spacing w:after="0"/>
              <w:rPr>
                <w:sz w:val="20"/>
                <w:szCs w:val="20"/>
                <w:color w:val="auto"/>
              </w:rPr>
            </w:pPr>
            <w:r>
              <w:rPr>
                <w:rFonts w:ascii="Arial" w:cs="Arial" w:eastAsia="Arial" w:hAnsi="Arial"/>
                <w:sz w:val="16"/>
                <w:szCs w:val="16"/>
                <w:color w:val="auto"/>
              </w:rPr>
              <w:t>Adjusted EBITDA Margin</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33.8%</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w:t>
            </w:r>
          </w:p>
        </w:tc>
      </w:tr>
    </w:tbl>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700" w:hanging="65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Financing related expenses include third-party fees related to proposed financings.</w:t>
      </w:r>
    </w:p>
    <w:p>
      <w:pPr>
        <w:spacing w:after="0" w:line="14" w:lineRule="exact"/>
        <w:rPr>
          <w:rFonts w:ascii="Arial" w:cs="Arial" w:eastAsia="Arial" w:hAnsi="Arial"/>
          <w:sz w:val="16"/>
          <w:szCs w:val="16"/>
          <w:color w:val="auto"/>
        </w:rPr>
      </w:pPr>
    </w:p>
    <w:p>
      <w:pPr>
        <w:ind w:left="700" w:right="99" w:hanging="651"/>
        <w:spacing w:after="0" w:line="252"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Acquisition related expenses principally include costs for actual or planned acquisitions including related third-party fees, legal, consulting and other expenditures, and as applicable, severance costs and retention bonuses to employees related to acquisitions and change in fair value of contingent consideration. From time to time, acquisition related expenses may also include similar transaction related costs for business dispositions.</w:t>
      </w:r>
    </w:p>
    <w:p>
      <w:pPr>
        <w:ind w:left="700" w:right="379" w:hanging="651"/>
        <w:spacing w:after="0" w:line="254"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Restructuring related expenses include costs for various workforce optimization and organizational changes to better align with our strategic goals and future scale including employee severance and other personnel related costs, contract termination costs, and from time to time may also include losses from the disposal of certain technology and certain capitalized software.</w:t>
      </w:r>
    </w:p>
    <w:p>
      <w:pPr>
        <w:ind w:left="700" w:hanging="65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Legal settlement expenses consist of periodic settlement costs for significant or unusual litigation matters.</w:t>
      </w:r>
    </w:p>
    <w:p>
      <w:pPr>
        <w:spacing w:after="0" w:line="8" w:lineRule="exact"/>
        <w:rPr>
          <w:rFonts w:ascii="Arial" w:cs="Arial" w:eastAsia="Arial" w:hAnsi="Arial"/>
          <w:sz w:val="16"/>
          <w:szCs w:val="16"/>
          <w:color w:val="auto"/>
        </w:rPr>
      </w:pPr>
    </w:p>
    <w:p>
      <w:pPr>
        <w:ind w:left="700" w:right="919" w:hanging="651"/>
        <w:spacing w:after="0" w:line="283"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on operating lease asset represents losses incurred from time to time relating to the impairment or abandonment of leased office space.</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13"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6"/>
          <w:szCs w:val="16"/>
          <w:color w:val="auto"/>
        </w:rPr>
        <w:t>For a description of the components of our results of operations, refer to Note 2 to our audited consolidated financial statements included in our 2024 10-K. In addition, for a description of primary drivers that may cause our revenue, costs and operating expenses to fluctuate from period to period, including seasonality, refer to Part II, Item 7, “Management’s Discussion and Analysis of Financial Condition and Results of Operations” included in our 2024 10-K.</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019"/>
          </w:cols>
          <w:pgMar w:left="1440" w:top="1440" w:right="1440" w:bottom="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Three Months Ended September 30, 2025 Compared to Three Months Ended September 30, 2024</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for the three months ended September 30, 2025 and 2024:</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Three</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Three</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Months</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32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w:t>
            </w:r>
          </w:p>
        </w:tc>
        <w:tc>
          <w:tcPr>
            <w:tcW w:w="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 of Total</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w:t>
            </w:r>
          </w:p>
        </w:tc>
        <w:tc>
          <w:tcPr>
            <w:tcW w:w="6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 of Total</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3200" w:type="dxa"/>
            <w:vAlign w:val="bottom"/>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30, 2025</w:t>
            </w:r>
          </w:p>
        </w:tc>
        <w:tc>
          <w:tcPr>
            <w:tcW w:w="4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6"/>
                <w:szCs w:val="16"/>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30, 2024</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r>
      <w:tr>
        <w:trPr>
          <w:trHeight w:val="237"/>
        </w:trPr>
        <w:tc>
          <w:tcPr>
            <w:tcW w:w="32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Prescription transactions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127,294</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65%</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140,419</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72%</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(13,125)</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(9%)</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Subscription revenue</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20,724</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21,306</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11%</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r>
      <w:tr>
        <w:trPr>
          <w:trHeight w:val="242"/>
        </w:trPr>
        <w:tc>
          <w:tcPr>
            <w:tcW w:w="3200" w:type="dxa"/>
            <w:vAlign w:val="bottom"/>
          </w:tcPr>
          <w:p>
            <w:pPr>
              <w:ind w:left="300"/>
              <w:spacing w:after="0"/>
              <w:rPr>
                <w:sz w:val="20"/>
                <w:szCs w:val="20"/>
                <w:color w:val="auto"/>
              </w:rPr>
            </w:pPr>
            <w:r>
              <w:rPr>
                <w:rFonts w:ascii="Arial" w:cs="Arial" w:eastAsia="Arial" w:hAnsi="Arial"/>
                <w:sz w:val="16"/>
                <w:szCs w:val="16"/>
                <w:color w:val="auto"/>
              </w:rPr>
              <w:t>Pharma manufacturer solutions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revenue</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43,372</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22%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28,136</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14%</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15,236</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54%</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4,638</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w:t>
            </w:r>
          </w:p>
        </w:tc>
      </w:tr>
      <w:tr>
        <w:trPr>
          <w:trHeight w:val="237"/>
        </w:trPr>
        <w:tc>
          <w:tcPr>
            <w:tcW w:w="3200" w:type="dxa"/>
            <w:vAlign w:val="bottom"/>
          </w:tcPr>
          <w:p>
            <w:pPr>
              <w:ind w:left="60"/>
              <w:spacing w:after="0"/>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196,028</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195,251</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7"/>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Costs and operating expenses: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Cost of revenue, exclusive of</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89"/>
        </w:trPr>
        <w:tc>
          <w:tcPr>
            <w:tcW w:w="32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presented separately below</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13,419</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11,684</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1,735</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15%</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 and technology</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31,012</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30,139</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15%</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r>
      <w:tr>
        <w:trPr>
          <w:trHeight w:val="257"/>
        </w:trPr>
        <w:tc>
          <w:tcPr>
            <w:tcW w:w="32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83,532</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43%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89,867</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46%</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(6,335)</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32,014</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25,619</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13%</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25%</w:t>
            </w:r>
          </w:p>
        </w:tc>
      </w:tr>
      <w:tr>
        <w:trPr>
          <w:trHeight w:val="256"/>
        </w:trPr>
        <w:tc>
          <w:tcPr>
            <w:tcW w:w="32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21,431</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3"/>
              </w:rPr>
              <w:t>11%</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17,535</w:t>
            </w:r>
          </w:p>
        </w:tc>
        <w:tc>
          <w:tcPr>
            <w:tcW w:w="9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rPr>
              <w:t>9%</w:t>
            </w:r>
          </w:p>
        </w:tc>
        <w:tc>
          <w:tcPr>
            <w:tcW w:w="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3,896</w:t>
            </w: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22%</w:t>
            </w:r>
          </w:p>
        </w:tc>
      </w:tr>
      <w:tr>
        <w:trPr>
          <w:trHeight w:val="237"/>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costs and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181,408</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174,844</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6"/>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14,620</w:t>
            </w: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20,407</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r>
      <w:tr>
        <w:trPr>
          <w:trHeight w:val="237"/>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expense, net: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6"/>
        </w:trPr>
        <w:tc>
          <w:tcPr>
            <w:tcW w:w="3200" w:type="dxa"/>
            <w:vAlign w:val="bottom"/>
          </w:tcPr>
          <w:p>
            <w:pPr>
              <w:ind w:left="30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(2,660)</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2,660</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extinguishment of debt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57"/>
        </w:trPr>
        <w:tc>
          <w:tcPr>
            <w:tcW w:w="320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2,309</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4,797</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(2,488)</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(52%)</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(10,829)</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(12,355)</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w:t>
            </w:r>
          </w:p>
        </w:tc>
      </w:tr>
      <w:tr>
        <w:trPr>
          <w:trHeight w:val="237"/>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(8,520)</w:t>
            </w: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(12,295)</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r>
      <w:tr>
        <w:trPr>
          <w:trHeight w:val="23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6,100</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8,112</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7"/>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(4,981)</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(4,147)</w:t>
            </w:r>
          </w:p>
        </w:tc>
        <w:tc>
          <w:tcPr>
            <w:tcW w:w="9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(834)</w:t>
            </w: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20%</w:t>
            </w:r>
          </w:p>
        </w:tc>
      </w:tr>
      <w:tr>
        <w:trPr>
          <w:trHeight w:val="235"/>
        </w:trPr>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1,119</w:t>
            </w:r>
          </w:p>
        </w:tc>
        <w:tc>
          <w:tcPr>
            <w:tcW w:w="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w:t>
            </w: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All of our revenue has been generated in the United States.</w:t>
      </w:r>
    </w:p>
    <w:p>
      <w:pPr>
        <w:spacing w:after="0" w:line="127" w:lineRule="exact"/>
        <w:rPr>
          <w:sz w:val="20"/>
          <w:szCs w:val="20"/>
          <w:color w:val="auto"/>
        </w:rPr>
      </w:pPr>
    </w:p>
    <w:p>
      <w:pPr>
        <w:ind w:left="40" w:right="79" w:firstLine="324"/>
        <w:spacing w:after="0" w:line="256" w:lineRule="auto"/>
        <w:rPr>
          <w:sz w:val="20"/>
          <w:szCs w:val="20"/>
          <w:color w:val="auto"/>
        </w:rPr>
      </w:pPr>
      <w:r>
        <w:rPr>
          <w:rFonts w:ascii="Arial" w:cs="Arial" w:eastAsia="Arial" w:hAnsi="Arial"/>
          <w:sz w:val="16"/>
          <w:szCs w:val="16"/>
          <w:color w:val="auto"/>
        </w:rPr>
        <w:t>Prescription transactions revenue decreased $13.1 million, or 9%, year-over-year, primarily driven by a decrease in the number of our Monthly Active Consumers (see section titled “Key Financial and Operating Metrics" above), due to the broader changes in the retail pharmacy landscape including store closures and volume reduction in one of our integrated savings programs as discussed above, partially offset by improved unit economics related to contracting with certain of our</w:t>
      </w:r>
    </w:p>
    <w:p>
      <w:pPr>
        <w:ind w:left="40" w:right="119"/>
        <w:spacing w:after="0" w:line="264" w:lineRule="auto"/>
        <w:rPr>
          <w:sz w:val="20"/>
          <w:szCs w:val="20"/>
          <w:color w:val="auto"/>
        </w:rPr>
      </w:pPr>
      <w:r>
        <w:rPr>
          <w:rFonts w:ascii="Arial" w:cs="Arial" w:eastAsia="Arial" w:hAnsi="Arial"/>
          <w:sz w:val="16"/>
          <w:szCs w:val="16"/>
          <w:color w:val="auto"/>
        </w:rPr>
        <w:t>customers and partners and favorable changes in sales mix. Our acquisition of VCRx (see Note 3 to our condensed consolidated financial statements included elsewhere in this Quarterly Report on Form 10-Q) did not materially contribute to the year-over-year changes in prescription transactions revenue and Monthly Active Consumers.</w:t>
      </w:r>
    </w:p>
    <w:p>
      <w:pPr>
        <w:spacing w:after="0" w:line="65" w:lineRule="exact"/>
        <w:rPr>
          <w:sz w:val="20"/>
          <w:szCs w:val="20"/>
          <w:color w:val="auto"/>
        </w:rPr>
      </w:pPr>
    </w:p>
    <w:p>
      <w:pPr>
        <w:jc w:val="both"/>
        <w:ind w:left="40" w:right="139" w:firstLine="324"/>
        <w:spacing w:after="0" w:line="275" w:lineRule="auto"/>
        <w:rPr>
          <w:sz w:val="20"/>
          <w:szCs w:val="20"/>
          <w:color w:val="auto"/>
        </w:rPr>
      </w:pPr>
      <w:r>
        <w:rPr>
          <w:rFonts w:ascii="Arial" w:cs="Arial" w:eastAsia="Arial" w:hAnsi="Arial"/>
          <w:sz w:val="16"/>
          <w:szCs w:val="16"/>
          <w:color w:val="auto"/>
        </w:rPr>
        <w:t>Subscription revenue decreased $0.6 million, or 3%, year-over-year, primarily driven by a decrease in the number of subscription plans with 671 thousand subscription plans as of September 30, 2025 compared to 701 thousand as of September 30, 2024.</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Pharma manufacturer solutions revenue increased $15.2 million, or 54%, year-over-year, driven by organic growth as</w:t>
      </w:r>
    </w:p>
    <w:p>
      <w:pPr>
        <w:spacing w:after="0" w:line="21" w:lineRule="exact"/>
        <w:rPr>
          <w:sz w:val="20"/>
          <w:szCs w:val="20"/>
          <w:color w:val="auto"/>
        </w:rPr>
      </w:pPr>
    </w:p>
    <w:p>
      <w:pPr>
        <w:ind w:left="40" w:right="99"/>
        <w:spacing w:after="0" w:line="264" w:lineRule="auto"/>
        <w:rPr>
          <w:sz w:val="20"/>
          <w:szCs w:val="20"/>
          <w:color w:val="auto"/>
        </w:rPr>
      </w:pPr>
      <w:r>
        <w:rPr>
          <w:rFonts w:ascii="Arial" w:cs="Arial" w:eastAsia="Arial" w:hAnsi="Arial"/>
          <w:sz w:val="16"/>
          <w:szCs w:val="16"/>
          <w:color w:val="auto"/>
        </w:rPr>
        <w:t>we continued to expand our market penetration with pharma manufacturers and other customers. We expect pharma manufacturer solutions to grow as a percentage of total revenue in the near to medium term as we continue to scale and expand available services, capabilities and platforms of our pharma manufacturer solutions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242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revenue increased $1.7 million, or 15%, year-over-year, primarily driven by an increase in processing fees.</w:t>
      </w:r>
    </w:p>
    <w:p>
      <w:pPr>
        <w:sectPr>
          <w:pgSz w:w="11900" w:h="16838" w:orient="portrait"/>
          <w:cols w:equalWidth="0" w:num="1">
            <w:col w:w="9019"/>
          </w:cols>
          <w:pgMar w:left="1440" w:top="553" w:right="1440" w:bottom="0" w:gutter="0" w:footer="0" w:header="0"/>
        </w:sectPr>
      </w:pPr>
    </w:p>
    <w:bookmarkStart w:id="21" w:name="page22"/>
    <w:bookmarkEnd w:id="21"/>
    <w:p>
      <w:pPr>
        <w:ind w:left="40"/>
        <w:spacing w:after="0"/>
        <w:rPr>
          <w:sz w:val="20"/>
          <w:szCs w:val="20"/>
          <w:color w:val="auto"/>
        </w:rPr>
      </w:pPr>
      <w:r>
        <w:rPr>
          <w:rFonts w:ascii="Arial" w:cs="Arial" w:eastAsia="Arial" w:hAnsi="Arial"/>
          <w:sz w:val="16"/>
          <w:szCs w:val="16"/>
          <w:i w:val="1"/>
          <w:iCs w:val="1"/>
          <w:color w:val="auto"/>
        </w:rPr>
        <w:t>Product development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7820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Product development and technology expenses remained relatively flat year-over-year.</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Sales and marketing</w:t>
      </w:r>
    </w:p>
    <w:p>
      <w:pPr>
        <w:sectPr>
          <w:pgSz w:w="11900" w:h="16838" w:orient="portrait"/>
          <w:cols w:equalWidth="0" w:num="1">
            <w:col w:w="9019"/>
          </w:cols>
          <w:pgMar w:left="1440" w:top="114" w:right="1440" w:bottom="0" w:gutter="0" w:footer="0" w:header="0"/>
        </w:sectPr>
      </w:pP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Sales and marketing expenses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decreased $6.3 million , or</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7%, year-over-year, primarily driven by a</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$5.3 million</w:t>
      </w:r>
    </w:p>
    <w:p>
      <w:pPr>
        <w:spacing w:after="0" w:line="31" w:lineRule="exact"/>
        <w:rPr>
          <w:sz w:val="20"/>
          <w:szCs w:val="20"/>
          <w:color w:val="auto"/>
        </w:rPr>
      </w:pPr>
    </w:p>
    <w:p>
      <w:pPr>
        <w:sectPr>
          <w:pgSz w:w="11900" w:h="16838" w:orient="portrait"/>
          <w:cols w:equalWidth="0" w:num="4">
            <w:col w:w="2580" w:space="220"/>
            <w:col w:w="1940" w:space="140"/>
            <w:col w:w="2900" w:space="320"/>
            <w:col w:w="919"/>
          </w:cols>
          <w:pgMar w:left="1440" w:top="114" w:right="1440" w:bottom="0" w:gutter="0" w:footer="0" w:header="0"/>
          <w:type w:val="continuous"/>
        </w:sectPr>
      </w:pPr>
    </w:p>
    <w:p>
      <w:pPr>
        <w:ind w:left="40"/>
        <w:spacing w:after="0" w:line="270" w:lineRule="auto"/>
        <w:rPr>
          <w:sz w:val="20"/>
          <w:szCs w:val="20"/>
          <w:color w:val="auto"/>
        </w:rPr>
      </w:pPr>
      <w:r>
        <w:rPr>
          <w:rFonts w:ascii="Arial" w:cs="Arial" w:eastAsia="Arial" w:hAnsi="Arial"/>
          <w:sz w:val="16"/>
          <w:szCs w:val="16"/>
          <w:color w:val="auto"/>
        </w:rPr>
        <w:t xml:space="preserve">decrease in </w:t>
      </w:r>
      <w:r>
        <w:rPr>
          <w:rFonts w:ascii="Arial" w:cs="Arial" w:eastAsia="Arial" w:hAnsi="Arial"/>
          <w:sz w:val="16"/>
          <w:szCs w:val="16"/>
          <w:color w:val="auto"/>
          <w:highlight w:val="white"/>
        </w:rPr>
        <w:t>stock-based compensation expense largely as a result of changes in our employee composition</w:t>
      </w:r>
      <w:r>
        <w:rPr>
          <w:rFonts w:ascii="Arial" w:cs="Arial" w:eastAsia="Arial" w:hAnsi="Arial"/>
          <w:sz w:val="16"/>
          <w:szCs w:val="16"/>
          <w:color w:val="auto"/>
        </w:rPr>
        <w:t xml:space="preserve"> million decrease in third-party marketing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67005" cy="1028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005" cy="102870"/>
                    </a:xfrm>
                    <a:prstGeom prst="rect">
                      <a:avLst/>
                    </a:prstGeom>
                    <a:noFill/>
                    <a:ln>
                      <a:noFill/>
                    </a:ln>
                  </pic:spPr>
                </pic:pic>
              </a:graphicData>
            </a:graphic>
          </wp:inline>
        </w:drawing>
      </w:r>
      <w:r>
        <w:rPr>
          <w:rFonts w:ascii="Arial" w:cs="Arial" w:eastAsia="Arial" w:hAnsi="Arial"/>
          <w:sz w:val="15"/>
          <w:szCs w:val="15"/>
          <w:color w:val="auto"/>
        </w:rPr>
        <w:t xml:space="preserve"> and a $2.7</w:t>
      </w:r>
    </w:p>
    <w:p>
      <w:pPr>
        <w:spacing w:after="0" w:line="420" w:lineRule="exact"/>
        <w:rPr>
          <w:sz w:val="20"/>
          <w:szCs w:val="20"/>
          <w:color w:val="auto"/>
        </w:rPr>
      </w:pPr>
    </w:p>
    <w:p>
      <w:pPr>
        <w:sectPr>
          <w:pgSz w:w="11900" w:h="16838" w:orient="portrait"/>
          <w:cols w:equalWidth="0" w:num="2">
            <w:col w:w="7820" w:space="0"/>
            <w:col w:w="1199"/>
          </w:cols>
          <w:pgMar w:left="1440" w:top="114" w:right="1440" w:bottom="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w:t>
      </w:r>
    </w:p>
    <w:p>
      <w:pPr>
        <w:spacing w:after="0" w:line="111"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General and administrative expenses increased $6.4 million, or 25%, year-over-year, primarily driven by a $5.5 million estimated probable loss with respect to an ongoing class action litigation recognized in the third quarter of 2025.</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left="40" w:right="119" w:firstLine="324"/>
        <w:spacing w:after="0" w:line="275" w:lineRule="auto"/>
        <w:rPr>
          <w:sz w:val="20"/>
          <w:szCs w:val="20"/>
          <w:color w:val="auto"/>
        </w:rPr>
      </w:pPr>
      <w:r>
        <w:rPr>
          <w:rFonts w:ascii="Arial" w:cs="Arial" w:eastAsia="Arial" w:hAnsi="Arial"/>
          <w:sz w:val="16"/>
          <w:szCs w:val="16"/>
          <w:color w:val="auto"/>
        </w:rPr>
        <w:t>Depreciation and amortization expenses increased $3.9 million , or 22%, year-over-year, primarily driven by higher amortization related to capitalized software due to higher capitalization costs for platform improvements and the introduction of new products and features.</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Expense</w:t>
      </w:r>
    </w:p>
    <w:p>
      <w:pPr>
        <w:spacing w:after="0" w:line="125" w:lineRule="exact"/>
        <w:rPr>
          <w:sz w:val="20"/>
          <w:szCs w:val="20"/>
          <w:color w:val="auto"/>
        </w:rPr>
      </w:pPr>
    </w:p>
    <w:p>
      <w:pPr>
        <w:ind w:left="40" w:right="399" w:firstLine="324"/>
        <w:spacing w:after="0" w:line="286" w:lineRule="auto"/>
        <w:rPr>
          <w:sz w:val="20"/>
          <w:szCs w:val="20"/>
          <w:color w:val="auto"/>
        </w:rPr>
      </w:pPr>
      <w:r>
        <w:rPr>
          <w:rFonts w:ascii="Arial" w:cs="Arial" w:eastAsia="Arial" w:hAnsi="Arial"/>
          <w:sz w:val="16"/>
          <w:szCs w:val="16"/>
          <w:color w:val="auto"/>
        </w:rPr>
        <w:t>We recognized other expense of $2.7 million in the third quarter of 2024 related to third-party transaction costs as a result of our debt refinancing in July 2024.</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Loss on Extinguishment of Debt</w:t>
      </w:r>
    </w:p>
    <w:p>
      <w:pPr>
        <w:spacing w:after="0" w:line="111"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6"/>
          <w:szCs w:val="16"/>
          <w:color w:val="auto"/>
        </w:rPr>
        <w:t>We recognized a loss on extinguishment of debt of $2.1 million in the third quarter of 2024 related to the write-off of a portion of existing unamortized debt issuance costs and discounts as a result of our debt refinancing in July 2024.</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Income</w:t>
      </w:r>
    </w:p>
    <w:p>
      <w:pPr>
        <w:spacing w:after="0" w:line="111" w:lineRule="exact"/>
        <w:rPr>
          <w:sz w:val="20"/>
          <w:szCs w:val="20"/>
          <w:color w:val="auto"/>
        </w:rPr>
      </w:pPr>
    </w:p>
    <w:p>
      <w:pPr>
        <w:ind w:left="40" w:right="299" w:firstLine="324"/>
        <w:spacing w:after="0" w:line="304" w:lineRule="auto"/>
        <w:rPr>
          <w:sz w:val="20"/>
          <w:szCs w:val="20"/>
          <w:color w:val="auto"/>
        </w:rPr>
      </w:pPr>
      <w:r>
        <w:rPr>
          <w:rFonts w:ascii="Arial" w:cs="Arial" w:eastAsia="Arial" w:hAnsi="Arial"/>
          <w:sz w:val="16"/>
          <w:szCs w:val="16"/>
          <w:color w:val="auto"/>
        </w:rPr>
        <w:t>Interest income decreased by $2.5 million , or 52%, year-over-year, primarily due to lower average balance of cash equivalents held in U.S. treasury securities money market funds and lower interest rates.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1" w:lineRule="exact"/>
        <w:rPr>
          <w:sz w:val="20"/>
          <w:szCs w:val="20"/>
          <w:color w:val="auto"/>
        </w:rPr>
      </w:pPr>
    </w:p>
    <w:p>
      <w:pPr>
        <w:ind w:left="40" w:right="139" w:firstLine="324"/>
        <w:spacing w:after="0" w:line="304" w:lineRule="auto"/>
        <w:rPr>
          <w:sz w:val="20"/>
          <w:szCs w:val="20"/>
          <w:color w:val="auto"/>
        </w:rPr>
      </w:pPr>
      <w:r>
        <w:rPr>
          <w:rFonts w:ascii="Arial" w:cs="Arial" w:eastAsia="Arial" w:hAnsi="Arial"/>
          <w:sz w:val="16"/>
          <w:szCs w:val="16"/>
          <w:color w:val="auto"/>
        </w:rPr>
        <w:t>Interest expense decreased by $1.5 million, or 12%, year-over-year, primarily due to lower average debt balances and lower interest rates.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25" w:lineRule="exact"/>
        <w:rPr>
          <w:sz w:val="20"/>
          <w:szCs w:val="20"/>
          <w:color w:val="auto"/>
        </w:rPr>
      </w:pPr>
    </w:p>
    <w:p>
      <w:pPr>
        <w:ind w:left="380"/>
        <w:spacing w:after="0"/>
        <w:tabs>
          <w:tab w:leader="none" w:pos="4100" w:val="left"/>
          <w:tab w:leader="none" w:pos="7360" w:val="left"/>
        </w:tabs>
        <w:rPr>
          <w:sz w:val="20"/>
          <w:szCs w:val="20"/>
          <w:color w:val="auto"/>
        </w:rPr>
      </w:pPr>
      <w:r>
        <w:rPr>
          <w:rFonts w:ascii="Arial" w:cs="Arial" w:eastAsia="Arial" w:hAnsi="Arial"/>
          <w:sz w:val="16"/>
          <w:szCs w:val="16"/>
          <w:color w:val="auto"/>
        </w:rPr>
        <w:t>For the three months ended September 30, 2025</w:t>
        <w:tab/>
        <w:t>and 2024, we had income tax expense of</w:t>
        <w:tab/>
        <w:t>$5.0 million and $4.1</w:t>
      </w:r>
    </w:p>
    <w:p>
      <w:pPr>
        <w:spacing w:after="0" w:line="21"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16"/>
          <w:szCs w:val="16"/>
          <w:color w:val="auto"/>
        </w:rPr>
        <w:t>million, respectively, and an effective income tax rate of</w:t>
      </w:r>
      <w:r>
        <w:rPr>
          <w:sz w:val="20"/>
          <w:szCs w:val="20"/>
          <w:color w:val="auto"/>
        </w:rPr>
        <w:tab/>
      </w:r>
      <w:r>
        <w:rPr>
          <w:rFonts w:ascii="Arial" w:cs="Arial" w:eastAsia="Arial" w:hAnsi="Arial"/>
          <w:sz w:val="16"/>
          <w:szCs w:val="16"/>
          <w:color w:val="auto"/>
        </w:rPr>
        <w:t>81.7% and 51.1%, respectively. The year-over-year increase in</w:t>
      </w:r>
    </w:p>
    <w:p>
      <w:pPr>
        <w:spacing w:after="0" w:line="5" w:lineRule="exact"/>
        <w:rPr>
          <w:sz w:val="20"/>
          <w:szCs w:val="20"/>
          <w:color w:val="auto"/>
        </w:rPr>
      </w:pPr>
    </w:p>
    <w:p>
      <w:pPr>
        <w:ind w:left="40"/>
        <w:spacing w:after="0"/>
        <w:tabs>
          <w:tab w:leader="none" w:pos="4560" w:val="left"/>
        </w:tabs>
        <w:rPr>
          <w:sz w:val="20"/>
          <w:szCs w:val="20"/>
          <w:color w:val="auto"/>
        </w:rPr>
      </w:pPr>
      <w:r>
        <w:rPr>
          <w:rFonts w:ascii="Arial" w:cs="Arial" w:eastAsia="Arial" w:hAnsi="Arial"/>
          <w:sz w:val="16"/>
          <w:szCs w:val="16"/>
          <w:color w:val="auto"/>
        </w:rPr>
        <w:t>income tax expense was primarily driven by an increase in</w:t>
      </w:r>
      <w:r>
        <w:rPr>
          <w:sz w:val="20"/>
          <w:szCs w:val="20"/>
          <w:color w:val="auto"/>
        </w:rPr>
        <w:tab/>
      </w:r>
      <w:r>
        <w:rPr>
          <w:rFonts w:ascii="Arial" w:cs="Arial" w:eastAsia="Arial" w:hAnsi="Arial"/>
          <w:sz w:val="16"/>
          <w:szCs w:val="16"/>
          <w:color w:val="auto"/>
        </w:rPr>
        <w:t>the tax effects from our equity awards partially offset by a</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decrease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261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Nine Months Ended September 30, 2025 Compared to Nine Months Ended September 30, 2024</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for the nine months ended September 30, 2025 and 2024:</w:t>
      </w: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200" w:type="dxa"/>
            <w:vAlign w:val="bottom"/>
          </w:tcPr>
          <w:p>
            <w:pPr>
              <w:jc w:val="center"/>
              <w:ind w:left="124"/>
              <w:spacing w:after="0"/>
              <w:rPr>
                <w:sz w:val="20"/>
                <w:szCs w:val="20"/>
                <w:color w:val="auto"/>
              </w:rPr>
            </w:pPr>
            <w:r>
              <w:rPr>
                <w:rFonts w:ascii="Arial" w:cs="Arial" w:eastAsia="Arial" w:hAnsi="Arial"/>
                <w:sz w:val="14"/>
                <w:szCs w:val="14"/>
                <w:b w:val="1"/>
                <w:bCs w:val="1"/>
                <w:color w:val="auto"/>
              </w:rPr>
              <w:t>Nine</w:t>
            </w:r>
          </w:p>
        </w:tc>
        <w:tc>
          <w:tcPr>
            <w:tcW w:w="9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Nine</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2920" w:type="dxa"/>
            <w:vAlign w:val="bottom"/>
          </w:tcPr>
          <w:p>
            <w:pPr>
              <w:spacing w:after="0"/>
              <w:rPr>
                <w:sz w:val="15"/>
                <w:szCs w:val="15"/>
                <w:color w:val="auto"/>
              </w:rPr>
            </w:pPr>
          </w:p>
        </w:tc>
        <w:tc>
          <w:tcPr>
            <w:tcW w:w="1200" w:type="dxa"/>
            <w:vAlign w:val="bottom"/>
          </w:tcPr>
          <w:p>
            <w:pPr>
              <w:jc w:val="center"/>
              <w:ind w:left="104"/>
              <w:spacing w:after="0"/>
              <w:rPr>
                <w:sz w:val="20"/>
                <w:szCs w:val="20"/>
                <w:color w:val="auto"/>
              </w:rPr>
            </w:pPr>
            <w:r>
              <w:rPr>
                <w:rFonts w:ascii="Arial" w:cs="Arial" w:eastAsia="Arial" w:hAnsi="Arial"/>
                <w:sz w:val="14"/>
                <w:szCs w:val="14"/>
                <w:b w:val="1"/>
                <w:bCs w:val="1"/>
                <w:color w:val="auto"/>
              </w:rPr>
              <w:t>Months</w:t>
            </w:r>
          </w:p>
        </w:tc>
        <w:tc>
          <w:tcPr>
            <w:tcW w:w="9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Months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1200" w:type="dxa"/>
            <w:vAlign w:val="bottom"/>
          </w:tcPr>
          <w:p>
            <w:pPr>
              <w:jc w:val="center"/>
              <w:ind w:left="124"/>
              <w:spacing w:after="0"/>
              <w:rPr>
                <w:sz w:val="20"/>
                <w:szCs w:val="20"/>
                <w:color w:val="auto"/>
              </w:rPr>
            </w:pPr>
            <w:r>
              <w:rPr>
                <w:rFonts w:ascii="Arial" w:cs="Arial" w:eastAsia="Arial" w:hAnsi="Arial"/>
                <w:sz w:val="14"/>
                <w:szCs w:val="14"/>
                <w:b w:val="1"/>
                <w:bCs w:val="1"/>
                <w:color w:val="auto"/>
              </w:rPr>
              <w:t>Ended</w:t>
            </w:r>
          </w:p>
        </w:tc>
        <w:tc>
          <w:tcPr>
            <w:tcW w:w="9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920" w:type="dxa"/>
            <w:vAlign w:val="bottom"/>
          </w:tcPr>
          <w:p>
            <w:pPr>
              <w:spacing w:after="0"/>
              <w:rPr>
                <w:sz w:val="15"/>
                <w:szCs w:val="15"/>
                <w:color w:val="auto"/>
              </w:rPr>
            </w:pPr>
          </w:p>
        </w:tc>
        <w:tc>
          <w:tcPr>
            <w:tcW w:w="1200" w:type="dxa"/>
            <w:vAlign w:val="bottom"/>
          </w:tcPr>
          <w:p>
            <w:pPr>
              <w:jc w:val="center"/>
              <w:ind w:left="104"/>
              <w:spacing w:after="0"/>
              <w:rPr>
                <w:sz w:val="20"/>
                <w:szCs w:val="20"/>
                <w:color w:val="auto"/>
              </w:rPr>
            </w:pPr>
            <w:r>
              <w:rPr>
                <w:rFonts w:ascii="Arial" w:cs="Arial" w:eastAsia="Arial" w:hAnsi="Arial"/>
                <w:sz w:val="14"/>
                <w:szCs w:val="14"/>
                <w:b w:val="1"/>
                <w:bCs w:val="1"/>
                <w:color w:val="auto"/>
              </w:rPr>
              <w:t>September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September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200" w:type="dxa"/>
            <w:vAlign w:val="bottom"/>
          </w:tcPr>
          <w:p>
            <w:pPr>
              <w:jc w:val="center"/>
              <w:ind w:left="124"/>
              <w:spacing w:after="0"/>
              <w:rPr>
                <w:sz w:val="20"/>
                <w:szCs w:val="20"/>
                <w:color w:val="auto"/>
              </w:rPr>
            </w:pPr>
            <w:r>
              <w:rPr>
                <w:rFonts w:ascii="Arial" w:cs="Arial" w:eastAsia="Arial" w:hAnsi="Arial"/>
                <w:sz w:val="14"/>
                <w:szCs w:val="14"/>
                <w:b w:val="1"/>
                <w:bCs w:val="1"/>
                <w:color w:val="auto"/>
              </w:rPr>
              <w:t>30, 2025</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30, 2024</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Revenue</w:t>
            </w:r>
          </w:p>
        </w:tc>
        <w:tc>
          <w:tcPr>
            <w:tcW w:w="1000" w:type="dxa"/>
            <w:vAlign w:val="bottom"/>
          </w:tcPr>
          <w:p>
            <w:pPr>
              <w:jc w:val="right"/>
              <w:ind w:right="41"/>
              <w:spacing w:after="0"/>
              <w:rPr>
                <w:sz w:val="20"/>
                <w:szCs w:val="20"/>
                <w:color w:val="auto"/>
              </w:rPr>
            </w:pPr>
            <w:r>
              <w:rPr>
                <w:rFonts w:ascii="Arial" w:cs="Arial" w:eastAsia="Arial" w:hAnsi="Arial"/>
                <w:sz w:val="14"/>
                <w:szCs w:val="14"/>
                <w:b w:val="1"/>
                <w:bCs w:val="1"/>
                <w:color w:val="auto"/>
              </w:rPr>
              <w:t>Change ($)</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w w:val="98"/>
              </w:rPr>
              <w:t>Change (%)</w:t>
            </w:r>
          </w:p>
        </w:tc>
      </w:tr>
      <w:tr>
        <w:trPr>
          <w:trHeight w:val="256"/>
        </w:trPr>
        <w:tc>
          <w:tcPr>
            <w:tcW w:w="2920" w:type="dxa"/>
            <w:vAlign w:val="bottom"/>
          </w:tcPr>
          <w:p>
            <w:pPr>
              <w:spacing w:after="0"/>
              <w:rPr>
                <w:sz w:val="20"/>
                <w:szCs w:val="20"/>
                <w:color w:val="auto"/>
              </w:rPr>
            </w:pPr>
            <w:r>
              <w:rPr>
                <w:rFonts w:ascii="Arial" w:cs="Arial" w:eastAsia="Arial" w:hAnsi="Arial"/>
                <w:sz w:val="16"/>
                <w:szCs w:val="16"/>
                <w:color w:val="auto"/>
              </w:rPr>
              <w:t>Revenue:</w:t>
            </w:r>
          </w:p>
        </w:tc>
        <w:tc>
          <w:tcPr>
            <w:tcW w:w="1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2920" w:type="dxa"/>
            <w:vAlign w:val="bottom"/>
          </w:tcPr>
          <w:p>
            <w:pPr>
              <w:ind w:left="240"/>
              <w:spacing w:after="0"/>
              <w:rPr>
                <w:sz w:val="20"/>
                <w:szCs w:val="20"/>
                <w:color w:val="auto"/>
              </w:rPr>
            </w:pPr>
            <w:r>
              <w:rPr>
                <w:rFonts w:ascii="Arial" w:cs="Arial" w:eastAsia="Arial" w:hAnsi="Arial"/>
                <w:sz w:val="16"/>
                <w:szCs w:val="16"/>
                <w:color w:val="auto"/>
              </w:rPr>
              <w:t>Prescription transactions revenue</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  419,281</w:t>
            </w:r>
          </w:p>
        </w:tc>
        <w:tc>
          <w:tcPr>
            <w:tcW w:w="900" w:type="dxa"/>
            <w:vAlign w:val="bottom"/>
          </w:tcPr>
          <w:p>
            <w:pPr>
              <w:jc w:val="center"/>
              <w:spacing w:after="0"/>
              <w:rPr>
                <w:sz w:val="20"/>
                <w:szCs w:val="20"/>
                <w:color w:val="auto"/>
              </w:rPr>
            </w:pPr>
            <w:r>
              <w:rPr>
                <w:rFonts w:ascii="Arial" w:cs="Arial" w:eastAsia="Arial" w:hAnsi="Arial"/>
                <w:sz w:val="16"/>
                <w:szCs w:val="16"/>
                <w:color w:val="auto"/>
              </w:rPr>
              <w:t>70%</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  432,562</w:t>
            </w:r>
          </w:p>
        </w:tc>
        <w:tc>
          <w:tcPr>
            <w:tcW w:w="900" w:type="dxa"/>
            <w:vAlign w:val="bottom"/>
          </w:tcPr>
          <w:p>
            <w:pPr>
              <w:ind w:left="300"/>
              <w:spacing w:after="0"/>
              <w:rPr>
                <w:sz w:val="20"/>
                <w:szCs w:val="20"/>
                <w:color w:val="auto"/>
              </w:rPr>
            </w:pPr>
            <w:r>
              <w:rPr>
                <w:rFonts w:ascii="Arial" w:cs="Arial" w:eastAsia="Arial" w:hAnsi="Arial"/>
                <w:sz w:val="16"/>
                <w:szCs w:val="16"/>
                <w:color w:val="auto"/>
              </w:rPr>
              <w:t>73%</w:t>
            </w:r>
          </w:p>
        </w:tc>
        <w:tc>
          <w:tcPr>
            <w:tcW w:w="1000" w:type="dxa"/>
            <w:vAlign w:val="bottom"/>
          </w:tcPr>
          <w:p>
            <w:pPr>
              <w:jc w:val="right"/>
              <w:spacing w:after="0"/>
              <w:rPr>
                <w:sz w:val="20"/>
                <w:szCs w:val="20"/>
                <w:color w:val="auto"/>
              </w:rPr>
            </w:pPr>
            <w:r>
              <w:rPr>
                <w:rFonts w:ascii="Arial" w:cs="Arial" w:eastAsia="Arial" w:hAnsi="Arial"/>
                <w:sz w:val="16"/>
                <w:szCs w:val="16"/>
                <w:color w:val="auto"/>
              </w:rPr>
              <w:t>$  (13,281)</w:t>
            </w:r>
          </w:p>
        </w:tc>
        <w:tc>
          <w:tcPr>
            <w:tcW w:w="860" w:type="dxa"/>
            <w:vAlign w:val="bottom"/>
          </w:tcPr>
          <w:p>
            <w:pPr>
              <w:jc w:val="center"/>
              <w:ind w:left="41"/>
              <w:spacing w:after="0"/>
              <w:rPr>
                <w:sz w:val="20"/>
                <w:szCs w:val="20"/>
                <w:color w:val="auto"/>
              </w:rPr>
            </w:pPr>
            <w:r>
              <w:rPr>
                <w:rFonts w:ascii="Arial" w:cs="Arial" w:eastAsia="Arial" w:hAnsi="Arial"/>
                <w:sz w:val="16"/>
                <w:szCs w:val="16"/>
                <w:color w:val="auto"/>
              </w:rPr>
              <w:t>(3%)</w:t>
            </w:r>
          </w:p>
        </w:tc>
      </w:tr>
      <w:tr>
        <w:trPr>
          <w:trHeight w:val="256"/>
        </w:trPr>
        <w:tc>
          <w:tcPr>
            <w:tcW w:w="2920" w:type="dxa"/>
            <w:vAlign w:val="bottom"/>
          </w:tcPr>
          <w:p>
            <w:pPr>
              <w:ind w:left="240"/>
              <w:spacing w:after="0"/>
              <w:rPr>
                <w:sz w:val="20"/>
                <w:szCs w:val="20"/>
                <w:color w:val="auto"/>
              </w:rPr>
            </w:pPr>
            <w:r>
              <w:rPr>
                <w:rFonts w:ascii="Arial" w:cs="Arial" w:eastAsia="Arial" w:hAnsi="Arial"/>
                <w:sz w:val="16"/>
                <w:szCs w:val="16"/>
                <w:color w:val="auto"/>
              </w:rPr>
              <w:t>Subscription revenue</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62,264</w:t>
            </w:r>
          </w:p>
        </w:tc>
        <w:tc>
          <w:tcPr>
            <w:tcW w:w="900" w:type="dxa"/>
            <w:vAlign w:val="bottom"/>
          </w:tcPr>
          <w:p>
            <w:pPr>
              <w:jc w:val="center"/>
              <w:spacing w:after="0"/>
              <w:rPr>
                <w:sz w:val="20"/>
                <w:szCs w:val="20"/>
                <w:color w:val="auto"/>
              </w:rPr>
            </w:pPr>
            <w:r>
              <w:rPr>
                <w:rFonts w:ascii="Arial" w:cs="Arial" w:eastAsia="Arial" w:hAnsi="Arial"/>
                <w:sz w:val="16"/>
                <w:szCs w:val="16"/>
                <w:color w:val="auto"/>
              </w:rPr>
              <w:t>10%</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65,860</w:t>
            </w:r>
          </w:p>
        </w:tc>
        <w:tc>
          <w:tcPr>
            <w:tcW w:w="900" w:type="dxa"/>
            <w:vAlign w:val="bottom"/>
          </w:tcPr>
          <w:p>
            <w:pPr>
              <w:ind w:left="300"/>
              <w:spacing w:after="0"/>
              <w:rPr>
                <w:sz w:val="20"/>
                <w:szCs w:val="20"/>
                <w:color w:val="auto"/>
              </w:rPr>
            </w:pPr>
            <w:r>
              <w:rPr>
                <w:rFonts w:ascii="Arial" w:cs="Arial" w:eastAsia="Arial" w:hAnsi="Arial"/>
                <w:sz w:val="16"/>
                <w:szCs w:val="16"/>
                <w:color w:val="auto"/>
              </w:rPr>
              <w:t>11%</w:t>
            </w:r>
          </w:p>
        </w:tc>
        <w:tc>
          <w:tcPr>
            <w:tcW w:w="1000" w:type="dxa"/>
            <w:vAlign w:val="bottom"/>
          </w:tcPr>
          <w:p>
            <w:pPr>
              <w:jc w:val="right"/>
              <w:spacing w:after="0"/>
              <w:rPr>
                <w:sz w:val="20"/>
                <w:szCs w:val="20"/>
                <w:color w:val="auto"/>
              </w:rPr>
            </w:pPr>
            <w:r>
              <w:rPr>
                <w:rFonts w:ascii="Arial" w:cs="Arial" w:eastAsia="Arial" w:hAnsi="Arial"/>
                <w:sz w:val="16"/>
                <w:szCs w:val="16"/>
                <w:color w:val="auto"/>
              </w:rPr>
              <w:t>(3,596)</w:t>
            </w:r>
          </w:p>
        </w:tc>
        <w:tc>
          <w:tcPr>
            <w:tcW w:w="860" w:type="dxa"/>
            <w:vAlign w:val="bottom"/>
          </w:tcPr>
          <w:p>
            <w:pPr>
              <w:jc w:val="center"/>
              <w:ind w:left="41"/>
              <w:spacing w:after="0"/>
              <w:rPr>
                <w:sz w:val="20"/>
                <w:szCs w:val="20"/>
                <w:color w:val="auto"/>
              </w:rPr>
            </w:pPr>
            <w:r>
              <w:rPr>
                <w:rFonts w:ascii="Arial" w:cs="Arial" w:eastAsia="Arial" w:hAnsi="Arial"/>
                <w:sz w:val="16"/>
                <w:szCs w:val="16"/>
                <w:color w:val="auto"/>
              </w:rPr>
              <w:t>(5%)</w:t>
            </w:r>
          </w:p>
        </w:tc>
      </w:tr>
      <w:tr>
        <w:trPr>
          <w:trHeight w:val="231"/>
        </w:trPr>
        <w:tc>
          <w:tcPr>
            <w:tcW w:w="2920" w:type="dxa"/>
            <w:vAlign w:val="bottom"/>
          </w:tcPr>
          <w:p>
            <w:pPr>
              <w:ind w:left="240"/>
              <w:spacing w:after="0"/>
              <w:rPr>
                <w:sz w:val="20"/>
                <w:szCs w:val="20"/>
                <w:color w:val="auto"/>
              </w:rPr>
            </w:pPr>
            <w:r>
              <w:rPr>
                <w:rFonts w:ascii="Arial" w:cs="Arial" w:eastAsia="Arial" w:hAnsi="Arial"/>
                <w:sz w:val="16"/>
                <w:szCs w:val="16"/>
                <w:color w:val="auto"/>
              </w:rPr>
              <w:t>Pharma manufacturer solutions</w:t>
            </w: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5"/>
        </w:trPr>
        <w:tc>
          <w:tcPr>
            <w:tcW w:w="2920" w:type="dxa"/>
            <w:vAlign w:val="bottom"/>
          </w:tcPr>
          <w:p>
            <w:pPr>
              <w:ind w:left="400"/>
              <w:spacing w:after="0"/>
              <w:rPr>
                <w:sz w:val="20"/>
                <w:szCs w:val="20"/>
                <w:color w:val="auto"/>
              </w:rPr>
            </w:pPr>
            <w:r>
              <w:rPr>
                <w:rFonts w:ascii="Arial" w:cs="Arial" w:eastAsia="Arial" w:hAnsi="Arial"/>
                <w:sz w:val="16"/>
                <w:szCs w:val="16"/>
                <w:color w:val="auto"/>
              </w:rPr>
              <w:t>revenue</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107,001</w:t>
            </w:r>
          </w:p>
        </w:tc>
        <w:tc>
          <w:tcPr>
            <w:tcW w:w="900" w:type="dxa"/>
            <w:vAlign w:val="bottom"/>
          </w:tcPr>
          <w:p>
            <w:pPr>
              <w:jc w:val="center"/>
              <w:spacing w:after="0"/>
              <w:rPr>
                <w:sz w:val="20"/>
                <w:szCs w:val="20"/>
                <w:color w:val="auto"/>
              </w:rPr>
            </w:pPr>
            <w:r>
              <w:rPr>
                <w:rFonts w:ascii="Arial" w:cs="Arial" w:eastAsia="Arial" w:hAnsi="Arial"/>
                <w:sz w:val="16"/>
                <w:szCs w:val="16"/>
                <w:color w:val="auto"/>
              </w:rPr>
              <w:t>18%</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79,149</w:t>
            </w:r>
          </w:p>
        </w:tc>
        <w:tc>
          <w:tcPr>
            <w:tcW w:w="900" w:type="dxa"/>
            <w:vAlign w:val="bottom"/>
          </w:tcPr>
          <w:p>
            <w:pPr>
              <w:ind w:left="300"/>
              <w:spacing w:after="0"/>
              <w:rPr>
                <w:sz w:val="20"/>
                <w:szCs w:val="20"/>
                <w:color w:val="auto"/>
              </w:rPr>
            </w:pPr>
            <w:r>
              <w:rPr>
                <w:rFonts w:ascii="Arial" w:cs="Arial" w:eastAsia="Arial" w:hAnsi="Arial"/>
                <w:sz w:val="16"/>
                <w:szCs w:val="16"/>
                <w:color w:val="auto"/>
              </w:rPr>
              <w:t>13%</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27,852</w:t>
            </w:r>
          </w:p>
        </w:tc>
        <w:tc>
          <w:tcPr>
            <w:tcW w:w="860" w:type="dxa"/>
            <w:vAlign w:val="bottom"/>
          </w:tcPr>
          <w:p>
            <w:pPr>
              <w:jc w:val="center"/>
              <w:ind w:left="21"/>
              <w:spacing w:after="0"/>
              <w:rPr>
                <w:sz w:val="20"/>
                <w:szCs w:val="20"/>
                <w:color w:val="auto"/>
              </w:rPr>
            </w:pPr>
            <w:r>
              <w:rPr>
                <w:rFonts w:ascii="Arial" w:cs="Arial" w:eastAsia="Arial" w:hAnsi="Arial"/>
                <w:sz w:val="16"/>
                <w:szCs w:val="16"/>
                <w:color w:val="auto"/>
                <w:w w:val="99"/>
              </w:rPr>
              <w:t>35%</w:t>
            </w:r>
          </w:p>
        </w:tc>
      </w:tr>
      <w:tr>
        <w:trPr>
          <w:trHeight w:val="256"/>
        </w:trPr>
        <w:tc>
          <w:tcPr>
            <w:tcW w:w="2920" w:type="dxa"/>
            <w:vAlign w:val="bottom"/>
          </w:tcPr>
          <w:p>
            <w:pPr>
              <w:ind w:left="240"/>
              <w:spacing w:after="0"/>
              <w:rPr>
                <w:sz w:val="20"/>
                <w:szCs w:val="20"/>
                <w:color w:val="auto"/>
              </w:rPr>
            </w:pPr>
            <w:r>
              <w:rPr>
                <w:rFonts w:ascii="Arial" w:cs="Arial" w:eastAsia="Arial" w:hAnsi="Arial"/>
                <w:sz w:val="16"/>
                <w:szCs w:val="16"/>
                <w:color w:val="auto"/>
              </w:rPr>
              <w:t>Other revenue</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13,522</w:t>
            </w: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16,170</w:t>
            </w:r>
          </w:p>
        </w:tc>
        <w:tc>
          <w:tcPr>
            <w:tcW w:w="900" w:type="dxa"/>
            <w:vAlign w:val="bottom"/>
          </w:tcPr>
          <w:p>
            <w:pPr>
              <w:jc w:val="center"/>
              <w:spacing w:after="0"/>
              <w:rPr>
                <w:sz w:val="20"/>
                <w:szCs w:val="20"/>
                <w:color w:val="auto"/>
              </w:rPr>
            </w:pPr>
            <w:r>
              <w:rPr>
                <w:rFonts w:ascii="Arial" w:cs="Arial" w:eastAsia="Arial" w:hAnsi="Arial"/>
                <w:sz w:val="16"/>
                <w:szCs w:val="16"/>
                <w:color w:val="auto"/>
              </w:rPr>
              <w:t>3%</w:t>
            </w:r>
          </w:p>
        </w:tc>
        <w:tc>
          <w:tcPr>
            <w:tcW w:w="1000" w:type="dxa"/>
            <w:vAlign w:val="bottom"/>
          </w:tcPr>
          <w:p>
            <w:pPr>
              <w:jc w:val="right"/>
              <w:spacing w:after="0"/>
              <w:rPr>
                <w:sz w:val="20"/>
                <w:szCs w:val="20"/>
                <w:color w:val="auto"/>
              </w:rPr>
            </w:pPr>
            <w:r>
              <w:rPr>
                <w:rFonts w:ascii="Arial" w:cs="Arial" w:eastAsia="Arial" w:hAnsi="Arial"/>
                <w:sz w:val="16"/>
                <w:szCs w:val="16"/>
                <w:color w:val="auto"/>
              </w:rPr>
              <w:t>(2,648)</w:t>
            </w:r>
          </w:p>
        </w:tc>
        <w:tc>
          <w:tcPr>
            <w:tcW w:w="860" w:type="dxa"/>
            <w:vAlign w:val="bottom"/>
          </w:tcPr>
          <w:p>
            <w:pPr>
              <w:jc w:val="center"/>
              <w:ind w:left="21"/>
              <w:spacing w:after="0"/>
              <w:rPr>
                <w:sz w:val="20"/>
                <w:szCs w:val="20"/>
                <w:color w:val="auto"/>
              </w:rPr>
            </w:pPr>
            <w:r>
              <w:rPr>
                <w:rFonts w:ascii="Arial" w:cs="Arial" w:eastAsia="Arial" w:hAnsi="Arial"/>
                <w:sz w:val="16"/>
                <w:szCs w:val="16"/>
                <w:color w:val="auto"/>
              </w:rPr>
              <w:t>(16%)</w:t>
            </w:r>
          </w:p>
        </w:tc>
      </w:tr>
    </w:tbl>
    <w:p>
      <w:pPr>
        <w:sectPr>
          <w:pgSz w:w="11900" w:h="16838" w:orient="portrait"/>
          <w:cols w:equalWidth="0" w:num="1">
            <w:col w:w="9019"/>
          </w:cols>
          <w:pgMar w:left="1440" w:top="114" w:right="1440" w:bottom="0" w:gutter="0" w:footer="0" w:header="0"/>
          <w:type w:val="continuous"/>
        </w:sectPr>
      </w:pPr>
    </w:p>
    <w:bookmarkStart w:id="22" w:name="page23"/>
    <w:bookmarkEnd w:id="22"/>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20" w:type="dxa"/>
            <w:vAlign w:val="bottom"/>
          </w:tcPr>
          <w:p>
            <w:pPr>
              <w:ind w:left="60"/>
              <w:spacing w:after="0"/>
              <w:rPr>
                <w:sz w:val="20"/>
                <w:szCs w:val="20"/>
                <w:color w:val="auto"/>
              </w:rPr>
            </w:pPr>
            <w:r>
              <w:rPr>
                <w:rFonts w:ascii="Arial" w:cs="Arial" w:eastAsia="Arial" w:hAnsi="Arial"/>
                <w:sz w:val="16"/>
                <w:szCs w:val="16"/>
                <w:color w:val="auto"/>
              </w:rPr>
              <w:t>Total revenue</w:t>
            </w:r>
          </w:p>
        </w:tc>
        <w:tc>
          <w:tcPr>
            <w:tcW w:w="900" w:type="dxa"/>
            <w:vAlign w:val="bottom"/>
          </w:tcPr>
          <w:p>
            <w:pPr>
              <w:jc w:val="right"/>
              <w:spacing w:after="0"/>
              <w:rPr>
                <w:sz w:val="20"/>
                <w:szCs w:val="20"/>
                <w:color w:val="auto"/>
              </w:rPr>
            </w:pPr>
            <w:r>
              <w:rPr>
                <w:rFonts w:ascii="Arial" w:cs="Arial" w:eastAsia="Arial" w:hAnsi="Arial"/>
                <w:sz w:val="16"/>
                <w:szCs w:val="16"/>
                <w:color w:val="auto"/>
              </w:rPr>
              <w:t>602,068</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593,741</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3220" w:type="dxa"/>
            <w:vAlign w:val="bottom"/>
          </w:tcPr>
          <w:p>
            <w:pPr>
              <w:ind w:left="60"/>
              <w:spacing w:after="0"/>
              <w:rPr>
                <w:sz w:val="20"/>
                <w:szCs w:val="20"/>
                <w:color w:val="auto"/>
              </w:rPr>
            </w:pPr>
            <w:r>
              <w:rPr>
                <w:rFonts w:ascii="Arial" w:cs="Arial" w:eastAsia="Arial" w:hAnsi="Arial"/>
                <w:sz w:val="16"/>
                <w:szCs w:val="16"/>
                <w:color w:val="auto"/>
              </w:rPr>
              <w:t>Costs and operating expenses: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3220" w:type="dxa"/>
            <w:vAlign w:val="bottom"/>
          </w:tcPr>
          <w:p>
            <w:pPr>
              <w:ind w:left="300"/>
              <w:spacing w:after="0"/>
              <w:rPr>
                <w:sz w:val="20"/>
                <w:szCs w:val="20"/>
                <w:color w:val="auto"/>
              </w:rPr>
            </w:pPr>
            <w:r>
              <w:rPr>
                <w:rFonts w:ascii="Arial" w:cs="Arial" w:eastAsia="Arial" w:hAnsi="Arial"/>
                <w:sz w:val="16"/>
                <w:szCs w:val="16"/>
                <w:color w:val="auto"/>
              </w:rPr>
              <w:t>Cost of revenue, exclusive of</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32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3"/>
        </w:trPr>
        <w:tc>
          <w:tcPr>
            <w:tcW w:w="3220" w:type="dxa"/>
            <w:vAlign w:val="bottom"/>
            <w:tcBorders>
              <w:bottom w:val="single" w:sz="8" w:color="CCEEFF"/>
            </w:tcBorders>
          </w:tcPr>
          <w:p>
            <w:pPr>
              <w:ind w:left="460"/>
              <w:spacing w:after="0" w:line="143" w:lineRule="exact"/>
              <w:rPr>
                <w:sz w:val="20"/>
                <w:szCs w:val="20"/>
                <w:color w:val="auto"/>
              </w:rPr>
            </w:pPr>
            <w:r>
              <w:rPr>
                <w:rFonts w:ascii="Arial" w:cs="Arial" w:eastAsia="Arial" w:hAnsi="Arial"/>
                <w:sz w:val="16"/>
                <w:szCs w:val="16"/>
                <w:color w:val="auto"/>
              </w:rPr>
              <w:t>presented separately below</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6"/>
                <w:szCs w:val="16"/>
                <w:color w:val="auto"/>
              </w:rPr>
              <w:t>40,133</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6"/>
                <w:szCs w:val="16"/>
                <w:color w:val="auto"/>
                <w:w w:val="94"/>
              </w:rPr>
              <w:t>7%</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6"/>
                <w:szCs w:val="16"/>
                <w:color w:val="auto"/>
              </w:rPr>
              <w:t>36,022</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6"/>
                <w:szCs w:val="16"/>
                <w:color w:val="auto"/>
              </w:rPr>
              <w:t>6%</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9"/>
              <w:spacing w:after="0" w:line="143" w:lineRule="exact"/>
              <w:rPr>
                <w:sz w:val="20"/>
                <w:szCs w:val="20"/>
                <w:color w:val="auto"/>
              </w:rPr>
            </w:pPr>
            <w:r>
              <w:rPr>
                <w:rFonts w:ascii="Arial" w:cs="Arial" w:eastAsia="Arial" w:hAnsi="Arial"/>
                <w:sz w:val="16"/>
                <w:szCs w:val="16"/>
                <w:color w:val="auto"/>
              </w:rPr>
              <w:t>4,111</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6"/>
                <w:szCs w:val="16"/>
                <w:color w:val="auto"/>
                <w:w w:val="99"/>
              </w:rPr>
              <w:t>11%</w:t>
            </w:r>
          </w:p>
        </w:tc>
      </w:tr>
      <w:tr>
        <w:trPr>
          <w:trHeight w:val="237"/>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 and technology</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92,087</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92,010</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15%</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r>
      <w:tr>
        <w:trPr>
          <w:trHeight w:val="257"/>
        </w:trPr>
        <w:tc>
          <w:tcPr>
            <w:tcW w:w="322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900" w:type="dxa"/>
            <w:vAlign w:val="bottom"/>
          </w:tcPr>
          <w:p>
            <w:pPr>
              <w:jc w:val="right"/>
              <w:spacing w:after="0"/>
              <w:rPr>
                <w:sz w:val="20"/>
                <w:szCs w:val="20"/>
                <w:color w:val="auto"/>
              </w:rPr>
            </w:pPr>
            <w:r>
              <w:rPr>
                <w:rFonts w:ascii="Arial" w:cs="Arial" w:eastAsia="Arial" w:hAnsi="Arial"/>
                <w:sz w:val="16"/>
                <w:szCs w:val="16"/>
                <w:color w:val="auto"/>
              </w:rPr>
              <w:t>252,944</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273,285</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46%</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(20,341)</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57"/>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90,023</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94,316</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r>
      <w:tr>
        <w:trPr>
          <w:trHeight w:val="308"/>
        </w:trPr>
        <w:tc>
          <w:tcPr>
            <w:tcW w:w="322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6"/>
                <w:szCs w:val="16"/>
                <w:color w:val="auto"/>
              </w:rPr>
              <w:t>62,072</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50,442</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11,630</w:t>
            </w:r>
          </w:p>
        </w:tc>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23%</w:t>
            </w:r>
          </w:p>
        </w:tc>
      </w:tr>
      <w:tr>
        <w:trPr>
          <w:trHeight w:val="257"/>
        </w:trPr>
        <w:tc>
          <w:tcPr>
            <w:tcW w:w="3220" w:type="dxa"/>
            <w:vAlign w:val="bottom"/>
          </w:tcPr>
          <w:p>
            <w:pPr>
              <w:ind w:left="60"/>
              <w:spacing w:after="0"/>
              <w:rPr>
                <w:sz w:val="20"/>
                <w:szCs w:val="20"/>
                <w:color w:val="auto"/>
              </w:rPr>
            </w:pPr>
            <w:r>
              <w:rPr>
                <w:rFonts w:ascii="Arial" w:cs="Arial" w:eastAsia="Arial" w:hAnsi="Arial"/>
                <w:sz w:val="16"/>
                <w:szCs w:val="16"/>
                <w:color w:val="auto"/>
              </w:rPr>
              <w:t>Total costs and operating expenses</w:t>
            </w:r>
          </w:p>
        </w:tc>
        <w:tc>
          <w:tcPr>
            <w:tcW w:w="900" w:type="dxa"/>
            <w:vAlign w:val="bottom"/>
          </w:tcPr>
          <w:p>
            <w:pPr>
              <w:jc w:val="right"/>
              <w:spacing w:after="0"/>
              <w:rPr>
                <w:sz w:val="20"/>
                <w:szCs w:val="20"/>
                <w:color w:val="auto"/>
              </w:rPr>
            </w:pPr>
            <w:r>
              <w:rPr>
                <w:rFonts w:ascii="Arial" w:cs="Arial" w:eastAsia="Arial" w:hAnsi="Arial"/>
                <w:sz w:val="16"/>
                <w:szCs w:val="16"/>
                <w:color w:val="auto"/>
              </w:rPr>
              <w:t>537,259</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546,075</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3220" w:type="dxa"/>
            <w:vAlign w:val="bottom"/>
          </w:tcPr>
          <w:p>
            <w:pPr>
              <w:ind w:left="60"/>
              <w:spacing w:after="0"/>
              <w:rPr>
                <w:sz w:val="20"/>
                <w:szCs w:val="20"/>
                <w:color w:val="auto"/>
              </w:rPr>
            </w:pPr>
            <w:r>
              <w:rPr>
                <w:rFonts w:ascii="Arial" w:cs="Arial" w:eastAsia="Arial" w:hAnsi="Arial"/>
                <w:sz w:val="16"/>
                <w:szCs w:val="16"/>
                <w:color w:val="auto"/>
              </w:rPr>
              <w:t>Operating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64,809</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47,666</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3220" w:type="dxa"/>
            <w:vAlign w:val="bottom"/>
          </w:tcPr>
          <w:p>
            <w:pPr>
              <w:ind w:left="60"/>
              <w:spacing w:after="0"/>
              <w:rPr>
                <w:sz w:val="20"/>
                <w:szCs w:val="20"/>
                <w:color w:val="auto"/>
              </w:rPr>
            </w:pPr>
            <w:r>
              <w:rPr>
                <w:rFonts w:ascii="Arial" w:cs="Arial" w:eastAsia="Arial" w:hAnsi="Arial"/>
                <w:sz w:val="16"/>
                <w:szCs w:val="16"/>
                <w:color w:val="auto"/>
              </w:rPr>
              <w:t>Other expense, net:</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3220" w:type="dxa"/>
            <w:vAlign w:val="bottom"/>
          </w:tcPr>
          <w:p>
            <w:pPr>
              <w:ind w:left="300"/>
              <w:spacing w:after="0"/>
              <w:rPr>
                <w:sz w:val="20"/>
                <w:szCs w:val="20"/>
                <w:color w:val="auto"/>
              </w:rPr>
            </w:pPr>
            <w:r>
              <w:rPr>
                <w:rFonts w:ascii="Arial" w:cs="Arial" w:eastAsia="Arial" w:hAnsi="Arial"/>
                <w:sz w:val="16"/>
                <w:szCs w:val="16"/>
                <w:color w:val="auto"/>
              </w:rPr>
              <w:t>Other income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694</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(2,660)</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3,354</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(126%)</w:t>
            </w:r>
          </w:p>
        </w:tc>
      </w:tr>
      <w:tr>
        <w:trPr>
          <w:trHeight w:val="257"/>
        </w:trPr>
        <w:tc>
          <w:tcPr>
            <w:tcW w:w="3220" w:type="dxa"/>
            <w:vAlign w:val="bottom"/>
          </w:tcPr>
          <w:p>
            <w:pPr>
              <w:ind w:left="300"/>
              <w:spacing w:after="0"/>
              <w:rPr>
                <w:sz w:val="20"/>
                <w:szCs w:val="20"/>
                <w:color w:val="auto"/>
              </w:rPr>
            </w:pPr>
            <w:r>
              <w:rPr>
                <w:rFonts w:ascii="Arial" w:cs="Arial" w:eastAsia="Arial" w:hAnsi="Arial"/>
                <w:sz w:val="16"/>
                <w:szCs w:val="16"/>
                <w:color w:val="auto"/>
              </w:rPr>
              <w:t>Loss on extinguishment of debt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(2,077)</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2,077</w:t>
            </w:r>
          </w:p>
        </w:tc>
        <w:tc>
          <w:tcPr>
            <w:tcW w:w="60" w:type="dxa"/>
            <w:vAlign w:val="bottom"/>
          </w:tcPr>
          <w:p>
            <w:pPr>
              <w:spacing w:after="0"/>
              <w:rPr>
                <w:sz w:val="22"/>
                <w:szCs w:val="22"/>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n/m</w:t>
            </w:r>
          </w:p>
        </w:tc>
      </w:tr>
      <w:tr>
        <w:trPr>
          <w:trHeight w:val="264"/>
        </w:trPr>
        <w:tc>
          <w:tcPr>
            <w:tcW w:w="322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9,044</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18,686</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(9,642)</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(52%)</w:t>
            </w:r>
          </w:p>
        </w:tc>
      </w:tr>
      <w:tr>
        <w:trPr>
          <w:trHeight w:val="264"/>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5%</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(41,564)</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9,362</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w:t>
            </w:r>
          </w:p>
        </w:tc>
      </w:tr>
      <w:tr>
        <w:trPr>
          <w:trHeight w:val="249"/>
        </w:trPr>
        <w:tc>
          <w:tcPr>
            <w:tcW w:w="3220" w:type="dxa"/>
            <w:vAlign w:val="bottom"/>
          </w:tcPr>
          <w:p>
            <w:pPr>
              <w:ind w:left="60"/>
              <w:spacing w:after="0"/>
              <w:rPr>
                <w:sz w:val="20"/>
                <w:szCs w:val="20"/>
                <w:color w:val="auto"/>
              </w:rPr>
            </w:pPr>
            <w:r>
              <w:rPr>
                <w:rFonts w:ascii="Arial" w:cs="Arial" w:eastAsia="Arial" w:hAnsi="Arial"/>
                <w:sz w:val="16"/>
                <w:szCs w:val="16"/>
                <w:color w:val="auto"/>
              </w:rPr>
              <w:t>Total other expense, net</w:t>
            </w:r>
          </w:p>
        </w:tc>
        <w:tc>
          <w:tcPr>
            <w:tcW w:w="900" w:type="dxa"/>
            <w:vAlign w:val="bottom"/>
          </w:tcPr>
          <w:p>
            <w:pPr>
              <w:jc w:val="right"/>
              <w:spacing w:after="0"/>
              <w:rPr>
                <w:sz w:val="20"/>
                <w:szCs w:val="20"/>
                <w:color w:val="auto"/>
              </w:rPr>
            </w:pPr>
            <w:r>
              <w:rPr>
                <w:rFonts w:ascii="Arial" w:cs="Arial" w:eastAsia="Arial" w:hAnsi="Arial"/>
                <w:sz w:val="16"/>
                <w:szCs w:val="16"/>
                <w:color w:val="auto"/>
              </w:rPr>
              <w:t>(22,464)</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(27,615)</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4"/>
        </w:trPr>
        <w:tc>
          <w:tcPr>
            <w:tcW w:w="3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before 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42,345</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20,051</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3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Income tax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(17,331)</w:t>
            </w:r>
          </w:p>
        </w:tc>
        <w:tc>
          <w:tcPr>
            <w:tcW w:w="96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4"/>
              </w:rPr>
              <w:t>3%</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(10,401)</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(6,930)</w:t>
            </w:r>
          </w:p>
        </w:tc>
        <w:tc>
          <w:tcPr>
            <w:tcW w:w="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67%</w:t>
            </w:r>
          </w:p>
        </w:tc>
      </w:tr>
      <w:tr>
        <w:trPr>
          <w:trHeight w:val="237"/>
        </w:trPr>
        <w:tc>
          <w:tcPr>
            <w:tcW w:w="3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25,014</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-3085465</wp:posOffset>
            </wp:positionV>
            <wp:extent cx="7016115" cy="644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year-over-year changes in prescription transactions revenue, subscription revenue, and pharma manufacturer</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780" w:type="dxa"/>
            <w:vAlign w:val="bottom"/>
            <w:gridSpan w:val="4"/>
          </w:tcPr>
          <w:p>
            <w:pPr>
              <w:spacing w:after="0"/>
              <w:rPr>
                <w:sz w:val="20"/>
                <w:szCs w:val="20"/>
                <w:color w:val="auto"/>
              </w:rPr>
            </w:pPr>
            <w:r>
              <w:rPr>
                <w:rFonts w:ascii="Arial" w:cs="Arial" w:eastAsia="Arial" w:hAnsi="Arial"/>
                <w:sz w:val="16"/>
                <w:szCs w:val="16"/>
                <w:color w:val="auto"/>
              </w:rPr>
              <w:t>solutions revenue were driven by the same factors described above for the</w:t>
            </w:r>
          </w:p>
        </w:tc>
        <w:tc>
          <w:tcPr>
            <w:tcW w:w="3140" w:type="dxa"/>
            <w:vAlign w:val="bottom"/>
            <w:gridSpan w:val="2"/>
          </w:tcPr>
          <w:p>
            <w:pPr>
              <w:ind w:left="20"/>
              <w:spacing w:after="0"/>
              <w:rPr>
                <w:sz w:val="20"/>
                <w:szCs w:val="20"/>
                <w:color w:val="auto"/>
              </w:rPr>
            </w:pPr>
            <w:r>
              <w:rPr>
                <w:rFonts w:ascii="Arial" w:cs="Arial" w:eastAsia="Arial" w:hAnsi="Arial"/>
                <w:sz w:val="16"/>
                <w:szCs w:val="16"/>
                <w:color w:val="auto"/>
              </w:rPr>
              <w:t>three months ended September 30, 2025</w:t>
            </w:r>
          </w:p>
        </w:tc>
      </w:tr>
      <w:tr>
        <w:trPr>
          <w:trHeight w:val="190"/>
        </w:trPr>
        <w:tc>
          <w:tcPr>
            <w:tcW w:w="5780" w:type="dxa"/>
            <w:vAlign w:val="bottom"/>
            <w:gridSpan w:val="4"/>
          </w:tcPr>
          <w:p>
            <w:pPr>
              <w:spacing w:after="0"/>
              <w:rPr>
                <w:sz w:val="20"/>
                <w:szCs w:val="20"/>
                <w:color w:val="auto"/>
              </w:rPr>
            </w:pPr>
            <w:r>
              <w:rPr>
                <w:rFonts w:ascii="Arial" w:cs="Arial" w:eastAsia="Arial" w:hAnsi="Arial"/>
                <w:sz w:val="16"/>
                <w:szCs w:val="16"/>
                <w:color w:val="auto"/>
              </w:rPr>
              <w:t>compared to the same period of 2024.</w:t>
            </w: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96"/>
        </w:trPr>
        <w:tc>
          <w:tcPr>
            <w:tcW w:w="5780" w:type="dxa"/>
            <w:vAlign w:val="bottom"/>
            <w:gridSpan w:val="4"/>
          </w:tcPr>
          <w:p>
            <w:pPr>
              <w:ind w:left="340"/>
              <w:spacing w:after="0"/>
              <w:rPr>
                <w:sz w:val="20"/>
                <w:szCs w:val="20"/>
                <w:color w:val="auto"/>
              </w:rPr>
            </w:pPr>
            <w:r>
              <w:rPr>
                <w:rFonts w:ascii="Arial" w:cs="Arial" w:eastAsia="Arial" w:hAnsi="Arial"/>
                <w:sz w:val="16"/>
                <w:szCs w:val="16"/>
                <w:color w:val="auto"/>
              </w:rPr>
              <w:t>For expected revenue trends, see our discussion and analysis above for the</w:t>
            </w:r>
          </w:p>
        </w:tc>
        <w:tc>
          <w:tcPr>
            <w:tcW w:w="3140" w:type="dxa"/>
            <w:vAlign w:val="bottom"/>
            <w:gridSpan w:val="2"/>
          </w:tcPr>
          <w:p>
            <w:pPr>
              <w:ind w:left="140"/>
              <w:spacing w:after="0"/>
              <w:rPr>
                <w:sz w:val="20"/>
                <w:szCs w:val="20"/>
                <w:color w:val="auto"/>
              </w:rPr>
            </w:pPr>
            <w:r>
              <w:rPr>
                <w:rFonts w:ascii="Arial" w:cs="Arial" w:eastAsia="Arial" w:hAnsi="Arial"/>
                <w:sz w:val="16"/>
                <w:szCs w:val="16"/>
                <w:color w:val="auto"/>
              </w:rPr>
              <w:t>three months ended September 30, 2025</w:t>
            </w:r>
          </w:p>
        </w:tc>
      </w:tr>
      <w:tr>
        <w:trPr>
          <w:trHeight w:val="216"/>
        </w:trPr>
        <w:tc>
          <w:tcPr>
            <w:tcW w:w="3220" w:type="dxa"/>
            <w:vAlign w:val="bottom"/>
          </w:tcPr>
          <w:p>
            <w:pPr>
              <w:spacing w:after="0"/>
              <w:rPr>
                <w:sz w:val="20"/>
                <w:szCs w:val="20"/>
                <w:color w:val="auto"/>
              </w:rPr>
            </w:pPr>
            <w:r>
              <w:rPr>
                <w:rFonts w:ascii="Arial" w:cs="Arial" w:eastAsia="Arial" w:hAnsi="Arial"/>
                <w:sz w:val="16"/>
                <w:szCs w:val="16"/>
                <w:color w:val="auto"/>
              </w:rPr>
              <w:t>compared to the same period of 2024.</w:t>
            </w:r>
          </w:p>
        </w:tc>
        <w:tc>
          <w:tcPr>
            <w:tcW w:w="90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Pr>
          <w:p>
            <w:pPr>
              <w:spacing w:after="0"/>
              <w:rPr>
                <w:sz w:val="18"/>
                <w:szCs w:val="18"/>
                <w:color w:val="auto"/>
              </w:rPr>
            </w:pPr>
          </w:p>
        </w:tc>
      </w:tr>
    </w:tbl>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of revenue, exclusive of depreciation an</w:t>
      </w:r>
      <w:r>
        <w:rPr>
          <w:rFonts w:ascii="Arial" w:cs="Arial" w:eastAsia="Arial" w:hAnsi="Arial"/>
          <w:sz w:val="16"/>
          <w:szCs w:val="16"/>
          <w:i w:val="1"/>
          <w:iCs w:val="1"/>
          <w:u w:val="single" w:color="auto"/>
          <w:color w:val="auto"/>
        </w:rPr>
        <w:t>d amortizatio</w:t>
      </w:r>
      <w:r>
        <w:rPr>
          <w:rFonts w:ascii="Arial" w:cs="Arial" w:eastAsia="Arial" w:hAnsi="Arial"/>
          <w:sz w:val="16"/>
          <w:szCs w:val="16"/>
          <w:i w:val="1"/>
          <w:iCs w:val="1"/>
          <w:color w:val="auto"/>
        </w:rPr>
        <w:t>n</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revenue increased $4.1 million, o</w:t>
      </w:r>
      <w:r>
        <w:rPr>
          <w:rFonts w:ascii="Arial" w:cs="Arial" w:eastAsia="Arial" w:hAnsi="Arial"/>
          <w:sz w:val="16"/>
          <w:szCs w:val="16"/>
          <w:color w:val="auto"/>
          <w:strike w:val="1"/>
        </w:rPr>
        <w:t>r 11%, year-</w:t>
      </w:r>
      <w:r>
        <w:rPr>
          <w:rFonts w:ascii="Arial" w:cs="Arial" w:eastAsia="Arial" w:hAnsi="Arial"/>
          <w:sz w:val="16"/>
          <w:szCs w:val="16"/>
          <w:color w:val="auto"/>
        </w:rPr>
        <w:t>over-year, pri</w:t>
      </w:r>
      <w:r>
        <w:rPr>
          <w:rFonts w:ascii="Arial" w:cs="Arial" w:eastAsia="Arial" w:hAnsi="Arial"/>
          <w:sz w:val="16"/>
          <w:szCs w:val="16"/>
          <w:color w:val="auto"/>
          <w:strike w:val="1"/>
        </w:rPr>
        <w:t>marily driven</w:t>
      </w:r>
      <w:r>
        <w:rPr>
          <w:rFonts w:ascii="Arial" w:cs="Arial" w:eastAsia="Arial" w:hAnsi="Arial"/>
          <w:sz w:val="16"/>
          <w:szCs w:val="16"/>
          <w:color w:val="auto"/>
        </w:rPr>
        <w:t xml:space="preserve"> by an increase in processing fees.</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development and technology</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Product development and technology expenses remained relatively flat year-over-year.</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Sales and marketing</w:t>
      </w:r>
    </w:p>
    <w:p>
      <w:pPr>
        <w:spacing w:after="0" w:line="111" w:lineRule="exact"/>
        <w:rPr>
          <w:sz w:val="20"/>
          <w:szCs w:val="20"/>
          <w:color w:val="auto"/>
        </w:rPr>
      </w:pPr>
    </w:p>
    <w:p>
      <w:pPr>
        <w:jc w:val="both"/>
        <w:ind w:left="40" w:right="79" w:firstLine="324"/>
        <w:spacing w:after="0" w:line="304" w:lineRule="auto"/>
        <w:rPr>
          <w:sz w:val="20"/>
          <w:szCs w:val="20"/>
          <w:color w:val="auto"/>
        </w:rPr>
      </w:pPr>
      <w:r>
        <w:rPr>
          <w:rFonts w:ascii="Arial" w:cs="Arial" w:eastAsia="Arial" w:hAnsi="Arial"/>
          <w:sz w:val="16"/>
          <w:szCs w:val="16"/>
          <w:color w:val="auto"/>
        </w:rPr>
        <w:t xml:space="preserve">Sales and marketing expenses decreased $20.3 million , or 7%, year-over-year, primarily driven by a $11.0 million decrease in </w:t>
      </w:r>
      <w:r>
        <w:rPr>
          <w:rFonts w:ascii="Arial" w:cs="Arial" w:eastAsia="Arial" w:hAnsi="Arial"/>
          <w:sz w:val="16"/>
          <w:szCs w:val="16"/>
          <w:color w:val="auto"/>
          <w:highlight w:val="white"/>
        </w:rPr>
        <w:t>stock-based compensation expense largely as a result of changes in our employee composition,</w:t>
      </w:r>
      <w:r>
        <w:rPr>
          <w:rFonts w:ascii="Arial" w:cs="Arial" w:eastAsia="Arial" w:hAnsi="Arial"/>
          <w:sz w:val="16"/>
          <w:szCs w:val="16"/>
          <w:color w:val="auto"/>
        </w:rPr>
        <w:t xml:space="preserve"> a $7.9 million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98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39"/>
        <w:spacing w:after="0" w:line="286" w:lineRule="auto"/>
        <w:rPr>
          <w:sz w:val="20"/>
          <w:szCs w:val="20"/>
          <w:color w:val="auto"/>
        </w:rPr>
      </w:pPr>
      <w:r>
        <w:rPr>
          <w:rFonts w:ascii="Arial" w:cs="Arial" w:eastAsia="Arial" w:hAnsi="Arial"/>
          <w:sz w:val="16"/>
          <w:szCs w:val="16"/>
          <w:color w:val="auto"/>
        </w:rPr>
        <w:t>decrease in third-party marketing expenses, and a $5.8 million decrease in advertising expenses. The impact from these drivers was partially offset by a $4.8 million increase in other personnel related expenses.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w:t>
      </w:r>
    </w:p>
    <w:p>
      <w:pPr>
        <w:spacing w:after="0" w:line="111" w:lineRule="exact"/>
        <w:rPr>
          <w:sz w:val="20"/>
          <w:szCs w:val="20"/>
          <w:color w:val="auto"/>
        </w:rPr>
      </w:pPr>
    </w:p>
    <w:p>
      <w:pPr>
        <w:ind w:left="40" w:right="159" w:firstLine="324"/>
        <w:spacing w:after="0" w:line="265" w:lineRule="auto"/>
        <w:rPr>
          <w:sz w:val="20"/>
          <w:szCs w:val="20"/>
          <w:color w:val="auto"/>
        </w:rPr>
      </w:pPr>
      <w:r>
        <w:rPr>
          <w:rFonts w:ascii="Arial" w:cs="Arial" w:eastAsia="Arial" w:hAnsi="Arial"/>
          <w:sz w:val="16"/>
          <w:szCs w:val="16"/>
          <w:color w:val="auto"/>
        </w:rPr>
        <w:t>General and administrative expenses decreased $4.3 million, or 5%, year-over-year, primarily driven by a $7.5 million decrease in estimated legal settlement expense with respect to an ongoing class action litigation, and a $4.4 million decrease in stock-based compensation expense related to awards granted to our Co-Founders in 2020 that fully vested by the end of 2024. The impact of these drivers was partially offset by a $4.4 million impairment loss related to a leased office space we recognized in the first quarter of 2025 and a $2.4 million increase in professional fees.</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Depreciation and amortization</w:t>
      </w:r>
    </w:p>
    <w:p>
      <w:pPr>
        <w:spacing w:after="0" w:line="125" w:lineRule="exact"/>
        <w:rPr>
          <w:sz w:val="20"/>
          <w:szCs w:val="20"/>
          <w:color w:val="auto"/>
        </w:rPr>
      </w:pPr>
    </w:p>
    <w:p>
      <w:pPr>
        <w:ind w:left="40" w:right="119" w:firstLine="324"/>
        <w:spacing w:after="0" w:line="286" w:lineRule="auto"/>
        <w:rPr>
          <w:sz w:val="20"/>
          <w:szCs w:val="20"/>
          <w:color w:val="auto"/>
        </w:rPr>
      </w:pPr>
      <w:r>
        <w:rPr>
          <w:rFonts w:ascii="Arial" w:cs="Arial" w:eastAsia="Arial" w:hAnsi="Arial"/>
          <w:sz w:val="16"/>
          <w:szCs w:val="16"/>
          <w:color w:val="auto"/>
        </w:rPr>
        <w:t>Depreciation and amortization expenses increased $11.6 million, or 23%, year-over-year, primarily driven by the same factors described above for the three months ended September 30, 2025 compared to the same period of 2024.</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Expense, Loss on Extinguishment of Debt, Interest Income and Interest Expense</w:t>
      </w:r>
    </w:p>
    <w:p>
      <w:pPr>
        <w:spacing w:after="0" w:line="125"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6"/>
          <w:szCs w:val="16"/>
          <w:color w:val="auto"/>
        </w:rPr>
        <w:t>The year-over-year changes in other expense, loss on extinguishment of debt, interest income and interest expense were primarily driven by the same factors described above for the three months ended September 30, 2025 compared to the</w:t>
      </w:r>
    </w:p>
    <w:p>
      <w:pPr>
        <w:ind w:left="40"/>
        <w:spacing w:after="0"/>
        <w:rPr>
          <w:sz w:val="20"/>
          <w:szCs w:val="20"/>
          <w:color w:val="auto"/>
        </w:rPr>
      </w:pPr>
      <w:r>
        <w:rPr>
          <w:rFonts w:ascii="Arial" w:cs="Arial" w:eastAsia="Arial" w:hAnsi="Arial"/>
          <w:sz w:val="16"/>
          <w:szCs w:val="16"/>
          <w:color w:val="auto"/>
        </w:rPr>
        <w:t>same period of 2024.</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ectPr>
          <w:pgSz w:w="11900" w:h="16857" w:orient="portrait"/>
          <w:cols w:equalWidth="0" w:num="1">
            <w:col w:w="9019"/>
          </w:cols>
          <w:pgMar w:left="1440" w:top="91" w:right="1440" w:bottom="0" w:gutter="0" w:footer="0" w:header="0"/>
        </w:sectPr>
      </w:pP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nine months ended September 30, 2025</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and 2024, we had income tax expense of</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$17.3 million and $10.4</w:t>
      </w:r>
    </w:p>
    <w:p>
      <w:pPr>
        <w:spacing w:after="0" w:line="31" w:lineRule="exact"/>
        <w:rPr>
          <w:sz w:val="20"/>
          <w:szCs w:val="20"/>
          <w:color w:val="auto"/>
        </w:rPr>
      </w:pPr>
    </w:p>
    <w:p>
      <w:pPr>
        <w:sectPr>
          <w:pgSz w:w="11900" w:h="16857" w:orient="portrait"/>
          <w:cols w:equalWidth="0" w:num="3">
            <w:col w:w="3860" w:space="160"/>
            <w:col w:w="3000" w:space="200"/>
            <w:col w:w="1799"/>
          </w:cols>
          <w:pgMar w:left="1440" w:top="91" w:right="1440" w:bottom="0" w:gutter="0" w:footer="0" w:header="0"/>
          <w:type w:val="continuous"/>
        </w:sectPr>
      </w:pPr>
    </w:p>
    <w:p>
      <w:pPr>
        <w:ind w:left="40"/>
        <w:spacing w:after="0"/>
        <w:tabs>
          <w:tab w:leader="none" w:pos="4260" w:val="left"/>
        </w:tabs>
        <w:rPr>
          <w:sz w:val="20"/>
          <w:szCs w:val="20"/>
          <w:color w:val="auto"/>
        </w:rPr>
      </w:pPr>
      <w:r>
        <w:rPr>
          <w:rFonts w:ascii="Arial" w:cs="Arial" w:eastAsia="Arial" w:hAnsi="Arial"/>
          <w:sz w:val="16"/>
          <w:szCs w:val="16"/>
          <w:color w:val="auto"/>
        </w:rPr>
        <w:t>million, respectively, and an effective income tax rate of</w:t>
      </w:r>
      <w:r>
        <w:rPr>
          <w:sz w:val="20"/>
          <w:szCs w:val="20"/>
          <w:color w:val="auto"/>
        </w:rPr>
        <w:tab/>
      </w:r>
      <w:r>
        <w:rPr>
          <w:rFonts w:ascii="Arial" w:cs="Arial" w:eastAsia="Arial" w:hAnsi="Arial"/>
          <w:sz w:val="16"/>
          <w:szCs w:val="16"/>
          <w:color w:val="auto"/>
        </w:rPr>
        <w:t>40.9% and 51.9%, respectively. The year-over-year increase in</w:t>
      </w:r>
    </w:p>
    <w:p>
      <w:pPr>
        <w:sectPr>
          <w:pgSz w:w="11900" w:h="16857" w:orient="portrait"/>
          <w:cols w:equalWidth="0" w:num="1">
            <w:col w:w="9019"/>
          </w:cols>
          <w:pgMar w:left="1440" w:top="91" w:right="1440" w:bottom="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was primarily driven by an increase in income before income taxes and the tax effects from our equity</w:t>
      </w:r>
    </w:p>
    <w:p>
      <w:pPr>
        <w:sectPr>
          <w:pgSz w:w="11900" w:h="16857" w:orient="portrait"/>
          <w:cols w:equalWidth="0" w:num="1">
            <w:col w:w="9019"/>
          </w:cols>
          <w:pgMar w:left="1440" w:top="91" w:right="1440" w:bottom="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color w:val="auto"/>
        </w:rPr>
        <w:t>awards, partially offset by a decrease in the estimated annual 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-99695</wp:posOffset>
            </wp:positionV>
            <wp:extent cx="7016115" cy="5076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Since our inception, we have financed our operations primarily through net cash provided by operating activities, equity</w:t>
      </w:r>
    </w:p>
    <w:p>
      <w:pPr>
        <w:sectPr>
          <w:pgSz w:w="11900" w:h="16838" w:orient="portrait"/>
          <w:cols w:equalWidth="0" w:num="1">
            <w:col w:w="9019"/>
          </w:cols>
          <w:pgMar w:left="1440" w:top="114" w:right="1440" w:bottom="0" w:gutter="0" w:footer="0" w:header="0"/>
        </w:sectPr>
      </w:pPr>
    </w:p>
    <w:p>
      <w:pPr>
        <w:spacing w:after="0" w:line="31" w:lineRule="exact"/>
        <w:rPr>
          <w:sz w:val="20"/>
          <w:szCs w:val="20"/>
          <w:color w:val="auto"/>
        </w:rPr>
      </w:pPr>
    </w:p>
    <w:p>
      <w:pPr>
        <w:ind w:left="40"/>
        <w:spacing w:after="0" w:line="255" w:lineRule="auto"/>
        <w:rPr>
          <w:sz w:val="20"/>
          <w:szCs w:val="20"/>
          <w:color w:val="auto"/>
        </w:rPr>
      </w:pPr>
      <w:r>
        <w:rPr>
          <w:rFonts w:ascii="Arial" w:cs="Arial" w:eastAsia="Arial" w:hAnsi="Arial"/>
          <w:sz w:val="16"/>
          <w:szCs w:val="16"/>
          <w:color w:val="auto"/>
        </w:rPr>
        <w:t>issuances, and borrowings under our long-term debt arrangements. As of liquidity are our cash and cash equivalents and borrowings available under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79"/>
        <w:spacing w:after="0" w:line="255" w:lineRule="auto"/>
        <w:rPr>
          <w:sz w:val="20"/>
          <w:szCs w:val="20"/>
          <w:color w:val="auto"/>
        </w:rPr>
      </w:pPr>
      <w:r>
        <w:rPr>
          <w:rFonts w:ascii="Arial" w:cs="Arial" w:eastAsia="Arial" w:hAnsi="Arial"/>
          <w:sz w:val="16"/>
          <w:szCs w:val="16"/>
          <w:color w:val="auto"/>
        </w:rPr>
        <w:t>September 30, 2025 , our principal sources of our $88.0 million secured revolving credit facility</w:t>
      </w:r>
    </w:p>
    <w:p>
      <w:pPr>
        <w:spacing w:after="0" w:line="1" w:lineRule="exact"/>
        <w:rPr>
          <w:sz w:val="20"/>
          <w:szCs w:val="20"/>
          <w:color w:val="auto"/>
        </w:rPr>
      </w:pPr>
    </w:p>
    <w:p>
      <w:pPr>
        <w:sectPr>
          <w:pgSz w:w="11900" w:h="16838" w:orient="portrait"/>
          <w:cols w:equalWidth="0" w:num="2">
            <w:col w:w="5400" w:space="100"/>
            <w:col w:w="3519"/>
          </w:cols>
          <w:pgMar w:left="1440" w:top="114" w:right="1440" w:bottom="0" w:gutter="0" w:footer="0" w:header="0"/>
          <w:type w:val="continuous"/>
        </w:sectPr>
      </w:pPr>
    </w:p>
    <w:p>
      <w:pPr>
        <w:ind w:left="40" w:right="59"/>
        <w:spacing w:after="0" w:line="270" w:lineRule="auto"/>
        <w:rPr>
          <w:sz w:val="20"/>
          <w:szCs w:val="20"/>
          <w:color w:val="auto"/>
        </w:rPr>
      </w:pPr>
      <w:r>
        <w:rPr>
          <w:rFonts w:ascii="Arial" w:cs="Arial" w:eastAsia="Arial" w:hAnsi="Arial"/>
          <w:sz w:val="16"/>
          <w:szCs w:val="16"/>
          <w:color w:val="auto"/>
        </w:rPr>
        <w:t>that matures on April 10, 2029 . As of September 30, 2025, we had cash and cash equivalents of $273.5 million and $80.2 million available under our revolving credit facility.</w:t>
      </w:r>
    </w:p>
    <w:p>
      <w:pPr>
        <w:spacing w:after="0" w:line="6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Other than as disclosed in Note 8 to our condensed consolidated financial statements appearing elsewhere in this</w:t>
      </w:r>
    </w:p>
    <w:p>
      <w:pPr>
        <w:spacing w:after="0" w:line="31" w:lineRule="exact"/>
        <w:rPr>
          <w:sz w:val="20"/>
          <w:szCs w:val="20"/>
          <w:color w:val="auto"/>
        </w:rPr>
      </w:pPr>
    </w:p>
    <w:p>
      <w:pPr>
        <w:ind w:left="40" w:right="159"/>
        <w:spacing w:after="0" w:line="267" w:lineRule="auto"/>
        <w:rPr>
          <w:sz w:val="20"/>
          <w:szCs w:val="20"/>
          <w:color w:val="auto"/>
        </w:rPr>
      </w:pPr>
      <w:r>
        <w:rPr>
          <w:rFonts w:ascii="Arial" w:cs="Arial" w:eastAsia="Arial" w:hAnsi="Arial"/>
          <w:sz w:val="16"/>
          <w:szCs w:val="16"/>
          <w:color w:val="auto"/>
        </w:rPr>
        <w:t>Quarterly Report on Form 10-Q, as of September 30, 2025, there were no material changes to our primary short-term and long-term requirements for liquidity and capital or to our contractual commitments as disclosed in Part II, Item 7, "Management's Discussion and Analysis of Financial Condition and Results of Operations" of our 2024 10-K.</w:t>
      </w:r>
    </w:p>
    <w:p>
      <w:pPr>
        <w:spacing w:after="0" w:line="62" w:lineRule="exact"/>
        <w:rPr>
          <w:sz w:val="20"/>
          <w:szCs w:val="20"/>
          <w:color w:val="auto"/>
        </w:rPr>
      </w:pPr>
    </w:p>
    <w:p>
      <w:pPr>
        <w:ind w:left="40" w:right="159" w:firstLine="324"/>
        <w:spacing w:after="0" w:line="265" w:lineRule="auto"/>
        <w:rPr>
          <w:sz w:val="20"/>
          <w:szCs w:val="20"/>
          <w:color w:val="auto"/>
        </w:rPr>
      </w:pPr>
      <w:r>
        <w:rPr>
          <w:rFonts w:ascii="Arial" w:cs="Arial" w:eastAsia="Arial" w:hAnsi="Arial"/>
          <w:sz w:val="16"/>
          <w:szCs w:val="16"/>
          <w:color w:val="auto"/>
        </w:rPr>
        <w:t>Based on our current conditions, we believe that our net cash provided by operating activities and cash on hand will be adequate to meet our operating, investing and financing needs for at least the next twelve months from the date of the issuance of the accompanying unaudited condensed consolidated financial statements. Our future capital requirements will depend on many factors, including the growth of our business, the timing and extent of investments, sales and marketing activities, and many other factors as described in Part I, Item 1A, "Risk Factors" of our 2024 10-K.</w:t>
      </w:r>
    </w:p>
    <w:p>
      <w:pPr>
        <w:spacing w:after="0" w:line="64" w:lineRule="exact"/>
        <w:rPr>
          <w:sz w:val="20"/>
          <w:szCs w:val="20"/>
          <w:color w:val="auto"/>
        </w:rPr>
      </w:pPr>
    </w:p>
    <w:p>
      <w:pPr>
        <w:ind w:left="40" w:right="79" w:firstLine="324"/>
        <w:spacing w:after="0" w:line="258" w:lineRule="auto"/>
        <w:rPr>
          <w:sz w:val="20"/>
          <w:szCs w:val="20"/>
          <w:color w:val="auto"/>
        </w:rPr>
      </w:pPr>
      <w:r>
        <w:rPr>
          <w:rFonts w:ascii="Arial" w:cs="Arial" w:eastAsia="Arial" w:hAnsi="Arial"/>
          <w:sz w:val="16"/>
          <w:szCs w:val="16"/>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new or increased tariffs and socio-political events, has resulted in, and may continue to result in, significant disruption of global financial markets, including rising interest rates, which could reduce our ability to access capital. If we are unable to raise additional funds when needed or on the terms desired, our business, financial condition and results of operations could be adversely affected.</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Holding Company Status</w:t>
      </w:r>
    </w:p>
    <w:p>
      <w:pPr>
        <w:spacing w:after="0" w:line="111" w:lineRule="exact"/>
        <w:rPr>
          <w:sz w:val="20"/>
          <w:szCs w:val="20"/>
          <w:color w:val="auto"/>
        </w:rPr>
      </w:pPr>
    </w:p>
    <w:p>
      <w:pPr>
        <w:ind w:left="40" w:right="139" w:firstLine="324"/>
        <w:spacing w:after="0" w:line="265" w:lineRule="auto"/>
        <w:rPr>
          <w:sz w:val="20"/>
          <w:szCs w:val="20"/>
          <w:color w:val="auto"/>
        </w:rPr>
      </w:pPr>
      <w:r>
        <w:rPr>
          <w:rFonts w:ascii="Arial" w:cs="Arial" w:eastAsia="Arial" w:hAnsi="Arial"/>
          <w:sz w:val="16"/>
          <w:szCs w:val="16"/>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debt arrangements contain covenants restricting payments of dividends by our subsidiaries, including GoodRx, Inc., unless certain conditions are met. These covenants provide for certain exceptions for specific types of payments. Based on these restrictions, all of the net assets of GoodRx, Inc. were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5356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59"/>
        <w:spacing w:after="0" w:line="263" w:lineRule="auto"/>
        <w:rPr>
          <w:sz w:val="20"/>
          <w:szCs w:val="20"/>
          <w:color w:val="auto"/>
        </w:rPr>
      </w:pPr>
      <w:r>
        <w:rPr>
          <w:rFonts w:ascii="Arial" w:cs="Arial" w:eastAsia="Arial" w:hAnsi="Arial"/>
          <w:sz w:val="16"/>
          <w:szCs w:val="16"/>
          <w:color w:val="auto"/>
        </w:rPr>
        <w:t>restricted pursuant to the terms of our debt arrangements as of September 30, 2025 . Since the restricted net assets of GoodRx, Inc. and its subsidiaries exceed 25% of our consolidated net assets, in accordance with Regulation S-X, see Note</w:t>
      </w:r>
    </w:p>
    <w:tbl>
      <w:tblPr>
        <w:tblLayout w:type="fixed"/>
        <w:tblInd w:w="40" w:type="dxa"/>
        <w:tblCellMar>
          <w:top w:w="0" w:type="dxa"/>
          <w:left w:w="0" w:type="dxa"/>
          <w:bottom w:w="0" w:type="dxa"/>
          <w:right w:w="0" w:type="dxa"/>
        </w:tblCellMar>
      </w:tblPr>
      <w:tr>
        <w:trPr>
          <w:trHeight w:val="177"/>
        </w:trPr>
        <w:tc>
          <w:tcPr>
            <w:tcW w:w="4420" w:type="dxa"/>
            <w:vAlign w:val="bottom"/>
          </w:tcPr>
          <w:p>
            <w:pPr>
              <w:spacing w:after="0" w:line="178" w:lineRule="exact"/>
              <w:rPr>
                <w:sz w:val="20"/>
                <w:szCs w:val="20"/>
                <w:color w:val="auto"/>
              </w:rPr>
            </w:pPr>
            <w:r>
              <w:rPr>
                <w:rFonts w:ascii="Arial" w:cs="Arial" w:eastAsia="Arial" w:hAnsi="Arial"/>
                <w:sz w:val="16"/>
                <w:szCs w:val="16"/>
                <w:color w:val="auto"/>
              </w:rPr>
              <w:t>18 to our consolidated financial statements included in our</w:t>
            </w:r>
          </w:p>
        </w:tc>
        <w:tc>
          <w:tcPr>
            <w:tcW w:w="4500" w:type="dxa"/>
            <w:vAlign w:val="bottom"/>
            <w:gridSpan w:val="6"/>
          </w:tcPr>
          <w:p>
            <w:pPr>
              <w:jc w:val="right"/>
              <w:ind w:right="261"/>
              <w:spacing w:after="0" w:line="178" w:lineRule="exact"/>
              <w:rPr>
                <w:sz w:val="20"/>
                <w:szCs w:val="20"/>
                <w:color w:val="auto"/>
              </w:rPr>
            </w:pPr>
            <w:r>
              <w:rPr>
                <w:rFonts w:ascii="Arial" w:cs="Arial" w:eastAsia="Arial" w:hAnsi="Arial"/>
                <w:sz w:val="16"/>
                <w:szCs w:val="16"/>
                <w:color w:val="auto"/>
              </w:rPr>
              <w:t>2024 10-K for the condensed parent company financial</w:t>
            </w:r>
          </w:p>
        </w:tc>
      </w:tr>
      <w:tr>
        <w:trPr>
          <w:trHeight w:val="215"/>
        </w:trPr>
        <w:tc>
          <w:tcPr>
            <w:tcW w:w="4420" w:type="dxa"/>
            <w:vAlign w:val="bottom"/>
          </w:tcPr>
          <w:p>
            <w:pPr>
              <w:spacing w:after="0"/>
              <w:rPr>
                <w:sz w:val="20"/>
                <w:szCs w:val="20"/>
                <w:color w:val="auto"/>
              </w:rPr>
            </w:pPr>
            <w:r>
              <w:rPr>
                <w:rFonts w:ascii="Arial" w:cs="Arial" w:eastAsia="Arial" w:hAnsi="Arial"/>
                <w:sz w:val="16"/>
                <w:szCs w:val="16"/>
                <w:color w:val="auto"/>
              </w:rPr>
              <w:t>information of GoodRx Holdings, Inc.</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535"/>
        </w:trPr>
        <w:tc>
          <w:tcPr>
            <w:tcW w:w="442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4"/>
        </w:trPr>
        <w:tc>
          <w:tcPr>
            <w:tcW w:w="4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4"/>
          </w:tcPr>
          <w:p>
            <w:pPr>
              <w:jc w:val="right"/>
              <w:ind w:right="72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37"/>
        </w:trPr>
        <w:tc>
          <w:tcPr>
            <w:tcW w:w="442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r>
      <w:tr>
        <w:trPr>
          <w:trHeight w:val="236"/>
        </w:trPr>
        <w:tc>
          <w:tcPr>
            <w:tcW w:w="4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135,016</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139,149</w:t>
            </w:r>
          </w:p>
        </w:tc>
      </w:tr>
      <w:tr>
        <w:trPr>
          <w:trHeight w:val="257"/>
        </w:trPr>
        <w:tc>
          <w:tcPr>
            <w:tcW w:w="442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1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(88,190)</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(53,703)</w:t>
            </w:r>
          </w:p>
        </w:tc>
      </w:tr>
      <w:tr>
        <w:trPr>
          <w:trHeight w:val="256"/>
        </w:trPr>
        <w:tc>
          <w:tcPr>
            <w:tcW w:w="4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used in financing activities</w:t>
            </w:r>
          </w:p>
        </w:tc>
        <w:tc>
          <w:tcPr>
            <w:tcW w:w="15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(221,643)</w:t>
            </w:r>
          </w:p>
        </w:tc>
        <w:tc>
          <w:tcPr>
            <w:tcW w:w="6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(333,965)</w:t>
            </w:r>
          </w:p>
        </w:tc>
      </w:tr>
      <w:tr>
        <w:trPr>
          <w:trHeight w:val="209"/>
        </w:trPr>
        <w:tc>
          <w:tcPr>
            <w:tcW w:w="4420" w:type="dxa"/>
            <w:vAlign w:val="bottom"/>
          </w:tcPr>
          <w:p>
            <w:pPr>
              <w:ind w:left="220"/>
              <w:spacing w:after="0"/>
              <w:rPr>
                <w:sz w:val="20"/>
                <w:szCs w:val="20"/>
                <w:color w:val="auto"/>
              </w:rPr>
            </w:pPr>
            <w:r>
              <w:rPr>
                <w:rFonts w:ascii="Arial" w:cs="Arial" w:eastAsia="Arial" w:hAnsi="Arial"/>
                <w:sz w:val="16"/>
                <w:szCs w:val="16"/>
                <w:color w:val="auto"/>
              </w:rPr>
              <w:t>Net change in cash and cash equivalents</w:t>
            </w:r>
          </w:p>
        </w:tc>
        <w:tc>
          <w:tcPr>
            <w:tcW w:w="1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(174,817)</w:t>
            </w:r>
          </w:p>
        </w:tc>
        <w:tc>
          <w:tcPr>
            <w:tcW w:w="60" w:type="dxa"/>
            <w:vAlign w:val="bottom"/>
          </w:tcPr>
          <w:p>
            <w:pPr>
              <w:spacing w:after="0"/>
              <w:rPr>
                <w:sz w:val="18"/>
                <w:szCs w:val="18"/>
                <w:color w:val="auto"/>
              </w:rPr>
            </w:pP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(248,519)</w:t>
            </w:r>
          </w:p>
        </w:tc>
      </w:tr>
      <w:tr>
        <w:trPr>
          <w:trHeight w:val="21"/>
        </w:trPr>
        <w:tc>
          <w:tcPr>
            <w:tcW w:w="4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11" w:lineRule="exact"/>
        <w:rPr>
          <w:sz w:val="20"/>
          <w:szCs w:val="20"/>
          <w:color w:val="auto"/>
        </w:rPr>
      </w:pPr>
    </w:p>
    <w:p>
      <w:pPr>
        <w:ind w:left="40" w:right="79" w:firstLine="324"/>
        <w:spacing w:after="0" w:line="265" w:lineRule="auto"/>
        <w:rPr>
          <w:sz w:val="20"/>
          <w:szCs w:val="20"/>
          <w:color w:val="auto"/>
        </w:rPr>
      </w:pPr>
      <w:r>
        <w:rPr>
          <w:rFonts w:ascii="Arial" w:cs="Arial" w:eastAsia="Arial" w:hAnsi="Arial"/>
          <w:sz w:val="16"/>
          <w:szCs w:val="16"/>
          <w:color w:val="auto"/>
        </w:rPr>
        <w:t>The $4.1 million year-over-year decrease in net cash provided by operations was driven by a $18.5 million increase in net income after adjusting for non-cash adjustments, offset by a $22.6 million increase in cash outflow from changes in operating assets and liabilities. Changes in operating assets and liabilities were principally driven by the timing of payments of prepaid services, accounts payable and accrued expenses, income tax payments and refunds, as well as collections of accounts receivable.</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11" w:lineRule="exact"/>
        <w:rPr>
          <w:sz w:val="20"/>
          <w:szCs w:val="20"/>
          <w:color w:val="auto"/>
        </w:rPr>
      </w:pPr>
    </w:p>
    <w:p>
      <w:pPr>
        <w:ind w:left="40" w:right="59" w:firstLine="324"/>
        <w:spacing w:after="0" w:line="304" w:lineRule="auto"/>
        <w:rPr>
          <w:sz w:val="20"/>
          <w:szCs w:val="20"/>
          <w:color w:val="auto"/>
        </w:rPr>
      </w:pPr>
      <w:r>
        <w:rPr>
          <w:rFonts w:ascii="Arial" w:cs="Arial" w:eastAsia="Arial" w:hAnsi="Arial"/>
          <w:sz w:val="16"/>
          <w:szCs w:val="16"/>
          <w:color w:val="auto"/>
        </w:rPr>
        <w:t>The $34.5 million year-over-year increase in net cash used in investing activities was primarily driven by a $30.0 million increase in cash paid for the acquisition of a business and a $3.3 million increase in cash paid for software development.</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used in financing activities</w:t>
      </w:r>
    </w:p>
    <w:p>
      <w:pPr>
        <w:spacing w:after="0" w:line="125" w:lineRule="exact"/>
        <w:rPr>
          <w:sz w:val="20"/>
          <w:szCs w:val="20"/>
          <w:color w:val="auto"/>
        </w:rPr>
      </w:pPr>
    </w:p>
    <w:p>
      <w:pPr>
        <w:ind w:left="380"/>
        <w:spacing w:after="0"/>
        <w:tabs>
          <w:tab w:leader="none" w:pos="3020" w:val="left"/>
          <w:tab w:leader="none" w:pos="4780" w:val="left"/>
        </w:tabs>
        <w:rPr>
          <w:sz w:val="20"/>
          <w:szCs w:val="20"/>
          <w:color w:val="auto"/>
        </w:rPr>
      </w:pPr>
      <w:r>
        <w:rPr>
          <w:rFonts w:ascii="Arial" w:cs="Arial" w:eastAsia="Arial" w:hAnsi="Arial"/>
          <w:sz w:val="16"/>
          <w:szCs w:val="16"/>
          <w:color w:val="auto"/>
        </w:rPr>
        <w:t>The $112.3 million year-over-year</w:t>
        <w:tab/>
        <w:t>decrease in net cash</w:t>
        <w:tab/>
        <w:t>used in financing activities was primarily driven by a</w:t>
      </w:r>
    </w:p>
    <w:p>
      <w:pPr>
        <w:spacing w:after="0" w:line="21" w:lineRule="exact"/>
        <w:rPr>
          <w:sz w:val="20"/>
          <w:szCs w:val="20"/>
          <w:color w:val="auto"/>
        </w:rPr>
      </w:pPr>
    </w:p>
    <w:p>
      <w:pPr>
        <w:ind w:left="40" w:right="99"/>
        <w:spacing w:after="0" w:line="258" w:lineRule="auto"/>
        <w:rPr>
          <w:sz w:val="20"/>
          <w:szCs w:val="20"/>
          <w:color w:val="auto"/>
        </w:rPr>
      </w:pPr>
      <w:r>
        <w:rPr>
          <w:rFonts w:ascii="Arial" w:cs="Arial" w:eastAsia="Arial" w:hAnsi="Arial"/>
          <w:sz w:val="16"/>
          <w:szCs w:val="16"/>
          <w:color w:val="auto"/>
        </w:rPr>
        <w:t>$165.9 million decrease in payments on our term loans and debt issuance costs as a result of our refinancing in July 2024 and a $13.1 million decrease in employee taxes paid related to net share settlement of equity awards. The impact from these drivers was partially offset by a $48.3 million increase in payments for repurchases of our Class A common stock and a $18.4 million decrease in proceeds from the exercise of stock options.</w:t>
      </w:r>
    </w:p>
    <w:p>
      <w:pPr>
        <w:sectPr>
          <w:pgSz w:w="11900" w:h="16838" w:orient="portrait"/>
          <w:cols w:equalWidth="0" w:num="1">
            <w:col w:w="9019"/>
          </w:cols>
          <w:pgMar w:left="1440" w:top="114" w:right="1440" w:bottom="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-98425</wp:posOffset>
            </wp:positionV>
            <wp:extent cx="7016115" cy="3705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93"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6"/>
          <w:szCs w:val="16"/>
          <w:color w:val="auto"/>
        </w:rPr>
        <w:t>Refer to Note 2 to our condensed consolidated financial statements appearing elsewhere in this Quarterly Report on Form 10-Q.</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3"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6"/>
          <w:szCs w:val="16"/>
          <w:color w:val="auto"/>
        </w:rPr>
        <w:t>During the three months ended September 30, 2025 , there have been no significant changes to our critical accounting policies and estimates compared with those disclosed in Part II, Item 7, “Management’s Discussion and Analysis of Financial Condition and Results of Operations” of our 2024 10-K.</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7" w:lineRule="exact"/>
        <w:rPr>
          <w:sz w:val="20"/>
          <w:szCs w:val="20"/>
          <w:color w:val="auto"/>
        </w:rPr>
      </w:pPr>
    </w:p>
    <w:p>
      <w:pPr>
        <w:ind w:left="40" w:right="259" w:firstLine="324"/>
        <w:spacing w:after="0" w:line="286" w:lineRule="auto"/>
        <w:rPr>
          <w:sz w:val="20"/>
          <w:szCs w:val="20"/>
          <w:color w:val="auto"/>
        </w:rPr>
      </w:pPr>
      <w:r>
        <w:rPr>
          <w:rFonts w:ascii="Arial" w:cs="Arial" w:eastAsia="Arial" w:hAnsi="Arial"/>
          <w:sz w:val="16"/>
          <w:szCs w:val="16"/>
          <w:color w:val="auto"/>
        </w:rPr>
        <w:t>There have been no material changes in our market risk from the disclosure included in Part II, Item 7A, “Quantitative and Qualitative Disclosures About Market Risk” of our 2024 10-K.</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w:t>
      </w:r>
    </w:p>
    <w:p>
      <w:pPr>
        <w:sectPr>
          <w:pgSz w:w="11900" w:h="16838" w:orient="portrait"/>
          <w:cols w:equalWidth="0" w:num="1">
            <w:col w:w="9019"/>
          </w:cols>
          <w:pgMar w:left="1440" w:top="111" w:right="1440" w:bottom="1440" w:gutter="0" w:footer="0" w:header="0"/>
        </w:sectPr>
      </w:pPr>
    </w:p>
    <w:p>
      <w:pPr>
        <w:spacing w:after="0" w:line="1" w:lineRule="exact"/>
        <w:rPr>
          <w:sz w:val="20"/>
          <w:szCs w:val="20"/>
          <w:color w:val="auto"/>
        </w:rPr>
      </w:pPr>
    </w:p>
    <w:p>
      <w:pPr>
        <w:ind w:left="40"/>
        <w:spacing w:after="0" w:line="270" w:lineRule="auto"/>
        <w:rPr>
          <w:sz w:val="20"/>
          <w:szCs w:val="20"/>
          <w:color w:val="auto"/>
        </w:rPr>
      </w:pPr>
      <w:r>
        <w:rPr>
          <w:rFonts w:ascii="Arial" w:cs="Arial" w:eastAsia="Arial" w:hAnsi="Arial"/>
          <w:sz w:val="16"/>
          <w:szCs w:val="16"/>
          <w:color w:val="auto"/>
        </w:rPr>
        <w:t>executive officer and principal financial officer concluded that, as of procedures were effective.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September 30, 2025 , our disclosure controls and</w:t>
      </w:r>
    </w:p>
    <w:p>
      <w:pPr>
        <w:spacing w:after="0" w:line="429" w:lineRule="exact"/>
        <w:rPr>
          <w:sz w:val="20"/>
          <w:szCs w:val="20"/>
          <w:color w:val="auto"/>
        </w:rPr>
      </w:pPr>
    </w:p>
    <w:p>
      <w:pPr>
        <w:sectPr>
          <w:pgSz w:w="11900" w:h="16838" w:orient="portrait"/>
          <w:cols w:equalWidth="0" w:num="2">
            <w:col w:w="4840" w:space="400"/>
            <w:col w:w="3779"/>
          </w:cols>
          <w:pgMar w:left="1440" w:top="111" w:right="1440" w:bottom="1440" w:gutter="0" w:footer="0" w:header="0"/>
          <w:type w:val="continuous"/>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728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w:t>
      </w:r>
    </w:p>
    <w:p>
      <w:pPr>
        <w:sectPr>
          <w:pgSz w:w="11900" w:h="16838" w:orient="portrait"/>
          <w:cols w:equalWidth="0" w:num="1">
            <w:col w:w="9019"/>
          </w:cols>
          <w:pgMar w:left="1440" w:top="111" w:right="1440" w:bottom="1440" w:gutter="0" w:footer="0" w:header="0"/>
          <w:type w:val="continuous"/>
        </w:sectPr>
      </w:pPr>
    </w:p>
    <w:p>
      <w:pPr>
        <w:spacing w:after="0" w:line="31" w:lineRule="exact"/>
        <w:rPr>
          <w:sz w:val="20"/>
          <w:szCs w:val="20"/>
          <w:color w:val="auto"/>
        </w:rPr>
      </w:pPr>
    </w:p>
    <w:p>
      <w:pPr>
        <w:ind w:left="40"/>
        <w:spacing w:after="0" w:line="270" w:lineRule="auto"/>
        <w:rPr>
          <w:sz w:val="20"/>
          <w:szCs w:val="20"/>
          <w:color w:val="auto"/>
        </w:rPr>
      </w:pPr>
      <w:r>
        <w:rPr>
          <w:rFonts w:ascii="Arial" w:cs="Arial" w:eastAsia="Arial" w:hAnsi="Arial"/>
          <w:sz w:val="16"/>
          <w:szCs w:val="16"/>
          <w:color w:val="auto"/>
        </w:rPr>
        <w:t>under the Exchange Act) during the three months ended September 30, 2025 reasonably likely to materially affect, our internal control over financial reporting.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that have materially affected, or are</w:t>
      </w:r>
    </w:p>
    <w:p>
      <w:pPr>
        <w:sectPr>
          <w:pgSz w:w="11900" w:h="16838" w:orient="portrait"/>
          <w:cols w:equalWidth="0" w:num="2">
            <w:col w:w="5860" w:space="280"/>
            <w:col w:w="2879"/>
          </w:cols>
          <w:pgMar w:left="1440" w:top="111" w:right="1440"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33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10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left="380"/>
        <w:spacing w:after="0"/>
        <w:tabs>
          <w:tab w:leader="none" w:pos="5780" w:val="left"/>
        </w:tabs>
        <w:rPr>
          <w:sz w:val="20"/>
          <w:szCs w:val="20"/>
          <w:color w:val="auto"/>
        </w:rPr>
      </w:pPr>
      <w:r>
        <w:rPr>
          <w:rFonts w:ascii="Arial" w:cs="Arial" w:eastAsia="Arial" w:hAnsi="Arial"/>
          <w:sz w:val="16"/>
          <w:szCs w:val="16"/>
          <w:color w:val="auto"/>
        </w:rPr>
        <w:t>The information required under this Part II, Item 1 is set forth in Note</w:t>
      </w:r>
      <w:r>
        <w:rPr>
          <w:sz w:val="20"/>
          <w:szCs w:val="20"/>
          <w:color w:val="auto"/>
        </w:rPr>
        <w:tab/>
      </w:r>
      <w:r>
        <w:rPr>
          <w:rFonts w:ascii="Arial" w:cs="Arial" w:eastAsia="Arial" w:hAnsi="Arial"/>
          <w:sz w:val="16"/>
          <w:szCs w:val="16"/>
          <w:color w:val="auto"/>
        </w:rPr>
        <w:t>8 to our condensed consolidated financial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statements included in this Quarterly Report on Form 10-Q and is incorporated herein by this reference.</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6"/>
          <w:szCs w:val="16"/>
          <w:color w:val="auto"/>
        </w:rPr>
        <w:t>For a discussion of potential risks and uncertainties related to us, see the information included in Part I, Item 1A, "Risk Factors" of our 2024 10-K. There have been no material changes to the risk factors previously disclosed in our 2024 10-K, except as noted below:</w:t>
      </w:r>
    </w:p>
    <w:p>
      <w:pPr>
        <w:spacing w:after="0" w:line="58" w:lineRule="exact"/>
        <w:rPr>
          <w:sz w:val="20"/>
          <w:szCs w:val="20"/>
          <w:color w:val="auto"/>
        </w:rPr>
      </w:pPr>
    </w:p>
    <w:p>
      <w:pPr>
        <w:ind w:left="40" w:right="379" w:firstLine="324"/>
        <w:spacing w:after="0" w:line="311" w:lineRule="auto"/>
        <w:rPr>
          <w:sz w:val="20"/>
          <w:szCs w:val="20"/>
          <w:color w:val="auto"/>
        </w:rPr>
      </w:pPr>
      <w:r>
        <w:rPr>
          <w:rFonts w:ascii="Arial" w:cs="Arial" w:eastAsia="Arial" w:hAnsi="Arial"/>
          <w:sz w:val="16"/>
          <w:szCs w:val="16"/>
          <w:b w:val="1"/>
          <w:bCs w:val="1"/>
          <w:i w:val="1"/>
          <w:iCs w:val="1"/>
          <w:color w:val="auto"/>
        </w:rPr>
        <w:t>General economic factors, natural disasters or other unexpected events may adversely affect our business, financial performance and results of operations.</w:t>
      </w:r>
    </w:p>
    <w:p>
      <w:pPr>
        <w:spacing w:after="0" w:line="21"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6"/>
          <w:szCs w:val="16"/>
          <w:color w:val="auto"/>
        </w:rPr>
        <w:t>Although we only operate in the United States, our business, financial performance and results of operations depend in part on worldwide macroeconomic economic conditions and their impact on consumer spending. Recessionary economic cycles, changing interest rates, volatile fuel and energy costs, inflation, levels of unemployment, conditions in the residential real estate and mortgage markets, access to credit, consumer debt levels, tariffs, government spending freezes, unsettled financial markets and other economic factors that may affect costs of manufacturing prescription medications, consumer spending or buying habits could materially and adversely affect our customers, our consumers, and demand for our offerings. Volatility in the financial markets and deterioration in economic conditions, increasing inflation or increasing unemployment levels has also had and may continue to have a negative impact on consumer spending patterns. Changes and uncertainty can, among other things, reduce or shift spending away from medical treatments, procedures and doctors’ office visits.</w:t>
      </w:r>
    </w:p>
    <w:p>
      <w:pPr>
        <w:spacing w:after="0" w:line="265"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6"/>
          <w:szCs w:val="16"/>
          <w:color w:val="auto"/>
        </w:rPr>
        <w:t>In addition, negative national or global economic conditions have adversely affected the PBMs, partner pharmacies and pharma manufacturers we contract with and their associated industry participants, financial performance, liquidity and access to capital, and may continue to impact them. This may affect their ability to renew contracts with us on the same or better terms, which could impact the competitiveness of the discounted prices we are able to offer our consumers. Trade barriers, duties, tariffs, and retaliatory measures by the U.S. and other governments may impact the pharma manufacturers we contract with by increasing their costs of business, which could cause them to decrease their marketing spend on our offerings. All of these factors may be exacerbated by global financial conditions and other geopolitical factors, which could harm our business, financial condition and results of operations.</w:t>
      </w:r>
    </w:p>
    <w:p>
      <w:pPr>
        <w:spacing w:after="0" w:line="72"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Economic factors such as increased insurance and healthcare costs, commodity prices, tariffs, shipping costs, inflation, higher costs of labor, and changes in or interpretations of other laws, regulations and taxes may also increase our costs and make our offerings less competitive, increase general and administrative expenses, and otherwise adversely affect our financial condition and results of operations.</w:t>
      </w:r>
    </w:p>
    <w:p>
      <w:pPr>
        <w:spacing w:after="0" w:line="78"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6"/>
          <w:szCs w:val="16"/>
          <w:color w:val="auto"/>
        </w:rPr>
        <w:t>Additionally, global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Certain of these events may become more frequent or intense as a result of climate change or other environmental or social pressures. For more information, see our risk factor titled “We are subject to a series of risks related to climate change” previously disclosed in our 2024 10-K. If any of these events occur, our business could be adversely affected.</w:t>
      </w:r>
    </w:p>
    <w:p>
      <w:pPr>
        <w:spacing w:after="0" w:line="74" w:lineRule="exact"/>
        <w:rPr>
          <w:sz w:val="20"/>
          <w:szCs w:val="20"/>
          <w:color w:val="auto"/>
        </w:rPr>
      </w:pPr>
    </w:p>
    <w:p>
      <w:pPr>
        <w:jc w:val="both"/>
        <w:ind w:left="40" w:right="399" w:firstLine="324"/>
        <w:spacing w:after="0" w:line="279" w:lineRule="auto"/>
        <w:rPr>
          <w:sz w:val="20"/>
          <w:szCs w:val="20"/>
          <w:color w:val="auto"/>
        </w:rPr>
      </w:pPr>
      <w:r>
        <w:rPr>
          <w:rFonts w:ascii="Arial" w:cs="Arial" w:eastAsia="Arial" w:hAnsi="Arial"/>
          <w:sz w:val="16"/>
          <w:szCs w:val="16"/>
          <w:b w:val="1"/>
          <w:bCs w:val="1"/>
          <w:i w:val="1"/>
          <w:iCs w:val="1"/>
          <w:color w:val="auto"/>
        </w:rPr>
        <w:t>The impact of healthcare reform legislation and other proposed or future changes impacting the healthcare industry and healthcare spending on us is currently unknown, but may adversely affect our business, financial condition and results of operations.</w:t>
      </w:r>
    </w:p>
    <w:p>
      <w:pPr>
        <w:spacing w:after="0" w:line="4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6"/>
          <w:szCs w:val="16"/>
          <w:color w:val="auto"/>
        </w:rPr>
        <w:t>Our revenue is dependent on the healthcare industry and could be affected by changes in healthcare spending and policy. The healthcare industry is subject to changing political, regulatory and other influences. The Affordable Care Act (the “ACA”), enacted in March 2010, made major changes in how healthcare is delivered and reimbursed, and increased access to health insurance benefits to the uninsured and underinsured population of the United States. The ACA, among other things,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72" w:lineRule="exact"/>
        <w:rPr>
          <w:sz w:val="20"/>
          <w:szCs w:val="20"/>
          <w:color w:val="auto"/>
        </w:rPr>
      </w:pPr>
    </w:p>
    <w:p>
      <w:pPr>
        <w:ind w:left="40" w:right="459" w:firstLine="324"/>
        <w:spacing w:after="0" w:line="304" w:lineRule="auto"/>
        <w:rPr>
          <w:sz w:val="20"/>
          <w:szCs w:val="20"/>
          <w:color w:val="auto"/>
        </w:rPr>
      </w:pPr>
      <w:r>
        <w:rPr>
          <w:rFonts w:ascii="Arial" w:cs="Arial" w:eastAsia="Arial" w:hAnsi="Arial"/>
          <w:sz w:val="16"/>
          <w:szCs w:val="16"/>
          <w:color w:val="auto"/>
        </w:rPr>
        <w:t>New and changing laws, regulations, executive orders and other governmental actions, particularly from the new presidential administration, may also create uncertainty about how laws and regulations will be interpreted and applied.</w:t>
      </w:r>
    </w:p>
    <w:p>
      <w:pPr>
        <w:sectPr>
          <w:pgSz w:w="11900" w:h="16838" w:orient="portrait"/>
          <w:cols w:equalWidth="0" w:num="1">
            <w:col w:w="9019"/>
          </w:cols>
          <w:pgMar w:left="1440" w:top="1440" w:right="1440" w:bottom="0" w:gutter="0" w:footer="0" w:header="0"/>
        </w:sectPr>
      </w:pPr>
    </w:p>
    <w:bookmarkStart w:id="26" w:name="page27"/>
    <w:bookmarkEnd w:id="26"/>
    <w:p>
      <w:pPr>
        <w:ind w:left="40" w:right="239"/>
        <w:spacing w:after="0" w:line="188" w:lineRule="auto"/>
        <w:rPr>
          <w:sz w:val="20"/>
          <w:szCs w:val="20"/>
          <w:color w:val="auto"/>
        </w:rPr>
      </w:pPr>
      <w:r>
        <w:rPr>
          <w:rFonts w:ascii="Arial" w:cs="Arial" w:eastAsia="Arial" w:hAnsi="Arial"/>
          <w:sz w:val="15"/>
          <w:szCs w:val="15"/>
          <w:color w:val="auto"/>
        </w:rPr>
        <w:t>Such changes can adversely affect our business by increasing our costs, reducing spending by our customers, limiting the Company’s ability to pursue or offer new offerings, and requiring changes to our business. Regulatory changes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7016115" cy="962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62025"/>
                    </a:xfrm>
                    <a:prstGeom prst="rect">
                      <a:avLst/>
                    </a:prstGeom>
                    <a:noFill/>
                  </pic:spPr>
                </pic:pic>
              </a:graphicData>
            </a:graphic>
          </wp:anchor>
        </w:drawing>
      </w:r>
    </w:p>
    <w:p>
      <w:pPr>
        <w:ind w:left="40" w:right="219"/>
        <w:spacing w:after="0" w:line="265" w:lineRule="auto"/>
        <w:rPr>
          <w:sz w:val="20"/>
          <w:szCs w:val="20"/>
          <w:color w:val="auto"/>
        </w:rPr>
      </w:pPr>
      <w:r>
        <w:rPr>
          <w:rFonts w:ascii="Arial" w:cs="Arial" w:eastAsia="Arial" w:hAnsi="Arial"/>
          <w:sz w:val="16"/>
          <w:szCs w:val="16"/>
          <w:color w:val="auto"/>
        </w:rPr>
        <w:t>actions that materially adversely affect our business may be announced with little or no advance notice and we may not be able to effectively mitigate all adverse impacts from such measures. Differing interpretations of such legal obligations can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39"/>
        <w:spacing w:after="0" w:line="275" w:lineRule="auto"/>
        <w:rPr>
          <w:sz w:val="20"/>
          <w:szCs w:val="20"/>
          <w:color w:val="auto"/>
        </w:rPr>
      </w:pPr>
      <w:r>
        <w:rPr>
          <w:rFonts w:ascii="Arial" w:cs="Arial" w:eastAsia="Arial" w:hAnsi="Arial"/>
          <w:sz w:val="16"/>
          <w:szCs w:val="16"/>
          <w:color w:val="auto"/>
        </w:rPr>
        <w:t>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spacing w:after="0" w:line="56"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6"/>
          <w:szCs w:val="16"/>
          <w:color w:val="auto"/>
        </w:rPr>
        <w:t>In addition, recently there has been heightened governmental scrutiny of the manner in which pharma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For example, in August 2022, former President Biden signed the Inflation Reduction Act of 2022 (the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discounting program (beginning in 2025). The Centers for Medicare &amp; Medicaid Services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In addition, the IRA delayed the final rule removing safe harbor protection for price reductions given by pharmaceutical manufacturers to plan sponsors under Part D, either directly or through PBMs, unless the price reduction is required by law, until 2032. In July 2025, the government enacted the One Big Beautiful Bill Act (the “OBBBA”), which included reforms to programs such as Medicaid and restrictions for certain groups to access the Affordable Care Act Marketplace. These changes may result in an increase in the number of individuals who are unable to access health insurance benefits and medical care, and their ability to receive prescriptions and certain prescribed medications. The impact of the IRA and OBBBA on our business and the pharmaceutical industry cannot yet be fully determined but is likely to be significant.</w:t>
      </w:r>
    </w:p>
    <w:p>
      <w:pPr>
        <w:spacing w:after="0" w:line="276" w:lineRule="exact"/>
        <w:rPr>
          <w:sz w:val="20"/>
          <w:szCs w:val="20"/>
          <w:color w:val="auto"/>
        </w:rPr>
      </w:pPr>
    </w:p>
    <w:p>
      <w:pPr>
        <w:ind w:left="40" w:right="99" w:firstLine="324"/>
        <w:spacing w:after="0" w:line="260" w:lineRule="auto"/>
        <w:rPr>
          <w:sz w:val="20"/>
          <w:szCs w:val="20"/>
          <w:color w:val="auto"/>
        </w:rPr>
      </w:pPr>
      <w:r>
        <w:rPr>
          <w:rFonts w:ascii="Arial" w:cs="Arial" w:eastAsia="Arial" w:hAnsi="Arial"/>
          <w:sz w:val="16"/>
          <w:szCs w:val="16"/>
          <w:color w:val="auto"/>
        </w:rPr>
        <w:t>More recently, the current presidential administration has proposed the imposition of a 100% tariff on branded or patented pharmaceutical product produced outside of the United States. Such tariff may increase costs to our customers and decrease demand for pharmaceutical products and consequently our offerings, which could have a material adverse effect on our business, financial condition and results of operations. Certain major drug producers and manufacturers are in negotiations with the administration to receive relief from such tariff. As a result of these negotiations, certain manufacturers have announced their participation in a new government sponsored direct-to-consumer platform called “TrumpRx.gov,” designed to offer consumers discounts on their products and some specialty brands. Details regarding this government sponsored platform, as well as any potential positive or negative impact on our business, offerings or results of operations, are unclear at this time but may be significant.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Our ability to realize the benefits of opportunities that we elect to pursue, such as initiatives related to TrumpRx.gov,</w:t>
      </w:r>
    </w:p>
    <w:p>
      <w:pPr>
        <w:spacing w:after="0" w:line="21" w:lineRule="exact"/>
        <w:rPr>
          <w:sz w:val="20"/>
          <w:szCs w:val="20"/>
          <w:color w:val="auto"/>
        </w:rPr>
      </w:pPr>
    </w:p>
    <w:p>
      <w:pPr>
        <w:ind w:left="40" w:right="59"/>
        <w:spacing w:after="0" w:line="264" w:lineRule="auto"/>
        <w:rPr>
          <w:sz w:val="20"/>
          <w:szCs w:val="20"/>
          <w:color w:val="auto"/>
        </w:rPr>
      </w:pPr>
      <w:r>
        <w:rPr>
          <w:rFonts w:ascii="Arial" w:cs="Arial" w:eastAsia="Arial" w:hAnsi="Arial"/>
          <w:sz w:val="16"/>
          <w:szCs w:val="16"/>
          <w:color w:val="auto"/>
        </w:rPr>
        <w:t>may be limited, and we may be unable to fully achieve related business goals. At the same time, ongoing changes and shifts in healthcare policy, or changes in applicable legal standards, may reduce or even eliminate opportunities we may wish to pursue. As a result, any returns on our investment in developing these opportunities are uncertain and the failure to achieve related business goals may adversely affect our financial condition and results of operations.</w:t>
      </w:r>
    </w:p>
    <w:p>
      <w:pPr>
        <w:spacing w:after="0" w:line="6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6"/>
          <w:szCs w:val="16"/>
          <w:color w:val="auto"/>
        </w:rPr>
        <w:t>Congress has and is likely to continue to scrutinize key participants in the healthcare industry, including PBMs. A number of bills have been introduced in Congress that would further regulate PBMs and impose additional requirements. The Federal Trade Commission (the "FTC") has issued statements about PBMs and conducted a study of PBMs that resulted in two published reports, which could motivate further actions by Congress with respect to PBM regulation. Any findings in the report may motivate further actions by Congress with respect to PBM regulation. In September 2024, the FTC filed an administrative complaint against the three largest PBMs and their affiliated group purchasing organizations alleging that the PBMs engaged in anti-competitive and unfair practices that increased costs for insulin medication. It is unclear what the results of this matter will be, and what impact this will have on the PBM industry and our business, financial condition and results of operations. See our risk factor titled “We are, and may become in the future, subject to various legal proceedings and claims that arise in or outside the ordinary course of business, which may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 ” previously disclosed in our 2024 10-K.</w:t>
      </w:r>
    </w:p>
    <w:p>
      <w:pPr>
        <w:spacing w:after="0" w:line="71" w:lineRule="exact"/>
        <w:rPr>
          <w:sz w:val="20"/>
          <w:szCs w:val="20"/>
          <w:color w:val="auto"/>
        </w:rPr>
      </w:pPr>
    </w:p>
    <w:p>
      <w:pPr>
        <w:ind w:left="40" w:right="159" w:firstLine="369"/>
        <w:spacing w:after="0" w:line="258"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transactions offering and subscription offerings, for prescription medications dispensed by pharmacies, and, in some cases, designed to encourage importation from other countries and bulk purchasing. Some states have enacted legislation creating so-called prescription drug affordability boards, which ultimately may attempt to impose price limits on certain drugs in these states. In addition, the Supreme Court held in December 2020 in Rutledge v. Pharmaceutical Care Management that ERISA, a federal statute, did not preempt an Arkansas state law that regulates PBM reimbursements to network pharmacies and other standards for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16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9019"/>
          </w:cols>
          <w:pgMar w:left="1440" w:top="114" w:right="1440" w:bottom="0" w:gutter="0" w:footer="0" w:header="0"/>
          <w:type w:val="continuous"/>
        </w:sectPr>
      </w:pPr>
    </w:p>
    <w:bookmarkStart w:id="27" w:name="page28"/>
    <w:bookmarkEnd w:id="27"/>
    <w:p>
      <w:pPr>
        <w:ind w:left="40" w:right="199"/>
        <w:spacing w:after="0" w:line="26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45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t>PBMs’ reimbursements to network pharmacies. As a result of this holding, some states have passed, and other states may pass similar legislation or may otherwise attempt to regulate PBMs, which could have impacts on the healthcare industry. Further, we may see heightened regulatory scrutiny from state regulators related to our integrated savings programs, particularly with respect to insurance laws. These regulatory requirements and related scrutiny may impose timing and expense constraints on us or our industry partners that could adversely affect our partnerships or our operations.</w:t>
      </w:r>
    </w:p>
    <w:p>
      <w:pPr>
        <w:spacing w:after="0" w:line="64"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 manufacturers, any of which could adversely affect our business, financial condition and results of operations.</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Proceeds</w:t>
      </w:r>
    </w:p>
    <w:p>
      <w:pPr>
        <w:spacing w:after="0" w:line="113"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6"/>
          <w:szCs w:val="16"/>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56" w:lineRule="exact"/>
        <w:rPr>
          <w:sz w:val="20"/>
          <w:szCs w:val="20"/>
          <w:color w:val="auto"/>
        </w:rPr>
      </w:pPr>
    </w:p>
    <w:p>
      <w:pPr>
        <w:ind w:left="40" w:right="59" w:firstLine="324"/>
        <w:spacing w:after="0" w:line="262" w:lineRule="auto"/>
        <w:rPr>
          <w:sz w:val="20"/>
          <w:szCs w:val="20"/>
          <w:color w:val="auto"/>
        </w:rPr>
      </w:pPr>
      <w:r>
        <w:rPr>
          <w:rFonts w:ascii="Arial" w:cs="Arial" w:eastAsia="Arial" w:hAnsi="Arial"/>
          <w:sz w:val="16"/>
          <w:szCs w:val="16"/>
          <w:color w:val="auto"/>
        </w:rPr>
        <w:t>There have been no material changes in the expected use of the net proceeds from our IPO as described in our Registration Statement. As of September 30, 2025 , we estimated we had used approximately $792.4 million of the net proceeds from our IPO: (i) $184.4 million for the acquisition of businesses that complement our business; ( ii) $427.0 million for the repurchases of our Class A common stock; (iii) $160.0 million for the repayment of our outstanding debt obligations; and (iv) $21.0 million for working capital and other general corporate purposes. As of September 30, 2025 , we had $94.5 million estimated remaining net proceeds from our IPO which have been invested in investment grade, interest-bearing instruments.</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Repurchases of Equity Securities</w:t>
      </w:r>
    </w:p>
    <w:p>
      <w:pPr>
        <w:spacing w:after="0" w:line="127"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The following table presents information with respect to our repurchases of our Class A common stock during the three months ended September 30, 2025.</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Approximate Dollar</w:t>
            </w:r>
          </w:p>
        </w:tc>
      </w:tr>
      <w:tr>
        <w:trPr>
          <w:trHeight w:val="175"/>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Value of Shares that</w:t>
            </w:r>
          </w:p>
        </w:tc>
      </w:tr>
      <w:tr>
        <w:trPr>
          <w:trHeight w:val="175"/>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May Yet Be</w:t>
            </w:r>
          </w:p>
        </w:tc>
      </w:tr>
      <w:tr>
        <w:trPr>
          <w:trHeight w:val="176"/>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Repurchased as Part of</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Repurchased</w:t>
            </w:r>
          </w:p>
        </w:tc>
      </w:tr>
      <w:tr>
        <w:trPr>
          <w:trHeight w:val="160"/>
        </w:trPr>
        <w:tc>
          <w:tcPr>
            <w:tcW w:w="1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jc w:val="right"/>
              <w:ind w:right="242"/>
              <w:spacing w:after="0" w:line="159" w:lineRule="exact"/>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3"/>
                <w:szCs w:val="13"/>
                <w:color w:val="auto"/>
              </w:rPr>
            </w:pPr>
          </w:p>
        </w:tc>
        <w:tc>
          <w:tcPr>
            <w:tcW w:w="150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Average Price Paid</w:t>
            </w:r>
          </w:p>
        </w:tc>
        <w:tc>
          <w:tcPr>
            <w:tcW w:w="1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Publicly Announced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ind w:right="105"/>
              <w:spacing w:after="0" w:line="159" w:lineRule="exact"/>
              <w:rPr>
                <w:sz w:val="20"/>
                <w:szCs w:val="20"/>
                <w:color w:val="auto"/>
              </w:rPr>
            </w:pPr>
            <w:r>
              <w:rPr>
                <w:rFonts w:ascii="Arial" w:cs="Arial" w:eastAsia="Arial" w:hAnsi="Arial"/>
                <w:sz w:val="14"/>
                <w:szCs w:val="14"/>
                <w:b w:val="1"/>
                <w:bCs w:val="1"/>
                <w:color w:val="auto"/>
              </w:rPr>
              <w:t>Under the Program</w:t>
            </w:r>
          </w:p>
        </w:tc>
      </w:tr>
      <w:tr>
        <w:trPr>
          <w:trHeight w:val="187"/>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Period</w:t>
            </w:r>
          </w:p>
        </w:tc>
        <w:tc>
          <w:tcPr>
            <w:tcW w:w="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4"/>
                <w:szCs w:val="14"/>
                <w:b w:val="1"/>
                <w:bCs w:val="1"/>
                <w:color w:val="auto"/>
              </w:rPr>
              <w:t xml:space="preserve">Shares Repurchased </w:t>
            </w:r>
            <w:r>
              <w:rPr>
                <w:rFonts w:ascii="Arial" w:cs="Arial" w:eastAsia="Arial" w:hAnsi="Arial"/>
                <w:sz w:val="18"/>
                <w:szCs w:val="18"/>
                <w:color w:val="auto"/>
                <w:vertAlign w:val="superscript"/>
              </w:rPr>
              <w:t>(1)</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1"/>
              <w:spacing w:after="0" w:line="188"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color w:val="auto"/>
                <w:vertAlign w:val="superscript"/>
              </w:rPr>
              <w:t>(2)</w:t>
            </w:r>
          </w:p>
        </w:tc>
        <w:tc>
          <w:tcPr>
            <w:tcW w:w="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7"/>
              </w:rPr>
              <w:t xml:space="preserve">Program </w:t>
            </w:r>
            <w:r>
              <w:rPr>
                <w:rFonts w:ascii="Arial" w:cs="Arial" w:eastAsia="Arial" w:hAnsi="Arial"/>
                <w:sz w:val="18"/>
                <w:szCs w:val="18"/>
                <w:color w:val="auto"/>
                <w:w w:val="97"/>
                <w:vertAlign w:val="superscript"/>
              </w:rPr>
              <w:t>(1)</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i w:val="1"/>
                <w:iCs w:val="1"/>
                <w:color w:val="auto"/>
              </w:rPr>
              <w:t>(in thousands)</w:t>
            </w:r>
          </w:p>
        </w:tc>
      </w:tr>
      <w:tr>
        <w:trPr>
          <w:trHeight w:val="237"/>
        </w:trPr>
        <w:tc>
          <w:tcPr>
            <w:tcW w:w="2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July 1 - 31</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5,730,536</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5,730,536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114,825</w:t>
            </w:r>
          </w:p>
        </w:tc>
      </w:tr>
      <w:tr>
        <w:trPr>
          <w:trHeight w:val="257"/>
        </w:trPr>
        <w:tc>
          <w:tcPr>
            <w:tcW w:w="2000" w:type="dxa"/>
            <w:vAlign w:val="bottom"/>
            <w:gridSpan w:val="2"/>
          </w:tcPr>
          <w:p>
            <w:pPr>
              <w:ind w:left="60"/>
              <w:spacing w:after="0"/>
              <w:rPr>
                <w:sz w:val="20"/>
                <w:szCs w:val="20"/>
                <w:color w:val="auto"/>
              </w:rPr>
            </w:pPr>
            <w:r>
              <w:rPr>
                <w:rFonts w:ascii="Arial" w:cs="Arial" w:eastAsia="Arial" w:hAnsi="Arial"/>
                <w:sz w:val="16"/>
                <w:szCs w:val="16"/>
                <w:color w:val="auto"/>
              </w:rPr>
              <w:t>August 1 - 31</w:t>
            </w:r>
          </w:p>
        </w:tc>
        <w:tc>
          <w:tcPr>
            <w:tcW w:w="1720" w:type="dxa"/>
            <w:vAlign w:val="bottom"/>
          </w:tcPr>
          <w:p>
            <w:pPr>
              <w:jc w:val="right"/>
              <w:spacing w:after="0"/>
              <w:rPr>
                <w:sz w:val="20"/>
                <w:szCs w:val="20"/>
                <w:color w:val="auto"/>
              </w:rPr>
            </w:pPr>
            <w:r>
              <w:rPr>
                <w:rFonts w:ascii="Arial" w:cs="Arial" w:eastAsia="Arial" w:hAnsi="Arial"/>
                <w:sz w:val="16"/>
                <w:szCs w:val="16"/>
                <w:color w:val="auto"/>
              </w:rPr>
              <w:t>2,877,972</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4.65</w:t>
            </w:r>
          </w:p>
        </w:tc>
        <w:tc>
          <w:tcPr>
            <w:tcW w:w="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2,877,972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101,455</w:t>
            </w:r>
          </w:p>
        </w:tc>
      </w:tr>
      <w:tr>
        <w:trPr>
          <w:trHeight w:val="256"/>
        </w:trPr>
        <w:tc>
          <w:tcPr>
            <w:tcW w:w="2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September 1 - 30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4,750,659</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6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4,750,659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81,435</w:t>
            </w:r>
          </w:p>
        </w:tc>
      </w:tr>
      <w:tr>
        <w:trPr>
          <w:trHeight w:val="210"/>
        </w:trPr>
        <w:tc>
          <w:tcPr>
            <w:tcW w:w="200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13,359,167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13,359,167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700" w:hanging="65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repurchases are being executed from time to time, subject to general business and market conditions and</w:t>
      </w:r>
    </w:p>
    <w:p>
      <w:pPr>
        <w:spacing w:after="0" w:line="15" w:lineRule="exact"/>
        <w:rPr>
          <w:sz w:val="20"/>
          <w:szCs w:val="20"/>
          <w:color w:val="auto"/>
        </w:rPr>
      </w:pPr>
    </w:p>
    <w:p>
      <w:pPr>
        <w:ind w:left="700" w:right="359"/>
        <w:spacing w:after="0" w:line="255" w:lineRule="auto"/>
        <w:rPr>
          <w:sz w:val="20"/>
          <w:szCs w:val="20"/>
          <w:color w:val="auto"/>
        </w:rPr>
      </w:pPr>
      <w:r>
        <w:rPr>
          <w:rFonts w:ascii="Arial" w:cs="Arial" w:eastAsia="Arial" w:hAnsi="Arial"/>
          <w:sz w:val="16"/>
          <w:szCs w:val="16"/>
          <w:color w:val="auto"/>
        </w:rPr>
        <w:t>other investment opportunities, through open market purchases or privately negotiated transactions, which may include repurchases through a trading plan intended to satisfy the affirmative defense conditions of Rule</w:t>
      </w:r>
    </w:p>
    <w:p>
      <w:pPr>
        <w:spacing w:after="0" w:line="1" w:lineRule="exact"/>
        <w:rPr>
          <w:sz w:val="20"/>
          <w:szCs w:val="20"/>
          <w:color w:val="auto"/>
        </w:rPr>
      </w:pPr>
    </w:p>
    <w:p>
      <w:pPr>
        <w:ind w:left="700" w:right="179"/>
        <w:spacing w:after="0" w:line="252" w:lineRule="auto"/>
        <w:rPr>
          <w:sz w:val="20"/>
          <w:szCs w:val="20"/>
          <w:color w:val="auto"/>
        </w:rPr>
      </w:pPr>
      <w:r>
        <w:rPr>
          <w:rFonts w:ascii="Arial" w:cs="Arial" w:eastAsia="Arial" w:hAnsi="Arial"/>
          <w:sz w:val="16"/>
          <w:szCs w:val="16"/>
          <w:color w:val="auto"/>
        </w:rPr>
        <w:t>10b5-1(c)(1) under the Exchange Act. See Note 10 to our condensed consolidated financial statements included elsewhere in this Quarterly Report on Form 10-Q for additional information related to our current $450.0 million stock repurchase program with no expiration date, which was publicly announced on February 29, 2024.</w:t>
      </w:r>
    </w:p>
    <w:p>
      <w:pPr>
        <w:spacing w:after="0" w:line="1" w:lineRule="exact"/>
        <w:rPr>
          <w:sz w:val="20"/>
          <w:szCs w:val="20"/>
          <w:color w:val="auto"/>
        </w:rPr>
      </w:pPr>
    </w:p>
    <w:p>
      <w:pPr>
        <w:ind w:left="700" w:hanging="65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price paid per share includes direct costs and estimated excise taxes associated with the repurchases.</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Mine Safety Disclosures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687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 Other Information</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Insider Trading Arrangements</w:t>
      </w:r>
    </w:p>
    <w:p>
      <w:pPr>
        <w:spacing w:after="0" w:line="127"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During the three months ended September 30, 2025 , none of our directors or officers (as defined in Section 16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ectPr>
          <w:pgSz w:w="11900" w:h="16838" w:orient="portrait"/>
          <w:cols w:equalWidth="0" w:num="1">
            <w:col w:w="9019"/>
          </w:cols>
          <w:pgMar w:left="1440" w:top="422" w:right="1440" w:bottom="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374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059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6. Exhibits</w:t>
      </w:r>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640" w:type="dxa"/>
            <w:vAlign w:val="bottom"/>
          </w:tcPr>
          <w:p>
            <w:pPr>
              <w:spacing w:after="0"/>
              <w:rPr>
                <w:sz w:val="17"/>
                <w:szCs w:val="17"/>
                <w:color w:val="auto"/>
              </w:rPr>
            </w:pPr>
          </w:p>
        </w:tc>
        <w:tc>
          <w:tcPr>
            <w:tcW w:w="8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60"/>
        </w:trPr>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40" w:type="dxa"/>
            <w:vAlign w:val="bottom"/>
          </w:tcPr>
          <w:p>
            <w:pPr>
              <w:jc w:val="center"/>
              <w:ind w:right="208"/>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b w:val="1"/>
                <w:bCs w:val="1"/>
                <w:color w:val="auto"/>
              </w:rPr>
              <w:t>Filing</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96"/>
        </w:trPr>
        <w:tc>
          <w:tcPr>
            <w:tcW w:w="840" w:type="dxa"/>
            <w:vAlign w:val="bottom"/>
          </w:tcPr>
          <w:p>
            <w:pPr>
              <w:jc w:val="center"/>
              <w:ind w:right="208"/>
              <w:spacing w:after="0"/>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7"/>
                <w:szCs w:val="17"/>
                <w:color w:val="auto"/>
              </w:rPr>
            </w:pPr>
          </w:p>
        </w:tc>
        <w:tc>
          <w:tcPr>
            <w:tcW w:w="3060" w:type="dxa"/>
            <w:vAlign w:val="bottom"/>
            <w:gridSpan w:val="7"/>
          </w:tcPr>
          <w:p>
            <w:pPr>
              <w:ind w:left="52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tcPr>
          <w:p>
            <w:pPr>
              <w:jc w:val="center"/>
              <w:ind w:left="48"/>
              <w:spacing w:after="0"/>
              <w:rPr>
                <w:sz w:val="20"/>
                <w:szCs w:val="20"/>
                <w:color w:val="auto"/>
              </w:rPr>
            </w:pPr>
            <w:r>
              <w:rPr>
                <w:rFonts w:ascii="Arial" w:cs="Arial" w:eastAsia="Arial" w:hAnsi="Arial"/>
                <w:sz w:val="14"/>
                <w:szCs w:val="14"/>
                <w:b w:val="1"/>
                <w:bCs w:val="1"/>
                <w:color w:val="auto"/>
              </w:rPr>
              <w:t>Form</w:t>
            </w: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File No.</w:t>
            </w: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jc w:val="center"/>
              <w:ind w:right="8"/>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ind w:left="48"/>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45"/>
        </w:trPr>
        <w:tc>
          <w:tcPr>
            <w:tcW w:w="840" w:type="dxa"/>
            <w:vAlign w:val="bottom"/>
          </w:tcPr>
          <w:p>
            <w:pPr>
              <w:jc w:val="center"/>
              <w:ind w:right="208"/>
              <w:spacing w:after="0"/>
              <w:rPr>
                <w:sz w:val="20"/>
                <w:szCs w:val="20"/>
                <w:color w:val="auto"/>
              </w:rPr>
            </w:pPr>
            <w:r>
              <w:rPr>
                <w:rFonts w:ascii="Arial" w:cs="Arial" w:eastAsia="Arial" w:hAnsi="Arial"/>
                <w:sz w:val="14"/>
                <w:szCs w:val="14"/>
                <w:color w:val="auto"/>
              </w:rPr>
              <w:t>3.1</w:t>
            </w:r>
          </w:p>
        </w:tc>
        <w:tc>
          <w:tcPr>
            <w:tcW w:w="3240" w:type="dxa"/>
            <w:vAlign w:val="bottom"/>
            <w:tcBorders>
              <w:bottom w:val="single" w:sz="8" w:color="0000FF"/>
            </w:tcBorders>
            <w:gridSpan w:val="5"/>
          </w:tcPr>
          <w:p>
            <w:pPr>
              <w:spacing w:after="0"/>
              <w:rPr>
                <w:rFonts w:ascii="Arial" w:cs="Arial" w:eastAsia="Arial" w:hAnsi="Arial"/>
                <w:sz w:val="14"/>
                <w:szCs w:val="14"/>
                <w:color w:val="0000FF"/>
              </w:rPr>
            </w:pPr>
            <w:hyperlink r:id="rId68">
              <w:r>
                <w:rPr>
                  <w:rFonts w:ascii="Arial" w:cs="Arial" w:eastAsia="Arial" w:hAnsi="Arial"/>
                  <w:sz w:val="14"/>
                  <w:szCs w:val="14"/>
                  <w:color w:val="0000FF"/>
                </w:rPr>
                <w:t>Amended and Restated Certificate of Incorporation</w:t>
              </w:r>
            </w:hyperlink>
          </w:p>
        </w:tc>
        <w:tc>
          <w:tcPr>
            <w:tcW w:w="540" w:type="dxa"/>
            <w:vAlign w:val="bottom"/>
            <w:gridSpan w:val="3"/>
          </w:tcPr>
          <w:p>
            <w:pPr>
              <w:spacing w:after="0"/>
              <w:rPr>
                <w:sz w:val="21"/>
                <w:szCs w:val="21"/>
                <w:color w:val="auto"/>
              </w:rPr>
            </w:pPr>
          </w:p>
        </w:tc>
        <w:tc>
          <w:tcPr>
            <w:tcW w:w="680" w:type="dxa"/>
            <w:vAlign w:val="bottom"/>
          </w:tcPr>
          <w:p>
            <w:pPr>
              <w:jc w:val="center"/>
              <w:ind w:left="28"/>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3.1</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9/28/20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40" w:type="dxa"/>
            <w:vAlign w:val="bottom"/>
          </w:tcPr>
          <w:p>
            <w:pPr>
              <w:jc w:val="center"/>
              <w:ind w:right="208"/>
              <w:spacing w:after="0"/>
              <w:rPr>
                <w:sz w:val="20"/>
                <w:szCs w:val="20"/>
                <w:color w:val="auto"/>
              </w:rPr>
            </w:pPr>
            <w:r>
              <w:rPr>
                <w:rFonts w:ascii="Arial" w:cs="Arial" w:eastAsia="Arial" w:hAnsi="Arial"/>
                <w:sz w:val="14"/>
                <w:szCs w:val="14"/>
                <w:color w:val="auto"/>
              </w:rPr>
              <w:t>3.2</w:t>
            </w:r>
          </w:p>
        </w:tc>
        <w:tc>
          <w:tcPr>
            <w:tcW w:w="3780" w:type="dxa"/>
            <w:vAlign w:val="bottom"/>
            <w:gridSpan w:val="8"/>
          </w:tcPr>
          <w:p>
            <w:pPr>
              <w:spacing w:after="0"/>
              <w:rPr>
                <w:rFonts w:ascii="Arial" w:cs="Arial" w:eastAsia="Arial" w:hAnsi="Arial"/>
                <w:sz w:val="14"/>
                <w:szCs w:val="14"/>
                <w:color w:val="0000FF"/>
              </w:rPr>
            </w:pPr>
            <w:hyperlink r:id="rId69">
              <w:r>
                <w:rPr>
                  <w:rFonts w:ascii="Arial" w:cs="Arial" w:eastAsia="Arial" w:hAnsi="Arial"/>
                  <w:sz w:val="14"/>
                  <w:szCs w:val="14"/>
                  <w:color w:val="0000FF"/>
                </w:rPr>
                <w:t>Amended and Restated Bylaws</w:t>
              </w:r>
            </w:hyperlink>
          </w:p>
        </w:tc>
        <w:tc>
          <w:tcPr>
            <w:tcW w:w="680" w:type="dxa"/>
            <w:vAlign w:val="bottom"/>
          </w:tcPr>
          <w:p>
            <w:pPr>
              <w:jc w:val="center"/>
              <w:ind w:left="28"/>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3.2</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9/28/20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tcPr>
          <w:p>
            <w:pPr>
              <w:jc w:val="center"/>
              <w:ind w:right="208"/>
              <w:spacing w:after="0"/>
              <w:rPr>
                <w:sz w:val="20"/>
                <w:szCs w:val="20"/>
                <w:color w:val="auto"/>
              </w:rPr>
            </w:pPr>
            <w:r>
              <w:rPr>
                <w:rFonts w:ascii="Arial" w:cs="Arial" w:eastAsia="Arial" w:hAnsi="Arial"/>
                <w:sz w:val="14"/>
                <w:szCs w:val="14"/>
                <w:color w:val="auto"/>
              </w:rPr>
              <w:t>4.1</w:t>
            </w:r>
          </w:p>
        </w:tc>
        <w:tc>
          <w:tcPr>
            <w:tcW w:w="2900" w:type="dxa"/>
            <w:vAlign w:val="bottom"/>
            <w:tcBorders>
              <w:bottom w:val="single" w:sz="8" w:color="0000FF"/>
            </w:tcBorders>
            <w:gridSpan w:val="4"/>
          </w:tcPr>
          <w:p>
            <w:pPr>
              <w:spacing w:after="0"/>
              <w:rPr>
                <w:rFonts w:ascii="Arial" w:cs="Arial" w:eastAsia="Arial" w:hAnsi="Arial"/>
                <w:sz w:val="14"/>
                <w:szCs w:val="14"/>
                <w:color w:val="0000FF"/>
              </w:rPr>
            </w:pPr>
            <w:hyperlink r:id="rId70">
              <w:r>
                <w:rPr>
                  <w:rFonts w:ascii="Arial" w:cs="Arial" w:eastAsia="Arial" w:hAnsi="Arial"/>
                  <w:sz w:val="14"/>
                  <w:szCs w:val="14"/>
                  <w:color w:val="0000FF"/>
                </w:rPr>
                <w:t>Form of Certificate of Class A Common Stock</w:t>
              </w:r>
            </w:hyperlink>
          </w:p>
        </w:tc>
        <w:tc>
          <w:tcPr>
            <w:tcW w:w="880" w:type="dxa"/>
            <w:vAlign w:val="bottom"/>
            <w:gridSpan w:val="4"/>
          </w:tcPr>
          <w:p>
            <w:pPr>
              <w:spacing w:after="0"/>
              <w:rPr>
                <w:sz w:val="24"/>
                <w:szCs w:val="24"/>
                <w:color w:val="auto"/>
              </w:rPr>
            </w:pPr>
          </w:p>
        </w:tc>
        <w:tc>
          <w:tcPr>
            <w:tcW w:w="680" w:type="dxa"/>
            <w:vAlign w:val="bottom"/>
          </w:tcPr>
          <w:p>
            <w:pPr>
              <w:jc w:val="center"/>
              <w:ind w:left="28"/>
              <w:spacing w:after="0"/>
              <w:rPr>
                <w:sz w:val="20"/>
                <w:szCs w:val="20"/>
                <w:color w:val="auto"/>
              </w:rPr>
            </w:pPr>
            <w:r>
              <w:rPr>
                <w:rFonts w:ascii="Arial" w:cs="Arial" w:eastAsia="Arial" w:hAnsi="Arial"/>
                <w:sz w:val="14"/>
                <w:szCs w:val="14"/>
                <w:color w:val="auto"/>
              </w:rPr>
              <w:t>S-1</w:t>
            </w:r>
          </w:p>
        </w:tc>
        <w:tc>
          <w:tcPr>
            <w:tcW w:w="1100" w:type="dxa"/>
            <w:vAlign w:val="bottom"/>
          </w:tcPr>
          <w:p>
            <w:pPr>
              <w:jc w:val="center"/>
              <w:spacing w:after="0"/>
              <w:rPr>
                <w:sz w:val="20"/>
                <w:szCs w:val="20"/>
                <w:color w:val="auto"/>
              </w:rPr>
            </w:pPr>
            <w:r>
              <w:rPr>
                <w:rFonts w:ascii="Arial" w:cs="Arial" w:eastAsia="Arial" w:hAnsi="Arial"/>
                <w:sz w:val="14"/>
                <w:szCs w:val="14"/>
                <w:color w:val="auto"/>
              </w:rPr>
              <w:t>333-248465</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4.1</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8/28/20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40" w:type="dxa"/>
            <w:vAlign w:val="bottom"/>
          </w:tcPr>
          <w:p>
            <w:pPr>
              <w:jc w:val="center"/>
              <w:ind w:right="208"/>
              <w:spacing w:after="0"/>
              <w:rPr>
                <w:sz w:val="20"/>
                <w:szCs w:val="20"/>
                <w:color w:val="auto"/>
              </w:rPr>
            </w:pPr>
            <w:r>
              <w:rPr>
                <w:rFonts w:ascii="Arial" w:cs="Arial" w:eastAsia="Arial" w:hAnsi="Arial"/>
                <w:sz w:val="14"/>
                <w:szCs w:val="14"/>
                <w:color w:val="auto"/>
              </w:rPr>
              <w:t>4.2</w:t>
            </w:r>
          </w:p>
        </w:tc>
        <w:tc>
          <w:tcPr>
            <w:tcW w:w="2900" w:type="dxa"/>
            <w:vAlign w:val="bottom"/>
            <w:tcBorders>
              <w:bottom w:val="single" w:sz="8" w:color="0000FF"/>
            </w:tcBorders>
            <w:gridSpan w:val="4"/>
          </w:tcPr>
          <w:p>
            <w:pPr>
              <w:spacing w:after="0"/>
              <w:rPr>
                <w:rFonts w:ascii="Arial" w:cs="Arial" w:eastAsia="Arial" w:hAnsi="Arial"/>
                <w:sz w:val="14"/>
                <w:szCs w:val="14"/>
                <w:color w:val="0000FF"/>
              </w:rPr>
            </w:pPr>
            <w:hyperlink r:id="rId71">
              <w:r>
                <w:rPr>
                  <w:rFonts w:ascii="Arial" w:cs="Arial" w:eastAsia="Arial" w:hAnsi="Arial"/>
                  <w:sz w:val="14"/>
                  <w:szCs w:val="14"/>
                  <w:color w:val="0000FF"/>
                </w:rPr>
                <w:t>Form of Certificate of Class B Common Stock</w:t>
              </w:r>
            </w:hyperlink>
          </w:p>
        </w:tc>
        <w:tc>
          <w:tcPr>
            <w:tcW w:w="880" w:type="dxa"/>
            <w:vAlign w:val="bottom"/>
            <w:gridSpan w:val="4"/>
          </w:tcPr>
          <w:p>
            <w:pPr>
              <w:spacing w:after="0"/>
              <w:rPr>
                <w:sz w:val="24"/>
                <w:szCs w:val="24"/>
                <w:color w:val="auto"/>
              </w:rPr>
            </w:pPr>
          </w:p>
        </w:tc>
        <w:tc>
          <w:tcPr>
            <w:tcW w:w="680" w:type="dxa"/>
            <w:vAlign w:val="bottom"/>
          </w:tcPr>
          <w:p>
            <w:pPr>
              <w:jc w:val="center"/>
              <w:ind w:left="28"/>
              <w:spacing w:after="0"/>
              <w:rPr>
                <w:sz w:val="20"/>
                <w:szCs w:val="20"/>
                <w:color w:val="auto"/>
              </w:rPr>
            </w:pPr>
            <w:r>
              <w:rPr>
                <w:rFonts w:ascii="Arial" w:cs="Arial" w:eastAsia="Arial" w:hAnsi="Arial"/>
                <w:sz w:val="14"/>
                <w:szCs w:val="14"/>
                <w:color w:val="auto"/>
              </w:rPr>
              <w:t>S-8</w:t>
            </w:r>
          </w:p>
        </w:tc>
        <w:tc>
          <w:tcPr>
            <w:tcW w:w="1100" w:type="dxa"/>
            <w:vAlign w:val="bottom"/>
          </w:tcPr>
          <w:p>
            <w:pPr>
              <w:jc w:val="center"/>
              <w:spacing w:after="0"/>
              <w:rPr>
                <w:sz w:val="20"/>
                <w:szCs w:val="20"/>
                <w:color w:val="auto"/>
              </w:rPr>
            </w:pPr>
            <w:r>
              <w:rPr>
                <w:rFonts w:ascii="Arial" w:cs="Arial" w:eastAsia="Arial" w:hAnsi="Arial"/>
                <w:sz w:val="14"/>
                <w:szCs w:val="14"/>
                <w:color w:val="auto"/>
              </w:rPr>
              <w:t>333-249069</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4.4</w:t>
            </w: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9/25/20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40" w:type="dxa"/>
            <w:vAlign w:val="bottom"/>
          </w:tcPr>
          <w:p>
            <w:pPr>
              <w:jc w:val="center"/>
              <w:ind w:right="208"/>
              <w:spacing w:after="0"/>
              <w:rPr>
                <w:sz w:val="20"/>
                <w:szCs w:val="20"/>
                <w:color w:val="auto"/>
              </w:rPr>
            </w:pPr>
            <w:r>
              <w:rPr>
                <w:rFonts w:ascii="Arial" w:cs="Arial" w:eastAsia="Arial" w:hAnsi="Arial"/>
                <w:sz w:val="14"/>
                <w:szCs w:val="14"/>
                <w:color w:val="auto"/>
              </w:rPr>
              <w:t>10.1</w:t>
            </w:r>
          </w:p>
        </w:tc>
        <w:tc>
          <w:tcPr>
            <w:tcW w:w="348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Form of Option Agreement pursuant to 2020 Incentive</w:t>
            </w:r>
          </w:p>
        </w:tc>
        <w:tc>
          <w:tcPr>
            <w:tcW w:w="3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780" w:type="dxa"/>
            <w:vAlign w:val="bottom"/>
            <w:gridSpan w:val="8"/>
          </w:tcPr>
          <w:p>
            <w:pPr>
              <w:spacing w:after="0" w:line="155" w:lineRule="exact"/>
              <w:rPr>
                <w:sz w:val="20"/>
                <w:szCs w:val="20"/>
                <w:color w:val="auto"/>
              </w:rPr>
            </w:pPr>
            <w:r>
              <w:rPr>
                <w:rFonts w:ascii="Arial" w:cs="Arial" w:eastAsia="Arial" w:hAnsi="Arial"/>
                <w:sz w:val="14"/>
                <w:szCs w:val="14"/>
                <w:color w:val="0000FF"/>
              </w:rPr>
              <w:t>Award Plan</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jc w:val="center"/>
              <w:ind w:right="208"/>
              <w:spacing w:after="0"/>
              <w:rPr>
                <w:sz w:val="20"/>
                <w:szCs w:val="20"/>
                <w:color w:val="auto"/>
              </w:rPr>
            </w:pPr>
            <w:r>
              <w:rPr>
                <w:rFonts w:ascii="Arial" w:cs="Arial" w:eastAsia="Arial" w:hAnsi="Arial"/>
                <w:sz w:val="14"/>
                <w:szCs w:val="14"/>
                <w:color w:val="auto"/>
              </w:rPr>
              <w:t>10.2</w:t>
            </w:r>
          </w:p>
        </w:tc>
        <w:tc>
          <w:tcPr>
            <w:tcW w:w="378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Form of Restricted Stock Unit Agreement pursuant to 2020</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780" w:type="dxa"/>
            <w:vAlign w:val="bottom"/>
            <w:gridSpan w:val="8"/>
          </w:tcPr>
          <w:p>
            <w:pPr>
              <w:spacing w:after="0" w:line="155" w:lineRule="exact"/>
              <w:rPr>
                <w:sz w:val="20"/>
                <w:szCs w:val="20"/>
                <w:color w:val="auto"/>
              </w:rPr>
            </w:pPr>
            <w:r>
              <w:rPr>
                <w:rFonts w:ascii="Arial" w:cs="Arial" w:eastAsia="Arial" w:hAnsi="Arial"/>
                <w:sz w:val="14"/>
                <w:szCs w:val="14"/>
                <w:color w:val="0000FF"/>
              </w:rPr>
              <w:t>Incentive Award Plan</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jc w:val="center"/>
              <w:ind w:right="208"/>
              <w:spacing w:after="0"/>
              <w:rPr>
                <w:sz w:val="20"/>
                <w:szCs w:val="20"/>
                <w:color w:val="auto"/>
              </w:rPr>
            </w:pPr>
            <w:r>
              <w:rPr>
                <w:rFonts w:ascii="Arial" w:cs="Arial" w:eastAsia="Arial" w:hAnsi="Arial"/>
                <w:sz w:val="14"/>
                <w:szCs w:val="14"/>
                <w:color w:val="auto"/>
              </w:rPr>
              <w:t>31.1</w:t>
            </w:r>
          </w:p>
        </w:tc>
        <w:tc>
          <w:tcPr>
            <w:tcW w:w="356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Certification of Chief Executive Officer pursuant to Rule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3780" w:type="dxa"/>
            <w:vAlign w:val="bottom"/>
            <w:gridSpan w:val="8"/>
          </w:tcPr>
          <w:p>
            <w:pPr>
              <w:spacing w:after="0" w:line="155" w:lineRule="exact"/>
              <w:rPr>
                <w:sz w:val="20"/>
                <w:szCs w:val="20"/>
                <w:color w:val="auto"/>
              </w:rPr>
            </w:pPr>
            <w:r>
              <w:rPr>
                <w:rFonts w:ascii="Arial" w:cs="Arial" w:eastAsia="Arial" w:hAnsi="Arial"/>
                <w:sz w:val="14"/>
                <w:szCs w:val="14"/>
                <w:color w:val="0000FF"/>
              </w:rPr>
              <w:t>13a-14(a)/15d-14(a)</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440" w:right="1440" w:bottom="0" w:gutter="0" w:footer="0" w:header="0"/>
        </w:sectPr>
      </w:pPr>
    </w:p>
    <w:bookmarkStart w:id="29" w:name="page30"/>
    <w:bookmarkEnd w:id="2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color w:val="auto"/>
              </w:rPr>
              <w:t>31.2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0000FF"/>
              </w:rPr>
              <w:t>Certification of Chief Financial Officer pursuant to Rule</w:t>
            </w: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rPr>
              <w:t>*</w:t>
            </w:r>
          </w:p>
        </w:tc>
      </w:tr>
      <w:tr>
        <w:trPr>
          <w:trHeight w:val="40"/>
        </w:trPr>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40" w:type="dxa"/>
            <w:vAlign w:val="bottom"/>
            <w:gridSpan w:val="5"/>
          </w:tcPr>
          <w:p>
            <w:pPr>
              <w:spacing w:after="0" w:line="41" w:lineRule="exact"/>
              <w:rPr>
                <w:sz w:val="20"/>
                <w:szCs w:val="20"/>
                <w:color w:val="auto"/>
              </w:rPr>
            </w:pPr>
            <w:r>
              <w:rPr>
                <w:rFonts w:ascii="Arial" w:cs="Arial" w:eastAsia="Arial" w:hAnsi="Arial"/>
                <w:sz w:val="4"/>
                <w:szCs w:val="4"/>
                <w:color w:val="0000FF"/>
              </w:rPr>
              <w:t>13a-14(a)/15d-14(a)</w:t>
            </w:r>
          </w:p>
        </w:tc>
        <w:tc>
          <w:tcPr>
            <w:tcW w:w="2480" w:type="dxa"/>
            <w:vAlign w:val="bottom"/>
            <w:gridSpan w:val="8"/>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75"/>
        </w:trPr>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Borders>
              <w:top w:val="single" w:sz="8" w:color="0000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182"/>
        </w:trPr>
        <w:tc>
          <w:tcPr>
            <w:tcW w:w="920" w:type="dxa"/>
            <w:vAlign w:val="bottom"/>
          </w:tcPr>
          <w:p>
            <w:pPr>
              <w:jc w:val="center"/>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Certification of Chief Executive Officer pursuant to 18</w:t>
            </w:r>
          </w:p>
        </w:tc>
        <w:tc>
          <w:tcPr>
            <w:tcW w:w="2900" w:type="dxa"/>
            <w:vAlign w:val="bottom"/>
            <w:gridSpan w:val="9"/>
          </w:tcPr>
          <w:p>
            <w:pPr>
              <w:spacing w:after="0"/>
              <w:rPr>
                <w:sz w:val="15"/>
                <w:szCs w:val="15"/>
                <w:color w:val="auto"/>
              </w:rPr>
            </w:pP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w w:val="91"/>
              </w:rPr>
              <w:t>**</w:t>
            </w:r>
          </w:p>
        </w:tc>
      </w:tr>
      <w:tr>
        <w:trPr>
          <w:trHeight w:val="156"/>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gridSpan w:val="13"/>
          </w:tcPr>
          <w:p>
            <w:pPr>
              <w:spacing w:after="0" w:line="155" w:lineRule="exact"/>
              <w:rPr>
                <w:sz w:val="20"/>
                <w:szCs w:val="20"/>
                <w:color w:val="auto"/>
              </w:rPr>
            </w:pPr>
            <w:r>
              <w:rPr>
                <w:rFonts w:ascii="Arial" w:cs="Arial" w:eastAsia="Arial" w:hAnsi="Arial"/>
                <w:sz w:val="14"/>
                <w:szCs w:val="14"/>
                <w:color w:val="0000FF"/>
              </w:rPr>
              <w:t>U.S.C. Section 1350</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4"/>
                <w:szCs w:val="14"/>
                <w:color w:val="auto"/>
              </w:rPr>
              <w:t>32.2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4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Certification of Chief Financial Officer pursuant to 18 U.S.C.</w:t>
            </w:r>
          </w:p>
        </w:tc>
        <w:tc>
          <w:tcPr>
            <w:tcW w:w="2480" w:type="dxa"/>
            <w:vAlign w:val="bottom"/>
            <w:gridSpan w:val="8"/>
          </w:tcPr>
          <w:p>
            <w:pPr>
              <w:spacing w:after="0"/>
              <w:rPr>
                <w:sz w:val="20"/>
                <w:szCs w:val="20"/>
                <w:color w:val="auto"/>
              </w:rPr>
            </w:pP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w w:val="91"/>
              </w:rPr>
              <w:t>**</w:t>
            </w:r>
          </w:p>
        </w:tc>
      </w:tr>
      <w:tr>
        <w:trPr>
          <w:trHeight w:val="156"/>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bottom w:val="single" w:sz="8" w:color="0000FF"/>
            </w:tcBorders>
          </w:tcPr>
          <w:p>
            <w:pPr>
              <w:spacing w:after="0" w:line="155" w:lineRule="exact"/>
              <w:rPr>
                <w:sz w:val="20"/>
                <w:szCs w:val="20"/>
                <w:color w:val="auto"/>
              </w:rPr>
            </w:pPr>
            <w:r>
              <w:rPr>
                <w:rFonts w:ascii="Arial" w:cs="Arial" w:eastAsia="Arial" w:hAnsi="Arial"/>
                <w:sz w:val="14"/>
                <w:szCs w:val="14"/>
                <w:color w:val="0000FF"/>
              </w:rPr>
              <w:t>Section 1350</w:t>
            </w:r>
          </w:p>
        </w:tc>
        <w:tc>
          <w:tcPr>
            <w:tcW w:w="5480" w:type="dxa"/>
            <w:vAlign w:val="bottom"/>
            <w:gridSpan w:val="12"/>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95"/>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101.INS</w:t>
            </w:r>
          </w:p>
        </w:tc>
        <w:tc>
          <w:tcPr>
            <w:tcW w:w="60" w:type="dxa"/>
            <w:vAlign w:val="bottom"/>
          </w:tcPr>
          <w:p>
            <w:pPr>
              <w:spacing w:after="0"/>
              <w:rPr>
                <w:sz w:val="24"/>
                <w:szCs w:val="24"/>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Inline XBRL Instance Document – the instance document</w:t>
            </w: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rPr>
              <w:t>*</w:t>
            </w:r>
          </w:p>
        </w:tc>
      </w:tr>
      <w:tr>
        <w:trPr>
          <w:trHeight w:val="176"/>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does not appear in the Interactive Data File because its</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XBRL tags are embedded within the Inline XBRL document</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83"/>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101.SCH</w:t>
            </w:r>
          </w:p>
        </w:tc>
        <w:tc>
          <w:tcPr>
            <w:tcW w:w="60" w:type="dxa"/>
            <w:vAlign w:val="bottom"/>
          </w:tcPr>
          <w:p>
            <w:pPr>
              <w:spacing w:after="0"/>
              <w:rPr>
                <w:sz w:val="24"/>
                <w:szCs w:val="24"/>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Inline XBRL Taxonomy Extension Schema Document</w:t>
            </w: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rPr>
              <w:t>*</w:t>
            </w:r>
          </w:p>
        </w:tc>
      </w:tr>
      <w:tr>
        <w:trPr>
          <w:trHeight w:val="296"/>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101.CAL</w:t>
            </w:r>
          </w:p>
        </w:tc>
        <w:tc>
          <w:tcPr>
            <w:tcW w:w="60" w:type="dxa"/>
            <w:vAlign w:val="bottom"/>
          </w:tcPr>
          <w:p>
            <w:pPr>
              <w:spacing w:after="0"/>
              <w:rPr>
                <w:sz w:val="24"/>
                <w:szCs w:val="24"/>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Inline XBRL Taxonomy Extension Calculation Linkbase</w:t>
            </w: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rPr>
              <w:t>*</w:t>
            </w: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101.DEF</w:t>
            </w:r>
          </w:p>
        </w:tc>
        <w:tc>
          <w:tcPr>
            <w:tcW w:w="60" w:type="dxa"/>
            <w:vAlign w:val="bottom"/>
          </w:tcPr>
          <w:p>
            <w:pPr>
              <w:spacing w:after="0"/>
              <w:rPr>
                <w:sz w:val="24"/>
                <w:szCs w:val="24"/>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Inline XBRL Taxonomy Extension Definition Linkbase</w:t>
            </w: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rPr>
              <w:t>*</w:t>
            </w: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101.LAB</w:t>
            </w:r>
          </w:p>
        </w:tc>
        <w:tc>
          <w:tcPr>
            <w:tcW w:w="60" w:type="dxa"/>
            <w:vAlign w:val="bottom"/>
          </w:tcPr>
          <w:p>
            <w:pPr>
              <w:spacing w:after="0"/>
              <w:rPr>
                <w:sz w:val="24"/>
                <w:szCs w:val="24"/>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Inline XBRL Taxonomy Extension Label Linkbase</w:t>
            </w: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rPr>
              <w:t>*</w:t>
            </w: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101.PRE</w:t>
            </w:r>
          </w:p>
        </w:tc>
        <w:tc>
          <w:tcPr>
            <w:tcW w:w="60" w:type="dxa"/>
            <w:vAlign w:val="bottom"/>
          </w:tcPr>
          <w:p>
            <w:pPr>
              <w:spacing w:after="0"/>
              <w:rPr>
                <w:sz w:val="24"/>
                <w:szCs w:val="24"/>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Inline XBRL Taxonomy Extension Presentation Linkbase</w:t>
            </w: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rPr>
              <w:t>*</w:t>
            </w: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82"/>
        </w:trPr>
        <w:tc>
          <w:tcPr>
            <w:tcW w:w="920" w:type="dxa"/>
            <w:vAlign w:val="bottom"/>
          </w:tcPr>
          <w:p>
            <w:pPr>
              <w:jc w:val="center"/>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Cover Page Interactive Data File (formatted as Inline XBRL</w:t>
            </w:r>
          </w:p>
        </w:tc>
        <w:tc>
          <w:tcPr>
            <w:tcW w:w="1580" w:type="dxa"/>
            <w:vAlign w:val="bottom"/>
            <w:gridSpan w:val="3"/>
          </w:tcPr>
          <w:p>
            <w:pPr>
              <w:jc w:val="center"/>
              <w:ind w:left="688"/>
              <w:spacing w:after="0"/>
              <w:rPr>
                <w:sz w:val="20"/>
                <w:szCs w:val="20"/>
                <w:color w:val="auto"/>
              </w:rPr>
            </w:pPr>
            <w:r>
              <w:rPr>
                <w:rFonts w:ascii="Arial" w:cs="Arial" w:eastAsia="Arial" w:hAnsi="Arial"/>
                <w:sz w:val="14"/>
                <w:szCs w:val="14"/>
                <w:color w:val="auto"/>
              </w:rPr>
              <w:t>*</w:t>
            </w: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20" w:type="dxa"/>
            <w:vAlign w:val="bottom"/>
            <w:gridSpan w:val="13"/>
          </w:tcPr>
          <w:p>
            <w:pPr>
              <w:spacing w:after="0"/>
              <w:rPr>
                <w:sz w:val="20"/>
                <w:szCs w:val="20"/>
                <w:color w:val="auto"/>
              </w:rPr>
            </w:pPr>
            <w:r>
              <w:rPr>
                <w:rFonts w:ascii="Arial" w:cs="Arial" w:eastAsia="Arial" w:hAnsi="Arial"/>
                <w:sz w:val="14"/>
                <w:szCs w:val="14"/>
                <w:color w:val="auto"/>
              </w:rPr>
              <w:t>and contained in Exhibit 101)</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-2823210</wp:posOffset>
            </wp:positionV>
            <wp:extent cx="7016115" cy="6002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380" w:hanging="331"/>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5" w:lineRule="exact"/>
        <w:rPr>
          <w:sz w:val="20"/>
          <w:szCs w:val="20"/>
          <w:color w:val="auto"/>
        </w:rPr>
      </w:pPr>
    </w:p>
    <w:p>
      <w:pPr>
        <w:ind w:left="380" w:hanging="331"/>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431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left="40" w:right="299" w:firstLine="324"/>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GOODRX HOLDINGS, INC.</w:t>
      </w:r>
    </w:p>
    <w:p>
      <w:pPr>
        <w:spacing w:after="0" w:line="329"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November 4, 2025</w:t>
      </w:r>
      <w:r>
        <w:rPr>
          <w:sz w:val="20"/>
          <w:szCs w:val="20"/>
          <w:color w:val="auto"/>
        </w:rPr>
        <w:tab/>
      </w:r>
      <w:r>
        <w:rPr>
          <w:rFonts w:ascii="Arial" w:cs="Arial" w:eastAsia="Arial" w:hAnsi="Arial"/>
          <w:sz w:val="16"/>
          <w:szCs w:val="16"/>
          <w:color w:val="auto"/>
        </w:rPr>
        <w:t>By:</w:t>
        <w:tab/>
        <w:t>/s/ Wendy Barnes</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Wendy Barnes</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Chief Executive Officer &amp; President</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Executive Officer)</w:t>
      </w:r>
    </w:p>
    <w:p>
      <w:pPr>
        <w:spacing w:after="0" w:line="327"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November 4, 2025</w:t>
      </w:r>
      <w:r>
        <w:rPr>
          <w:sz w:val="20"/>
          <w:szCs w:val="20"/>
          <w:color w:val="auto"/>
        </w:rPr>
        <w:tab/>
      </w:r>
      <w:r>
        <w:rPr>
          <w:rFonts w:ascii="Arial" w:cs="Arial" w:eastAsia="Arial" w:hAnsi="Arial"/>
          <w:sz w:val="16"/>
          <w:szCs w:val="16"/>
          <w:color w:val="auto"/>
        </w:rPr>
        <w:t>By:</w:t>
        <w:tab/>
        <w:t>/s/ Christopher McGinnis</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Christopher McGinnis</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Chief Financial Officer &amp; Treasurer</w:t>
      </w: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Financial Officer)</w:t>
      </w:r>
    </w:p>
    <w:p>
      <w:pPr>
        <w:spacing w:after="0" w:line="327" w:lineRule="exact"/>
        <w:rPr>
          <w:sz w:val="20"/>
          <w:szCs w:val="20"/>
          <w:color w:val="auto"/>
        </w:rPr>
      </w:pPr>
    </w:p>
    <w:p>
      <w:pPr>
        <w:ind w:left="100"/>
        <w:spacing w:after="0"/>
        <w:tabs>
          <w:tab w:leader="none" w:pos="4300" w:val="left"/>
          <w:tab w:leader="none" w:pos="4740" w:val="left"/>
        </w:tabs>
        <w:rPr>
          <w:sz w:val="20"/>
          <w:szCs w:val="20"/>
          <w:color w:val="auto"/>
        </w:rPr>
      </w:pPr>
      <w:r>
        <w:rPr>
          <w:rFonts w:ascii="Arial" w:cs="Arial" w:eastAsia="Arial" w:hAnsi="Arial"/>
          <w:sz w:val="16"/>
          <w:szCs w:val="16"/>
          <w:color w:val="auto"/>
        </w:rPr>
        <w:t>Date: November 4, 2025</w:t>
      </w:r>
      <w:r>
        <w:rPr>
          <w:sz w:val="20"/>
          <w:szCs w:val="20"/>
          <w:color w:val="auto"/>
        </w:rPr>
        <w:tab/>
      </w:r>
      <w:r>
        <w:rPr>
          <w:rFonts w:ascii="Arial" w:cs="Arial" w:eastAsia="Arial" w:hAnsi="Arial"/>
          <w:sz w:val="16"/>
          <w:szCs w:val="16"/>
          <w:color w:val="auto"/>
        </w:rPr>
        <w:t>By:</w:t>
        <w:tab/>
        <w:t>/s/ Romin Nabiey</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Romin Nabiey</w:t>
      </w: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Chief Accounting Officer</w:t>
      </w:r>
    </w:p>
    <w:p>
      <w:pPr>
        <w:sectPr>
          <w:pgSz w:w="11900" w:h="16838" w:orient="portrait"/>
          <w:cols w:equalWidth="0" w:num="1">
            <w:col w:w="9019"/>
          </w:cols>
          <w:pgMar w:left="1440" w:top="100" w:right="1440" w:bottom="113" w:gutter="0" w:footer="0" w:header="0"/>
        </w:sectPr>
      </w:pPr>
    </w:p>
    <w:p>
      <w:pPr>
        <w:spacing w:after="0" w:line="75" w:lineRule="exact"/>
        <w:rPr>
          <w:sz w:val="20"/>
          <w:szCs w:val="20"/>
          <w:color w:val="auto"/>
        </w:rPr>
      </w:pPr>
    </w:p>
    <w:p>
      <w:pPr>
        <w:ind w:left="4760"/>
        <w:spacing w:after="0"/>
        <w:rPr>
          <w:sz w:val="20"/>
          <w:szCs w:val="20"/>
          <w:color w:val="auto"/>
        </w:rPr>
      </w:pPr>
      <w:r>
        <w:rPr>
          <w:rFonts w:ascii="Arial" w:cs="Arial" w:eastAsia="Arial" w:hAnsi="Arial"/>
          <w:sz w:val="16"/>
          <w:szCs w:val="16"/>
          <w:i w:val="1"/>
          <w:iCs w:val="1"/>
          <w:color w:val="auto"/>
        </w:rPr>
        <w:t>(Principal Accounting Officer)</w:t>
      </w:r>
    </w:p>
    <w:p>
      <w:pPr>
        <w:sectPr>
          <w:pgSz w:w="11900" w:h="16838" w:orient="portrait"/>
          <w:cols w:equalWidth="0" w:num="1">
            <w:col w:w="9019"/>
          </w:cols>
          <w:pgMar w:left="1440" w:top="100" w:right="1440" w:bottom="113"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631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9019"/>
          </w:cols>
          <w:pgMar w:left="1440" w:top="1440" w:right="1440" w:bottom="1440" w:gutter="0" w:footer="0" w:header="0"/>
        </w:sectPr>
      </w:pPr>
    </w:p>
    <w:bookmarkStart w:id="31" w:name="page32"/>
    <w:bookmarkEnd w:id="3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ind w:right="299"/>
        <w:spacing w:after="0"/>
        <w:rPr>
          <w:sz w:val="20"/>
          <w:szCs w:val="20"/>
          <w:color w:val="auto"/>
        </w:rPr>
      </w:pPr>
      <w:r>
        <w:rPr>
          <w:rFonts w:ascii="Times New Roman" w:cs="Times New Roman" w:eastAsia="Times New Roman" w:hAnsi="Times New Roman"/>
          <w:sz w:val="20"/>
          <w:szCs w:val="20"/>
          <w:b w:val="1"/>
          <w:bCs w:val="1"/>
          <w:i w:val="1"/>
          <w:iCs w:val="1"/>
          <w:color w:val="auto"/>
        </w:rPr>
        <w:t>Exhibit 10.1</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GOODRX HOLDINGS, INC.</w:t>
      </w:r>
    </w:p>
    <w:p>
      <w:pPr>
        <w:spacing w:after="0" w:line="25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229" w:lineRule="exact"/>
        <w:rPr>
          <w:sz w:val="20"/>
          <w:szCs w:val="20"/>
          <w:color w:val="auto"/>
        </w:rPr>
      </w:pPr>
    </w:p>
    <w:p>
      <w:pPr>
        <w:ind w:left="300" w:right="339" w:firstLine="648"/>
        <w:spacing w:after="0" w:line="254" w:lineRule="auto"/>
        <w:rPr>
          <w:sz w:val="20"/>
          <w:szCs w:val="20"/>
          <w:color w:val="auto"/>
        </w:rPr>
      </w:pPr>
      <w:r>
        <w:rPr>
          <w:rFonts w:ascii="Times New Roman" w:cs="Times New Roman" w:eastAsia="Times New Roman" w:hAnsi="Times New Roman"/>
          <w:sz w:val="20"/>
          <w:szCs w:val="20"/>
          <w:color w:val="auto"/>
        </w:rPr>
        <w:t xml:space="preserve">GoodRx Holdings, Inc., a Delaware corporation (the “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has granted to the participant listed below (“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the stock option (the “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described in this Stock Option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subject to the terms and conditions of the GoodRx Holdings, Inc. 2020 Incentive Award Plan (as amended from time to time, the “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and the Stock Option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Capitalized terms not specifically defined in this Grant Notice or the Agreement have the meanings given to them in the Plan.</w:t>
      </w:r>
    </w:p>
    <w:p>
      <w:pPr>
        <w:sectPr>
          <w:pgSz w:w="11900" w:h="16979" w:orient="portrait"/>
          <w:cols w:equalWidth="0" w:num="1">
            <w:col w:w="9019"/>
          </w:cols>
          <w:pgMar w:left="1440" w:top="734" w:right="1440" w:bottom="0" w:gutter="0" w:footer="0" w:header="0"/>
        </w:sectPr>
      </w:pP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Shares Subject to the Option:</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Final Expiration Date: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b w:val="1"/>
          <w:bCs w:val="1"/>
          <w:color w:val="auto"/>
        </w:rPr>
        <w:t>Vesting Commencement Date: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Type of Option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200" w:lineRule="exact"/>
        <w:rPr>
          <w:sz w:val="20"/>
          <w:szCs w:val="20"/>
          <w:color w:val="auto"/>
        </w:rPr>
      </w:pPr>
    </w:p>
    <w:p>
      <w:pPr>
        <w:sectPr>
          <w:pgSz w:w="11900" w:h="16979" w:orient="portrait"/>
          <w:cols w:equalWidth="0" w:num="2">
            <w:col w:w="3080" w:space="720"/>
            <w:col w:w="5219"/>
          </w:cols>
          <w:pgMar w:left="1440" w:top="734" w:right="1440" w:bottom="0" w:gutter="0" w:footer="0" w:header="0"/>
          <w:type w:val="continuous"/>
        </w:sectPr>
      </w:pPr>
    </w:p>
    <w:p>
      <w:pPr>
        <w:spacing w:after="0" w:line="243" w:lineRule="exact"/>
        <w:rPr>
          <w:sz w:val="20"/>
          <w:szCs w:val="20"/>
          <w:color w:val="auto"/>
        </w:rPr>
      </w:pPr>
    </w:p>
    <w:p>
      <w:pPr>
        <w:ind w:left="300" w:right="339" w:firstLine="648"/>
        <w:spacing w:after="0" w:line="251" w:lineRule="auto"/>
        <w:rPr>
          <w:sz w:val="20"/>
          <w:szCs w:val="20"/>
          <w:color w:val="auto"/>
        </w:rPr>
      </w:pPr>
      <w:r>
        <w:rPr>
          <w:rFonts w:ascii="Times New Roman" w:cs="Times New Roman" w:eastAsia="Times New Roman" w:hAnsi="Times New Roman"/>
          <w:sz w:val="20"/>
          <w:szCs w:val="20"/>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29" w:lineRule="exact"/>
        <w:rPr>
          <w:sz w:val="20"/>
          <w:szCs w:val="20"/>
          <w:color w:val="auto"/>
        </w:rPr>
      </w:pPr>
    </w:p>
    <w:p>
      <w:pPr>
        <w:ind w:left="380"/>
        <w:spacing w:after="0"/>
        <w:tabs>
          <w:tab w:leader="none" w:pos="5020" w:val="left"/>
        </w:tabs>
        <w:rPr>
          <w:sz w:val="20"/>
          <w:szCs w:val="20"/>
          <w:color w:val="auto"/>
        </w:rPr>
      </w:pPr>
      <w:r>
        <w:rPr>
          <w:rFonts w:ascii="Times New Roman" w:cs="Times New Roman" w:eastAsia="Times New Roman" w:hAnsi="Times New Roman"/>
          <w:sz w:val="20"/>
          <w:szCs w:val="20"/>
          <w:b w:val="1"/>
          <w:bCs w:val="1"/>
          <w:color w:val="auto"/>
        </w:rPr>
        <w:t>GOODRX HOLDINGS,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380" w:type="dxa"/>
        <w:tblCellMar>
          <w:top w:w="0" w:type="dxa"/>
          <w:left w:w="0" w:type="dxa"/>
          <w:bottom w:w="0" w:type="dxa"/>
          <w:right w:w="0" w:type="dxa"/>
        </w:tblCellMar>
      </w:tblP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296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8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7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[Participant Name]</w:t>
            </w:r>
          </w:p>
        </w:tc>
        <w:tc>
          <w:tcPr>
            <w:tcW w:w="0" w:type="dxa"/>
            <w:vAlign w:val="bottom"/>
          </w:tcPr>
          <w:p>
            <w:pPr>
              <w:spacing w:after="0"/>
              <w:rPr>
                <w:sz w:val="1"/>
                <w:szCs w:val="1"/>
                <w:color w:val="auto"/>
              </w:rPr>
            </w:pPr>
          </w:p>
        </w:tc>
      </w:tr>
      <w:tr>
        <w:trPr>
          <w:trHeight w:val="85"/>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296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580" w:type="dxa"/>
            <w:vAlign w:val="bottom"/>
            <w:vMerge w:val="continue"/>
          </w:tcPr>
          <w:p>
            <w:pPr>
              <w:spacing w:after="0"/>
              <w:rPr>
                <w:sz w:val="20"/>
                <w:szCs w:val="20"/>
                <w:color w:val="auto"/>
              </w:rPr>
            </w:pPr>
          </w:p>
        </w:tc>
        <w:tc>
          <w:tcPr>
            <w:tcW w:w="2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580" w:type="dxa"/>
            <w:vAlign w:val="bottom"/>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233" w:lineRule="exact"/>
        <w:rPr>
          <w:sz w:val="20"/>
          <w:szCs w:val="20"/>
          <w:color w:val="auto"/>
        </w:rPr>
      </w:pPr>
    </w:p>
    <w:p>
      <w:pPr>
        <w:ind w:left="300" w:right="539" w:firstLine="648"/>
        <w:spacing w:after="0" w:line="269"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ectPr>
          <w:pgSz w:w="11900" w:h="16979" w:orient="portrait"/>
          <w:cols w:equalWidth="0" w:num="1">
            <w:col w:w="9019"/>
          </w:cols>
          <w:pgMar w:left="1440" w:top="734" w:right="1440" w:bottom="0" w:gutter="0" w:footer="0" w:header="0"/>
          <w:type w:val="continuous"/>
        </w:sectPr>
      </w:pPr>
    </w:p>
    <w:bookmarkStart w:id="32" w:name="page33"/>
    <w:bookmarkEnd w:id="3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96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7" w:lineRule="exact"/>
        <w:rPr>
          <w:sz w:val="20"/>
          <w:szCs w:val="20"/>
          <w:color w:val="auto"/>
        </w:rPr>
      </w:pPr>
    </w:p>
    <w:p>
      <w:pPr>
        <w:ind w:left="300" w:right="459" w:firstLine="648"/>
        <w:spacing w:after="0" w:line="28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xml:space="preserve"> . The Company has granted to Participant the Option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300" w:right="559" w:firstLine="648"/>
        <w:spacing w:after="0" w:line="268"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xml:space="preserve"> . The Option is subject to the terms and conditions set forth in this Agreement and the Plan, which is incorporated herein by reference. In the event of any inconsistency between the Plan and this Agreement, the terms of the Plan will control.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227" w:lineRule="exact"/>
        <w:rPr>
          <w:sz w:val="20"/>
          <w:szCs w:val="20"/>
          <w:color w:val="auto"/>
        </w:rPr>
      </w:pPr>
    </w:p>
    <w:p>
      <w:pPr>
        <w:ind w:left="300" w:right="3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Commencement of Exercisability</w:t>
      </w:r>
      <w:r>
        <w:rPr>
          <w:rFonts w:ascii="Times New Roman" w:cs="Times New Roman" w:eastAsia="Times New Roman" w:hAnsi="Times New Roman"/>
          <w:sz w:val="20"/>
          <w:szCs w:val="20"/>
          <w:color w:val="auto"/>
        </w:rPr>
        <w:t xml:space="preserve"> . The Option will vest and become exercisable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 xml:space="preserve"> ”)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 (after taking into consideration any accelerated vesting and exercisability which may occur in connection with such Termination of Service).</w:t>
      </w:r>
    </w:p>
    <w:p>
      <w:pPr>
        <w:spacing w:after="0" w:line="195" w:lineRule="exact"/>
        <w:rPr>
          <w:sz w:val="20"/>
          <w:szCs w:val="20"/>
          <w:color w:val="auto"/>
        </w:rPr>
      </w:pPr>
    </w:p>
    <w:p>
      <w:pPr>
        <w:ind w:left="300" w:right="4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xml:space="preserve"> . The Vesting Schedule is cumulative. Any portion of the Option which vests and becomes exercisable will remain vested and exercisable until the Option expires. The Option will be forfeited immediately upon its expiration.</w:t>
      </w:r>
    </w:p>
    <w:p>
      <w:pPr>
        <w:spacing w:after="0" w:line="168" w:lineRule="exact"/>
        <w:rPr>
          <w:sz w:val="20"/>
          <w:szCs w:val="20"/>
          <w:color w:val="auto"/>
        </w:rPr>
      </w:pPr>
    </w:p>
    <w:p>
      <w:pPr>
        <w:ind w:left="300" w:right="579" w:firstLine="648"/>
        <w:spacing w:after="0" w:line="28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Expiration of Option</w:t>
      </w:r>
      <w:r>
        <w:rPr>
          <w:rFonts w:ascii="Times New Roman" w:cs="Times New Roman" w:eastAsia="Times New Roman" w:hAnsi="Times New Roman"/>
          <w:sz w:val="20"/>
          <w:szCs w:val="20"/>
          <w:color w:val="auto"/>
        </w:rPr>
        <w:t xml:space="preserve"> . The Option may not be exercised to any extent by anyone after, and will expire on, the first of the following to occur:</w:t>
      </w:r>
    </w:p>
    <w:p>
      <w:pPr>
        <w:spacing w:after="0" w:line="156" w:lineRule="exact"/>
        <w:rPr>
          <w:sz w:val="20"/>
          <w:szCs w:val="20"/>
          <w:color w:val="auto"/>
        </w:rPr>
      </w:pPr>
    </w:p>
    <w:p>
      <w:pPr>
        <w:ind w:left="300" w:right="439" w:firstLine="1296"/>
        <w:spacing w:after="0" w:line="273" w:lineRule="auto"/>
        <w:rPr>
          <w:sz w:val="20"/>
          <w:szCs w:val="20"/>
          <w:color w:val="auto"/>
        </w:rPr>
      </w:pPr>
      <w:r>
        <w:rPr>
          <w:rFonts w:ascii="Times New Roman" w:cs="Times New Roman" w:eastAsia="Times New Roman" w:hAnsi="Times New Roman"/>
          <w:sz w:val="20"/>
          <w:szCs w:val="20"/>
          <w:color w:val="auto"/>
        </w:rPr>
        <w:t xml:space="preserve">(a) The final expiration date in the Grant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such final expiration date may be extended pursuant to Section 5.3 of the Plan;</w:t>
      </w:r>
    </w:p>
    <w:p>
      <w:pPr>
        <w:spacing w:after="0" w:line="169" w:lineRule="exact"/>
        <w:rPr>
          <w:sz w:val="20"/>
          <w:szCs w:val="20"/>
          <w:color w:val="auto"/>
        </w:rPr>
      </w:pPr>
    </w:p>
    <w:p>
      <w:pPr>
        <w:ind w:left="300" w:right="419" w:firstLine="1288"/>
        <w:spacing w:after="0" w:line="261" w:lineRule="auto"/>
        <w:tabs>
          <w:tab w:leader="none" w:pos="22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the expiration of three months from the date of Participant’s Termination of Service, unless Participant’s Termination of Service is for Cause or by reason of Participant’s death or Disability;</w:t>
      </w:r>
    </w:p>
    <w:p>
      <w:pPr>
        <w:spacing w:after="0" w:line="181" w:lineRule="exact"/>
        <w:rPr>
          <w:rFonts w:ascii="Times New Roman" w:cs="Times New Roman" w:eastAsia="Times New Roman" w:hAnsi="Times New Roman"/>
          <w:sz w:val="20"/>
          <w:szCs w:val="20"/>
          <w:color w:val="auto"/>
        </w:rPr>
      </w:pPr>
    </w:p>
    <w:p>
      <w:pPr>
        <w:jc w:val="both"/>
        <w:ind w:left="300" w:right="539" w:firstLine="1288"/>
        <w:spacing w:after="0" w:line="295" w:lineRule="auto"/>
        <w:tabs>
          <w:tab w:leader="none" w:pos="2244"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the Administrator may otherwise approve, the expiration of one year from the date of Participant’s Termination of Service by reason of Participant’s death or Disability; and</w:t>
      </w:r>
    </w:p>
    <w:p>
      <w:pPr>
        <w:spacing w:after="0" w:line="151" w:lineRule="exact"/>
        <w:rPr>
          <w:rFonts w:ascii="Times New Roman" w:cs="Times New Roman" w:eastAsia="Times New Roman" w:hAnsi="Times New Roman"/>
          <w:sz w:val="19"/>
          <w:szCs w:val="19"/>
          <w:color w:val="auto"/>
        </w:rPr>
      </w:pPr>
    </w:p>
    <w:p>
      <w:pPr>
        <w:ind w:left="2240" w:hanging="652"/>
        <w:spacing w:after="0"/>
        <w:tabs>
          <w:tab w:leader="none" w:pos="22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the Administrator may otherwise approve, Participant’s Termination of</w:t>
      </w:r>
    </w:p>
    <w:p>
      <w:pPr>
        <w:spacing w:after="0" w:line="39" w:lineRule="exact"/>
        <w:rPr>
          <w:rFonts w:ascii="Times New Roman" w:cs="Times New Roman" w:eastAsia="Times New Roman" w:hAnsi="Times New Roman"/>
          <w:sz w:val="19"/>
          <w:szCs w:val="19"/>
          <w:color w:val="auto"/>
        </w:rPr>
      </w:pP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Service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227" w:lineRule="exact"/>
        <w:rPr>
          <w:sz w:val="20"/>
          <w:szCs w:val="20"/>
          <w:color w:val="auto"/>
        </w:rPr>
      </w:pPr>
    </w:p>
    <w:p>
      <w:pPr>
        <w:ind w:left="300" w:right="399"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xml:space="preserve"> .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81" w:lineRule="exact"/>
        <w:rPr>
          <w:sz w:val="20"/>
          <w:szCs w:val="20"/>
          <w:color w:val="auto"/>
        </w:rPr>
      </w:pPr>
    </w:p>
    <w:p>
      <w:pPr>
        <w:ind w:left="300" w:right="4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xml:space="preserve"> .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72"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 xml:space="preserve">Tax Withholding; Exercise Price </w:t>
      </w:r>
      <w:r>
        <w:rPr>
          <w:rFonts w:ascii="Times New Roman" w:cs="Times New Roman" w:eastAsia="Times New Roman" w:hAnsi="Times New Roman"/>
          <w:sz w:val="19"/>
          <w:szCs w:val="19"/>
          <w:color w:val="auto"/>
        </w:rPr>
        <w:t>.</w:t>
      </w:r>
    </w:p>
    <w:p>
      <w:pPr>
        <w:sectPr>
          <w:pgSz w:w="11900" w:h="16882" w:orient="portrait"/>
          <w:cols w:equalWidth="0" w:num="1">
            <w:col w:w="9019"/>
          </w:cols>
          <w:pgMar w:left="1440" w:top="369" w:right="1440" w:bottom="0" w:gutter="0" w:footer="0" w:header="0"/>
        </w:sectPr>
      </w:pPr>
    </w:p>
    <w:bookmarkStart w:id="33" w:name="page34"/>
    <w:bookmarkEnd w:id="33"/>
    <w:p>
      <w:pPr>
        <w:ind w:left="300" w:right="759" w:firstLine="1288"/>
        <w:spacing w:after="0" w:line="261" w:lineRule="auto"/>
        <w:tabs>
          <w:tab w:leader="none" w:pos="224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Subject to Section 3.3(b), payment of the exercise price and withholding tax obligations with respect to the Option shall be by any of the following, or a combination thereof, as determined by the Company in its sole discretion:</w:t>
      </w:r>
    </w:p>
    <w:p>
      <w:pPr>
        <w:spacing w:after="0" w:line="181" w:lineRule="exact"/>
        <w:rPr>
          <w:rFonts w:ascii="Times New Roman" w:cs="Times New Roman" w:eastAsia="Times New Roman" w:hAnsi="Times New Roman"/>
          <w:sz w:val="20"/>
          <w:szCs w:val="20"/>
          <w:color w:val="auto"/>
        </w:rPr>
      </w:pPr>
    </w:p>
    <w:p>
      <w:pPr>
        <w:ind w:left="2880" w:hanging="644"/>
        <w:spacing w:after="0"/>
        <w:tabs>
          <w:tab w:leader="none" w:pos="288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check;</w:t>
      </w:r>
    </w:p>
    <w:p>
      <w:pPr>
        <w:spacing w:after="0" w:line="215" w:lineRule="exact"/>
        <w:rPr>
          <w:rFonts w:ascii="Times New Roman" w:cs="Times New Roman" w:eastAsia="Times New Roman" w:hAnsi="Times New Roman"/>
          <w:sz w:val="20"/>
          <w:szCs w:val="20"/>
          <w:color w:val="auto"/>
        </w:rPr>
      </w:pPr>
    </w:p>
    <w:p>
      <w:pPr>
        <w:ind w:left="300" w:right="479" w:firstLine="1936"/>
        <w:spacing w:after="0" w:line="261" w:lineRule="auto"/>
        <w:tabs>
          <w:tab w:leader="none" w:pos="289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or in part by delivery of Shares, including Shares delivered by attestation and Shares retained from the Award creating the tax obligation, valued at their fair market value on the date of delivery;</w:t>
      </w:r>
    </w:p>
    <w:p>
      <w:pPr>
        <w:spacing w:after="0" w:line="181" w:lineRule="exact"/>
        <w:rPr>
          <w:rFonts w:ascii="Times New Roman" w:cs="Times New Roman" w:eastAsia="Times New Roman" w:hAnsi="Times New Roman"/>
          <w:sz w:val="20"/>
          <w:szCs w:val="20"/>
          <w:color w:val="auto"/>
        </w:rPr>
      </w:pPr>
    </w:p>
    <w:p>
      <w:pPr>
        <w:ind w:left="300" w:right="339" w:firstLine="1936"/>
        <w:spacing w:after="0" w:line="258" w:lineRule="auto"/>
        <w:tabs>
          <w:tab w:leader="none" w:pos="289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10.17 of the Plan, delivery (including electronically or telephonically to the extent permitted by the Company) of an irrevocable and unconditional undertaking by a broker acceptable to the Company to deliver promptly to the Company sufficient funds to satisfy the applicable exercise price and/or tax withholding obligations.</w:t>
      </w:r>
    </w:p>
    <w:p>
      <w:pPr>
        <w:spacing w:after="0" w:line="172" w:lineRule="exact"/>
        <w:rPr>
          <w:rFonts w:ascii="Times New Roman" w:cs="Times New Roman" w:eastAsia="Times New Roman" w:hAnsi="Times New Roman"/>
          <w:sz w:val="20"/>
          <w:szCs w:val="20"/>
          <w:color w:val="auto"/>
        </w:rPr>
      </w:pPr>
    </w:p>
    <w:p>
      <w:pPr>
        <w:ind w:left="300" w:right="319" w:firstLine="1288"/>
        <w:spacing w:after="0" w:line="250" w:lineRule="auto"/>
        <w:tabs>
          <w:tab w:leader="none" w:pos="224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Company otherwise determines, the Company shall withhold, or cause to be withheld, Shares otherwise vesting or issuable under this Option in satisfaction of any exercise price and/or applicable withholding tax obligations. In addition, in the event Participant is an officer for purposes of Section 16(b) of the Exchange Act when the Option is exercised, then the Company shall withhold, or cause to be withheld, Shares otherwise vesting or issuable under this Award in satisfaction of any applicable withholding tax obligations. With respect to tax withholding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199" w:lineRule="exact"/>
        <w:rPr>
          <w:rFonts w:ascii="Times New Roman" w:cs="Times New Roman" w:eastAsia="Times New Roman" w:hAnsi="Times New Roman"/>
          <w:sz w:val="20"/>
          <w:szCs w:val="20"/>
          <w:color w:val="auto"/>
        </w:rPr>
      </w:pPr>
    </w:p>
    <w:p>
      <w:pPr>
        <w:ind w:left="300" w:right="339" w:firstLine="1288"/>
        <w:spacing w:after="0" w:line="251" w:lineRule="auto"/>
        <w:tabs>
          <w:tab w:leader="none" w:pos="224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the exercise price and all taxes owed in connection with the Option (and, with respect to taxes,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RESTRICTIVE COVENANTS</w:t>
      </w:r>
    </w:p>
    <w:p>
      <w:pPr>
        <w:spacing w:after="0" w:line="254" w:lineRule="exact"/>
        <w:rPr>
          <w:sz w:val="20"/>
          <w:szCs w:val="20"/>
          <w:color w:val="auto"/>
        </w:rPr>
      </w:pPr>
    </w:p>
    <w:p>
      <w:pPr>
        <w:ind w:left="300" w:right="459" w:firstLine="648"/>
        <w:spacing w:after="0" w:line="257" w:lineRule="auto"/>
        <w:rPr>
          <w:sz w:val="20"/>
          <w:szCs w:val="20"/>
          <w:color w:val="auto"/>
        </w:rPr>
      </w:pPr>
      <w:r>
        <w:rPr>
          <w:rFonts w:ascii="Times New Roman" w:cs="Times New Roman" w:eastAsia="Times New Roman" w:hAnsi="Times New Roman"/>
          <w:sz w:val="20"/>
          <w:szCs w:val="20"/>
          <w:color w:val="auto"/>
        </w:rPr>
        <w:t>The following Article IV applies only to a Participant who is an Employee of GoodRx, Inc. and any parents, subsidiaries, and Affiliates and not to directors or other persons who are not employed by such entity. In consideration of Participant’s continued employment and other good and valuable consideration, including the equity being offered herein, which Participant acknowledges to be good and valuable consideration, the Company and Participant agree as follows:</w:t>
      </w:r>
    </w:p>
    <w:p>
      <w:pPr>
        <w:spacing w:after="0" w:line="173"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940" w:right="999" w:firstLine="648"/>
        <w:spacing w:after="0" w:line="273" w:lineRule="auto"/>
        <w:tabs>
          <w:tab w:leader="none" w:pos="194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is defined as set forth in Participant’s Proprietary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&amp; Invention Assignment Agreement.</w:t>
      </w:r>
    </w:p>
    <w:p>
      <w:pPr>
        <w:spacing w:after="0" w:line="165" w:lineRule="exact"/>
        <w:rPr>
          <w:rFonts w:ascii="Times New Roman" w:cs="Times New Roman" w:eastAsia="Times New Roman" w:hAnsi="Times New Roman"/>
          <w:sz w:val="20"/>
          <w:szCs w:val="20"/>
          <w:color w:val="auto"/>
        </w:rPr>
      </w:pPr>
    </w:p>
    <w:p>
      <w:pPr>
        <w:ind w:left="940" w:right="499" w:firstLine="648"/>
        <w:spacing w:after="0" w:line="283" w:lineRule="auto"/>
        <w:tabs>
          <w:tab w:leader="none" w:pos="193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Customer Information </w:t>
      </w:r>
      <w:r>
        <w:rPr>
          <w:rFonts w:ascii="Times New Roman" w:cs="Times New Roman" w:eastAsia="Times New Roman" w:hAnsi="Times New Roman"/>
          <w:sz w:val="19"/>
          <w:szCs w:val="19"/>
          <w:color w:val="auto"/>
        </w:rPr>
        <w:t>includes, but is not limited to, names, phone numbers,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addresses, email addresses, order history, order preferences, chain of command, pricing information, and other information identifying facts and circumstances specific to the customer.</w:t>
      </w:r>
    </w:p>
    <w:p>
      <w:pPr>
        <w:spacing w:after="0" w:line="158" w:lineRule="exact"/>
        <w:rPr>
          <w:rFonts w:ascii="Times New Roman" w:cs="Times New Roman" w:eastAsia="Times New Roman" w:hAnsi="Times New Roman"/>
          <w:sz w:val="19"/>
          <w:szCs w:val="19"/>
          <w:color w:val="auto"/>
        </w:rPr>
      </w:pPr>
    </w:p>
    <w:p>
      <w:pPr>
        <w:jc w:val="both"/>
        <w:ind w:left="940" w:right="339" w:firstLine="648"/>
        <w:spacing w:after="0" w:line="263" w:lineRule="auto"/>
        <w:tabs>
          <w:tab w:leader="none" w:pos="185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Restricted Period </w:t>
      </w:r>
      <w:r>
        <w:rPr>
          <w:rFonts w:ascii="Times New Roman" w:cs="Times New Roman" w:eastAsia="Times New Roman" w:hAnsi="Times New Roman"/>
          <w:sz w:val="20"/>
          <w:szCs w:val="20"/>
          <w:color w:val="auto"/>
        </w:rPr>
        <w:t>means Participant’s employment with the Company through one (1)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immediately following the termination of Participant’s employment, regardless of the reason for the termination, whether voluntary or involuntary.</w:t>
      </w:r>
    </w:p>
    <w:p>
      <w:pPr>
        <w:sectPr>
          <w:pgSz w:w="11900" w:h="16838" w:orient="portrait"/>
          <w:cols w:equalWidth="0" w:num="1">
            <w:col w:w="9019"/>
          </w:cols>
          <w:pgMar w:left="1440" w:top="333" w:right="1440" w:bottom="0" w:gutter="0" w:footer="0" w:header="0"/>
        </w:sectPr>
      </w:pPr>
    </w:p>
    <w:bookmarkStart w:id="34" w:name="page35"/>
    <w:bookmarkEnd w:id="34"/>
    <w:p>
      <w:pPr>
        <w:spacing w:after="0" w:line="101" w:lineRule="exact"/>
        <w:rPr>
          <w:sz w:val="20"/>
          <w:szCs w:val="20"/>
          <w:color w:val="auto"/>
        </w:rPr>
      </w:pPr>
    </w:p>
    <w:p>
      <w:pPr>
        <w:ind w:left="940" w:right="339" w:firstLine="648"/>
        <w:spacing w:after="0" w:line="276" w:lineRule="auto"/>
        <w:tabs>
          <w:tab w:leader="none" w:pos="190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Restricted Territory </w:t>
      </w:r>
      <w:r>
        <w:rPr>
          <w:rFonts w:ascii="Times New Roman" w:cs="Times New Roman" w:eastAsia="Times New Roman" w:hAnsi="Times New Roman"/>
          <w:sz w:val="19"/>
          <w:szCs w:val="19"/>
          <w:color w:val="auto"/>
        </w:rPr>
        <w:t>means any US state in which the Company is located or did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business during the one-year prior to the end of Participant’s employment, or in which Participant performed substantial services or had substantial responsibility while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-434975</wp:posOffset>
            </wp:positionV>
            <wp:extent cx="713232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35" w:lineRule="exact"/>
        <w:rPr>
          <w:sz w:val="20"/>
          <w:szCs w:val="20"/>
          <w:color w:val="auto"/>
        </w:rPr>
      </w:pPr>
    </w:p>
    <w:p>
      <w:pPr>
        <w:ind w:left="300" w:right="319" w:firstLine="648"/>
        <w:spacing w:after="0" w:line="25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Legitimate Business Interests</w:t>
      </w:r>
      <w:r>
        <w:rPr>
          <w:rFonts w:ascii="Times New Roman" w:cs="Times New Roman" w:eastAsia="Times New Roman" w:hAnsi="Times New Roman"/>
          <w:sz w:val="20"/>
          <w:szCs w:val="20"/>
          <w:color w:val="auto"/>
        </w:rPr>
        <w:t xml:space="preserve"> . Participant understands and acknowledges that: (i) the nature of Participant’s position gives Participant access to and knowledge of Confidential Information and places Participant in a position of trust and confidence with the Company; (ii) Participant will obtain knowledge and skill relevant to the Company industry, methods of doing business, and marketing strategies by virtue of Participant’s employment; (iii) the intellectual services Participant provides to the Company are unique, special, or extraordinary; and (iv) the Company’s ability to reserve these for the exclusive knowledge and use of the Company is of great competitive importance and commercial value to the Company, and that improper use or disclosure by the Participant is likely to result in unfair or unlawful competitive activity.</w:t>
      </w:r>
    </w:p>
    <w:p>
      <w:pPr>
        <w:spacing w:after="0" w:line="189"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Non-Competition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880" w:right="339" w:firstLine="1300"/>
        <w:spacing w:after="0" w:line="265" w:lineRule="auto"/>
        <w:tabs>
          <w:tab w:leader="none" w:pos="482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During the Restricted Period and in the Restricted Territory, and subject to the limitations in subsection (b) below, Participant agrees not to (1) contribute their knowledge, directly or indirectly, or provide services to an entity in competition with the Company, including without limitation any entity engaged in the business of providing or promoting medication affordability solutions (including solutions provided by pharmaceutical manufacturers), prescription discount cards, and telehealth services, or any business in which the Company has taken material steps towards engaging; (2) provide services to a competitor that may require or inevitably require the use or disclosure of trade secrets, proprietary information,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80" w:right="719"/>
        <w:spacing w:after="0" w:line="276" w:lineRule="auto"/>
        <w:rPr>
          <w:sz w:val="20"/>
          <w:szCs w:val="20"/>
          <w:color w:val="auto"/>
        </w:rPr>
      </w:pPr>
      <w:r>
        <w:rPr>
          <w:rFonts w:ascii="Times New Roman" w:cs="Times New Roman" w:eastAsia="Times New Roman" w:hAnsi="Times New Roman"/>
          <w:sz w:val="19"/>
          <w:szCs w:val="19"/>
          <w:color w:val="auto"/>
        </w:rPr>
        <w:t>Confidential Information, as defined in Participant’s Proprietary Information and Invention Assignment Agreement (“PIIA”); or (3) represent a customer, business partner, vendor, or supplier of the Company on behalf of a that entity’s relationship with the Company.</w:t>
      </w:r>
    </w:p>
    <w:p>
      <w:pPr>
        <w:spacing w:after="0" w:line="16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w:t>
            </w:r>
          </w:p>
        </w:tc>
        <w:tc>
          <w:tcPr>
            <w:tcW w:w="3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Limitations on Non-Competition Agreement</w:t>
            </w:r>
          </w:p>
        </w:tc>
        <w:tc>
          <w:tcPr>
            <w:tcW w:w="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r>
      <w:tr>
        <w:trPr>
          <w:trHeight w:val="20"/>
        </w:trPr>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740" w:type="dxa"/>
            <w:vAlign w:val="bottom"/>
          </w:tcPr>
          <w:p>
            <w:pPr>
              <w:spacing w:after="0"/>
              <w:rPr>
                <w:sz w:val="20"/>
                <w:szCs w:val="20"/>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w w:val="98"/>
              </w:rPr>
              <w:t>The post-employment non-competition restriction in this section will not</w:t>
            </w:r>
          </w:p>
        </w:tc>
        <w:tc>
          <w:tcPr>
            <w:tcW w:w="60" w:type="dxa"/>
            <w:vAlign w:val="bottom"/>
          </w:tcPr>
          <w:p>
            <w:pPr>
              <w:spacing w:after="0"/>
              <w:rPr>
                <w:sz w:val="20"/>
                <w:szCs w:val="20"/>
                <w:color w:val="auto"/>
              </w:rPr>
            </w:pP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be enforced against any Participant in California, Minnesota, North</w:t>
            </w:r>
          </w:p>
        </w:tc>
        <w:tc>
          <w:tcPr>
            <w:tcW w:w="60" w:type="dxa"/>
            <w:vAlign w:val="bottom"/>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Dakota, or Oklahoma, or in any other location where prohibited by law;</w:t>
            </w:r>
          </w:p>
        </w:tc>
        <w:tc>
          <w:tcPr>
            <w:tcW w:w="60" w:type="dxa"/>
            <w:vAlign w:val="bottom"/>
          </w:tcPr>
          <w:p>
            <w:pPr>
              <w:spacing w:after="0"/>
              <w:rPr>
                <w:sz w:val="21"/>
                <w:szCs w:val="21"/>
                <w:color w:val="auto"/>
              </w:rPr>
            </w:pPr>
          </w:p>
        </w:tc>
      </w:tr>
      <w:tr>
        <w:trPr>
          <w:trHeight w:val="230"/>
        </w:trPr>
        <w:tc>
          <w:tcPr>
            <w:tcW w:w="740" w:type="dxa"/>
            <w:vAlign w:val="bottom"/>
          </w:tcPr>
          <w:p>
            <w:pPr>
              <w:spacing w:after="0"/>
              <w:rPr>
                <w:sz w:val="19"/>
                <w:szCs w:val="19"/>
                <w:color w:val="auto"/>
              </w:rPr>
            </w:pPr>
          </w:p>
        </w:tc>
        <w:tc>
          <w:tcPr>
            <w:tcW w:w="7040" w:type="dxa"/>
            <w:vAlign w:val="bottom"/>
            <w:gridSpan w:val="5"/>
          </w:tcPr>
          <w:p>
            <w:pPr>
              <w:ind w:left="1200"/>
              <w:spacing w:after="0"/>
              <w:rPr>
                <w:sz w:val="20"/>
                <w:szCs w:val="20"/>
                <w:color w:val="auto"/>
              </w:rPr>
            </w:pPr>
            <w:r>
              <w:rPr>
                <w:rFonts w:ascii="Times New Roman" w:cs="Times New Roman" w:eastAsia="Times New Roman" w:hAnsi="Times New Roman"/>
                <w:sz w:val="20"/>
                <w:szCs w:val="20"/>
                <w:color w:val="auto"/>
                <w:w w:val="99"/>
              </w:rPr>
              <w:t>it also shall not be enforced against any non-exempt Employee or against</w:t>
            </w:r>
          </w:p>
        </w:tc>
      </w:tr>
      <w:tr>
        <w:trPr>
          <w:trHeight w:val="243"/>
        </w:trPr>
        <w:tc>
          <w:tcPr>
            <w:tcW w:w="740" w:type="dxa"/>
            <w:vAlign w:val="bottom"/>
          </w:tcPr>
          <w:p>
            <w:pPr>
              <w:spacing w:after="0"/>
              <w:rPr>
                <w:sz w:val="21"/>
                <w:szCs w:val="21"/>
                <w:color w:val="auto"/>
              </w:rPr>
            </w:pPr>
          </w:p>
        </w:tc>
        <w:tc>
          <w:tcPr>
            <w:tcW w:w="7040" w:type="dxa"/>
            <w:vAlign w:val="bottom"/>
            <w:gridSpan w:val="5"/>
          </w:tcPr>
          <w:p>
            <w:pPr>
              <w:ind w:left="1200"/>
              <w:spacing w:after="0"/>
              <w:rPr>
                <w:sz w:val="20"/>
                <w:szCs w:val="20"/>
                <w:color w:val="auto"/>
              </w:rPr>
            </w:pPr>
            <w:r>
              <w:rPr>
                <w:rFonts w:ascii="Times New Roman" w:cs="Times New Roman" w:eastAsia="Times New Roman" w:hAnsi="Times New Roman"/>
                <w:sz w:val="20"/>
                <w:szCs w:val="20"/>
                <w:color w:val="auto"/>
                <w:w w:val="99"/>
              </w:rPr>
              <w:t>any exempt Employee earning less than $100,000 total compensation per</w:t>
            </w:r>
          </w:p>
        </w:tc>
      </w:tr>
      <w:tr>
        <w:trPr>
          <w:trHeight w:val="229"/>
        </w:trPr>
        <w:tc>
          <w:tcPr>
            <w:tcW w:w="740" w:type="dxa"/>
            <w:vAlign w:val="bottom"/>
          </w:tcPr>
          <w:p>
            <w:pPr>
              <w:spacing w:after="0"/>
              <w:rPr>
                <w:sz w:val="19"/>
                <w:szCs w:val="19"/>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year. It shall also only be enforced to the extent permissible under the</w:t>
            </w:r>
          </w:p>
        </w:tc>
        <w:tc>
          <w:tcPr>
            <w:tcW w:w="60" w:type="dxa"/>
            <w:vAlign w:val="bottom"/>
          </w:tcPr>
          <w:p>
            <w:pPr>
              <w:spacing w:after="0"/>
              <w:rPr>
                <w:sz w:val="19"/>
                <w:szCs w:val="19"/>
                <w:color w:val="auto"/>
              </w:rPr>
            </w:pPr>
          </w:p>
        </w:tc>
      </w:tr>
      <w:tr>
        <w:trPr>
          <w:trHeight w:val="243"/>
        </w:trPr>
        <w:tc>
          <w:tcPr>
            <w:tcW w:w="740" w:type="dxa"/>
            <w:vAlign w:val="bottom"/>
          </w:tcPr>
          <w:p>
            <w:pPr>
              <w:spacing w:after="0"/>
              <w:rPr>
                <w:sz w:val="21"/>
                <w:szCs w:val="21"/>
                <w:color w:val="auto"/>
              </w:rPr>
            </w:pPr>
          </w:p>
        </w:tc>
        <w:tc>
          <w:tcPr>
            <w:tcW w:w="7040" w:type="dxa"/>
            <w:vAlign w:val="bottom"/>
            <w:gridSpan w:val="5"/>
          </w:tcPr>
          <w:p>
            <w:pPr>
              <w:ind w:left="1200"/>
              <w:spacing w:after="0"/>
              <w:rPr>
                <w:sz w:val="20"/>
                <w:szCs w:val="20"/>
                <w:color w:val="auto"/>
              </w:rPr>
            </w:pPr>
            <w:r>
              <w:rPr>
                <w:rFonts w:ascii="Times New Roman" w:cs="Times New Roman" w:eastAsia="Times New Roman" w:hAnsi="Times New Roman"/>
                <w:sz w:val="20"/>
                <w:szCs w:val="20"/>
                <w:color w:val="auto"/>
                <w:w w:val="99"/>
              </w:rPr>
              <w:t>ABA Model Rules of Professional Conduct’s provisions pertaining to the</w:t>
            </w: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w w:val="99"/>
              </w:rPr>
              <w:t>right to practice law and/or any applicable state counterpart. [See “State-</w:t>
            </w:r>
          </w:p>
        </w:tc>
        <w:tc>
          <w:tcPr>
            <w:tcW w:w="60" w:type="dxa"/>
            <w:vAlign w:val="bottom"/>
          </w:tcPr>
          <w:p>
            <w:pPr>
              <w:spacing w:after="0"/>
              <w:rPr>
                <w:sz w:val="21"/>
                <w:szCs w:val="21"/>
                <w:color w:val="auto"/>
              </w:rPr>
            </w:pPr>
          </w:p>
        </w:tc>
      </w:tr>
      <w:tr>
        <w:trPr>
          <w:trHeight w:val="229"/>
        </w:trPr>
        <w:tc>
          <w:tcPr>
            <w:tcW w:w="740" w:type="dxa"/>
            <w:vAlign w:val="bottom"/>
          </w:tcPr>
          <w:p>
            <w:pPr>
              <w:spacing w:after="0"/>
              <w:rPr>
                <w:sz w:val="19"/>
                <w:szCs w:val="19"/>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Specific Modifications” section below for additional restrictions.]</w:t>
            </w:r>
          </w:p>
        </w:tc>
        <w:tc>
          <w:tcPr>
            <w:tcW w:w="60" w:type="dxa"/>
            <w:vAlign w:val="bottom"/>
          </w:tcPr>
          <w:p>
            <w:pPr>
              <w:spacing w:after="0"/>
              <w:rPr>
                <w:sz w:val="19"/>
                <w:szCs w:val="19"/>
                <w:color w:val="auto"/>
              </w:rPr>
            </w:pP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Further, nothing shall prohibit Participant from purchasing or owning</w:t>
            </w:r>
          </w:p>
        </w:tc>
        <w:tc>
          <w:tcPr>
            <w:tcW w:w="60" w:type="dxa"/>
            <w:vAlign w:val="bottom"/>
          </w:tcPr>
          <w:p>
            <w:pPr>
              <w:spacing w:after="0"/>
              <w:rPr>
                <w:sz w:val="21"/>
                <w:szCs w:val="21"/>
                <w:color w:val="auto"/>
              </w:rPr>
            </w:pPr>
          </w:p>
        </w:tc>
      </w:tr>
      <w:tr>
        <w:trPr>
          <w:trHeight w:val="229"/>
        </w:trPr>
        <w:tc>
          <w:tcPr>
            <w:tcW w:w="740" w:type="dxa"/>
            <w:vAlign w:val="bottom"/>
          </w:tcPr>
          <w:p>
            <w:pPr>
              <w:spacing w:after="0"/>
              <w:rPr>
                <w:sz w:val="19"/>
                <w:szCs w:val="19"/>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less than five percent (5%) of the publicly traded securities of any</w:t>
            </w:r>
          </w:p>
        </w:tc>
        <w:tc>
          <w:tcPr>
            <w:tcW w:w="60" w:type="dxa"/>
            <w:vAlign w:val="bottom"/>
          </w:tcPr>
          <w:p>
            <w:pPr>
              <w:spacing w:after="0"/>
              <w:rPr>
                <w:sz w:val="19"/>
                <w:szCs w:val="19"/>
                <w:color w:val="auto"/>
              </w:rPr>
            </w:pP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corporation, provided that such ownership represents a passive</w:t>
            </w:r>
          </w:p>
        </w:tc>
        <w:tc>
          <w:tcPr>
            <w:tcW w:w="60" w:type="dxa"/>
            <w:vAlign w:val="bottom"/>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investment and that Participant is not a controlling person of, or a</w:t>
            </w:r>
          </w:p>
        </w:tc>
        <w:tc>
          <w:tcPr>
            <w:tcW w:w="60" w:type="dxa"/>
            <w:vAlign w:val="bottom"/>
          </w:tcPr>
          <w:p>
            <w:pPr>
              <w:spacing w:after="0"/>
              <w:rPr>
                <w:sz w:val="21"/>
                <w:szCs w:val="21"/>
                <w:color w:val="auto"/>
              </w:rPr>
            </w:pPr>
          </w:p>
        </w:tc>
      </w:tr>
      <w:tr>
        <w:trPr>
          <w:trHeight w:val="229"/>
        </w:trPr>
        <w:tc>
          <w:tcPr>
            <w:tcW w:w="740" w:type="dxa"/>
            <w:vAlign w:val="bottom"/>
          </w:tcPr>
          <w:p>
            <w:pPr>
              <w:spacing w:after="0"/>
              <w:rPr>
                <w:sz w:val="19"/>
                <w:szCs w:val="19"/>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member of a group that controls, such corporation. This paragraph also</w:t>
            </w:r>
          </w:p>
        </w:tc>
        <w:tc>
          <w:tcPr>
            <w:tcW w:w="60" w:type="dxa"/>
            <w:vAlign w:val="bottom"/>
          </w:tcPr>
          <w:p>
            <w:pPr>
              <w:spacing w:after="0"/>
              <w:rPr>
                <w:sz w:val="19"/>
                <w:szCs w:val="19"/>
                <w:color w:val="auto"/>
              </w:rPr>
            </w:pP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does not, in any way, restrict or impede Participant from exercising</w:t>
            </w:r>
          </w:p>
        </w:tc>
        <w:tc>
          <w:tcPr>
            <w:tcW w:w="60" w:type="dxa"/>
            <w:vAlign w:val="bottom"/>
          </w:tcPr>
          <w:p>
            <w:pPr>
              <w:spacing w:after="0"/>
              <w:rPr>
                <w:sz w:val="21"/>
                <w:szCs w:val="21"/>
                <w:color w:val="auto"/>
              </w:rPr>
            </w:pPr>
          </w:p>
        </w:tc>
      </w:tr>
      <w:tr>
        <w:trPr>
          <w:trHeight w:val="229"/>
        </w:trPr>
        <w:tc>
          <w:tcPr>
            <w:tcW w:w="740" w:type="dxa"/>
            <w:vAlign w:val="bottom"/>
          </w:tcPr>
          <w:p>
            <w:pPr>
              <w:spacing w:after="0"/>
              <w:rPr>
                <w:sz w:val="19"/>
                <w:szCs w:val="19"/>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protected rights to the extent that such rights cannot be waived by</w:t>
            </w:r>
          </w:p>
        </w:tc>
        <w:tc>
          <w:tcPr>
            <w:tcW w:w="60" w:type="dxa"/>
            <w:vAlign w:val="bottom"/>
          </w:tcPr>
          <w:p>
            <w:pPr>
              <w:spacing w:after="0"/>
              <w:rPr>
                <w:sz w:val="19"/>
                <w:szCs w:val="19"/>
                <w:color w:val="auto"/>
              </w:rPr>
            </w:pP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w w:val="99"/>
              </w:rPr>
              <w:t>agreement or from complying with any applicable law or regulation or a</w:t>
            </w:r>
          </w:p>
        </w:tc>
        <w:tc>
          <w:tcPr>
            <w:tcW w:w="60" w:type="dxa"/>
            <w:vAlign w:val="bottom"/>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valid order of a court of competent jurisdiction or an authorized</w:t>
            </w:r>
          </w:p>
        </w:tc>
        <w:tc>
          <w:tcPr>
            <w:tcW w:w="60" w:type="dxa"/>
            <w:vAlign w:val="bottom"/>
          </w:tcPr>
          <w:p>
            <w:pPr>
              <w:spacing w:after="0"/>
              <w:rPr>
                <w:sz w:val="21"/>
                <w:szCs w:val="21"/>
                <w:color w:val="auto"/>
              </w:rPr>
            </w:pPr>
          </w:p>
        </w:tc>
      </w:tr>
      <w:tr>
        <w:trPr>
          <w:trHeight w:val="229"/>
        </w:trPr>
        <w:tc>
          <w:tcPr>
            <w:tcW w:w="740" w:type="dxa"/>
            <w:vAlign w:val="bottom"/>
          </w:tcPr>
          <w:p>
            <w:pPr>
              <w:spacing w:after="0"/>
              <w:rPr>
                <w:sz w:val="19"/>
                <w:szCs w:val="19"/>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w w:val="99"/>
              </w:rPr>
              <w:t>government agency, provided that such compliance does not exceed that</w:t>
            </w:r>
          </w:p>
        </w:tc>
        <w:tc>
          <w:tcPr>
            <w:tcW w:w="60" w:type="dxa"/>
            <w:vAlign w:val="bottom"/>
          </w:tcPr>
          <w:p>
            <w:pPr>
              <w:spacing w:after="0"/>
              <w:rPr>
                <w:sz w:val="19"/>
                <w:szCs w:val="19"/>
                <w:color w:val="auto"/>
              </w:rPr>
            </w:pPr>
          </w:p>
        </w:tc>
      </w:tr>
      <w:tr>
        <w:trPr>
          <w:trHeight w:val="258"/>
        </w:trPr>
        <w:tc>
          <w:tcPr>
            <w:tcW w:w="740" w:type="dxa"/>
            <w:vAlign w:val="bottom"/>
          </w:tcPr>
          <w:p>
            <w:pPr>
              <w:spacing w:after="0"/>
              <w:rPr>
                <w:sz w:val="22"/>
                <w:szCs w:val="22"/>
                <w:color w:val="auto"/>
              </w:rPr>
            </w:pPr>
          </w:p>
        </w:tc>
        <w:tc>
          <w:tcPr>
            <w:tcW w:w="6980" w:type="dxa"/>
            <w:vAlign w:val="bottom"/>
            <w:gridSpan w:val="4"/>
          </w:tcPr>
          <w:p>
            <w:pPr>
              <w:ind w:left="1200"/>
              <w:spacing w:after="0"/>
              <w:rPr>
                <w:sz w:val="20"/>
                <w:szCs w:val="20"/>
                <w:color w:val="auto"/>
              </w:rPr>
            </w:pPr>
            <w:r>
              <w:rPr>
                <w:rFonts w:ascii="Times New Roman" w:cs="Times New Roman" w:eastAsia="Times New Roman" w:hAnsi="Times New Roman"/>
                <w:sz w:val="20"/>
                <w:szCs w:val="20"/>
                <w:color w:val="auto"/>
              </w:rPr>
              <w:t>required by the law, regulation, or order.</w:t>
            </w:r>
          </w:p>
        </w:tc>
        <w:tc>
          <w:tcPr>
            <w:tcW w:w="60" w:type="dxa"/>
            <w:vAlign w:val="bottom"/>
          </w:tcPr>
          <w:p>
            <w:pPr>
              <w:spacing w:after="0"/>
              <w:rPr>
                <w:sz w:val="22"/>
                <w:szCs w:val="22"/>
                <w:color w:val="auto"/>
              </w:rPr>
            </w:pPr>
          </w:p>
        </w:tc>
      </w:tr>
      <w:tr>
        <w:trPr>
          <w:trHeight w:val="412"/>
        </w:trPr>
        <w:tc>
          <w:tcPr>
            <w:tcW w:w="74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87"/>
              </w:rPr>
              <w:t>4.4</w:t>
            </w:r>
          </w:p>
        </w:tc>
        <w:tc>
          <w:tcPr>
            <w:tcW w:w="6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Non-Solicitation of Employees  . Participant acknowledges that the Company has</w:t>
            </w:r>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 w:lineRule="exact"/>
        <w:rPr>
          <w:sz w:val="20"/>
          <w:szCs w:val="20"/>
          <w:color w:val="auto"/>
        </w:rPr>
      </w:pPr>
    </w:p>
    <w:p>
      <w:pPr>
        <w:ind w:left="300" w:right="419"/>
        <w:spacing w:after="0" w:line="288" w:lineRule="auto"/>
        <w:rPr>
          <w:sz w:val="20"/>
          <w:szCs w:val="20"/>
          <w:color w:val="auto"/>
        </w:rPr>
      </w:pPr>
      <w:r>
        <w:rPr>
          <w:rFonts w:ascii="Times New Roman" w:cs="Times New Roman" w:eastAsia="Times New Roman" w:hAnsi="Times New Roman"/>
          <w:sz w:val="19"/>
          <w:szCs w:val="19"/>
          <w:color w:val="auto"/>
        </w:rPr>
        <w:t>expended significant time and expense in recruiting and training its employees and that the loss of employees would cause significant and irreparable harm to the Company. If Participant is employed in a supervisory or managerial capacity with the Company, during the Restricted Period, they may not solicit,</w:t>
      </w:r>
    </w:p>
    <w:p>
      <w:pPr>
        <w:sectPr>
          <w:pgSz w:w="11900" w:h="16939" w:orient="portrait"/>
          <w:cols w:equalWidth="0" w:num="1">
            <w:col w:w="9019"/>
          </w:cols>
          <w:pgMar w:left="1440" w:top="71" w:right="1440" w:bottom="0" w:gutter="0" w:footer="0" w:header="0"/>
        </w:sectPr>
      </w:pPr>
    </w:p>
    <w:bookmarkStart w:id="35" w:name="page36"/>
    <w:bookmarkEnd w:id="35"/>
    <w:p>
      <w:pPr>
        <w:ind w:left="300" w:right="339"/>
        <w:spacing w:after="0" w:line="266" w:lineRule="auto"/>
        <w:rPr>
          <w:sz w:val="20"/>
          <w:szCs w:val="20"/>
          <w:color w:val="auto"/>
        </w:rPr>
      </w:pPr>
      <w:r>
        <w:rPr>
          <w:rFonts w:ascii="Times New Roman" w:cs="Times New Roman" w:eastAsia="Times New Roman" w:hAnsi="Times New Roman"/>
          <w:sz w:val="19"/>
          <w:szCs w:val="19"/>
          <w:color w:val="auto"/>
        </w:rPr>
        <w:t>directly or indirectly, or on behalf of another person, any employees that they supervise, work with, or gain Confidential Information about (“Covered Employee”) to leave the employment of the Company or to accept employment or engagement as a contractor with any business enterprise with whom Participant is associated. For purposes of this provision, “solicit” includes any communication intended to influence or encourage another employee to leave the Company, including without limitation via referral, recommendation, or any job-related or social media platform, such as LinkedIn. The post-employment restriction in this section will not be enforced against any Participant in California or in any other location where prohibited by law. [See “State-Specific Modifications” section below for additional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-1197610</wp:posOffset>
            </wp:positionV>
            <wp:extent cx="713232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62" w:lineRule="exact"/>
        <w:rPr>
          <w:sz w:val="20"/>
          <w:szCs w:val="20"/>
          <w:color w:val="auto"/>
        </w:rPr>
      </w:pPr>
    </w:p>
    <w:p>
      <w:pPr>
        <w:ind w:left="300" w:right="339" w:firstLine="648"/>
        <w:spacing w:after="0" w:line="266"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Non-Solicitation of Customers</w:t>
      </w:r>
      <w:r>
        <w:rPr>
          <w:rFonts w:ascii="Times New Roman" w:cs="Times New Roman" w:eastAsia="Times New Roman" w:hAnsi="Times New Roman"/>
          <w:sz w:val="19"/>
          <w:szCs w:val="19"/>
          <w:color w:val="auto"/>
        </w:rPr>
        <w:t xml:space="preserve"> . Participant acknowledges that they have had and will continue to have access to the Company’s Customer Information and that: (i) the Company’s customer relationships are of great competitive value; (ii) the Company has invested substantial resources in developing and preserving its customer relationships and goodwill; and (iii) the loss of any such customer relationship or goodwill will cause significant and irreparable harm to the Company. Accordingly, Participant agrees, during the Restricted Period, not to directly or indirectly solicit, contact, or attempt to solicit or contact, including, but not limited to, via email, telephone, or social media, including but not limited to LinkedIn, or meet with the Company’s current, former, or prospective customers for purposes of offering or accepting goods or services similar to or competitive with those offered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20"/>
          <w:szCs w:val="20"/>
          <w:color w:val="auto"/>
        </w:rPr>
        <w:t>This restriction shall only apply to: (a) Customers or prospective customers the Participant solicited or worked with during the last 24 months of their employment; or (b) Customers about whom Participant has trade secret or confidential information.</w:t>
      </w:r>
    </w:p>
    <w:p>
      <w:pPr>
        <w:spacing w:after="0" w:line="181" w:lineRule="exact"/>
        <w:rPr>
          <w:sz w:val="20"/>
          <w:szCs w:val="20"/>
          <w:color w:val="auto"/>
        </w:rPr>
      </w:pPr>
    </w:p>
    <w:p>
      <w:pPr>
        <w:ind w:left="300" w:right="4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highlight w:val="white"/>
        </w:rPr>
        <w:t>Reasonableness of Covenants</w:t>
      </w:r>
      <w:r>
        <w:rPr>
          <w:rFonts w:ascii="Times New Roman" w:cs="Times New Roman" w:eastAsia="Times New Roman" w:hAnsi="Times New Roman"/>
          <w:sz w:val="20"/>
          <w:szCs w:val="20"/>
          <w:color w:val="auto"/>
        </w:rPr>
        <w:t xml:space="preserve"> . Participant agrees that: (a) the restrictive covenants and other terms and conditions of this Agreement are reasonable and reasonably necessary to protect the legitimate business interests of the Company; (b) Participant will be reasonably able to earn a living without violating the terms of the restrictive covenants and will not be subject to undue hardship by fully complying with these restrictive covenants; and (c) Participant has been given five (5) business days to review and consider this Agreement before signing and has been advised of the right to consult with counsel.</w:t>
      </w:r>
    </w:p>
    <w:p>
      <w:pPr>
        <w:spacing w:after="0" w:line="179" w:lineRule="exact"/>
        <w:rPr>
          <w:sz w:val="20"/>
          <w:szCs w:val="20"/>
          <w:color w:val="auto"/>
        </w:rPr>
      </w:pPr>
    </w:p>
    <w:p>
      <w:pPr>
        <w:ind w:left="300" w:right="359" w:firstLine="648"/>
        <w:spacing w:after="0" w:line="252" w:lineRule="auto"/>
        <w:rPr>
          <w:sz w:val="20"/>
          <w:szCs w:val="20"/>
          <w:color w:val="auto"/>
        </w:rPr>
      </w:pPr>
      <w:r>
        <w:rPr>
          <w:rFonts w:ascii="Times New Roman" w:cs="Times New Roman" w:eastAsia="Times New Roman" w:hAnsi="Times New Roman"/>
          <w:sz w:val="20"/>
          <w:szCs w:val="20"/>
          <w:color w:val="auto"/>
          <w:highlight w:val="white"/>
        </w:rPr>
        <w:t xml:space="preserve">4.5 </w:t>
      </w:r>
      <w:r>
        <w:rPr>
          <w:rFonts w:ascii="Times New Roman" w:cs="Times New Roman" w:eastAsia="Times New Roman" w:hAnsi="Times New Roman"/>
          <w:sz w:val="20"/>
          <w:szCs w:val="20"/>
          <w:u w:val="single" w:color="auto"/>
          <w:color w:val="auto"/>
          <w:highlight w:val="white"/>
        </w:rPr>
        <w:t>Remedies</w:t>
      </w:r>
      <w:r>
        <w:rPr>
          <w:rFonts w:ascii="Times New Roman" w:cs="Times New Roman" w:eastAsia="Times New Roman" w:hAnsi="Times New Roman"/>
          <w:sz w:val="20"/>
          <w:szCs w:val="20"/>
          <w:color w:val="auto"/>
        </w:rPr>
        <w:t>. In the event of a breach or threatened breach by Participant of any of the</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restricti</w:t>
      </w:r>
      <w:r>
        <w:rPr>
          <w:rFonts w:ascii="Times New Roman" w:cs="Times New Roman" w:eastAsia="Times New Roman" w:hAnsi="Times New Roman"/>
          <w:sz w:val="20"/>
          <w:szCs w:val="20"/>
          <w:color w:val="auto"/>
          <w:highlight w:val="white"/>
        </w:rPr>
        <w:t>ve co</w:t>
      </w:r>
      <w:r>
        <w:rPr>
          <w:rFonts w:ascii="Times New Roman" w:cs="Times New Roman" w:eastAsia="Times New Roman" w:hAnsi="Times New Roman"/>
          <w:sz w:val="20"/>
          <w:szCs w:val="20"/>
          <w:color w:val="auto"/>
        </w:rPr>
        <w:t>venants herein, Participant agrees that money damages would not afford an adequate remedy and that the Company shall be entitled to seek a temporary or permanent injunction or other equitable relief from any court of competent jurisdiction, without the necessity of showing any actual damages. Any equitable relief shall be in addition to, not in lieu of, legal remedies, monetary damages, or other available relief. If Participant violates any of the terms of the restrictive covenant obligations, the covenant at issue will begin to run from the first date on which the Participant ceases to be in violation of the obligation, for which the Restricted Period shall automatically be extended by the period the Participant was in violation.</w:t>
      </w:r>
    </w:p>
    <w:p>
      <w:pPr>
        <w:spacing w:after="0" w:line="176" w:lineRule="exact"/>
        <w:rPr>
          <w:sz w:val="20"/>
          <w:szCs w:val="20"/>
          <w:color w:val="auto"/>
        </w:rPr>
      </w:pPr>
    </w:p>
    <w:p>
      <w:pPr>
        <w:ind w:left="300" w:right="359" w:firstLine="648"/>
        <w:spacing w:after="0" w:line="252"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xml:space="preserve"> The laws of the state where Participant primarily resided when last employed with the Company will control the interpretation and application of this Agreement (the “Controlling State”) without regard to any conflicts of law principles of any other state to the contrary; provided, however, that if the Parties have entered into an arbitration agreement that includes claims arising from this Agreement, then the Federal Arbitration Act, U.S.C. § 1 et seq. shall control as to all arbitration rights. For purposes of any matter that can be litigated in a court of law in accordance with any arbitration agreement between the Parties, Participant consents to the personal jurisdiction of the courts of proper subject matter jurisdiction located in the Controlling State, and waives any objections to the exercise of jurisdiction over them by such courts (whether based on convenience, cost, location of witnesses or evidence, or otherwise). Participant understands that the Controlling State, and thus the controlling law and venue under this Agreement, will change if they move to a new state.</w:t>
      </w:r>
    </w:p>
    <w:p>
      <w:pPr>
        <w:spacing w:after="0" w:line="179" w:lineRule="exact"/>
        <w:rPr>
          <w:sz w:val="20"/>
          <w:szCs w:val="20"/>
          <w:color w:val="auto"/>
        </w:rPr>
      </w:pPr>
    </w:p>
    <w:p>
      <w:pPr>
        <w:ind w:left="300" w:right="519" w:firstLine="648"/>
        <w:spacing w:after="0" w:line="276" w:lineRule="auto"/>
        <w:rPr>
          <w:sz w:val="20"/>
          <w:szCs w:val="20"/>
          <w:color w:val="auto"/>
        </w:rPr>
      </w:pPr>
      <w:r>
        <w:rPr>
          <w:rFonts w:ascii="Times New Roman" w:cs="Times New Roman" w:eastAsia="Times New Roman" w:hAnsi="Times New Roman"/>
          <w:sz w:val="19"/>
          <w:szCs w:val="19"/>
          <w:color w:val="auto"/>
          <w:highlight w:val="white"/>
        </w:rPr>
        <w:t xml:space="preserve">4.7 </w:t>
      </w:r>
      <w:r>
        <w:rPr>
          <w:rFonts w:ascii="Times New Roman" w:cs="Times New Roman" w:eastAsia="Times New Roman" w:hAnsi="Times New Roman"/>
          <w:sz w:val="19"/>
          <w:szCs w:val="19"/>
          <w:u w:val="single" w:color="auto"/>
          <w:color w:val="auto"/>
          <w:highlight w:val="white"/>
        </w:rPr>
        <w:t>Attorneys’ Fees</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 If Participant breaches any of the terms of the restrictive covenant</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obligati</w:t>
      </w:r>
      <w:r>
        <w:rPr>
          <w:rFonts w:ascii="Times New Roman" w:cs="Times New Roman" w:eastAsia="Times New Roman" w:hAnsi="Times New Roman"/>
          <w:sz w:val="19"/>
          <w:szCs w:val="19"/>
          <w:color w:val="auto"/>
          <w:highlight w:val="white"/>
        </w:rPr>
        <w:t>ons, t</w:t>
      </w:r>
      <w:r>
        <w:rPr>
          <w:rFonts w:ascii="Times New Roman" w:cs="Times New Roman" w:eastAsia="Times New Roman" w:hAnsi="Times New Roman"/>
          <w:sz w:val="19"/>
          <w:szCs w:val="19"/>
          <w:color w:val="auto"/>
        </w:rPr>
        <w:t>o the extent authorized by state law, Participant will be responsible for payment of all reasonable attorneys’ fees and costs the Company incurred in the course of enforcing the terms of the covenant, including demonstrating the existence of a breach and any other contract enforcement efforts.</w:t>
      </w:r>
    </w:p>
    <w:p>
      <w:pPr>
        <w:spacing w:after="0" w:line="156"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u w:val="single" w:color="auto"/>
          <w:color w:val="auto"/>
          <w:highlight w:val="white"/>
        </w:rPr>
        <w:t>Notice</w:t>
      </w:r>
      <w:r>
        <w:rPr>
          <w:rFonts w:ascii="Times New Roman" w:cs="Times New Roman" w:eastAsia="Times New Roman" w:hAnsi="Times New Roman"/>
          <w:sz w:val="19"/>
          <w:szCs w:val="19"/>
          <w:color w:val="auto"/>
        </w:rPr>
        <w:t>. If and when Participant’s employment with Company terminates, whether</w:t>
      </w:r>
    </w:p>
    <w:p>
      <w:pPr>
        <w:sectPr>
          <w:pgSz w:w="11900" w:h="16838" w:orient="portrait"/>
          <w:cols w:equalWidth="0" w:num="1">
            <w:col w:w="9019"/>
          </w:cols>
          <w:pgMar w:left="1440" w:top="90" w:right="1440" w:bottom="0" w:gutter="0" w:footer="0" w:header="0"/>
        </w:sectPr>
      </w:pPr>
    </w:p>
    <w:bookmarkStart w:id="36" w:name="page37"/>
    <w:bookmarkEnd w:id="36"/>
    <w:p>
      <w:pPr>
        <w:ind w:left="300" w:right="539"/>
        <w:spacing w:after="0" w:line="220" w:lineRule="auto"/>
        <w:rPr>
          <w:sz w:val="20"/>
          <w:szCs w:val="20"/>
          <w:color w:val="auto"/>
        </w:rPr>
      </w:pPr>
      <w:r>
        <w:rPr>
          <w:rFonts w:ascii="Times New Roman" w:cs="Times New Roman" w:eastAsia="Times New Roman" w:hAnsi="Times New Roman"/>
          <w:sz w:val="19"/>
          <w:szCs w:val="19"/>
          <w:color w:val="auto"/>
        </w:rPr>
        <w:t>voluntarily or involuntarily, Participant agrees to provide to any subsequent employer a copy of this agreement. In addition, Participant authorizes the Company to provide a copy of this agreement to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-213360</wp:posOffset>
            </wp:positionV>
            <wp:extent cx="713232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0"/>
          <w:szCs w:val="20"/>
          <w:color w:val="auto"/>
        </w:rPr>
        <w:t>parties, including but not limited to, Participant’s subsequent, anticipated, or possible future employer.</w:t>
      </w:r>
    </w:p>
    <w:p>
      <w:pPr>
        <w:spacing w:after="0" w:line="207" w:lineRule="exact"/>
        <w:rPr>
          <w:sz w:val="20"/>
          <w:szCs w:val="20"/>
          <w:color w:val="auto"/>
        </w:rPr>
      </w:pPr>
    </w:p>
    <w:p>
      <w:pPr>
        <w:ind w:left="300" w:right="419" w:firstLine="648"/>
        <w:spacing w:after="0" w:line="270"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u w:val="single" w:color="auto"/>
          <w:color w:val="auto"/>
        </w:rPr>
        <w:t>Assignability</w:t>
      </w:r>
      <w:r>
        <w:rPr>
          <w:rFonts w:ascii="Times New Roman" w:cs="Times New Roman" w:eastAsia="Times New Roman" w:hAnsi="Times New Roman"/>
          <w:sz w:val="19"/>
          <w:szCs w:val="19"/>
          <w:color w:val="auto"/>
        </w:rPr>
        <w:t>. “Affiliate” refers to any legal entity or organization that is directly, or indirectly through one or more intermediaries, controlling, controlled by, or under common ownership or control with GoodRx, Inc., or a successor thereof. The Restrictive Covenants herein shall automatically inure the benefit of, and may be enforced by, the Company and its Affiliates, and their successors, and assigns who have a protectable interest. If Participant’s employment is transferred from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20"/>
          <w:szCs w:val="20"/>
          <w:color w:val="auto"/>
        </w:rPr>
        <w:t>Company entity to an Affiliate, the Affiliate will assume the same position and rights as the original employer Company under this agreement without the need for any further agreement by Participant. Participant agrees to the assignment of the Restrictive Covenants by Company and all rights and obligations hereunder, including, but not limited to, an assignment in connection with any merger, sale, transfer, or acquisition consummated by Company, its parent, or any of their Affiliates, or relating to all or part of their assets. Without the written consent of the Company, Participant will not assign or transfer this Agreement or any right or obligation under this Agreement to any other person or entity.</w:t>
      </w:r>
    </w:p>
    <w:p>
      <w:pPr>
        <w:spacing w:after="0" w:line="179" w:lineRule="exact"/>
        <w:rPr>
          <w:sz w:val="20"/>
          <w:szCs w:val="20"/>
          <w:color w:val="auto"/>
        </w:rPr>
      </w:pPr>
    </w:p>
    <w:p>
      <w:pPr>
        <w:ind w:left="300" w:right="479" w:firstLine="648"/>
        <w:spacing w:after="0" w:line="257"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State-Specific Modifications</w:t>
      </w:r>
      <w:r>
        <w:rPr>
          <w:rFonts w:ascii="Times New Roman" w:cs="Times New Roman" w:eastAsia="Times New Roman" w:hAnsi="Times New Roman"/>
          <w:sz w:val="20"/>
          <w:szCs w:val="20"/>
          <w:color w:val="auto"/>
        </w:rPr>
        <w:t xml:space="preserve"> . If Participant’s Controlling State is listed below then the Restrictive Covenants in this section will be modified in accordance with the paragraph for Participant’s Controlling State, provided, however, that it is intent of the Parties that the Restrictive Covenants shall only be construed and applied to the extent that such enforcement would not violate controlling law that governs the Parties’ relationship.</w:t>
      </w:r>
    </w:p>
    <w:p>
      <w:pPr>
        <w:spacing w:after="0" w:line="169" w:lineRule="exact"/>
        <w:rPr>
          <w:sz w:val="20"/>
          <w:szCs w:val="20"/>
          <w:color w:val="auto"/>
        </w:rPr>
      </w:pPr>
    </w:p>
    <w:p>
      <w:pPr>
        <w:ind w:left="300" w:right="819"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Alabama</w:t>
      </w:r>
      <w:r>
        <w:rPr>
          <w:rFonts w:ascii="Times New Roman" w:cs="Times New Roman" w:eastAsia="Times New Roman" w:hAnsi="Times New Roman"/>
          <w:sz w:val="20"/>
          <w:szCs w:val="20"/>
          <w:color w:val="auto"/>
        </w:rPr>
        <w:t>. The definition of Covered Employee shall only apply to Employees in a position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uniquely essential to the management, organization, or service of the business.</w:t>
      </w:r>
    </w:p>
    <w:p>
      <w:pPr>
        <w:spacing w:after="0" w:line="152" w:lineRule="exact"/>
        <w:rPr>
          <w:sz w:val="20"/>
          <w:szCs w:val="20"/>
          <w:color w:val="auto"/>
        </w:rPr>
      </w:pPr>
    </w:p>
    <w:p>
      <w:pPr>
        <w:ind w:left="300" w:right="639" w:firstLine="648"/>
        <w:spacing w:after="0" w:line="273" w:lineRule="auto"/>
        <w:rPr>
          <w:sz w:val="20"/>
          <w:szCs w:val="20"/>
          <w:color w:val="auto"/>
        </w:rPr>
      </w:pPr>
      <w:r>
        <w:rPr>
          <w:rFonts w:ascii="Times New Roman" w:cs="Times New Roman" w:eastAsia="Times New Roman" w:hAnsi="Times New Roman"/>
          <w:sz w:val="19"/>
          <w:szCs w:val="19"/>
          <w:b w:val="1"/>
          <w:bCs w:val="1"/>
          <w:u w:val="single" w:color="auto"/>
          <w:color w:val="auto"/>
        </w:rPr>
        <w:t>California</w:t>
      </w:r>
      <w:r>
        <w:rPr>
          <w:rFonts w:ascii="Times New Roman" w:cs="Times New Roman" w:eastAsia="Times New Roman" w:hAnsi="Times New Roman"/>
          <w:sz w:val="19"/>
          <w:szCs w:val="19"/>
          <w:color w:val="auto"/>
        </w:rPr>
        <w:t>. The post-employment non-competition and employee non-solicitation restrictions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 shall not apply to Participant. Nothing in this Agreement will require Participant to adjudicate outside of California a claim arising in California or be applied so as to deprive Participant of the substantive protection of California law with respect to a controversy arising in California.</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b w:val="1"/>
          <w:bCs w:val="1"/>
          <w:u w:val="single" w:color="auto"/>
          <w:color w:val="auto"/>
        </w:rPr>
        <w:t>Colorado</w:t>
      </w:r>
      <w:r>
        <w:rPr>
          <w:rFonts w:ascii="Times New Roman" w:cs="Times New Roman" w:eastAsia="Times New Roman" w:hAnsi="Times New Roman"/>
          <w:sz w:val="20"/>
          <w:szCs w:val="20"/>
          <w:color w:val="auto"/>
        </w:rPr>
        <w:t>. The non-competition provision will only be applicable to exempt Employees earning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at least $127,091 or who is considered otherwise “highly compensated” pursuant to applicable law. The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customer non-solicitation provision will only be enforced against exempt Employees earning at least</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$77,000 or who otherwise meet the compensation threshold under applicable law. The non-competition</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provision of this agreement will become effective 14 days after signed by the Participant.</w:t>
      </w:r>
    </w:p>
    <w:p>
      <w:pPr>
        <w:spacing w:after="0" w:line="203" w:lineRule="exact"/>
        <w:rPr>
          <w:sz w:val="20"/>
          <w:szCs w:val="20"/>
          <w:color w:val="auto"/>
        </w:rPr>
      </w:pPr>
    </w:p>
    <w:p>
      <w:pPr>
        <w:ind w:left="300" w:right="319" w:firstLine="648"/>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District of Columbia</w:t>
      </w:r>
      <w:r>
        <w:rPr>
          <w:rFonts w:ascii="Times New Roman" w:cs="Times New Roman" w:eastAsia="Times New Roman" w:hAnsi="Times New Roman"/>
          <w:sz w:val="20"/>
          <w:szCs w:val="20"/>
          <w:color w:val="auto"/>
        </w:rPr>
        <w:t>. The non-competition provisions applies to highly compensated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as defined by the Ban on Non-Compete Agreements Amendment Act of 2020, who spend or are expected to spend at least 50% of their work time in D.C. or work for a D.C. employer and spend substantial time in D.C. but do not spend more than 50% of their time in another jurisdiction. Participant has been advised of the following: “The District of Columbia Ban on Non-Compete Agreements Amendment Act of 2020 limits the use of non-compete agreements. It allows employers to request non-compete agreements from ‘highly compensated employees’ under certain conditions. For more information about the Ban on Non-Compete Agreements Amendment Act of 2020, contact the District of Columbia Department of Employment Services (DOES).” Participant’s agreement to the non-competition provision will become effective fourteen (14) days after Participant signs this agreement.</w:t>
      </w:r>
    </w:p>
    <w:p>
      <w:pPr>
        <w:spacing w:after="0" w:line="187" w:lineRule="exact"/>
        <w:rPr>
          <w:sz w:val="20"/>
          <w:szCs w:val="20"/>
          <w:color w:val="auto"/>
        </w:rPr>
      </w:pPr>
    </w:p>
    <w:p>
      <w:pPr>
        <w:jc w:val="both"/>
        <w:ind w:left="300" w:right="379" w:firstLine="648"/>
        <w:spacing w:after="0" w:line="283" w:lineRule="auto"/>
        <w:rPr>
          <w:sz w:val="20"/>
          <w:szCs w:val="20"/>
          <w:color w:val="auto"/>
        </w:rPr>
      </w:pPr>
      <w:r>
        <w:rPr>
          <w:rFonts w:ascii="Times New Roman" w:cs="Times New Roman" w:eastAsia="Times New Roman" w:hAnsi="Times New Roman"/>
          <w:sz w:val="19"/>
          <w:szCs w:val="19"/>
          <w:b w:val="1"/>
          <w:bCs w:val="1"/>
          <w:u w:val="single" w:color="auto"/>
          <w:color w:val="auto"/>
        </w:rPr>
        <w:t>Georgia</w:t>
      </w:r>
      <w:r>
        <w:rPr>
          <w:rFonts w:ascii="Times New Roman" w:cs="Times New Roman" w:eastAsia="Times New Roman" w:hAnsi="Times New Roman"/>
          <w:sz w:val="19"/>
          <w:szCs w:val="19"/>
          <w:color w:val="auto"/>
        </w:rPr>
        <w:t>. The employee non-solicitation restriction will only apply to those Covered Employees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reside or work within a 75-mile radius of the Company locations or offices that Participant works out of or report to in the two-year period preceding Participant’s last day of employment with the Company.</w:t>
      </w:r>
    </w:p>
    <w:p>
      <w:pPr>
        <w:spacing w:after="0" w:line="159" w:lineRule="exact"/>
        <w:rPr>
          <w:sz w:val="20"/>
          <w:szCs w:val="20"/>
          <w:color w:val="auto"/>
        </w:rPr>
      </w:pPr>
    </w:p>
    <w:p>
      <w:pPr>
        <w:ind w:left="300" w:right="399" w:firstLine="648"/>
        <w:spacing w:after="0" w:line="271" w:lineRule="auto"/>
        <w:rPr>
          <w:sz w:val="20"/>
          <w:szCs w:val="20"/>
          <w:color w:val="auto"/>
        </w:rPr>
      </w:pPr>
      <w:r>
        <w:rPr>
          <w:rFonts w:ascii="Times New Roman" w:cs="Times New Roman" w:eastAsia="Times New Roman" w:hAnsi="Times New Roman"/>
          <w:sz w:val="19"/>
          <w:szCs w:val="19"/>
          <w:b w:val="1"/>
          <w:bCs w:val="1"/>
          <w:u w:val="single" w:color="auto"/>
          <w:color w:val="auto"/>
        </w:rPr>
        <w:t>Idaho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non-competition restrictions apply onto to “key employees” as defined under Idaho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Code 44-2702(1), meaning employees “who, by reason of the employer's investment of time, money, trust, exposure to the public, or exposure to technologies, intellectual property, business plans, business processes and methods of operation, customers, vendors or other business relationships during the course of employment, have gained a high level of inside knowledge, influence, credibility, notoriety, fame,</w:t>
      </w:r>
    </w:p>
    <w:p>
      <w:pPr>
        <w:sectPr>
          <w:pgSz w:w="11900" w:h="16838" w:orient="portrait"/>
          <w:cols w:equalWidth="0" w:num="1">
            <w:col w:w="9019"/>
          </w:cols>
          <w:pgMar w:left="1440" w:top="75" w:right="1440" w:bottom="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right="379"/>
        <w:spacing w:after="0" w:line="283" w:lineRule="auto"/>
        <w:rPr>
          <w:sz w:val="20"/>
          <w:szCs w:val="20"/>
          <w:color w:val="auto"/>
        </w:rPr>
      </w:pPr>
      <w:r>
        <w:rPr>
          <w:rFonts w:ascii="Times New Roman" w:cs="Times New Roman" w:eastAsia="Times New Roman" w:hAnsi="Times New Roman"/>
          <w:sz w:val="20"/>
          <w:szCs w:val="20"/>
          <w:color w:val="auto"/>
        </w:rPr>
        <w:t>reputation or public persona as a representative or spokesperson of the employer and, as a result, have the ability to harm or threaten an employer's legitimate business interests.”</w:t>
      </w:r>
    </w:p>
    <w:p>
      <w:pPr>
        <w:spacing w:after="0" w:line="142" w:lineRule="exact"/>
        <w:rPr>
          <w:sz w:val="20"/>
          <w:szCs w:val="20"/>
          <w:color w:val="auto"/>
        </w:rPr>
      </w:pPr>
    </w:p>
    <w:p>
      <w:pPr>
        <w:ind w:left="300" w:right="339"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Illinois</w:t>
      </w:r>
      <w:r>
        <w:rPr>
          <w:rFonts w:ascii="Times New Roman" w:cs="Times New Roman" w:eastAsia="Times New Roman" w:hAnsi="Times New Roman"/>
          <w:sz w:val="20"/>
          <w:szCs w:val="20"/>
          <w:color w:val="auto"/>
        </w:rPr>
        <w:t>. The employee non-solicitation provision does not apply to any Participant who earns 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$52,500 per year. Participant has been advised of their right to consult an attorney regarding the Restrictive Covenants section of this agreement. Participant’s agreement to the non-competition provision will become effective fourteen (14) days after Participant signs this agreement.</w:t>
      </w:r>
    </w:p>
    <w:p>
      <w:pPr>
        <w:spacing w:after="0" w:line="178" w:lineRule="exact"/>
        <w:rPr>
          <w:sz w:val="20"/>
          <w:szCs w:val="20"/>
          <w:color w:val="auto"/>
        </w:rPr>
      </w:pPr>
    </w:p>
    <w:p>
      <w:pPr>
        <w:ind w:left="300" w:right="399"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Indiana</w:t>
      </w:r>
      <w:r>
        <w:rPr>
          <w:rFonts w:ascii="Times New Roman" w:cs="Times New Roman" w:eastAsia="Times New Roman" w:hAnsi="Times New Roman"/>
          <w:sz w:val="20"/>
          <w:szCs w:val="20"/>
          <w:color w:val="auto"/>
        </w:rPr>
        <w:t>. The definition of Covered Employee is modified to provide that the Covered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 also be an Employee who is entrusted with Confidential Information.</w:t>
      </w:r>
    </w:p>
    <w:p>
      <w:pPr>
        <w:spacing w:after="0" w:line="165" w:lineRule="exact"/>
        <w:rPr>
          <w:sz w:val="20"/>
          <w:szCs w:val="20"/>
          <w:color w:val="auto"/>
        </w:rPr>
      </w:pPr>
    </w:p>
    <w:p>
      <w:pPr>
        <w:jc w:val="both"/>
        <w:ind w:left="300" w:right="479"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Maine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1F1F1F"/>
        </w:rPr>
        <w:t>The non-competition provision herein will only be enforceable if necessary to protect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1F1F1F"/>
        </w:rPr>
        <w:t>legitimate business interest, defined as a trade secret, Confidential Information, or good will. Further, it will not take effect until after one year of the Participant’s employment or a period of 6 months from the date this agreement was signed, whichever is later.</w:t>
      </w:r>
    </w:p>
    <w:p>
      <w:pPr>
        <w:spacing w:after="0" w:line="164" w:lineRule="exact"/>
        <w:rPr>
          <w:sz w:val="20"/>
          <w:szCs w:val="20"/>
          <w:color w:val="auto"/>
        </w:rPr>
      </w:pPr>
    </w:p>
    <w:p>
      <w:pPr>
        <w:ind w:left="300" w:right="479"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Massachusetts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agreement to the non-competition provision will become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 (10) days after Participant signs this agreement, and it shall not be enforced against Participants terminated without cause or laid off. Participant has been advised of their right to consult an attorney before signing this agreement.</w:t>
      </w:r>
    </w:p>
    <w:p>
      <w:pPr>
        <w:spacing w:after="0" w:line="178" w:lineRule="exact"/>
        <w:rPr>
          <w:sz w:val="20"/>
          <w:szCs w:val="20"/>
          <w:color w:val="auto"/>
        </w:rPr>
      </w:pPr>
    </w:p>
    <w:p>
      <w:pPr>
        <w:ind w:left="300" w:right="519"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Missouri</w:t>
      </w:r>
      <w:r>
        <w:rPr>
          <w:rFonts w:ascii="Times New Roman" w:cs="Times New Roman" w:eastAsia="Times New Roman" w:hAnsi="Times New Roman"/>
          <w:sz w:val="20"/>
          <w:szCs w:val="20"/>
          <w:color w:val="auto"/>
        </w:rPr>
        <w:t>. The restriction on employee solicitation will not apply to an Employee who provides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secretarial or clerical services.</w:t>
      </w:r>
    </w:p>
    <w:p>
      <w:pPr>
        <w:spacing w:after="0" w:line="165" w:lineRule="exact"/>
        <w:rPr>
          <w:sz w:val="20"/>
          <w:szCs w:val="20"/>
          <w:color w:val="auto"/>
        </w:rPr>
      </w:pPr>
    </w:p>
    <w:p>
      <w:pPr>
        <w:ind w:left="300" w:right="339" w:firstLine="648"/>
        <w:spacing w:after="0" w:line="283" w:lineRule="auto"/>
        <w:rPr>
          <w:sz w:val="20"/>
          <w:szCs w:val="20"/>
          <w:color w:val="auto"/>
        </w:rPr>
      </w:pPr>
      <w:r>
        <w:rPr>
          <w:rFonts w:ascii="Times New Roman" w:cs="Times New Roman" w:eastAsia="Times New Roman" w:hAnsi="Times New Roman"/>
          <w:sz w:val="19"/>
          <w:szCs w:val="19"/>
          <w:b w:val="1"/>
          <w:bCs w:val="1"/>
          <w:u w:val="single" w:color="auto"/>
          <w:color w:val="auto"/>
        </w:rPr>
        <w:t>Oregon</w:t>
      </w:r>
      <w:r>
        <w:rPr>
          <w:rFonts w:ascii="Times New Roman" w:cs="Times New Roman" w:eastAsia="Times New Roman" w:hAnsi="Times New Roman"/>
          <w:sz w:val="19"/>
          <w:szCs w:val="19"/>
          <w:color w:val="auto"/>
        </w:rPr>
        <w:t>. The non-competition provision will only be enforced against exempt Employees earning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more than $116,427 or such compensation threshold required by Or. Rev. Stat. § 653.295(1), and only if this Agreement is provided to Participant in connection with a written employment offer or a promotion.</w:t>
      </w:r>
    </w:p>
    <w:p>
      <w:pPr>
        <w:spacing w:after="0" w:line="172" w:lineRule="exact"/>
        <w:rPr>
          <w:sz w:val="20"/>
          <w:szCs w:val="20"/>
          <w:color w:val="auto"/>
        </w:rPr>
      </w:pPr>
    </w:p>
    <w:p>
      <w:pPr>
        <w:ind w:left="300" w:right="559"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Washington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The non-competition provision shall only be enforced against exempt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earning at least $123,000 or such compensation threshold required by applicable law, and it shall not be enforced against Employees terminated due to a layoff. The customer non-solicitation provision shall only be enforced as applied to current customers.</w:t>
      </w:r>
    </w:p>
    <w:p>
      <w:pPr>
        <w:spacing w:after="0" w:line="191" w:lineRule="exact"/>
        <w:rPr>
          <w:sz w:val="20"/>
          <w:szCs w:val="20"/>
          <w:color w:val="auto"/>
        </w:rPr>
      </w:pPr>
    </w:p>
    <w:p>
      <w:pPr>
        <w:ind w:left="300" w:right="1039"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Wisconsin.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definition of Covered Employee is modified to provide that the Covered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must also be an Employee who is entrusted with Confidential Information.</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27" w:lineRule="exact"/>
        <w:rPr>
          <w:sz w:val="20"/>
          <w:szCs w:val="20"/>
          <w:color w:val="auto"/>
        </w:rPr>
      </w:pPr>
    </w:p>
    <w:p>
      <w:pPr>
        <w:ind w:left="300" w:right="1059" w:firstLine="648"/>
        <w:spacing w:after="0" w:line="28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Option is subject to adjustment, modification and termination in certain events as provided in this Agreement and the Plan.</w:t>
      </w:r>
    </w:p>
    <w:p>
      <w:pPr>
        <w:spacing w:after="0" w:line="146" w:lineRule="exact"/>
        <w:rPr>
          <w:sz w:val="20"/>
          <w:szCs w:val="20"/>
          <w:color w:val="auto"/>
        </w:rPr>
      </w:pPr>
    </w:p>
    <w:p>
      <w:pPr>
        <w:ind w:left="300" w:right="659" w:firstLine="648"/>
        <w:spacing w:after="0" w:line="258"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The Option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72" w:lineRule="exact"/>
        <w:rPr>
          <w:sz w:val="20"/>
          <w:szCs w:val="20"/>
          <w:color w:val="auto"/>
        </w:rPr>
      </w:pPr>
    </w:p>
    <w:p>
      <w:pPr>
        <w:ind w:left="300" w:right="359" w:firstLine="648"/>
        <w:spacing w:after="0" w:line="288"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w:t>
      </w:r>
    </w:p>
    <w:p>
      <w:pPr>
        <w:sectPr>
          <w:pgSz w:w="11900" w:h="16838" w:orient="portrait"/>
          <w:cols w:equalWidth="0" w:num="1">
            <w:col w:w="9019"/>
          </w:cols>
          <w:pgMar w:left="1440" w:top="1440" w:right="1440" w:bottom="1440" w:gutter="0" w:footer="0" w:header="0"/>
        </w:sectPr>
      </w:pPr>
    </w:p>
    <w:bookmarkStart w:id="38" w:name="page39"/>
    <w:bookmarkEnd w:id="38"/>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519"/>
        <w:spacing w:after="0" w:line="266" w:lineRule="auto"/>
        <w:rPr>
          <w:sz w:val="20"/>
          <w:szCs w:val="20"/>
          <w:color w:val="auto"/>
        </w:rPr>
      </w:pPr>
      <w:r>
        <w:rPr>
          <w:rFonts w:ascii="Times New Roman" w:cs="Times New Roman" w:eastAsia="Times New Roman" w:hAnsi="Times New Roman"/>
          <w:sz w:val="19"/>
          <w:szCs w:val="19"/>
          <w:color w:val="auto"/>
        </w:rPr>
        <w:t>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2" w:lineRule="exact"/>
        <w:rPr>
          <w:sz w:val="20"/>
          <w:szCs w:val="20"/>
          <w:color w:val="auto"/>
        </w:rPr>
      </w:pPr>
    </w:p>
    <w:p>
      <w:pPr>
        <w:ind w:left="300" w:right="399" w:firstLine="648"/>
        <w:spacing w:after="0" w:line="28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ind w:left="300" w:right="359" w:firstLine="648"/>
        <w:spacing w:after="0" w:line="26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1"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u w:val="single" w:color="auto"/>
          <w:color w:val="auto"/>
        </w:rPr>
        <w:t xml:space="preserve">Successors and Assigns  </w:t>
      </w:r>
      <w:r>
        <w:rPr>
          <w:rFonts w:ascii="Times New Roman" w:cs="Times New Roman" w:eastAsia="Times New Roman" w:hAnsi="Times New Roman"/>
          <w:sz w:val="20"/>
          <w:szCs w:val="20"/>
          <w:color w:val="auto"/>
        </w:rPr>
        <w:t>. The Company may assign any of its rights under this</w:t>
      </w:r>
    </w:p>
    <w:p>
      <w:pPr>
        <w:spacing w:after="0" w:line="28" w:lineRule="exact"/>
        <w:rPr>
          <w:sz w:val="20"/>
          <w:szCs w:val="20"/>
          <w:color w:val="auto"/>
        </w:rPr>
      </w:pPr>
    </w:p>
    <w:p>
      <w:pPr>
        <w:ind w:left="300" w:right="459"/>
        <w:spacing w:after="0" w:line="248" w:lineRule="auto"/>
        <w:rPr>
          <w:sz w:val="20"/>
          <w:szCs w:val="20"/>
          <w:color w:val="auto"/>
        </w:rPr>
      </w:pPr>
      <w:r>
        <w:rPr>
          <w:rFonts w:ascii="Times New Roman" w:cs="Times New Roman" w:eastAsia="Times New Roman" w:hAnsi="Times New Roman"/>
          <w:sz w:val="20"/>
          <w:szCs w:val="20"/>
          <w:color w:val="auto"/>
        </w:rPr>
        <w:t>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5" w:lineRule="exact"/>
        <w:rPr>
          <w:sz w:val="20"/>
          <w:szCs w:val="20"/>
          <w:color w:val="auto"/>
        </w:rPr>
      </w:pPr>
    </w:p>
    <w:p>
      <w:pPr>
        <w:ind w:left="300" w:right="339" w:firstLine="648"/>
        <w:spacing w:after="0" w:line="252"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xml:space="preserve"> .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w:t>
      </w:r>
    </w:p>
    <w:p>
      <w:pPr>
        <w:spacing w:after="0" w:line="1" w:lineRule="exact"/>
        <w:rPr>
          <w:sz w:val="20"/>
          <w:szCs w:val="20"/>
          <w:color w:val="auto"/>
        </w:rPr>
      </w:pPr>
    </w:p>
    <w:p>
      <w:pPr>
        <w:ind w:left="300" w:right="599"/>
        <w:spacing w:after="0" w:line="256" w:lineRule="auto"/>
        <w:rPr>
          <w:sz w:val="20"/>
          <w:szCs w:val="20"/>
          <w:color w:val="auto"/>
        </w:rPr>
      </w:pPr>
      <w:r>
        <w:rPr>
          <w:rFonts w:ascii="Times New Roman" w:cs="Times New Roman" w:eastAsia="Times New Roman" w:hAnsi="Times New Roman"/>
          <w:sz w:val="20"/>
          <w:szCs w:val="20"/>
          <w:color w:val="auto"/>
        </w:rPr>
        <w:t>Rule 16b-3) that are requirements for the application of such exemptive rule. To the extent Applicable Laws permit, this Agreement will be deemed amended as necessary to conform to such applicable exemptive rule.</w:t>
      </w:r>
    </w:p>
    <w:p>
      <w:pPr>
        <w:spacing w:after="0" w:line="174" w:lineRule="exact"/>
        <w:rPr>
          <w:sz w:val="20"/>
          <w:szCs w:val="20"/>
          <w:color w:val="auto"/>
        </w:rPr>
      </w:pPr>
    </w:p>
    <w:p>
      <w:pPr>
        <w:ind w:left="300" w:right="579" w:firstLine="648"/>
        <w:spacing w:after="0" w:line="281"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xml:space="preserve"> .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4" w:lineRule="exact"/>
        <w:rPr>
          <w:sz w:val="20"/>
          <w:szCs w:val="20"/>
          <w:color w:val="auto"/>
        </w:rPr>
      </w:pPr>
    </w:p>
    <w:p>
      <w:pPr>
        <w:ind w:left="300" w:right="399" w:firstLine="648"/>
        <w:spacing w:after="0" w:line="258"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xml:space="preserve"> .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2" w:lineRule="exact"/>
        <w:rPr>
          <w:sz w:val="20"/>
          <w:szCs w:val="20"/>
          <w:color w:val="auto"/>
        </w:rPr>
      </w:pPr>
    </w:p>
    <w:p>
      <w:pPr>
        <w:ind w:left="300" w:right="359" w:firstLine="648"/>
        <w:spacing w:after="0" w:line="253"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xml:space="preserve"> .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79" w:lineRule="exact"/>
        <w:rPr>
          <w:sz w:val="20"/>
          <w:szCs w:val="20"/>
          <w:color w:val="auto"/>
        </w:rPr>
      </w:pPr>
    </w:p>
    <w:p>
      <w:pPr>
        <w:jc w:val="both"/>
        <w:ind w:left="300" w:right="359" w:firstLine="648"/>
        <w:spacing w:after="0" w:line="288" w:lineRule="auto"/>
        <w:rPr>
          <w:sz w:val="20"/>
          <w:szCs w:val="20"/>
          <w:color w:val="auto"/>
        </w:rPr>
      </w:pPr>
      <w:r>
        <w:rPr>
          <w:rFonts w:ascii="Times New Roman" w:cs="Times New Roman" w:eastAsia="Times New Roman" w:hAnsi="Times New Roman"/>
          <w:sz w:val="19"/>
          <w:szCs w:val="19"/>
          <w:color w:val="auto"/>
        </w:rPr>
        <w:t xml:space="preserve">5.11 </w:t>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xml:space="preserve"> . Nothing in the Plan, the Grant Notice or this Agreement confers upon Participant any right to continue in the employ or service of the Company or any Subsidiary or interferes with or restricts in any way the rights of the Company and its Subsidiaries, which rights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20"/>
          <w:szCs w:val="20"/>
          <w:color w:val="auto"/>
        </w:rPr>
        <w:t>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1" w:lineRule="exact"/>
        <w:rPr>
          <w:sz w:val="20"/>
          <w:szCs w:val="20"/>
          <w:color w:val="auto"/>
        </w:rPr>
      </w:pPr>
    </w:p>
    <w:p>
      <w:pPr>
        <w:jc w:val="both"/>
        <w:ind w:left="300" w:right="4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ectPr>
          <w:pgSz w:w="11900" w:h="16984" w:orient="portrait"/>
          <w:cols w:equalWidth="0" w:num="1">
            <w:col w:w="9019"/>
          </w:cols>
          <w:pgMar w:left="1440" w:top="684" w:right="1440" w:bottom="0" w:gutter="0" w:footer="0" w:header="0"/>
        </w:sectPr>
      </w:pPr>
    </w:p>
    <w:bookmarkStart w:id="39" w:name="page40"/>
    <w:bookmarkEnd w:id="39"/>
    <w:p>
      <w:pPr>
        <w:jc w:val="center"/>
        <w:ind w:right="-60"/>
        <w:spacing w:after="0"/>
        <w:tabs>
          <w:tab w:leader="none" w:pos="280" w:val="left"/>
        </w:tabs>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254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7254240"/>
                    </a:xfrm>
                    <a:prstGeom prst="rect">
                      <a:avLst/>
                    </a:prstGeom>
                    <a:noFill/>
                  </pic:spPr>
                </pic:pic>
              </a:graphicData>
            </a:graphic>
          </wp:anchor>
        </w:drawing>
        <w:t>5.13</w:t>
      </w:r>
      <w:r>
        <w:rPr>
          <w:sz w:val="20"/>
          <w:szCs w:val="20"/>
          <w:color w:val="auto"/>
        </w:rPr>
        <w:tab/>
      </w:r>
      <w:r>
        <w:rPr>
          <w:rFonts w:ascii="Times New Roman" w:cs="Times New Roman" w:eastAsia="Times New Roman" w:hAnsi="Times New Roman"/>
          <w:sz w:val="19"/>
          <w:szCs w:val="19"/>
          <w:u w:val="single" w:color="auto"/>
          <w:color w:val="auto"/>
        </w:rPr>
        <w:t>Incentive Stock Options</w:t>
      </w:r>
      <w:r>
        <w:rPr>
          <w:rFonts w:ascii="Times New Roman" w:cs="Times New Roman" w:eastAsia="Times New Roman" w:hAnsi="Times New Roman"/>
          <w:sz w:val="19"/>
          <w:szCs w:val="19"/>
          <w:color w:val="auto"/>
        </w:rPr>
        <w:t>. If the Option is designated as an Incentive Stock Option:</w:t>
      </w:r>
    </w:p>
    <w:p>
      <w:pPr>
        <w:spacing w:after="0" w:line="216" w:lineRule="exact"/>
        <w:rPr>
          <w:sz w:val="20"/>
          <w:szCs w:val="20"/>
          <w:color w:val="auto"/>
        </w:rPr>
      </w:pPr>
    </w:p>
    <w:p>
      <w:pPr>
        <w:ind w:left="300" w:right="359" w:firstLine="1288"/>
        <w:spacing w:after="0" w:line="265" w:lineRule="auto"/>
        <w:tabs>
          <w:tab w:leader="none" w:pos="224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spacing w:after="0" w:line="181" w:lineRule="exact"/>
        <w:rPr>
          <w:rFonts w:ascii="Times New Roman" w:cs="Times New Roman" w:eastAsia="Times New Roman" w:hAnsi="Times New Roman"/>
          <w:sz w:val="19"/>
          <w:szCs w:val="19"/>
          <w:color w:val="auto"/>
        </w:rPr>
      </w:pPr>
    </w:p>
    <w:p>
      <w:pPr>
        <w:ind w:left="300" w:right="319" w:firstLine="1288"/>
        <w:spacing w:after="0" w:line="253" w:lineRule="auto"/>
        <w:tabs>
          <w:tab w:leader="none" w:pos="22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will give prompt written notice to the Company of any disposition or other transfer of any Shares acquired under this Agreement if such disposition or other transfer is made (i) 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74" w:lineRule="exact"/>
        <w:rPr>
          <w:rFonts w:ascii="Times New Roman" w:cs="Times New Roman" w:eastAsia="Times New Roman" w:hAnsi="Times New Roman"/>
          <w:sz w:val="20"/>
          <w:szCs w:val="20"/>
          <w:color w:val="auto"/>
        </w:rPr>
      </w:pPr>
    </w:p>
    <w:p>
      <w:pPr>
        <w:ind w:left="4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 * * *</w:t>
      </w:r>
    </w:p>
    <w:p>
      <w:pPr>
        <w:sectPr>
          <w:pgSz w:w="11900" w:h="16838" w:orient="portrait"/>
          <w:cols w:equalWidth="0" w:num="1">
            <w:col w:w="9019"/>
          </w:cols>
          <w:pgMar w:left="1440" w:top="387" w:right="1440" w:bottom="1440" w:gutter="0" w:footer="0" w:header="0"/>
        </w:sectPr>
      </w:pPr>
    </w:p>
    <w:bookmarkStart w:id="40" w:name="page41"/>
    <w:bookmarkEnd w:id="40"/>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720"/>
        <w:spacing w:after="0"/>
        <w:rPr>
          <w:sz w:val="20"/>
          <w:szCs w:val="20"/>
          <w:color w:val="auto"/>
        </w:rPr>
      </w:pPr>
      <w:r>
        <w:rPr>
          <w:rFonts w:ascii="Times New Roman" w:cs="Times New Roman" w:eastAsia="Times New Roman" w:hAnsi="Times New Roman"/>
          <w:sz w:val="19"/>
          <w:szCs w:val="19"/>
          <w:b w:val="1"/>
          <w:bCs w:val="1"/>
          <w:i w:val="1"/>
          <w:iCs w:val="1"/>
          <w:color w:val="auto"/>
        </w:rPr>
        <w:t>Exhibit 10.2</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GOODRX HOLDINGS, INC.</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29" w:lineRule="exact"/>
        <w:rPr>
          <w:sz w:val="20"/>
          <w:szCs w:val="20"/>
          <w:color w:val="auto"/>
        </w:rPr>
      </w:pPr>
    </w:p>
    <w:p>
      <w:pPr>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GoodRx Holdings, Inc., a Delaware corporation (the “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has granted to the participant listed below (“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the Restricted Stock Units (the “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described in this Restricted Stock Unit Grant Notice (this “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 subject to the terms and conditions of the GoodRx Holdings, Inc. 2020 Incentive Award Plan (as amended from time to time, the “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Capitalized terms not specifically defined in this Grant Notice or the Agreement have the meanings given to them in the Plan.</w:t>
      </w:r>
    </w:p>
    <w:p>
      <w:pPr>
        <w:sectPr>
          <w:pgSz w:w="11900" w:h="16933" w:orient="portrait"/>
          <w:cols w:equalWidth="0" w:num="1">
            <w:col w:w="9019"/>
          </w:cols>
          <w:pgMar w:left="1440" w:top="734" w:right="1440" w:bottom="0" w:gutter="0" w:footer="0" w:header="0"/>
        </w:sectPr>
      </w:pP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2" w:lineRule="exact"/>
        <w:rPr>
          <w:sz w:val="20"/>
          <w:szCs w:val="20"/>
          <w:color w:val="auto"/>
        </w:rPr>
      </w:pPr>
    </w:p>
    <w:p>
      <w:pPr>
        <w:sectPr>
          <w:pgSz w:w="11900" w:h="16933" w:orient="portrait"/>
          <w:cols w:equalWidth="0" w:num="2">
            <w:col w:w="3080" w:space="720"/>
            <w:col w:w="5219"/>
          </w:cols>
          <w:pgMar w:left="1440" w:top="734" w:right="1440" w:bottom="0" w:gutter="0" w:footer="0" w:header="0"/>
          <w:type w:val="continuous"/>
        </w:sectPr>
      </w:pPr>
    </w:p>
    <w:p>
      <w:pPr>
        <w:ind w:left="500"/>
        <w:spacing w:after="0"/>
        <w:rPr>
          <w:sz w:val="20"/>
          <w:szCs w:val="20"/>
          <w:color w:val="auto"/>
        </w:rPr>
      </w:pPr>
      <w:r>
        <w:rPr>
          <w:rFonts w:ascii="Times New Roman" w:cs="Times New Roman" w:eastAsia="Times New Roman" w:hAnsi="Times New Roman"/>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2" w:lineRule="exact"/>
        <w:rPr>
          <w:sz w:val="20"/>
          <w:szCs w:val="20"/>
          <w:color w:val="auto"/>
        </w:rPr>
      </w:pPr>
    </w:p>
    <w:p>
      <w:pPr>
        <w:sectPr>
          <w:pgSz w:w="11900" w:h="16933" w:orient="portrait"/>
          <w:cols w:equalWidth="0" w:num="2">
            <w:col w:w="3080" w:space="720"/>
            <w:col w:w="5219"/>
          </w:cols>
          <w:pgMar w:left="1440" w:top="734" w:right="1440" w:bottom="0" w:gutter="0" w:footer="0" w:header="0"/>
          <w:type w:val="continuous"/>
        </w:sectPr>
      </w:pPr>
    </w:p>
    <w:p>
      <w:pPr>
        <w:ind w:left="500"/>
        <w:spacing w:after="0"/>
        <w:rPr>
          <w:sz w:val="20"/>
          <w:szCs w:val="20"/>
          <w:color w:val="auto"/>
        </w:rPr>
      </w:pPr>
      <w:r>
        <w:rPr>
          <w:rFonts w:ascii="Times New Roman" w:cs="Times New Roman" w:eastAsia="Times New Roman" w:hAnsi="Times New Roman"/>
          <w:sz w:val="19"/>
          <w:szCs w:val="19"/>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2" w:lineRule="exact"/>
        <w:rPr>
          <w:sz w:val="20"/>
          <w:szCs w:val="20"/>
          <w:color w:val="auto"/>
        </w:rPr>
      </w:pPr>
    </w:p>
    <w:p>
      <w:pPr>
        <w:sectPr>
          <w:pgSz w:w="11900" w:h="16933" w:orient="portrait"/>
          <w:cols w:equalWidth="0" w:num="2">
            <w:col w:w="3080" w:space="720"/>
            <w:col w:w="5219"/>
          </w:cols>
          <w:pgMar w:left="1440" w:top="734" w:right="1440" w:bottom="0" w:gutter="0" w:footer="0" w:header="0"/>
          <w:type w:val="continuous"/>
        </w:sectPr>
      </w:pPr>
    </w:p>
    <w:p>
      <w:pPr>
        <w:ind w:left="500"/>
        <w:spacing w:after="0"/>
        <w:rPr>
          <w:sz w:val="20"/>
          <w:szCs w:val="20"/>
          <w:color w:val="auto"/>
        </w:rPr>
      </w:pPr>
      <w:r>
        <w:rPr>
          <w:rFonts w:ascii="Times New Roman" w:cs="Times New Roman" w:eastAsia="Times New Roman" w:hAnsi="Times New Roman"/>
          <w:sz w:val="19"/>
          <w:szCs w:val="19"/>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2" w:lineRule="exact"/>
        <w:rPr>
          <w:sz w:val="20"/>
          <w:szCs w:val="20"/>
          <w:color w:val="auto"/>
        </w:rPr>
      </w:pPr>
    </w:p>
    <w:p>
      <w:pPr>
        <w:sectPr>
          <w:pgSz w:w="11900" w:h="16933" w:orient="portrait"/>
          <w:cols w:equalWidth="0" w:num="2">
            <w:col w:w="3080" w:space="720"/>
            <w:col w:w="5219"/>
          </w:cols>
          <w:pgMar w:left="1440" w:top="734" w:right="1440" w:bottom="0" w:gutter="0" w:footer="0" w:header="0"/>
          <w:type w:val="continuous"/>
        </w:sectPr>
      </w:pPr>
    </w:p>
    <w:p>
      <w:pPr>
        <w:ind w:left="50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200" w:lineRule="exact"/>
        <w:rPr>
          <w:sz w:val="20"/>
          <w:szCs w:val="20"/>
          <w:color w:val="auto"/>
        </w:rPr>
      </w:pPr>
    </w:p>
    <w:p>
      <w:pPr>
        <w:sectPr>
          <w:pgSz w:w="11900" w:h="16933" w:orient="portrait"/>
          <w:cols w:equalWidth="0" w:num="2">
            <w:col w:w="3080" w:space="720"/>
            <w:col w:w="5219"/>
          </w:cols>
          <w:pgMar w:left="1440" w:top="734" w:right="1440" w:bottom="0" w:gutter="0" w:footer="0" w:header="0"/>
          <w:type w:val="continuous"/>
        </w:sectPr>
      </w:pPr>
    </w:p>
    <w:p>
      <w:pPr>
        <w:spacing w:after="0" w:line="243" w:lineRule="exact"/>
        <w:rPr>
          <w:sz w:val="20"/>
          <w:szCs w:val="20"/>
          <w:color w:val="auto"/>
        </w:rPr>
      </w:pPr>
    </w:p>
    <w:p>
      <w:pPr>
        <w:ind w:left="300" w:right="439" w:firstLine="648"/>
        <w:spacing w:after="0" w:line="251" w:lineRule="auto"/>
        <w:rPr>
          <w:sz w:val="20"/>
          <w:szCs w:val="20"/>
          <w:color w:val="auto"/>
        </w:rPr>
      </w:pPr>
      <w:r>
        <w:rPr>
          <w:rFonts w:ascii="Times New Roman" w:cs="Times New Roman" w:eastAsia="Times New Roman" w:hAnsi="Times New Roman"/>
          <w:sz w:val="20"/>
          <w:szCs w:val="20"/>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29" w:lineRule="exact"/>
        <w:rPr>
          <w:sz w:val="20"/>
          <w:szCs w:val="20"/>
          <w:color w:val="auto"/>
        </w:rPr>
      </w:pPr>
    </w:p>
    <w:p>
      <w:pPr>
        <w:ind w:left="380"/>
        <w:spacing w:after="0"/>
        <w:tabs>
          <w:tab w:leader="none" w:pos="5020" w:val="left"/>
        </w:tabs>
        <w:rPr>
          <w:sz w:val="20"/>
          <w:szCs w:val="20"/>
          <w:color w:val="auto"/>
        </w:rPr>
      </w:pPr>
      <w:r>
        <w:rPr>
          <w:rFonts w:ascii="Times New Roman" w:cs="Times New Roman" w:eastAsia="Times New Roman" w:hAnsi="Times New Roman"/>
          <w:sz w:val="20"/>
          <w:szCs w:val="20"/>
          <w:b w:val="1"/>
          <w:bCs w:val="1"/>
          <w:color w:val="auto"/>
        </w:rPr>
        <w:t>GOODRX HOLDINGS,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380" w:type="dxa"/>
        <w:tblCellMar>
          <w:top w:w="0" w:type="dxa"/>
          <w:left w:w="0" w:type="dxa"/>
          <w:bottom w:w="0" w:type="dxa"/>
          <w:right w:w="0" w:type="dxa"/>
        </w:tblCellMar>
      </w:tblP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278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8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7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[Participant Name]</w:t>
            </w:r>
          </w:p>
        </w:tc>
        <w:tc>
          <w:tcPr>
            <w:tcW w:w="0" w:type="dxa"/>
            <w:vAlign w:val="bottom"/>
          </w:tcPr>
          <w:p>
            <w:pPr>
              <w:spacing w:after="0"/>
              <w:rPr>
                <w:sz w:val="1"/>
                <w:szCs w:val="1"/>
                <w:color w:val="auto"/>
              </w:rPr>
            </w:pPr>
          </w:p>
        </w:tc>
      </w:tr>
      <w:tr>
        <w:trPr>
          <w:trHeight w:val="85"/>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278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580" w:type="dxa"/>
            <w:vAlign w:val="bottom"/>
            <w:vMerge w:val="continue"/>
          </w:tcPr>
          <w:p>
            <w:pPr>
              <w:spacing w:after="0"/>
              <w:rPr>
                <w:sz w:val="20"/>
                <w:szCs w:val="20"/>
                <w:color w:val="auto"/>
              </w:rPr>
            </w:pPr>
          </w:p>
        </w:tc>
        <w:tc>
          <w:tcPr>
            <w:tcW w:w="2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Agreement (this</w:t>
      </w:r>
    </w:p>
    <w:p>
      <w:pPr>
        <w:spacing w:after="0" w:line="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have the meanings specified in the Grant Notice or, if not defined in the Grant Notice, in</w:t>
      </w:r>
    </w:p>
    <w:p>
      <w:pPr>
        <w:sectPr>
          <w:pgSz w:w="11900" w:h="16933" w:orient="portrait"/>
          <w:cols w:equalWidth="0" w:num="1">
            <w:col w:w="9019"/>
          </w:cols>
          <w:pgMar w:left="1440" w:top="734" w:right="1440" w:bottom="0" w:gutter="0" w:footer="0" w:header="0"/>
          <w:type w:val="continuous"/>
        </w:sectPr>
      </w:pPr>
    </w:p>
    <w:bookmarkStart w:id="41" w:name="page42"/>
    <w:bookmarkEnd w:id="4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0"/>
          <w:szCs w:val="20"/>
          <w:color w:val="auto"/>
        </w:rPr>
        <w:t>the Plan.</w:t>
      </w:r>
    </w:p>
    <w:p>
      <w:pPr>
        <w:spacing w:after="0" w:line="21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0" w:lineRule="exact"/>
        <w:rPr>
          <w:sz w:val="20"/>
          <w:szCs w:val="20"/>
          <w:color w:val="auto"/>
        </w:rPr>
      </w:pPr>
    </w:p>
    <w:p>
      <w:pPr>
        <w:spacing w:after="0" w:line="243" w:lineRule="exact"/>
        <w:rPr>
          <w:sz w:val="20"/>
          <w:szCs w:val="20"/>
          <w:color w:val="auto"/>
        </w:rPr>
      </w:pPr>
    </w:p>
    <w:p>
      <w:pPr>
        <w:ind w:left="300" w:right="3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Participant will have no right to the distribution of any Shares until the time (if ever) the RSUs have vested.</w:t>
      </w:r>
    </w:p>
    <w:p>
      <w:pPr>
        <w:spacing w:after="0" w:line="186" w:lineRule="exact"/>
        <w:rPr>
          <w:sz w:val="20"/>
          <w:szCs w:val="20"/>
          <w:color w:val="auto"/>
        </w:rPr>
      </w:pPr>
    </w:p>
    <w:p>
      <w:pPr>
        <w:ind w:left="300" w:right="55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xml:space="preserve"> . The RSUs are subject to the terms and conditions set forth in this Agreement and the Plan, which is incorporated herein by reference. In the event of any inconsistency between the Plan and this Agreement, the terms of the Plan will control.</w:t>
      </w:r>
    </w:p>
    <w:p>
      <w:pPr>
        <w:spacing w:after="0" w:line="168" w:lineRule="exact"/>
        <w:rPr>
          <w:sz w:val="20"/>
          <w:szCs w:val="20"/>
          <w:color w:val="auto"/>
        </w:rPr>
      </w:pPr>
    </w:p>
    <w:p>
      <w:pPr>
        <w:ind w:left="300" w:right="1079" w:firstLine="648"/>
        <w:spacing w:after="0" w:line="28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xml:space="preserve"> . The RSUs will at all times prior to settlement represent an unsecured Company obligation payable only from the Company’s general assets.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221" w:lineRule="exact"/>
        <w:rPr>
          <w:sz w:val="20"/>
          <w:szCs w:val="20"/>
          <w:color w:val="auto"/>
        </w:rPr>
      </w:pPr>
    </w:p>
    <w:p>
      <w:pPr>
        <w:ind w:left="300" w:right="519" w:firstLine="648"/>
        <w:spacing w:after="0" w:line="256"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xml:space="preserve"> .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75"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300" w:right="339" w:firstLine="1288"/>
        <w:spacing w:after="0" w:line="261" w:lineRule="auto"/>
        <w:tabs>
          <w:tab w:leader="none" w:pos="22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will be paid in Shares as soon as administratively practicable after the vesting of the applicable RSU, but in no event later than March 15 of the year following the year in which the RSU’s vesting date occurs.</w:t>
      </w:r>
    </w:p>
    <w:p>
      <w:pPr>
        <w:spacing w:after="0" w:line="181" w:lineRule="exact"/>
        <w:rPr>
          <w:rFonts w:ascii="Times New Roman" w:cs="Times New Roman" w:eastAsia="Times New Roman" w:hAnsi="Times New Roman"/>
          <w:sz w:val="20"/>
          <w:szCs w:val="20"/>
          <w:color w:val="auto"/>
        </w:rPr>
      </w:pPr>
    </w:p>
    <w:p>
      <w:pPr>
        <w:ind w:left="300" w:right="419" w:firstLine="1288"/>
        <w:spacing w:after="0" w:line="253" w:lineRule="auto"/>
        <w:tabs>
          <w:tab w:leader="none" w:pos="22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2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3.1</w:t>
            </w:r>
          </w:p>
        </w:tc>
        <w:tc>
          <w:tcPr>
            <w:tcW w:w="71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Representation. Participant represents to the Company that Participant has reviewed with</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and the</w:t>
            </w:r>
          </w:p>
        </w:tc>
        <w:tc>
          <w:tcPr>
            <w:tcW w:w="0" w:type="dxa"/>
            <w:vAlign w:val="bottom"/>
          </w:tcPr>
          <w:p>
            <w:pPr>
              <w:spacing w:after="0" w:line="20" w:lineRule="exact"/>
              <w:rPr>
                <w:sz w:val="1"/>
                <w:szCs w:val="1"/>
                <w:color w:val="auto"/>
              </w:rPr>
            </w:pPr>
          </w:p>
        </w:tc>
      </w:tr>
      <w:tr>
        <w:trPr>
          <w:trHeight w:val="270"/>
        </w:trPr>
        <w:tc>
          <w:tcPr>
            <w:tcW w:w="67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Participant’s own tax advisors the tax consequences of this award of RSUs (the “</w:t>
            </w:r>
          </w:p>
        </w:tc>
        <w:tc>
          <w:tcPr>
            <w:tcW w:w="1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88"/>
        </w:trPr>
        <w:tc>
          <w:tcPr>
            <w:tcW w:w="1280" w:type="dxa"/>
            <w:vAlign w:val="bottom"/>
          </w:tcPr>
          <w:p>
            <w:pPr>
              <w:spacing w:after="0"/>
              <w:rPr>
                <w:sz w:val="24"/>
                <w:szCs w:val="24"/>
                <w:color w:val="auto"/>
              </w:rPr>
            </w:pPr>
          </w:p>
        </w:tc>
        <w:tc>
          <w:tcPr>
            <w:tcW w:w="5420" w:type="dxa"/>
            <w:vAlign w:val="bottom"/>
            <w:gridSpan w:val="2"/>
          </w:tcPr>
          <w:p>
            <w:pPr>
              <w:jc w:val="right"/>
              <w:ind w:right="2460"/>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right="479"/>
        <w:spacing w:after="0" w:line="283" w:lineRule="auto"/>
        <w:rPr>
          <w:sz w:val="20"/>
          <w:szCs w:val="20"/>
          <w:color w:val="auto"/>
        </w:rPr>
      </w:pPr>
      <w:r>
        <w:rPr>
          <w:rFonts w:ascii="Times New Roman" w:cs="Times New Roman" w:eastAsia="Times New Roman" w:hAnsi="Times New Roman"/>
          <w:sz w:val="20"/>
          <w:szCs w:val="20"/>
          <w:color w:val="auto"/>
        </w:rPr>
        <w:t>transactions contemplated by the Grant Notice and this Agreement. Participant is relying solely on such advisors and not on any statements or representations of the Company or any of its agents.</w:t>
      </w:r>
    </w:p>
    <w:p>
      <w:pPr>
        <w:spacing w:after="0" w:line="146"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 xml:space="preserve">Tax Withholding </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300" w:right="899" w:firstLine="1288"/>
        <w:spacing w:after="0" w:line="261" w:lineRule="auto"/>
        <w:tabs>
          <w:tab w:leader="none" w:pos="224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3.2(b), payment of the withholding tax obligations with respect to the Award shall be by any of the following, or a combination thereof, as determined by Company in its sole discretion:</w:t>
      </w:r>
    </w:p>
    <w:p>
      <w:pPr>
        <w:spacing w:after="0" w:line="194" w:lineRule="exact"/>
        <w:rPr>
          <w:rFonts w:ascii="Times New Roman" w:cs="Times New Roman" w:eastAsia="Times New Roman" w:hAnsi="Times New Roman"/>
          <w:sz w:val="20"/>
          <w:szCs w:val="20"/>
          <w:color w:val="auto"/>
        </w:rPr>
      </w:pPr>
    </w:p>
    <w:p>
      <w:pPr>
        <w:ind w:left="2880" w:hanging="644"/>
        <w:spacing w:after="0"/>
        <w:tabs>
          <w:tab w:leader="none" w:pos="28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Cash or check;</w:t>
      </w:r>
    </w:p>
    <w:p>
      <w:pPr>
        <w:spacing w:after="0" w:line="219" w:lineRule="exact"/>
        <w:rPr>
          <w:rFonts w:ascii="Times New Roman" w:cs="Times New Roman" w:eastAsia="Times New Roman" w:hAnsi="Times New Roman"/>
          <w:sz w:val="22"/>
          <w:szCs w:val="22"/>
          <w:color w:val="auto"/>
        </w:rPr>
      </w:pPr>
    </w:p>
    <w:p>
      <w:pPr>
        <w:ind w:left="300" w:right="479" w:firstLine="1936"/>
        <w:spacing w:after="0" w:line="285" w:lineRule="auto"/>
        <w:tabs>
          <w:tab w:leader="none" w:pos="2892"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whole or in part by delivery of Shares, including Shares delivered by attestation and Shares retained from the Award creating the tax obligation, valued at their fair market</w:t>
      </w:r>
    </w:p>
    <w:p>
      <w:pPr>
        <w:sectPr>
          <w:pgSz w:w="11900" w:h="16955" w:orient="portrait"/>
          <w:cols w:equalWidth="0" w:num="1">
            <w:col w:w="9019"/>
          </w:cols>
          <w:pgMar w:left="1440" w:top="157" w:right="1440" w:bottom="0" w:gutter="0" w:footer="0" w:header="0"/>
        </w:sectPr>
      </w:pPr>
    </w:p>
    <w:bookmarkStart w:id="42" w:name="page43"/>
    <w:bookmarkEnd w:id="42"/>
    <w:p>
      <w:pPr>
        <w:spacing w:after="0" w:line="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value on the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-131445</wp:posOffset>
            </wp:positionV>
            <wp:extent cx="713232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8" w:lineRule="exact"/>
        <w:rPr>
          <w:sz w:val="20"/>
          <w:szCs w:val="20"/>
          <w:color w:val="auto"/>
        </w:rPr>
      </w:pPr>
    </w:p>
    <w:p>
      <w:pPr>
        <w:ind w:left="300" w:right="339" w:firstLine="1936"/>
        <w:spacing w:after="0" w:line="254" w:lineRule="auto"/>
        <w:tabs>
          <w:tab w:leader="none" w:pos="289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Subject to Section 10.17 of the Plan,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w:t>
      </w:r>
    </w:p>
    <w:p>
      <w:pPr>
        <w:spacing w:after="0" w:line="176" w:lineRule="exact"/>
        <w:rPr>
          <w:rFonts w:ascii="Times New Roman" w:cs="Times New Roman" w:eastAsia="Times New Roman" w:hAnsi="Times New Roman"/>
          <w:sz w:val="22"/>
          <w:szCs w:val="22"/>
          <w:color w:val="auto"/>
        </w:rPr>
      </w:pPr>
    </w:p>
    <w:p>
      <w:pPr>
        <w:ind w:left="300" w:right="319" w:firstLine="1288"/>
        <w:spacing w:after="0" w:line="252" w:lineRule="auto"/>
        <w:tabs>
          <w:tab w:leader="none" w:pos="22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Company otherwise determines, the Company shall withhold, or cause to be withheld, Shares otherwise vesting or issuable under this Award in satisfaction of any applicable withholding tax obligations. In addition, in the event Participant is an officer for purposes of Section 16(b) of the Exchange Act when the RSUs are paid, then the Company shall withhold, or cause to be withheld, Shares otherwise vesting or issuable under this Award in satisfaction of any applicable withholding tax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177" w:lineRule="exact"/>
        <w:rPr>
          <w:rFonts w:ascii="Times New Roman" w:cs="Times New Roman" w:eastAsia="Times New Roman" w:hAnsi="Times New Roman"/>
          <w:sz w:val="20"/>
          <w:szCs w:val="20"/>
          <w:color w:val="auto"/>
        </w:rPr>
      </w:pPr>
    </w:p>
    <w:p>
      <w:pPr>
        <w:ind w:left="300" w:right="399" w:firstLine="1288"/>
        <w:spacing w:after="0" w:line="253" w:lineRule="auto"/>
        <w:tabs>
          <w:tab w:leader="none" w:pos="22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RESTRICTIVE COVENANTS</w:t>
      </w:r>
    </w:p>
    <w:p>
      <w:pPr>
        <w:spacing w:after="0" w:line="260" w:lineRule="exact"/>
        <w:rPr>
          <w:sz w:val="20"/>
          <w:szCs w:val="20"/>
          <w:color w:val="auto"/>
        </w:rPr>
      </w:pPr>
    </w:p>
    <w:p>
      <w:pPr>
        <w:ind w:left="300" w:right="459" w:firstLine="648"/>
        <w:spacing w:after="0" w:line="253" w:lineRule="auto"/>
        <w:rPr>
          <w:sz w:val="20"/>
          <w:szCs w:val="20"/>
          <w:color w:val="auto"/>
        </w:rPr>
      </w:pPr>
      <w:r>
        <w:rPr>
          <w:rFonts w:ascii="Times New Roman" w:cs="Times New Roman" w:eastAsia="Times New Roman" w:hAnsi="Times New Roman"/>
          <w:sz w:val="20"/>
          <w:szCs w:val="20"/>
          <w:color w:val="auto"/>
        </w:rPr>
        <w:t>The following Article IV applies only to a Participant who is an Employee of GoodRx, Inc. and any parents, subsidiaries, and Affiliates and not to directors or other persons who are not employed by such entity. In consideration of Participant’s continued employment and other good and valuable consideration, including the equity being offered herein, which Participant acknowledges to be good and valuable consideration, the Company and Participant agree as follows:</w:t>
      </w:r>
    </w:p>
    <w:p>
      <w:pPr>
        <w:spacing w:after="0" w:line="178"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40" w:right="999" w:firstLine="648"/>
        <w:spacing w:after="0" w:line="287" w:lineRule="auto"/>
        <w:tabs>
          <w:tab w:leader="none" w:pos="194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Confidential Information </w:t>
      </w:r>
      <w:r>
        <w:rPr>
          <w:rFonts w:ascii="Times New Roman" w:cs="Times New Roman" w:eastAsia="Times New Roman" w:hAnsi="Times New Roman"/>
          <w:sz w:val="20"/>
          <w:szCs w:val="20"/>
          <w:color w:val="auto"/>
        </w:rPr>
        <w:t>is defined as set forth in Participant’s Proprietary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&amp; Invention Assignment Agreement.</w:t>
      </w:r>
    </w:p>
    <w:p>
      <w:pPr>
        <w:spacing w:after="0" w:line="138" w:lineRule="exact"/>
        <w:rPr>
          <w:rFonts w:ascii="Times New Roman" w:cs="Times New Roman" w:eastAsia="Times New Roman" w:hAnsi="Times New Roman"/>
          <w:sz w:val="20"/>
          <w:szCs w:val="20"/>
          <w:color w:val="auto"/>
        </w:rPr>
      </w:pPr>
    </w:p>
    <w:p>
      <w:pPr>
        <w:ind w:left="940" w:right="499" w:firstLine="648"/>
        <w:spacing w:after="0" w:line="291" w:lineRule="auto"/>
        <w:tabs>
          <w:tab w:leader="none" w:pos="193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Customer Information </w:t>
      </w:r>
      <w:r>
        <w:rPr>
          <w:rFonts w:ascii="Times New Roman" w:cs="Times New Roman" w:eastAsia="Times New Roman" w:hAnsi="Times New Roman"/>
          <w:sz w:val="19"/>
          <w:szCs w:val="19"/>
          <w:color w:val="auto"/>
        </w:rPr>
        <w:t>includes, but is not limited to, names, phone numbers,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addresses, email addresses, order history, order preferences, chain of command, pricing information, and other information identifying facts and circumstances specific to the customer.</w:t>
      </w:r>
    </w:p>
    <w:p>
      <w:pPr>
        <w:spacing w:after="0" w:line="136" w:lineRule="exact"/>
        <w:rPr>
          <w:rFonts w:ascii="Times New Roman" w:cs="Times New Roman" w:eastAsia="Times New Roman" w:hAnsi="Times New Roman"/>
          <w:sz w:val="19"/>
          <w:szCs w:val="19"/>
          <w:color w:val="auto"/>
        </w:rPr>
      </w:pPr>
    </w:p>
    <w:p>
      <w:pPr>
        <w:jc w:val="both"/>
        <w:ind w:left="940" w:right="339" w:firstLine="648"/>
        <w:spacing w:after="0" w:line="263" w:lineRule="auto"/>
        <w:tabs>
          <w:tab w:leader="none" w:pos="185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Restricted Period </w:t>
      </w:r>
      <w:r>
        <w:rPr>
          <w:rFonts w:ascii="Times New Roman" w:cs="Times New Roman" w:eastAsia="Times New Roman" w:hAnsi="Times New Roman"/>
          <w:sz w:val="20"/>
          <w:szCs w:val="20"/>
          <w:color w:val="auto"/>
        </w:rPr>
        <w:t>means Participant’s employment with the Company through one (1)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immediately following the termination of Participant’s employment, regardless of the reason for the termination, whether voluntary or involuntary.</w:t>
      </w:r>
    </w:p>
    <w:p>
      <w:pPr>
        <w:spacing w:after="0" w:line="175" w:lineRule="exact"/>
        <w:rPr>
          <w:rFonts w:ascii="Times New Roman" w:cs="Times New Roman" w:eastAsia="Times New Roman" w:hAnsi="Times New Roman"/>
          <w:sz w:val="20"/>
          <w:szCs w:val="20"/>
          <w:color w:val="auto"/>
        </w:rPr>
      </w:pPr>
    </w:p>
    <w:p>
      <w:pPr>
        <w:ind w:left="940" w:right="339" w:firstLine="648"/>
        <w:spacing w:after="0" w:line="283" w:lineRule="auto"/>
        <w:tabs>
          <w:tab w:leader="none" w:pos="190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Restricted Territory </w:t>
      </w:r>
      <w:r>
        <w:rPr>
          <w:rFonts w:ascii="Times New Roman" w:cs="Times New Roman" w:eastAsia="Times New Roman" w:hAnsi="Times New Roman"/>
          <w:sz w:val="19"/>
          <w:szCs w:val="19"/>
          <w:color w:val="auto"/>
        </w:rPr>
        <w:t>means any US state in which the Company is located or did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business during the one-year prior to the end of Participant’s employment, or in which Participant performed substantial services or had substantial responsibility while employed by the Company.</w:t>
      </w:r>
    </w:p>
    <w:p>
      <w:pPr>
        <w:spacing w:after="0" w:line="163" w:lineRule="exact"/>
        <w:rPr>
          <w:sz w:val="20"/>
          <w:szCs w:val="20"/>
          <w:color w:val="auto"/>
        </w:rPr>
      </w:pPr>
    </w:p>
    <w:p>
      <w:pPr>
        <w:ind w:left="300" w:right="319" w:firstLine="648"/>
        <w:spacing w:after="0" w:line="266"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Legitimate Business Interests</w:t>
      </w:r>
      <w:r>
        <w:rPr>
          <w:rFonts w:ascii="Times New Roman" w:cs="Times New Roman" w:eastAsia="Times New Roman" w:hAnsi="Times New Roman"/>
          <w:sz w:val="19"/>
          <w:szCs w:val="19"/>
          <w:color w:val="auto"/>
        </w:rPr>
        <w:t xml:space="preserve"> . Participant understands and acknowledges that: (i) the nature of Participant’s position gives Participant access to and knowledge of Confidential Information and places Participant in a position of trust and confidence with the Company; (ii) Participant will obtain knowledge and skill relevant to the Company industry, methods of doing business, and marketing strategies by virtue of Participant’s employment; (iii) the intellectual services Participant provides to the Company are unique, special, or extraordinary; and (iv) the Company’s ability to reserve these for the exclusive knowledge and use of the Company is of great competitive importance and commercial value to</w:t>
      </w:r>
    </w:p>
    <w:p>
      <w:pPr>
        <w:sectPr>
          <w:pgSz w:w="11900" w:h="16862" w:orient="portrait"/>
          <w:cols w:equalWidth="0" w:num="1">
            <w:col w:w="9019"/>
          </w:cols>
          <w:pgMar w:left="1440" w:top="118" w:right="1440" w:bottom="0" w:gutter="0" w:footer="0" w:header="0"/>
        </w:sectPr>
      </w:pPr>
    </w:p>
    <w:bookmarkStart w:id="43" w:name="page44"/>
    <w:bookmarkEnd w:id="43"/>
    <w:p>
      <w:pPr>
        <w:spacing w:after="0" w:line="95" w:lineRule="exact"/>
        <w:rPr>
          <w:sz w:val="20"/>
          <w:szCs w:val="20"/>
          <w:color w:val="auto"/>
        </w:rPr>
      </w:pPr>
    </w:p>
    <w:p>
      <w:pPr>
        <w:ind w:left="300" w:right="1039"/>
        <w:spacing w:after="0" w:line="255" w:lineRule="auto"/>
        <w:rPr>
          <w:sz w:val="20"/>
          <w:szCs w:val="20"/>
          <w:color w:val="auto"/>
        </w:rPr>
      </w:pPr>
      <w:r>
        <w:rPr>
          <w:rFonts w:ascii="Times New Roman" w:cs="Times New Roman" w:eastAsia="Times New Roman" w:hAnsi="Times New Roman"/>
          <w:sz w:val="20"/>
          <w:szCs w:val="20"/>
          <w:color w:val="auto"/>
        </w:rPr>
        <w:t>the Company, and that improper use or disclosure by the Participant is likely to result in unfair or unlawful competitive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3"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Non-Competition Agreement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2880" w:right="339" w:firstLine="1300"/>
        <w:spacing w:after="0" w:line="263" w:lineRule="auto"/>
        <w:tabs>
          <w:tab w:leader="none" w:pos="4824"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During the Restricted Period and in the Restricted Territory, and subject to the limitations in subsection (b) below, Participant agrees not to (1) contribute their knowledge, directly or indirectly, or provide services to an entity in competition with the Company, including without limitation any entity engaged in the business of providing or promoting medication affordability solutions (including solutions provided by pharmaceutical manufacturers), prescription discount cards, and telehealth services, or any business in which the Company has taken material steps towards engaging; (2) provide services to a competitor that may require or inevitably require the use or disclosure of trade secrets, proprietary information, or other Confidential Information, as defined in Participant’s Proprietary Information and Invention Assignment Agreement (“PIIA”); or (3) represent a customer, business partner, vendor, or supplier of the Company on behalf of a that entity’s relationship with the Company.</w:t>
      </w:r>
    </w:p>
    <w:p>
      <w:pPr>
        <w:spacing w:after="0" w:line="200" w:lineRule="exact"/>
        <w:rPr>
          <w:sz w:val="20"/>
          <w:szCs w:val="20"/>
          <w:color w:val="auto"/>
        </w:rPr>
      </w:pPr>
    </w:p>
    <w:p>
      <w:pPr>
        <w:spacing w:after="0" w:line="22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19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w:t>
            </w:r>
          </w:p>
        </w:tc>
        <w:tc>
          <w:tcPr>
            <w:tcW w:w="3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Limitations on Non-Competition Agreement</w:t>
            </w:r>
          </w:p>
        </w:tc>
        <w:tc>
          <w:tcPr>
            <w:tcW w:w="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r>
      <w:tr>
        <w:trPr>
          <w:trHeight w:val="20"/>
        </w:trPr>
        <w:tc>
          <w:tcPr>
            <w:tcW w:w="194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57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The post-employment non-competition restriction in this section will not</w:t>
            </w:r>
          </w:p>
        </w:tc>
        <w:tc>
          <w:tcPr>
            <w:tcW w:w="60" w:type="dxa"/>
            <w:vAlign w:val="bottom"/>
          </w:tcPr>
          <w:p>
            <w:pPr>
              <w:spacing w:after="0"/>
              <w:rPr>
                <w:sz w:val="22"/>
                <w:szCs w:val="22"/>
                <w:color w:val="auto"/>
              </w:rPr>
            </w:pPr>
          </w:p>
        </w:tc>
      </w:tr>
      <w:tr>
        <w:trPr>
          <w:trHeight w:val="229"/>
        </w:trPr>
        <w:tc>
          <w:tcPr>
            <w:tcW w:w="5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 enforced against any Participant in California, Minnesota, North</w:t>
            </w:r>
          </w:p>
        </w:tc>
        <w:tc>
          <w:tcPr>
            <w:tcW w:w="60" w:type="dxa"/>
            <w:vAlign w:val="bottom"/>
          </w:tcPr>
          <w:p>
            <w:pPr>
              <w:spacing w:after="0"/>
              <w:rPr>
                <w:sz w:val="19"/>
                <w:szCs w:val="19"/>
                <w:color w:val="auto"/>
              </w:rPr>
            </w:pPr>
          </w:p>
        </w:tc>
      </w:tr>
      <w:tr>
        <w:trPr>
          <w:trHeight w:val="258"/>
        </w:trPr>
        <w:tc>
          <w:tcPr>
            <w:tcW w:w="5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Dakota, or Oklahoma, or in any other location where prohibited by law;</w:t>
            </w:r>
          </w:p>
        </w:tc>
        <w:tc>
          <w:tcPr>
            <w:tcW w:w="60" w:type="dxa"/>
            <w:vAlign w:val="bottom"/>
          </w:tcPr>
          <w:p>
            <w:pPr>
              <w:spacing w:after="0"/>
              <w:rPr>
                <w:sz w:val="22"/>
                <w:szCs w:val="22"/>
                <w:color w:val="auto"/>
              </w:rPr>
            </w:pPr>
          </w:p>
        </w:tc>
      </w:tr>
    </w:tbl>
    <w:p>
      <w:pPr>
        <w:ind w:left="2880" w:right="339"/>
        <w:spacing w:after="0" w:line="279" w:lineRule="auto"/>
        <w:rPr>
          <w:sz w:val="20"/>
          <w:szCs w:val="20"/>
          <w:color w:val="auto"/>
        </w:rPr>
      </w:pPr>
      <w:r>
        <w:rPr>
          <w:rFonts w:ascii="Times New Roman" w:cs="Times New Roman" w:eastAsia="Times New Roman" w:hAnsi="Times New Roman"/>
          <w:sz w:val="19"/>
          <w:szCs w:val="19"/>
          <w:color w:val="auto"/>
        </w:rPr>
        <w:t>it also shall not be enforced against any non-exempt Employee or against any exempt Employee earning less than $100,000 total compensation per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80" w:right="339"/>
        <w:spacing w:after="0" w:line="250" w:lineRule="auto"/>
        <w:rPr>
          <w:sz w:val="20"/>
          <w:szCs w:val="20"/>
          <w:color w:val="auto"/>
        </w:rPr>
      </w:pPr>
      <w:r>
        <w:rPr>
          <w:rFonts w:ascii="Times New Roman" w:cs="Times New Roman" w:eastAsia="Times New Roman" w:hAnsi="Times New Roman"/>
          <w:sz w:val="20"/>
          <w:szCs w:val="20"/>
          <w:color w:val="auto"/>
        </w:rPr>
        <w:t>year. It shall also only be enforced to the extent permissible under the ABA Model Rules of Professional Conduct’s provisions pertaining to the right to practice law and/or any applicable state counterpart. [See “State-Specific Modifications” section below for additional restrictions.] Further, nothing shall prohibit Participant from purchasing or owning less than five percent (5%) of the publicly traded securities of any corporation, provided that such ownership represents a passive investment and that Participant is not a controlling person of, or a member of a group that controls, such corporation. This paragraph also does not, in any way, restrict or impede Participant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87" w:lineRule="exact"/>
        <w:rPr>
          <w:sz w:val="20"/>
          <w:szCs w:val="20"/>
          <w:color w:val="auto"/>
        </w:rPr>
      </w:pPr>
    </w:p>
    <w:p>
      <w:pPr>
        <w:ind w:left="300" w:right="339" w:firstLine="648"/>
        <w:spacing w:after="0" w:line="265"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Non-Solicitation of Employees</w:t>
      </w:r>
      <w:r>
        <w:rPr>
          <w:rFonts w:ascii="Times New Roman" w:cs="Times New Roman" w:eastAsia="Times New Roman" w:hAnsi="Times New Roman"/>
          <w:sz w:val="19"/>
          <w:szCs w:val="19"/>
          <w:color w:val="auto"/>
        </w:rPr>
        <w:t xml:space="preserve"> . Participant acknowledges that the Company has expended significant time and expense in recruiting and training its employees and that the loss of employees would cause significant and irreparable harm to the Company. If Participant is employed in a supervisory or managerial capacity with the Company, during the Restricted Period, they may not solicit, directly or indirectly, or on behalf of another person, any employees that they supervise, work with, or gain Confidential Information about (“Covered Employee”) to leave the employment of the Company or to accept employment or engagement as a contractor with any business enterprise with whom Participant is associated. For purposes of this provision, “solicit” includes any communication intended to influence or encourage another employee to leave the Company, including without limitation via referral, recommendation, or any job-related or social media platform, such as LinkedIn. The post-employment restriction in this section will not be enforced against any Participant in California or in any other location where prohibited by law. [See “State-Specific Modifications” section below for additional restrictions.]</w:t>
      </w:r>
    </w:p>
    <w:p>
      <w:pPr>
        <w:spacing w:after="0" w:line="170" w:lineRule="exact"/>
        <w:rPr>
          <w:sz w:val="20"/>
          <w:szCs w:val="20"/>
          <w:color w:val="auto"/>
        </w:rPr>
      </w:pPr>
    </w:p>
    <w:p>
      <w:pPr>
        <w:ind w:left="300" w:right="619" w:firstLine="648"/>
        <w:spacing w:after="0" w:line="310"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Non-Solicitation of Customers</w:t>
      </w:r>
      <w:r>
        <w:rPr>
          <w:rFonts w:ascii="Times New Roman" w:cs="Times New Roman" w:eastAsia="Times New Roman" w:hAnsi="Times New Roman"/>
          <w:sz w:val="19"/>
          <w:szCs w:val="19"/>
          <w:color w:val="auto"/>
        </w:rPr>
        <w:t xml:space="preserve"> . Participant acknowledges that they have had and will continue to have access to the Company’s Customer Information and that: (i) the Company’s customer</w:t>
      </w:r>
    </w:p>
    <w:p>
      <w:pPr>
        <w:sectPr>
          <w:pgSz w:w="11900" w:h="16933" w:orient="portrait"/>
          <w:cols w:equalWidth="0" w:num="1">
            <w:col w:w="9019"/>
          </w:cols>
          <w:pgMar w:left="1440" w:top="76" w:right="1440" w:bottom="0" w:gutter="0" w:footer="0" w:header="0"/>
        </w:sectPr>
      </w:pPr>
    </w:p>
    <w:bookmarkStart w:id="44" w:name="page45"/>
    <w:bookmarkEnd w:id="44"/>
    <w:p>
      <w:pPr>
        <w:ind w:left="300" w:right="299"/>
        <w:spacing w:after="0" w:line="250" w:lineRule="auto"/>
        <w:rPr>
          <w:sz w:val="20"/>
          <w:szCs w:val="20"/>
          <w:color w:val="auto"/>
        </w:rPr>
      </w:pPr>
      <w:r>
        <w:rPr>
          <w:rFonts w:ascii="Times New Roman" w:cs="Times New Roman" w:eastAsia="Times New Roman" w:hAnsi="Times New Roman"/>
          <w:sz w:val="20"/>
          <w:szCs w:val="20"/>
          <w:color w:val="auto"/>
        </w:rPr>
        <w:t>relationships are of great competitive value; (ii) the Company has invested substantial resources in developing and preserving its customer relationships and goodwill; and (iii) the loss of any such customer relationship or goodwill will cause significant and irreparable harm to the Company. Accordingly, Participant agrees, during the Restricted Period, not to directly or indirectly solicit, contact, or attempt to solicit or contact, including, but not limited to, via email, telephone, or social media, including but not limited to LinkedIn, or meet with the Company’s current, former, or prospective customers for purposes of offering or accepting goods or services similar to or competitive with those offered by the Company. This restriction shall only apply to: (a) Customers or prospective customers the Participant solicited or worked with during the last 24 months of their employment; or (b) Customers about whom Participant has trade secret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-1480185</wp:posOffset>
            </wp:positionV>
            <wp:extent cx="713232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77" w:lineRule="exact"/>
        <w:rPr>
          <w:sz w:val="20"/>
          <w:szCs w:val="20"/>
          <w:color w:val="auto"/>
        </w:rPr>
      </w:pPr>
    </w:p>
    <w:p>
      <w:pPr>
        <w:ind w:left="300" w:right="4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highlight w:val="white"/>
        </w:rPr>
        <w:t>Reasonableness of Covenants</w:t>
      </w:r>
      <w:r>
        <w:rPr>
          <w:rFonts w:ascii="Times New Roman" w:cs="Times New Roman" w:eastAsia="Times New Roman" w:hAnsi="Times New Roman"/>
          <w:sz w:val="20"/>
          <w:szCs w:val="20"/>
          <w:color w:val="auto"/>
        </w:rPr>
        <w:t xml:space="preserve"> . Participant agrees that: (a) the restrictive covenants and other terms and conditions of this Agreement are reasonable and reasonably necessary to protect the legitimate business interests of the Company; (b) Participant will be reasonably able to earn a living without violating the terms of the restrictive covenants and will not be subject to undue hardship by fully complying with these restrictive covenants; and (c) Participant has been given five (5) business days to review and consider this Agreement before signing and has been advised of the right to consult with counsel.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right="359" w:firstLine="648"/>
        <w:spacing w:after="0" w:line="252" w:lineRule="auto"/>
        <w:rPr>
          <w:sz w:val="20"/>
          <w:szCs w:val="20"/>
          <w:color w:val="auto"/>
        </w:rPr>
      </w:pPr>
      <w:r>
        <w:rPr>
          <w:rFonts w:ascii="Times New Roman" w:cs="Times New Roman" w:eastAsia="Times New Roman" w:hAnsi="Times New Roman"/>
          <w:sz w:val="20"/>
          <w:szCs w:val="20"/>
          <w:color w:val="auto"/>
          <w:highlight w:val="white"/>
        </w:rPr>
        <w:t xml:space="preserve">4.5 </w:t>
      </w:r>
      <w:r>
        <w:rPr>
          <w:rFonts w:ascii="Times New Roman" w:cs="Times New Roman" w:eastAsia="Times New Roman" w:hAnsi="Times New Roman"/>
          <w:sz w:val="20"/>
          <w:szCs w:val="20"/>
          <w:u w:val="single" w:color="auto"/>
          <w:color w:val="auto"/>
          <w:highlight w:val="white"/>
        </w:rPr>
        <w:t>Remedies</w:t>
      </w:r>
      <w:r>
        <w:rPr>
          <w:rFonts w:ascii="Times New Roman" w:cs="Times New Roman" w:eastAsia="Times New Roman" w:hAnsi="Times New Roman"/>
          <w:sz w:val="20"/>
          <w:szCs w:val="20"/>
          <w:color w:val="auto"/>
        </w:rPr>
        <w:t>. In the event of a breach or threatened breach by Participant of any of the</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restricti</w:t>
      </w:r>
      <w:r>
        <w:rPr>
          <w:rFonts w:ascii="Times New Roman" w:cs="Times New Roman" w:eastAsia="Times New Roman" w:hAnsi="Times New Roman"/>
          <w:sz w:val="20"/>
          <w:szCs w:val="20"/>
          <w:color w:val="auto"/>
          <w:highlight w:val="white"/>
        </w:rPr>
        <w:t>ve co</w:t>
      </w:r>
      <w:r>
        <w:rPr>
          <w:rFonts w:ascii="Times New Roman" w:cs="Times New Roman" w:eastAsia="Times New Roman" w:hAnsi="Times New Roman"/>
          <w:sz w:val="20"/>
          <w:szCs w:val="20"/>
          <w:color w:val="auto"/>
        </w:rPr>
        <w:t>venants herein, Participant agrees that money damages would not afford an adequate remedy and that the Company shall be entitled to seek a temporary or permanent injunction or other equitable relief from any court of competent jurisdiction, without the necessity of showing any actual damages. Any equitable relief shall be in addition to, not in lieu of, legal remedies, monetary damages, or other available relief. If Participant violates any of the terms of the restrictive covenant obligations, the covenant at issue will begin to run from the first date on which the Participant ceases to be in violation of the obligation, for which the Restricted Period shall automatically be extended by the period the Participant was in violation.</w:t>
      </w:r>
    </w:p>
    <w:p>
      <w:pPr>
        <w:spacing w:after="0" w:line="176" w:lineRule="exact"/>
        <w:rPr>
          <w:sz w:val="20"/>
          <w:szCs w:val="20"/>
          <w:color w:val="auto"/>
        </w:rPr>
      </w:pPr>
    </w:p>
    <w:p>
      <w:pPr>
        <w:ind w:left="300" w:right="359" w:firstLine="648"/>
        <w:spacing w:after="0" w:line="252"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xml:space="preserve"> The laws of the state where Participant primarily resided when last employed with the Company will control the interpretation and application of this Agreement (the “Controlling State”) without regard to any conflicts of law principles of any other state to the contrary; provided, however, that if the Parties have entered into an arbitration agreement that includes claims arising from this Agreement, then the Federal Arbitration Act, U.S.C. § 1 et seq. shall control as to all arbitration rights. For purposes of any matter that can be litigated in a court of law in accordance with any arbitration agreement between the Parties, Participant consents to the personal jurisdiction of the courts of proper subject matter jurisdiction located in the Controlling State, and waives any objections to the exercise of jurisdiction over them by such courts (whether based on convenience, cost, location of witnesses or evidence, or otherwise). Participant understands that the Controlling State, and thus the controlling law and venue under this Agreement, will change if they move to a new state.</w:t>
      </w:r>
    </w:p>
    <w:p>
      <w:pPr>
        <w:spacing w:after="0" w:line="179" w:lineRule="exact"/>
        <w:rPr>
          <w:sz w:val="20"/>
          <w:szCs w:val="20"/>
          <w:color w:val="auto"/>
        </w:rPr>
      </w:pPr>
    </w:p>
    <w:p>
      <w:pPr>
        <w:ind w:left="300" w:right="519" w:firstLine="648"/>
        <w:spacing w:after="0" w:line="276" w:lineRule="auto"/>
        <w:rPr>
          <w:sz w:val="20"/>
          <w:szCs w:val="20"/>
          <w:color w:val="auto"/>
        </w:rPr>
      </w:pPr>
      <w:r>
        <w:rPr>
          <w:rFonts w:ascii="Times New Roman" w:cs="Times New Roman" w:eastAsia="Times New Roman" w:hAnsi="Times New Roman"/>
          <w:sz w:val="19"/>
          <w:szCs w:val="19"/>
          <w:color w:val="auto"/>
          <w:highlight w:val="white"/>
        </w:rPr>
        <w:t xml:space="preserve">4.7 </w:t>
      </w:r>
      <w:r>
        <w:rPr>
          <w:rFonts w:ascii="Times New Roman" w:cs="Times New Roman" w:eastAsia="Times New Roman" w:hAnsi="Times New Roman"/>
          <w:sz w:val="19"/>
          <w:szCs w:val="19"/>
          <w:u w:val="single" w:color="auto"/>
          <w:color w:val="auto"/>
          <w:highlight w:val="white"/>
        </w:rPr>
        <w:t>Attorneys’ Fees</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 If Participant breaches any of the terms of the restrictive covenant</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obligati</w:t>
      </w:r>
      <w:r>
        <w:rPr>
          <w:rFonts w:ascii="Times New Roman" w:cs="Times New Roman" w:eastAsia="Times New Roman" w:hAnsi="Times New Roman"/>
          <w:sz w:val="19"/>
          <w:szCs w:val="19"/>
          <w:color w:val="auto"/>
          <w:highlight w:val="white"/>
        </w:rPr>
        <w:t>ons, t</w:t>
      </w:r>
      <w:r>
        <w:rPr>
          <w:rFonts w:ascii="Times New Roman" w:cs="Times New Roman" w:eastAsia="Times New Roman" w:hAnsi="Times New Roman"/>
          <w:sz w:val="19"/>
          <w:szCs w:val="19"/>
          <w:color w:val="auto"/>
        </w:rPr>
        <w:t>o the extent authorized by state law, Participant will be responsible for payment of all reasonable attorneys’ fees and costs the Company incurred in the course of enforcing the terms of the covenant, including demonstrating the existence of a breach and any other contract enforcement efforts.</w:t>
      </w:r>
    </w:p>
    <w:p>
      <w:pPr>
        <w:spacing w:after="0" w:line="156" w:lineRule="exact"/>
        <w:rPr>
          <w:sz w:val="20"/>
          <w:szCs w:val="20"/>
          <w:color w:val="auto"/>
        </w:rPr>
      </w:pPr>
    </w:p>
    <w:p>
      <w:pPr>
        <w:ind w:left="300" w:right="539" w:firstLine="648"/>
        <w:spacing w:after="0" w:line="276"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highlight w:val="white"/>
        </w:rPr>
        <w:t>Notice</w:t>
      </w:r>
      <w:r>
        <w:rPr>
          <w:rFonts w:ascii="Times New Roman" w:cs="Times New Roman" w:eastAsia="Times New Roman" w:hAnsi="Times New Roman"/>
          <w:sz w:val="19"/>
          <w:szCs w:val="19"/>
          <w:color w:val="auto"/>
        </w:rPr>
        <w:t xml:space="preserve">. If and when Participant’s employment with Company terminates, whether voluntarily </w:t>
      </w:r>
      <w:r>
        <w:rPr>
          <w:rFonts w:ascii="Times New Roman" w:cs="Times New Roman" w:eastAsia="Times New Roman" w:hAnsi="Times New Roman"/>
          <w:sz w:val="19"/>
          <w:szCs w:val="19"/>
          <w:color w:val="auto"/>
          <w:highlight w:val="white"/>
        </w:rPr>
        <w:t>or</w:t>
      </w:r>
      <w:r>
        <w:rPr>
          <w:rFonts w:ascii="Times New Roman" w:cs="Times New Roman" w:eastAsia="Times New Roman" w:hAnsi="Times New Roman"/>
          <w:sz w:val="19"/>
          <w:szCs w:val="19"/>
          <w:color w:val="auto"/>
        </w:rPr>
        <w:t xml:space="preserve"> involuntarily, Participant agrees to provide to any subsequent employer a copy of this agreement. In addition, Participant authorizes the Company to provide a copy of this agreement to third parties, including but not limited to, Participant’s subsequent, anticipated, or possible future employer.</w:t>
      </w:r>
    </w:p>
    <w:p>
      <w:pPr>
        <w:spacing w:after="0" w:line="170" w:lineRule="exact"/>
        <w:rPr>
          <w:sz w:val="20"/>
          <w:szCs w:val="20"/>
          <w:color w:val="auto"/>
        </w:rPr>
      </w:pPr>
    </w:p>
    <w:p>
      <w:pPr>
        <w:ind w:left="300" w:right="419" w:firstLine="648"/>
        <w:spacing w:after="0" w:line="266"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u w:val="single" w:color="auto"/>
          <w:color w:val="auto"/>
        </w:rPr>
        <w:t>Assignability</w:t>
      </w:r>
      <w:r>
        <w:rPr>
          <w:rFonts w:ascii="Times New Roman" w:cs="Times New Roman" w:eastAsia="Times New Roman" w:hAnsi="Times New Roman"/>
          <w:sz w:val="19"/>
          <w:szCs w:val="19"/>
          <w:color w:val="auto"/>
        </w:rPr>
        <w:t>. “Affiliate” refers to any legal entity or organization that is directly, or indirectly through one or more intermediaries, controlling, controlled by, or under common ownership or control with GoodRx, Inc., or a successor thereof. The Restrictive Covenants herein shall automatically inure the benefit of, and may be enforced by, the Company and its Affiliates, and their successors, and assigns who have a protectable interest. If Participant’s employment is transferred from the undersigned Company entity to an Affiliate, the Affiliate will assume the same position and rights as the original employer Company under this agreement without the need for any further agreement by Participant. Participant agrees to the assignment of the Restrictive Covenants by Company and all rights and</w:t>
      </w:r>
    </w:p>
    <w:p>
      <w:pPr>
        <w:sectPr>
          <w:pgSz w:w="11900" w:h="16838" w:orient="portrait"/>
          <w:cols w:equalWidth="0" w:num="1">
            <w:col w:w="9019"/>
          </w:cols>
          <w:pgMar w:left="1440" w:top="76" w:right="1440" w:bottom="0" w:gutter="0" w:footer="0" w:header="0"/>
        </w:sectPr>
      </w:pPr>
    </w:p>
    <w:bookmarkStart w:id="45" w:name="page46"/>
    <w:bookmarkEnd w:id="45"/>
    <w:p>
      <w:pPr>
        <w:spacing w:after="0" w:line="126" w:lineRule="exact"/>
        <w:rPr>
          <w:sz w:val="20"/>
          <w:szCs w:val="20"/>
          <w:color w:val="auto"/>
        </w:rPr>
      </w:pPr>
    </w:p>
    <w:p>
      <w:pPr>
        <w:ind w:left="300" w:right="539"/>
        <w:spacing w:after="0" w:line="231" w:lineRule="auto"/>
        <w:rPr>
          <w:sz w:val="20"/>
          <w:szCs w:val="20"/>
          <w:color w:val="auto"/>
        </w:rPr>
      </w:pPr>
      <w:r>
        <w:rPr>
          <w:rFonts w:ascii="Times New Roman" w:cs="Times New Roman" w:eastAsia="Times New Roman" w:hAnsi="Times New Roman"/>
          <w:sz w:val="19"/>
          <w:szCs w:val="19"/>
          <w:color w:val="auto"/>
        </w:rPr>
        <w:t>obligations hereunder, including, but not limited to, an assignment in connection with any merger, sale, transfer, or acquisition consummated by Company, its parent, or any of their Affiliates, or relating to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-226060</wp:posOffset>
            </wp:positionV>
            <wp:extent cx="713232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39"/>
        <w:spacing w:after="0" w:line="267" w:lineRule="auto"/>
        <w:rPr>
          <w:sz w:val="20"/>
          <w:szCs w:val="20"/>
          <w:color w:val="auto"/>
        </w:rPr>
      </w:pPr>
      <w:r>
        <w:rPr>
          <w:rFonts w:ascii="Times New Roman" w:cs="Times New Roman" w:eastAsia="Times New Roman" w:hAnsi="Times New Roman"/>
          <w:sz w:val="20"/>
          <w:szCs w:val="20"/>
          <w:color w:val="auto"/>
        </w:rPr>
        <w:t>or part of their assets. Without the written consent of the Company, Participant will not assign or transfer this Agreement or any right or obligation under this Agreement to any other person or entity.</w:t>
      </w:r>
    </w:p>
    <w:p>
      <w:pPr>
        <w:spacing w:after="0" w:line="161" w:lineRule="exact"/>
        <w:rPr>
          <w:sz w:val="20"/>
          <w:szCs w:val="20"/>
          <w:color w:val="auto"/>
        </w:rPr>
      </w:pPr>
    </w:p>
    <w:p>
      <w:pPr>
        <w:jc w:val="both"/>
        <w:ind w:left="300" w:right="479" w:firstLine="648"/>
        <w:spacing w:after="0" w:line="281"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State-Specific Modifications</w:t>
      </w:r>
      <w:r>
        <w:rPr>
          <w:rFonts w:ascii="Times New Roman" w:cs="Times New Roman" w:eastAsia="Times New Roman" w:hAnsi="Times New Roman"/>
          <w:sz w:val="19"/>
          <w:szCs w:val="19"/>
          <w:color w:val="auto"/>
        </w:rPr>
        <w:t xml:space="preserve"> . If Participant’s Controlling State is listed below then the Restrictive Covenants in this section will be modified in accordance with the paragraph for Participant’s Controlling State, provided, however, that it is intent of the Parties that the Restrictive Covenants shall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00" w:right="499"/>
        <w:spacing w:after="0" w:line="283" w:lineRule="auto"/>
        <w:rPr>
          <w:sz w:val="20"/>
          <w:szCs w:val="20"/>
          <w:color w:val="auto"/>
        </w:rPr>
      </w:pPr>
      <w:r>
        <w:rPr>
          <w:rFonts w:ascii="Times New Roman" w:cs="Times New Roman" w:eastAsia="Times New Roman" w:hAnsi="Times New Roman"/>
          <w:sz w:val="20"/>
          <w:szCs w:val="20"/>
          <w:color w:val="auto"/>
        </w:rPr>
        <w:t>only be construed and applied to the extent that such enforcement would not violate controlling law that governs the Parties’ relationship.</w:t>
      </w:r>
    </w:p>
    <w:p>
      <w:pPr>
        <w:spacing w:after="0" w:line="142" w:lineRule="exact"/>
        <w:rPr>
          <w:sz w:val="20"/>
          <w:szCs w:val="20"/>
          <w:color w:val="auto"/>
        </w:rPr>
      </w:pPr>
    </w:p>
    <w:p>
      <w:pPr>
        <w:ind w:left="300" w:right="819"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Alabama</w:t>
      </w:r>
      <w:r>
        <w:rPr>
          <w:rFonts w:ascii="Times New Roman" w:cs="Times New Roman" w:eastAsia="Times New Roman" w:hAnsi="Times New Roman"/>
          <w:sz w:val="20"/>
          <w:szCs w:val="20"/>
          <w:color w:val="auto"/>
        </w:rPr>
        <w:t>. The definition of Covered Employee shall only apply to Employees in a position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uniquely essential to the management, organization, or service of the business.</w:t>
      </w:r>
    </w:p>
    <w:p>
      <w:pPr>
        <w:spacing w:after="0" w:line="152" w:lineRule="exact"/>
        <w:rPr>
          <w:sz w:val="20"/>
          <w:szCs w:val="20"/>
          <w:color w:val="auto"/>
        </w:rPr>
      </w:pPr>
    </w:p>
    <w:p>
      <w:pPr>
        <w:ind w:left="300" w:right="639" w:firstLine="648"/>
        <w:spacing w:after="0" w:line="273" w:lineRule="auto"/>
        <w:rPr>
          <w:sz w:val="20"/>
          <w:szCs w:val="20"/>
          <w:color w:val="auto"/>
        </w:rPr>
      </w:pPr>
      <w:r>
        <w:rPr>
          <w:rFonts w:ascii="Times New Roman" w:cs="Times New Roman" w:eastAsia="Times New Roman" w:hAnsi="Times New Roman"/>
          <w:sz w:val="19"/>
          <w:szCs w:val="19"/>
          <w:b w:val="1"/>
          <w:bCs w:val="1"/>
          <w:u w:val="single" w:color="auto"/>
          <w:color w:val="auto"/>
        </w:rPr>
        <w:t>California</w:t>
      </w:r>
      <w:r>
        <w:rPr>
          <w:rFonts w:ascii="Times New Roman" w:cs="Times New Roman" w:eastAsia="Times New Roman" w:hAnsi="Times New Roman"/>
          <w:sz w:val="19"/>
          <w:szCs w:val="19"/>
          <w:color w:val="auto"/>
        </w:rPr>
        <w:t>. The post-employment non-competition and employee non-solicitation restrictions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 shall not apply to Participant. Nothing in this Agreement will require Participant to adjudicate outside of California a claim arising in California or be applied so as to deprive Participant of the substantive protection of California law with respect to a controversy arising in California.</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b w:val="1"/>
          <w:bCs w:val="1"/>
          <w:u w:val="single" w:color="auto"/>
          <w:color w:val="auto"/>
        </w:rPr>
        <w:t>Colorado</w:t>
      </w:r>
      <w:r>
        <w:rPr>
          <w:rFonts w:ascii="Times New Roman" w:cs="Times New Roman" w:eastAsia="Times New Roman" w:hAnsi="Times New Roman"/>
          <w:sz w:val="20"/>
          <w:szCs w:val="20"/>
          <w:color w:val="auto"/>
        </w:rPr>
        <w:t>. The non-competition provision will only be applicable to exempt Employees earning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at least $127,091 or who is considered otherwise “highly compensated” pursuant to applicable law. The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customer non-solicitation provision will only be enforced against exempt Employees earning at least</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$77,000 or who otherwise meet the compensation threshold under applicable law. The non-competition</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provision of this agreement will become effective 14 days after signed by the Participant.</w:t>
      </w:r>
    </w:p>
    <w:p>
      <w:pPr>
        <w:spacing w:after="0" w:line="203" w:lineRule="exact"/>
        <w:rPr>
          <w:sz w:val="20"/>
          <w:szCs w:val="20"/>
          <w:color w:val="auto"/>
        </w:rPr>
      </w:pPr>
    </w:p>
    <w:p>
      <w:pPr>
        <w:ind w:left="300" w:right="319" w:firstLine="648"/>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District of Columbia</w:t>
      </w:r>
      <w:r>
        <w:rPr>
          <w:rFonts w:ascii="Times New Roman" w:cs="Times New Roman" w:eastAsia="Times New Roman" w:hAnsi="Times New Roman"/>
          <w:sz w:val="20"/>
          <w:szCs w:val="20"/>
          <w:color w:val="auto"/>
        </w:rPr>
        <w:t>. The non-competition provisions applies to highly compensated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as defined by the Ban on Non-Compete Agreements Amendment Act of 2020, who spend or are expected to spend at least 50% of their work time in D.C. or work for a D.C. employer and spend substantial time in D.C. but do not spend more than 50% of their time in another jurisdiction. Participant has been advised of the following: “The District of Columbia Ban on Non-Compete Agreements Amendment Act of 2020 limits the use of non-compete agreements. It allows employers to request non-compete agreements from ‘highly compensated employees’ under certain conditions. For more information about the Ban on Non-Compete Agreements Amendment Act of 2020, contact the District of Columbia Department of Employment Services (DOES).” Participant’s agreement to the non-competition provision will become effective fourteen (14) days after Participant signs this agreement.</w:t>
      </w:r>
    </w:p>
    <w:p>
      <w:pPr>
        <w:spacing w:after="0" w:line="187" w:lineRule="exact"/>
        <w:rPr>
          <w:sz w:val="20"/>
          <w:szCs w:val="20"/>
          <w:color w:val="auto"/>
        </w:rPr>
      </w:pPr>
    </w:p>
    <w:p>
      <w:pPr>
        <w:jc w:val="both"/>
        <w:ind w:left="300" w:right="379" w:firstLine="648"/>
        <w:spacing w:after="0" w:line="283" w:lineRule="auto"/>
        <w:rPr>
          <w:sz w:val="20"/>
          <w:szCs w:val="20"/>
          <w:color w:val="auto"/>
        </w:rPr>
      </w:pPr>
      <w:r>
        <w:rPr>
          <w:rFonts w:ascii="Times New Roman" w:cs="Times New Roman" w:eastAsia="Times New Roman" w:hAnsi="Times New Roman"/>
          <w:sz w:val="19"/>
          <w:szCs w:val="19"/>
          <w:b w:val="1"/>
          <w:bCs w:val="1"/>
          <w:u w:val="single" w:color="auto"/>
          <w:color w:val="auto"/>
        </w:rPr>
        <w:t>Georgia</w:t>
      </w:r>
      <w:r>
        <w:rPr>
          <w:rFonts w:ascii="Times New Roman" w:cs="Times New Roman" w:eastAsia="Times New Roman" w:hAnsi="Times New Roman"/>
          <w:sz w:val="19"/>
          <w:szCs w:val="19"/>
          <w:color w:val="auto"/>
        </w:rPr>
        <w:t>. The employee non-solicitation restriction will only apply to those Covered Employees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reside or work within a 75-mile radius of the Company locations or offices that Participant works out of or report to in the two-year period preceding Participant’s last day of employment with the Company.</w:t>
      </w:r>
    </w:p>
    <w:p>
      <w:pPr>
        <w:spacing w:after="0" w:line="159" w:lineRule="exact"/>
        <w:rPr>
          <w:sz w:val="20"/>
          <w:szCs w:val="20"/>
          <w:color w:val="auto"/>
        </w:rPr>
      </w:pPr>
    </w:p>
    <w:p>
      <w:pPr>
        <w:ind w:left="300" w:right="379"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Idaho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non-competition restrictions apply onto to “key employees” as defined under Idaho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44-2702(1), meaning employees “who, by reason of the employer's investment of time, money, trust, exposure to the public, or exposure to technologies, intellectual property, business plans, business processes and methods of operation, customers, vendors or other business relationships during the course of employment, have gained a high level of inside knowledge, influence, credibility, notoriety, fame, reputation or public persona as a representative or spokesperson of the employer and, as a result, have the ability to harm or threaten an employer's legitimate business interests.”</w:t>
      </w:r>
    </w:p>
    <w:p>
      <w:pPr>
        <w:spacing w:after="0" w:line="186" w:lineRule="exact"/>
        <w:rPr>
          <w:sz w:val="20"/>
          <w:szCs w:val="20"/>
          <w:color w:val="auto"/>
        </w:rPr>
      </w:pPr>
    </w:p>
    <w:p>
      <w:pPr>
        <w:ind w:left="300" w:right="339"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Illinois</w:t>
      </w:r>
      <w:r>
        <w:rPr>
          <w:rFonts w:ascii="Times New Roman" w:cs="Times New Roman" w:eastAsia="Times New Roman" w:hAnsi="Times New Roman"/>
          <w:sz w:val="20"/>
          <w:szCs w:val="20"/>
          <w:color w:val="auto"/>
        </w:rPr>
        <w:t>. The employee non-solicitation provision does not apply to any Participant who earns 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$52,500 per year. Participant has been advised of their right to consult an attorney regarding the Restrictive Covenants section of this agreement. Participant’s agreement to the non-competition provision will become effective fourteen (14) days after Participant signs this agreement.</w:t>
      </w:r>
    </w:p>
    <w:p>
      <w:pPr>
        <w:spacing w:after="0" w:line="164" w:lineRule="exact"/>
        <w:rPr>
          <w:sz w:val="20"/>
          <w:szCs w:val="20"/>
          <w:color w:val="auto"/>
        </w:rPr>
      </w:pPr>
    </w:p>
    <w:p>
      <w:pPr>
        <w:ind w:left="300" w:right="399"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Indiana</w:t>
      </w:r>
      <w:r>
        <w:rPr>
          <w:rFonts w:ascii="Times New Roman" w:cs="Times New Roman" w:eastAsia="Times New Roman" w:hAnsi="Times New Roman"/>
          <w:sz w:val="20"/>
          <w:szCs w:val="20"/>
          <w:color w:val="auto"/>
        </w:rPr>
        <w:t>. The definition of Covered Employee is modified to provide that the Covered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 also be an Employee who is entrusted with Confidential Information.</w:t>
      </w:r>
    </w:p>
    <w:p>
      <w:pPr>
        <w:spacing w:after="0" w:line="152" w:lineRule="exact"/>
        <w:rPr>
          <w:sz w:val="20"/>
          <w:szCs w:val="20"/>
          <w:color w:val="auto"/>
        </w:rPr>
      </w:pPr>
    </w:p>
    <w:p>
      <w:pPr>
        <w:ind w:left="300" w:right="519" w:firstLine="648"/>
        <w:spacing w:after="0" w:line="300" w:lineRule="auto"/>
        <w:rPr>
          <w:sz w:val="20"/>
          <w:szCs w:val="20"/>
          <w:color w:val="auto"/>
        </w:rPr>
      </w:pPr>
      <w:r>
        <w:rPr>
          <w:rFonts w:ascii="Times New Roman" w:cs="Times New Roman" w:eastAsia="Times New Roman" w:hAnsi="Times New Roman"/>
          <w:sz w:val="19"/>
          <w:szCs w:val="19"/>
          <w:b w:val="1"/>
          <w:bCs w:val="1"/>
          <w:u w:val="single" w:color="auto"/>
          <w:color w:val="auto"/>
        </w:rPr>
        <w:t>Maine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1F1F1F"/>
        </w:rPr>
        <w:t>The non-competition provision herein will only be enforceable if necessary to protect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1F1F1F"/>
        </w:rPr>
        <w:t>legitimate business interest, defined as a trade secret, Confidential Information, or good will. Further, it</w:t>
      </w:r>
    </w:p>
    <w:p>
      <w:pPr>
        <w:sectPr>
          <w:pgSz w:w="11900" w:h="16965" w:orient="portrait"/>
          <w:cols w:equalWidth="0" w:num="1">
            <w:col w:w="9019"/>
          </w:cols>
          <w:pgMar w:left="1440" w:top="76" w:right="1440" w:bottom="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6</w:t>
      </w:r>
    </w:p>
    <w:p>
      <w:pPr>
        <w:sectPr>
          <w:pgSz w:w="11900" w:h="16838" w:orient="portrait"/>
          <w:cols w:equalWidth="0" w:num="1">
            <w:col w:w="9019"/>
          </w:cols>
          <w:pgMar w:left="1440" w:top="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right="479"/>
        <w:spacing w:after="0" w:line="283" w:lineRule="auto"/>
        <w:rPr>
          <w:sz w:val="20"/>
          <w:szCs w:val="20"/>
          <w:color w:val="auto"/>
        </w:rPr>
      </w:pPr>
      <w:r>
        <w:rPr>
          <w:rFonts w:ascii="Times New Roman" w:cs="Times New Roman" w:eastAsia="Times New Roman" w:hAnsi="Times New Roman"/>
          <w:sz w:val="20"/>
          <w:szCs w:val="20"/>
          <w:color w:val="1F1F1F"/>
        </w:rPr>
        <w:t>will not take effect until after one year of the Participant’s employment or a period of 6 months from the date this agreement was signed, whichever is later.</w:t>
      </w:r>
    </w:p>
    <w:p>
      <w:pPr>
        <w:spacing w:after="0" w:line="142" w:lineRule="exact"/>
        <w:rPr>
          <w:sz w:val="20"/>
          <w:szCs w:val="20"/>
          <w:color w:val="auto"/>
        </w:rPr>
      </w:pPr>
    </w:p>
    <w:p>
      <w:pPr>
        <w:ind w:left="300" w:right="479"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Massachusetts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agreement to the non-competition provision will become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 (10) days after Participant signs this agreement, and it shall not be enforced against Participants terminated without cause or laid off. Participant has been advised of their right to consult an attorney before signing this agreement.</w:t>
      </w:r>
    </w:p>
    <w:p>
      <w:pPr>
        <w:spacing w:after="0" w:line="178" w:lineRule="exact"/>
        <w:rPr>
          <w:sz w:val="20"/>
          <w:szCs w:val="20"/>
          <w:color w:val="auto"/>
        </w:rPr>
      </w:pPr>
    </w:p>
    <w:p>
      <w:pPr>
        <w:ind w:left="300" w:right="519"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Missouri</w:t>
      </w:r>
      <w:r>
        <w:rPr>
          <w:rFonts w:ascii="Times New Roman" w:cs="Times New Roman" w:eastAsia="Times New Roman" w:hAnsi="Times New Roman"/>
          <w:sz w:val="20"/>
          <w:szCs w:val="20"/>
          <w:color w:val="auto"/>
        </w:rPr>
        <w:t>. The restriction on employee solicitation will not apply to an Employee who provides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secretarial or clerical services.</w:t>
      </w:r>
    </w:p>
    <w:p>
      <w:pPr>
        <w:spacing w:after="0" w:line="165" w:lineRule="exact"/>
        <w:rPr>
          <w:sz w:val="20"/>
          <w:szCs w:val="20"/>
          <w:color w:val="auto"/>
        </w:rPr>
      </w:pPr>
    </w:p>
    <w:p>
      <w:pPr>
        <w:ind w:left="300" w:right="339" w:firstLine="648"/>
        <w:spacing w:after="0" w:line="283" w:lineRule="auto"/>
        <w:rPr>
          <w:sz w:val="20"/>
          <w:szCs w:val="20"/>
          <w:color w:val="auto"/>
        </w:rPr>
      </w:pPr>
      <w:r>
        <w:rPr>
          <w:rFonts w:ascii="Times New Roman" w:cs="Times New Roman" w:eastAsia="Times New Roman" w:hAnsi="Times New Roman"/>
          <w:sz w:val="19"/>
          <w:szCs w:val="19"/>
          <w:b w:val="1"/>
          <w:bCs w:val="1"/>
          <w:u w:val="single" w:color="auto"/>
          <w:color w:val="auto"/>
        </w:rPr>
        <w:t>Oregon</w:t>
      </w:r>
      <w:r>
        <w:rPr>
          <w:rFonts w:ascii="Times New Roman" w:cs="Times New Roman" w:eastAsia="Times New Roman" w:hAnsi="Times New Roman"/>
          <w:sz w:val="19"/>
          <w:szCs w:val="19"/>
          <w:color w:val="auto"/>
        </w:rPr>
        <w:t>. The non-competition provision will only be enforced against exempt Employees earning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more than $116,427 or such compensation threshold required by Or. Rev. Stat. § 653.295(1), and only if this Agreement is provided to Participant in connection with a written employment offer or a promotion.</w:t>
      </w:r>
    </w:p>
    <w:p>
      <w:pPr>
        <w:spacing w:after="0" w:line="172" w:lineRule="exact"/>
        <w:rPr>
          <w:sz w:val="20"/>
          <w:szCs w:val="20"/>
          <w:color w:val="auto"/>
        </w:rPr>
      </w:pPr>
    </w:p>
    <w:p>
      <w:pPr>
        <w:ind w:left="300" w:right="559"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Washington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The non-competition provision shall only be enforced against exempt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earning at least $123,000 or such compensation threshold required by applicable law, and it shall not be enforced against Employees terminated due to a layoff. The customer non-solicitation provision shall only be enforced as applied to current customers.</w:t>
      </w:r>
    </w:p>
    <w:p>
      <w:pPr>
        <w:spacing w:after="0" w:line="191" w:lineRule="exact"/>
        <w:rPr>
          <w:sz w:val="20"/>
          <w:szCs w:val="20"/>
          <w:color w:val="auto"/>
        </w:rPr>
      </w:pPr>
    </w:p>
    <w:p>
      <w:pPr>
        <w:ind w:left="300" w:right="1039"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Wisconsin.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definition of Covered Employee is modified to provide that the Covered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must also be an Employee who is entrusted with Confidential Information.</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27" w:lineRule="exact"/>
        <w:rPr>
          <w:sz w:val="20"/>
          <w:szCs w:val="20"/>
          <w:color w:val="auto"/>
        </w:rPr>
      </w:pPr>
    </w:p>
    <w:p>
      <w:pPr>
        <w:ind w:left="300" w:right="799" w:firstLine="648"/>
        <w:spacing w:after="0" w:line="26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and the Shares subject to the RSUs are subject to adjustment, modification and termination in certain events as provided in this Agreement and the Plan.</w:t>
      </w:r>
    </w:p>
    <w:p>
      <w:pPr>
        <w:spacing w:after="0" w:line="181" w:lineRule="exact"/>
        <w:rPr>
          <w:sz w:val="20"/>
          <w:szCs w:val="20"/>
          <w:color w:val="auto"/>
        </w:rPr>
      </w:pPr>
    </w:p>
    <w:p>
      <w:pPr>
        <w:ind w:left="300" w:right="659" w:firstLine="648"/>
        <w:spacing w:after="0" w:line="258"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The Award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72" w:lineRule="exact"/>
        <w:rPr>
          <w:sz w:val="20"/>
          <w:szCs w:val="20"/>
          <w:color w:val="auto"/>
        </w:rPr>
      </w:pPr>
    </w:p>
    <w:p>
      <w:pPr>
        <w:ind w:left="300" w:right="359" w:firstLine="648"/>
        <w:spacing w:after="0" w:line="250"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200" w:lineRule="exact"/>
        <w:rPr>
          <w:sz w:val="20"/>
          <w:szCs w:val="20"/>
          <w:color w:val="auto"/>
        </w:rPr>
      </w:pPr>
    </w:p>
    <w:p>
      <w:pPr>
        <w:ind w:left="300" w:right="3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ectPr>
          <w:pgSz w:w="11900" w:h="16838" w:orient="portrait"/>
          <w:cols w:equalWidth="0" w:num="1">
            <w:col w:w="9019"/>
          </w:cols>
          <w:pgMar w:left="1440" w:top="405" w:right="1440"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405" w:right="1440" w:bottom="1440" w:gutter="0" w:footer="0" w:header="0"/>
          <w:type w:val="continuous"/>
        </w:sectPr>
      </w:pPr>
    </w:p>
    <w:bookmarkStart w:id="47" w:name="page48"/>
    <w:bookmarkEnd w:id="47"/>
    <w:p>
      <w:pPr>
        <w:ind w:left="300" w:right="359" w:firstLine="648"/>
        <w:spacing w:after="0" w:line="26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6258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8625840"/>
                    </a:xfrm>
                    <a:prstGeom prst="rect">
                      <a:avLst/>
                    </a:prstGeom>
                    <a:noFill/>
                  </pic:spPr>
                </pic:pic>
              </a:graphicData>
            </a:graphic>
          </wp:anchor>
        </w:drawing>
        <w:t xml:space="preserve">5.5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1" w:lineRule="exact"/>
        <w:rPr>
          <w:sz w:val="20"/>
          <w:szCs w:val="20"/>
          <w:color w:val="auto"/>
        </w:rPr>
      </w:pPr>
    </w:p>
    <w:p>
      <w:pPr>
        <w:ind w:left="300" w:right="3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ind w:left="300" w:right="339" w:firstLine="648"/>
        <w:spacing w:after="0" w:line="252"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xml:space="preserve"> .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w:t>
      </w:r>
    </w:p>
    <w:p>
      <w:pPr>
        <w:spacing w:after="0" w:line="1" w:lineRule="exact"/>
        <w:rPr>
          <w:sz w:val="20"/>
          <w:szCs w:val="20"/>
          <w:color w:val="auto"/>
        </w:rPr>
      </w:pPr>
    </w:p>
    <w:p>
      <w:pPr>
        <w:jc w:val="both"/>
        <w:ind w:left="300" w:right="539"/>
        <w:spacing w:after="0" w:line="256" w:lineRule="auto"/>
        <w:rPr>
          <w:sz w:val="20"/>
          <w:szCs w:val="20"/>
          <w:color w:val="auto"/>
        </w:rPr>
      </w:pPr>
      <w:r>
        <w:rPr>
          <w:rFonts w:ascii="Times New Roman" w:cs="Times New Roman" w:eastAsia="Times New Roman" w:hAnsi="Times New Roman"/>
          <w:sz w:val="20"/>
          <w:szCs w:val="20"/>
          <w:color w:val="auto"/>
        </w:rPr>
        <w:t>16b-3) that are requirements for the application of such exemptive rule. To the extent Applicable Laws permit, this Agreement will be deemed amended as necessary to conform to such applicable exemptive rule.</w:t>
      </w:r>
    </w:p>
    <w:p>
      <w:pPr>
        <w:spacing w:after="0" w:line="174" w:lineRule="exact"/>
        <w:rPr>
          <w:sz w:val="20"/>
          <w:szCs w:val="20"/>
          <w:color w:val="auto"/>
        </w:rPr>
      </w:pPr>
    </w:p>
    <w:p>
      <w:pPr>
        <w:jc w:val="both"/>
        <w:ind w:left="300" w:right="339" w:firstLine="648"/>
        <w:spacing w:after="0" w:line="261"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1" w:lineRule="exact"/>
        <w:rPr>
          <w:sz w:val="20"/>
          <w:szCs w:val="20"/>
          <w:color w:val="auto"/>
        </w:rPr>
      </w:pPr>
    </w:p>
    <w:p>
      <w:pPr>
        <w:ind w:left="300" w:right="399" w:firstLine="648"/>
        <w:spacing w:after="0" w:line="258"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xml:space="preserve"> .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2" w:lineRule="exact"/>
        <w:rPr>
          <w:sz w:val="20"/>
          <w:szCs w:val="20"/>
          <w:color w:val="auto"/>
        </w:rPr>
      </w:pPr>
    </w:p>
    <w:p>
      <w:pPr>
        <w:ind w:left="300" w:right="359" w:firstLine="648"/>
        <w:spacing w:after="0" w:line="269" w:lineRule="auto"/>
        <w:rPr>
          <w:sz w:val="20"/>
          <w:szCs w:val="20"/>
          <w:color w:val="auto"/>
        </w:rPr>
      </w:pPr>
      <w:r>
        <w:rPr>
          <w:rFonts w:ascii="Times New Roman" w:cs="Times New Roman" w:eastAsia="Times New Roman" w:hAnsi="Times New Roman"/>
          <w:sz w:val="19"/>
          <w:szCs w:val="19"/>
          <w:color w:val="auto"/>
        </w:rPr>
        <w:t xml:space="preserve">5.10 </w:t>
      </w:r>
      <w:r>
        <w:rPr>
          <w:rFonts w:ascii="Times New Roman" w:cs="Times New Roman" w:eastAsia="Times New Roman" w:hAnsi="Times New Roman"/>
          <w:sz w:val="19"/>
          <w:szCs w:val="19"/>
          <w:u w:val="single" w:color="auto"/>
          <w:color w:val="auto"/>
        </w:rPr>
        <w:t>Limitation on Participant’s Rights</w:t>
      </w:r>
      <w:r>
        <w:rPr>
          <w:rFonts w:ascii="Times New Roman" w:cs="Times New Roman" w:eastAsia="Times New Roman" w:hAnsi="Times New Roman"/>
          <w:sz w:val="19"/>
          <w:szCs w:val="19"/>
          <w:color w:val="auto"/>
        </w:rPr>
        <w:t xml:space="preserve"> .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62" w:lineRule="exact"/>
        <w:rPr>
          <w:sz w:val="20"/>
          <w:szCs w:val="20"/>
          <w:color w:val="auto"/>
        </w:rPr>
      </w:pPr>
    </w:p>
    <w:p>
      <w:pPr>
        <w:ind w:left="300" w:right="359" w:firstLine="648"/>
        <w:spacing w:after="0" w:line="256"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xml:space="preserve"> .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5" w:lineRule="exact"/>
        <w:rPr>
          <w:sz w:val="20"/>
          <w:szCs w:val="20"/>
          <w:color w:val="auto"/>
        </w:rPr>
      </w:pPr>
    </w:p>
    <w:p>
      <w:pPr>
        <w:jc w:val="both"/>
        <w:ind w:left="300" w:right="4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684" w:right="1440" w:bottom="1440" w:gutter="0" w:footer="0" w:header="0"/>
        </w:sectPr>
      </w:pPr>
    </w:p>
    <w:bookmarkStart w:id="48" w:name="page49"/>
    <w:bookmarkEnd w:id="48"/>
    <w:p>
      <w:pPr>
        <w:jc w:val="right"/>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Wendy Barnes, certify that:</w:t>
      </w:r>
    </w:p>
    <w:p>
      <w:pPr>
        <w:spacing w:after="0" w:line="221" w:lineRule="exact"/>
        <w:rPr>
          <w:sz w:val="20"/>
          <w:szCs w:val="20"/>
          <w:color w:val="auto"/>
        </w:rPr>
      </w:pPr>
    </w:p>
    <w:p>
      <w:pPr>
        <w:ind w:left="700" w:hanging="651"/>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21"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700" w:right="359" w:hanging="651"/>
        <w:spacing w:after="0" w:line="266"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340" w:right="119" w:hanging="643"/>
        <w:spacing w:after="0" w:line="259" w:lineRule="auto"/>
        <w:tabs>
          <w:tab w:leader="none" w:pos="13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1340" w:right="159" w:hanging="643"/>
        <w:spacing w:after="0" w:line="259" w:lineRule="auto"/>
        <w:tabs>
          <w:tab w:leader="none" w:pos="13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6"/>
          <w:szCs w:val="16"/>
          <w:color w:val="auto"/>
        </w:rPr>
      </w:pPr>
    </w:p>
    <w:p>
      <w:pPr>
        <w:ind w:left="1340" w:right="159" w:hanging="643"/>
        <w:spacing w:after="0" w:line="266" w:lineRule="auto"/>
        <w:tabs>
          <w:tab w:leader="none" w:pos="13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40" w:right="99" w:hanging="643"/>
        <w:spacing w:after="0" w:line="265" w:lineRule="auto"/>
        <w:tabs>
          <w:tab w:leader="none" w:pos="13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jc w:val="both"/>
        <w:ind w:left="700" w:right="99" w:hanging="651"/>
        <w:spacing w:after="0" w:line="266"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6"/>
          <w:szCs w:val="16"/>
          <w:color w:val="auto"/>
        </w:rPr>
      </w:pPr>
    </w:p>
    <w:p>
      <w:pPr>
        <w:ind w:left="1340" w:right="99" w:hanging="643"/>
        <w:spacing w:after="0" w:line="266" w:lineRule="auto"/>
        <w:tabs>
          <w:tab w:leader="none" w:pos="13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40" w:right="179" w:hanging="643"/>
        <w:spacing w:after="0" w:line="286" w:lineRule="auto"/>
        <w:tabs>
          <w:tab w:leader="none" w:pos="13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100"/>
        <w:spacing w:after="0"/>
        <w:tabs>
          <w:tab w:leader="none" w:pos="4320" w:val="left"/>
          <w:tab w:leader="none" w:pos="6180" w:val="left"/>
        </w:tabs>
        <w:rPr>
          <w:sz w:val="20"/>
          <w:szCs w:val="20"/>
          <w:color w:val="auto"/>
        </w:rPr>
      </w:pPr>
      <w:r>
        <w:rPr>
          <w:rFonts w:ascii="Arial" w:cs="Arial" w:eastAsia="Arial" w:hAnsi="Arial"/>
          <w:sz w:val="16"/>
          <w:szCs w:val="16"/>
          <w:color w:val="auto"/>
        </w:rPr>
        <w:t>Date: November 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Wendy Barnes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Wendy Barnes</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Chief Executive Officer &amp; President</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49" w:name="page50"/>
    <w:bookmarkEnd w:id="49"/>
    <w:p>
      <w:pPr>
        <w:jc w:val="right"/>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Christopher McGinnis, certify that:</w:t>
      </w:r>
    </w:p>
    <w:p>
      <w:pPr>
        <w:spacing w:after="0" w:line="208" w:lineRule="exact"/>
        <w:rPr>
          <w:sz w:val="20"/>
          <w:szCs w:val="20"/>
          <w:color w:val="auto"/>
        </w:rPr>
      </w:pPr>
    </w:p>
    <w:p>
      <w:pPr>
        <w:ind w:left="700" w:hanging="651"/>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34"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700" w:right="359" w:hanging="651"/>
        <w:spacing w:after="0" w:line="266"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340" w:right="119" w:hanging="643"/>
        <w:spacing w:after="0" w:line="259" w:lineRule="auto"/>
        <w:tabs>
          <w:tab w:leader="none" w:pos="13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1340" w:right="159" w:hanging="643"/>
        <w:spacing w:after="0" w:line="259" w:lineRule="auto"/>
        <w:tabs>
          <w:tab w:leader="none" w:pos="13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6"/>
          <w:szCs w:val="16"/>
          <w:color w:val="auto"/>
        </w:rPr>
      </w:pPr>
    </w:p>
    <w:p>
      <w:pPr>
        <w:ind w:left="1340" w:right="159" w:hanging="643"/>
        <w:spacing w:after="0" w:line="266" w:lineRule="auto"/>
        <w:tabs>
          <w:tab w:leader="none" w:pos="13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40" w:right="99" w:hanging="643"/>
        <w:spacing w:after="0" w:line="265" w:lineRule="auto"/>
        <w:tabs>
          <w:tab w:leader="none" w:pos="13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jc w:val="both"/>
        <w:ind w:left="700" w:right="99" w:hanging="651"/>
        <w:spacing w:after="0" w:line="266"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6"/>
          <w:szCs w:val="16"/>
          <w:color w:val="auto"/>
        </w:rPr>
      </w:pPr>
    </w:p>
    <w:p>
      <w:pPr>
        <w:ind w:left="1340" w:right="99" w:hanging="643"/>
        <w:spacing w:after="0" w:line="266" w:lineRule="auto"/>
        <w:tabs>
          <w:tab w:leader="none" w:pos="13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40" w:right="179" w:hanging="643"/>
        <w:spacing w:after="0" w:line="286" w:lineRule="auto"/>
        <w:tabs>
          <w:tab w:leader="none" w:pos="13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100"/>
        <w:spacing w:after="0"/>
        <w:tabs>
          <w:tab w:leader="none" w:pos="4300" w:val="left"/>
          <w:tab w:leader="none" w:pos="5920" w:val="left"/>
        </w:tabs>
        <w:rPr>
          <w:sz w:val="20"/>
          <w:szCs w:val="20"/>
          <w:color w:val="auto"/>
        </w:rPr>
      </w:pPr>
      <w:r>
        <w:rPr>
          <w:rFonts w:ascii="Arial" w:cs="Arial" w:eastAsia="Arial" w:hAnsi="Arial"/>
          <w:sz w:val="16"/>
          <w:szCs w:val="16"/>
          <w:color w:val="auto"/>
        </w:rPr>
        <w:t>Date: November 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McGinnis</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Christopher McGinnis</w:t>
      </w:r>
    </w:p>
    <w:p>
      <w:pPr>
        <w:spacing w:after="0" w:line="5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Chief Financial Officer &amp; Treasurer</w:t>
      </w:r>
    </w:p>
    <w:p>
      <w:pPr>
        <w:spacing w:after="0" w:line="31" w:lineRule="exact"/>
        <w:rPr>
          <w:sz w:val="20"/>
          <w:szCs w:val="20"/>
          <w:color w:val="auto"/>
        </w:rPr>
      </w:pPr>
    </w:p>
    <w:p>
      <w:pPr>
        <w:ind w:left="58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9019"/>
          </w:cols>
          <w:pgMar w:left="1440" w:top="922" w:right="1440" w:bottom="1440" w:gutter="0" w:footer="0" w:header="0"/>
        </w:sectPr>
      </w:pPr>
    </w:p>
    <w:bookmarkStart w:id="50" w:name="page51"/>
    <w:bookmarkEnd w:id="50"/>
    <w:p>
      <w:pPr>
        <w:ind w:left="8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left="40" w:right="319"/>
        <w:spacing w:after="0" w:line="265"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September 30, 2025 as filed with the Securities and Exchange Commission on the date hereof (the “Report”), I certify, pursuant to 18 U.S.C. § 1350, as adopted pursuant to § 906 of the Sarbanes-Oxley Act of 2002, that, to the best of my knowledge:</w:t>
      </w:r>
    </w:p>
    <w:p>
      <w:pPr>
        <w:spacing w:after="0" w:line="186" w:lineRule="exact"/>
        <w:rPr>
          <w:sz w:val="20"/>
          <w:szCs w:val="20"/>
          <w:color w:val="auto"/>
        </w:rPr>
      </w:pPr>
    </w:p>
    <w:p>
      <w:pPr>
        <w:ind w:left="700" w:right="239" w:hanging="651"/>
        <w:spacing w:after="0" w:line="286"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5" w:lineRule="exact"/>
        <w:rPr>
          <w:rFonts w:ascii="Arial" w:cs="Arial" w:eastAsia="Arial" w:hAnsi="Arial"/>
          <w:sz w:val="16"/>
          <w:szCs w:val="16"/>
          <w:color w:val="auto"/>
        </w:rPr>
      </w:pPr>
    </w:p>
    <w:p>
      <w:pPr>
        <w:ind w:left="700" w:right="59" w:hanging="651"/>
        <w:spacing w:after="0" w:line="286"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200"/>
        <w:spacing w:after="0"/>
        <w:tabs>
          <w:tab w:leader="none" w:pos="4320" w:val="left"/>
          <w:tab w:leader="none" w:pos="6180" w:val="left"/>
        </w:tabs>
        <w:rPr>
          <w:sz w:val="20"/>
          <w:szCs w:val="20"/>
          <w:color w:val="auto"/>
        </w:rPr>
      </w:pPr>
      <w:r>
        <w:rPr>
          <w:rFonts w:ascii="Arial" w:cs="Arial" w:eastAsia="Arial" w:hAnsi="Arial"/>
          <w:sz w:val="16"/>
          <w:szCs w:val="16"/>
          <w:color w:val="auto"/>
        </w:rPr>
        <w:t>Date: November 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Wendy Barnes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Wendy Barnes</w:t>
      </w:r>
    </w:p>
    <w:p>
      <w:pPr>
        <w:spacing w:after="0" w:line="7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Chief Executive Officer &amp; President</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51" w:name="page52"/>
    <w:bookmarkEnd w:id="51"/>
    <w:p>
      <w:pPr>
        <w:ind w:left="8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left="40" w:right="319"/>
        <w:spacing w:after="0" w:line="265"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September 30, 2025 as filed with the Securities and Exchange Commission on the date hereof (the “Report”), I certify, pursuant to 18 U.S.C. § 1350, as adopted pursuant to § 906 of the Sarbanes-Oxley Act of 2002, that, to the best of my knowledge:</w:t>
      </w:r>
    </w:p>
    <w:p>
      <w:pPr>
        <w:spacing w:after="0" w:line="186" w:lineRule="exact"/>
        <w:rPr>
          <w:sz w:val="20"/>
          <w:szCs w:val="20"/>
          <w:color w:val="auto"/>
        </w:rPr>
      </w:pPr>
    </w:p>
    <w:p>
      <w:pPr>
        <w:ind w:left="700" w:right="239" w:hanging="651"/>
        <w:spacing w:after="0" w:line="286"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5" w:lineRule="exact"/>
        <w:rPr>
          <w:rFonts w:ascii="Arial" w:cs="Arial" w:eastAsia="Arial" w:hAnsi="Arial"/>
          <w:sz w:val="16"/>
          <w:szCs w:val="16"/>
          <w:color w:val="auto"/>
        </w:rPr>
      </w:pPr>
    </w:p>
    <w:p>
      <w:pPr>
        <w:ind w:left="700" w:right="59" w:hanging="651"/>
        <w:spacing w:after="0" w:line="286"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100"/>
        <w:spacing w:after="0"/>
        <w:tabs>
          <w:tab w:leader="none" w:pos="4320" w:val="left"/>
          <w:tab w:leader="none" w:pos="5940" w:val="left"/>
        </w:tabs>
        <w:rPr>
          <w:sz w:val="20"/>
          <w:szCs w:val="20"/>
          <w:color w:val="auto"/>
        </w:rPr>
      </w:pPr>
      <w:r>
        <w:rPr>
          <w:rFonts w:ascii="Arial" w:cs="Arial" w:eastAsia="Arial" w:hAnsi="Arial"/>
          <w:sz w:val="16"/>
          <w:szCs w:val="16"/>
          <w:color w:val="auto"/>
        </w:rPr>
        <w:t>Date: November 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McGinnis</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Christopher McGinnis</w:t>
      </w:r>
    </w:p>
    <w:p>
      <w:pPr>
        <w:spacing w:after="0" w:line="7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Chief Financial Officer &amp; Treasurer</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Roman"/>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2"/>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lowerLetter"/>
      <w:start w:val="2"/>
    </w:lvl>
  </w:abstractNum>
  <w:abstractNum w:abstractNumId="17">
    <w:nsid w:val="79838CB2"/>
    <w:multiLevelType w:val="hybridMultilevel"/>
    <w:lvl w:ilvl="0">
      <w:lvlJc w:val="left"/>
      <w:lvlText w:val="(%1)"/>
      <w:numFmt w:val="lowerLetter"/>
      <w:start w:val="1"/>
    </w:lvl>
    <w:lvl w:ilvl="1">
      <w:lvlJc w:val="left"/>
      <w:lvlText w:val="(%2)"/>
      <w:numFmt w:val="lowerRoman"/>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4"/>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lvl w:ilvl="1">
      <w:lvlJc w:val="left"/>
      <w:lvlText w:val="*"/>
      <w:numFmt w:val="bullet"/>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1"/>
    </w:lvl>
    <w:lvl w:ilvl="1">
      <w:lvlJc w:val="left"/>
      <w:lvlText w:val="(%2)"/>
      <w:numFmt w:val="lowerRoman"/>
      <w:start w:val="1"/>
    </w:lvl>
  </w:abstractNum>
  <w:abstractNum w:abstractNumId="24">
    <w:nsid w:val="836C40E"/>
    <w:multiLevelType w:val="hybridMultilevel"/>
    <w:lvl w:ilvl="0">
      <w:lvlJc w:val="left"/>
      <w:lvlText w:val="%1"/>
      <w:numFmt w:val="lowerLetter"/>
      <w:start w:val="1"/>
    </w:lvl>
    <w:lvl w:ilvl="1">
      <w:lvlJc w:val="left"/>
      <w:lvlText w:val="(%2)"/>
      <w:numFmt w:val="lowerLetter"/>
      <w:start w:val="61"/>
    </w:lvl>
  </w:abstractNum>
  <w:abstractNum w:abstractNumId="25">
    <w:nsid w:val="2901D82"/>
    <w:multiLevelType w:val="hybridMultilevel"/>
    <w:lvl w:ilvl="0">
      <w:lvlJc w:val="left"/>
      <w:lvlText w:val="(%1)"/>
      <w:numFmt w:val="lowerLetter"/>
      <w:start w:val="2"/>
    </w:lvl>
    <w:lvl w:ilvl="1">
      <w:lvlJc w:val="left"/>
      <w:lvlText w:val="%2"/>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68" Type="http://schemas.openxmlformats.org/officeDocument/2006/relationships/hyperlink" Target="https://www.sec.gov/Archives/edgar/data/1809519/000119312520256438/d35545dex31.htm" TargetMode="External"/><Relationship Id="rId69" Type="http://schemas.openxmlformats.org/officeDocument/2006/relationships/hyperlink" Target="https://www.sec.gov/Archives/edgar/data/0001809519/000119312520256438/d35545dex32.htm" TargetMode="External"/><Relationship Id="rId70" Type="http://schemas.openxmlformats.org/officeDocument/2006/relationships/hyperlink" Target="https://www.sec.gov/Archives/edgar/data/1809519/000119312520234662/d949310dex41.htm" TargetMode="External"/><Relationship Id="rId71" Type="http://schemas.openxmlformats.org/officeDocument/2006/relationships/hyperlink" Target="https://www.sec.gov/Archives/edgar/data/1809519/000119312520254694/d6208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2025-11-04T15:46:01Z</dcterms:created>
  <dcterms:modified xsi:type="dcterms:W3CDTF">2025-11-04T15:46:01Z</dcterms:modified>
</cp:coreProperties>
</file>