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295910</wp:posOffset>
            </wp:positionV>
            <wp:extent cx="1491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jc w:val="center"/>
        <w:ind w:left="360" w:right="278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 240.13d-1(b), (c) and (d) and Amendments Thereto Filed Pursuant to § 240.13d-2</w:t>
      </w:r>
    </w:p>
    <w:p>
      <w:pPr>
        <w:spacing w:after="0" w:line="17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304165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GoodRx Holdings,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Class A Common Stock, par value </w:t>
      </w:r>
      <w:r>
        <w:rPr>
          <w:rFonts w:ascii="Arial" w:cs="Arial" w:eastAsia="Arial" w:hAnsi="Arial"/>
          <w:sz w:val="18"/>
          <w:szCs w:val="18"/>
          <w:color w:val="auto"/>
        </w:rPr>
        <w:t>$</w:t>
      </w:r>
      <w:r>
        <w:rPr>
          <w:rFonts w:ascii="Arial" w:cs="Arial" w:eastAsia="Arial" w:hAnsi="Arial"/>
          <w:sz w:val="18"/>
          <w:szCs w:val="18"/>
          <w:b w:val="1"/>
          <w:bCs w:val="1"/>
          <w:color w:val="auto"/>
        </w:rPr>
        <w:t>0.0001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38246G108</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296545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460" w:right="220" w:hanging="452"/>
        <w:spacing w:after="0" w:line="308"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 w:name="page2"/>
    <w:bookmarkEnd w:id="1"/>
    <w:p>
      <w:pPr>
        <w:spacing w:after="0"/>
        <w:tabs>
          <w:tab w:leader="none" w:pos="5340" w:val="left"/>
          <w:tab w:leader="none" w:pos="10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38246G108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1 of 5</w:t>
      </w:r>
    </w:p>
    <w:p>
      <w:pPr>
        <w:spacing w:after="0" w:line="171" w:lineRule="exact"/>
        <w:rPr>
          <w:sz w:val="20"/>
          <w:szCs w:val="20"/>
          <w:color w:val="auto"/>
        </w:rPr>
      </w:pPr>
    </w:p>
    <w:p>
      <w:pPr>
        <w:ind w:left="540" w:hanging="285"/>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40575"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220970"/>
                    </a:xfrm>
                    <a:prstGeom prst="rect">
                      <a:avLst/>
                    </a:prstGeom>
                    <a:noFill/>
                  </pic:spPr>
                </pic:pic>
              </a:graphicData>
            </a:graphic>
          </wp:anchor>
        </w:drawing>
      </w:r>
    </w:p>
    <w:p>
      <w:pPr>
        <w:spacing w:after="0" w:line="2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Idea Men, LLC</w:t>
      </w:r>
    </w:p>
    <w:p>
      <w:pPr>
        <w:spacing w:after="0" w:line="36" w:lineRule="exact"/>
        <w:rPr>
          <w:sz w:val="20"/>
          <w:szCs w:val="20"/>
          <w:color w:val="auto"/>
        </w:rPr>
      </w:pPr>
    </w:p>
    <w:p>
      <w:pPr>
        <w:ind w:left="540" w:hanging="285"/>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540"/>
        <w:spacing w:after="0" w:line="207" w:lineRule="exact"/>
        <w:tabs>
          <w:tab w:leader="none" w:pos="13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540" w:hanging="285"/>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540" w:hanging="285"/>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4"/>
        </w:trPr>
        <w:tc>
          <w:tcPr>
            <w:tcW w:w="880" w:type="dxa"/>
            <w:vAlign w:val="bottom"/>
          </w:tcPr>
          <w:p>
            <w:pPr>
              <w:jc w:val="center"/>
              <w:spacing w:after="0"/>
              <w:rPr>
                <w:sz w:val="20"/>
                <w:szCs w:val="20"/>
                <w:color w:val="auto"/>
              </w:rPr>
            </w:pPr>
            <w:r>
              <w:rPr>
                <w:rFonts w:ascii="Arial" w:cs="Arial" w:eastAsia="Arial" w:hAnsi="Arial"/>
                <w:sz w:val="18"/>
                <w:szCs w:val="18"/>
                <w:color w:val="auto"/>
                <w:w w:val="95"/>
              </w:rPr>
              <w:t>Number of</w:t>
            </w: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9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60,092,515</w:t>
            </w:r>
          </w:p>
        </w:tc>
        <w:tc>
          <w:tcPr>
            <w:tcW w:w="0" w:type="dxa"/>
            <w:vAlign w:val="bottom"/>
          </w:tcPr>
          <w:p>
            <w:pPr>
              <w:spacing w:after="0"/>
              <w:rPr>
                <w:sz w:val="1"/>
                <w:szCs w:val="1"/>
                <w:color w:val="auto"/>
              </w:rPr>
            </w:pPr>
          </w:p>
        </w:tc>
      </w:tr>
      <w:tr>
        <w:trPr>
          <w:trHeight w:val="236"/>
        </w:trPr>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Shares</w:t>
            </w: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996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96"/>
              </w:rPr>
              <w:t>Beneficially</w:t>
            </w:r>
          </w:p>
        </w:tc>
        <w:tc>
          <w:tcPr>
            <w:tcW w:w="200" w:type="dxa"/>
            <w:vAlign w:val="bottom"/>
          </w:tcPr>
          <w:p>
            <w:pPr>
              <w:spacing w:after="0"/>
              <w:rPr>
                <w:sz w:val="18"/>
                <w:szCs w:val="18"/>
                <w:color w:val="auto"/>
              </w:rPr>
            </w:pPr>
          </w:p>
        </w:tc>
        <w:tc>
          <w:tcPr>
            <w:tcW w:w="9960" w:type="dxa"/>
            <w:vAlign w:val="bottom"/>
            <w:vMerge w:val="restart"/>
          </w:tcPr>
          <w:p>
            <w:pPr>
              <w:ind w:lef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Owned by</w:t>
            </w:r>
          </w:p>
        </w:tc>
        <w:tc>
          <w:tcPr>
            <w:tcW w:w="200" w:type="dxa"/>
            <w:vAlign w:val="bottom"/>
          </w:tcPr>
          <w:p>
            <w:pPr>
              <w:spacing w:after="0"/>
              <w:rPr>
                <w:sz w:val="20"/>
                <w:szCs w:val="20"/>
                <w:color w:val="auto"/>
              </w:rPr>
            </w:pPr>
          </w:p>
        </w:tc>
        <w:tc>
          <w:tcPr>
            <w:tcW w:w="9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8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7</w:t>
            </w:r>
          </w:p>
        </w:tc>
        <w:tc>
          <w:tcPr>
            <w:tcW w:w="9960" w:type="dxa"/>
            <w:vAlign w:val="bottom"/>
            <w:tcBorders>
              <w:top w:val="single" w:sz="8" w:color="auto"/>
            </w:tcBorders>
          </w:tcPr>
          <w:p>
            <w:pPr>
              <w:ind w:left="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Reporting</w:t>
            </w:r>
          </w:p>
        </w:tc>
        <w:tc>
          <w:tcPr>
            <w:tcW w:w="200" w:type="dxa"/>
            <w:vAlign w:val="bottom"/>
          </w:tcPr>
          <w:p>
            <w:pPr>
              <w:spacing w:after="0"/>
              <w:rPr>
                <w:sz w:val="18"/>
                <w:szCs w:val="18"/>
                <w:color w:val="auto"/>
              </w:rPr>
            </w:pPr>
          </w:p>
        </w:tc>
        <w:tc>
          <w:tcPr>
            <w:tcW w:w="9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4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Person</w:t>
            </w:r>
          </w:p>
        </w:tc>
        <w:tc>
          <w:tcPr>
            <w:tcW w:w="200" w:type="dxa"/>
            <w:vAlign w:val="bottom"/>
          </w:tcPr>
          <w:p>
            <w:pPr>
              <w:spacing w:after="0"/>
              <w:rPr>
                <w:sz w:val="18"/>
                <w:szCs w:val="18"/>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rPr>
              <w:t>60,092,515</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8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9960" w:type="dxa"/>
            <w:vAlign w:val="bottom"/>
            <w:vMerge w:val="restart"/>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9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540" w:hanging="285"/>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60,092,515</w:t>
      </w:r>
    </w:p>
    <w:p>
      <w:pPr>
        <w:spacing w:after="0" w:line="36" w:lineRule="exact"/>
        <w:rPr>
          <w:sz w:val="20"/>
          <w:szCs w:val="20"/>
          <w:color w:val="auto"/>
        </w:rPr>
      </w:pPr>
    </w:p>
    <w:p>
      <w:pPr>
        <w:ind w:left="540" w:right="5780" w:hanging="375"/>
        <w:spacing w:after="0" w:line="406"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Not Applicable</w:t>
      </w:r>
    </w:p>
    <w:p>
      <w:pPr>
        <w:spacing w:after="0" w:line="1" w:lineRule="exact"/>
        <w:rPr>
          <w:rFonts w:ascii="Arial" w:cs="Arial" w:eastAsia="Arial" w:hAnsi="Arial"/>
          <w:sz w:val="18"/>
          <w:szCs w:val="18"/>
          <w:color w:val="auto"/>
        </w:rPr>
      </w:pPr>
    </w:p>
    <w:p>
      <w:pPr>
        <w:ind w:left="540" w:right="7060" w:hanging="375"/>
        <w:spacing w:after="0" w:line="406"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 57.2%</w:t>
      </w:r>
    </w:p>
    <w:p>
      <w:pPr>
        <w:spacing w:after="0" w:line="1" w:lineRule="exact"/>
        <w:rPr>
          <w:rFonts w:ascii="Arial" w:cs="Arial" w:eastAsia="Arial" w:hAnsi="Arial"/>
          <w:sz w:val="18"/>
          <w:szCs w:val="18"/>
          <w:color w:val="auto"/>
        </w:rPr>
      </w:pPr>
    </w:p>
    <w:p>
      <w:pPr>
        <w:ind w:left="540" w:hanging="375"/>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OO (Limited Liability Company)</w:t>
      </w:r>
    </w:p>
    <w:p>
      <w:pPr>
        <w:sectPr>
          <w:pgSz w:w="11900" w:h="16838" w:orient="portrait"/>
          <w:cols w:equalWidth="0" w:num="1">
            <w:col w:w="11260"/>
          </w:cols>
          <w:pgMar w:left="320" w:top="274" w:right="319" w:bottom="1440" w:gutter="0" w:footer="0" w:header="0"/>
        </w:sectPr>
      </w:pPr>
    </w:p>
    <w:bookmarkStart w:id="2" w:name="page3"/>
    <w:bookmarkEnd w:id="2"/>
    <w:p>
      <w:pPr>
        <w:spacing w:after="0"/>
        <w:tabs>
          <w:tab w:leader="none" w:pos="5340" w:val="left"/>
          <w:tab w:leader="none" w:pos="10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38246G108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2 of 5</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1. (a) Name of Issuer:</w:t>
      </w:r>
    </w:p>
    <w:p>
      <w:pPr>
        <w:spacing w:after="0" w:line="12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GoodRx Holdings, Inc. (the “Issuer”).</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2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233 Wilshire Blvd., Suite 990, Santa Monica, CA 90401.</w:t>
      </w:r>
    </w:p>
    <w:p>
      <w:pPr>
        <w:spacing w:after="0" w:line="32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2. (a) Name of Person Filing:</w:t>
      </w:r>
    </w:p>
    <w:p>
      <w:pPr>
        <w:spacing w:after="0" w:line="12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This statement is filed on behalf of Idea Men, LLC (the “Reporting Person”).</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(b) Address or Principal Business Office:</w:t>
      </w:r>
    </w:p>
    <w:p>
      <w:pPr>
        <w:spacing w:after="0" w:line="12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principal business address of the Reporting Person is 2644 30th St., Ste. 101, Santa Monica, CA 90405.</w:t>
      </w:r>
    </w:p>
    <w:p>
      <w:pPr>
        <w:spacing w:after="0" w:line="11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(c) Citizenship:</w:t>
      </w:r>
    </w:p>
    <w:p>
      <w:pPr>
        <w:spacing w:after="0" w:line="12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Reporting Person is organized under the laws of the state of Delaware.</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(d) Title of Class of Securities:</w:t>
      </w:r>
    </w:p>
    <w:p>
      <w:pPr>
        <w:spacing w:after="0" w:line="12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Class A common stock, par value $0.0001 per share (“Class A Common Stock”).</w:t>
      </w:r>
    </w:p>
    <w:p>
      <w:pPr>
        <w:spacing w:after="0" w:line="113" w:lineRule="exact"/>
        <w:rPr>
          <w:sz w:val="20"/>
          <w:szCs w:val="20"/>
          <w:color w:val="auto"/>
        </w:rPr>
      </w:pPr>
    </w:p>
    <w:p>
      <w:pPr>
        <w:ind w:left="1600" w:right="8700" w:hanging="658"/>
        <w:spacing w:after="0" w:line="445" w:lineRule="auto"/>
        <w:tabs>
          <w:tab w:leader="none" w:pos="124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38246G108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ownership information presented below represents beneficial ownership of the shares of Class A Common Stock as of the date hereof, based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upon 45,000,062 shares of Class A Common Stock outstanding as of December 17, 2020. The ownership information assumes the conversion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Class B common stock, par value $0.0001 per share (“Class B Common Stock”) of the Issuer held by the Reporting Person into shares of Class A Common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of the Issuer on a one-to-one basis.</w:t>
      </w:r>
    </w:p>
    <w:p>
      <w:pPr>
        <w:sectPr>
          <w:pgSz w:w="11900" w:h="16838" w:orient="portrait"/>
          <w:cols w:equalWidth="0" w:num="1">
            <w:col w:w="11240"/>
          </w:cols>
          <w:pgMar w:left="320" w:top="274" w:right="339" w:bottom="1440" w:gutter="0" w:footer="0" w:header="0"/>
        </w:sectPr>
      </w:pPr>
    </w:p>
    <w:bookmarkStart w:id="3" w:name="page4"/>
    <w:bookmarkEnd w:id="3"/>
    <w:p>
      <w:pPr>
        <w:spacing w:after="0"/>
        <w:tabs>
          <w:tab w:leader="none" w:pos="5340" w:val="left"/>
          <w:tab w:leader="none" w:pos="10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38246G108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3 of 5</w:t>
      </w:r>
    </w:p>
    <w:p>
      <w:pPr>
        <w:spacing w:after="0" w:line="154"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(a) Amount beneficially owned:</w:t>
      </w:r>
    </w:p>
    <w:p>
      <w:pPr>
        <w:spacing w:after="0" w:line="121" w:lineRule="exact"/>
        <w:rPr>
          <w:sz w:val="20"/>
          <w:szCs w:val="20"/>
          <w:color w:val="auto"/>
        </w:rPr>
      </w:pPr>
    </w:p>
    <w:p>
      <w:pPr>
        <w:ind w:left="1260" w:right="160" w:firstLine="360"/>
        <w:spacing w:after="0" w:line="311" w:lineRule="auto"/>
        <w:rPr>
          <w:sz w:val="20"/>
          <w:szCs w:val="20"/>
          <w:color w:val="auto"/>
        </w:rPr>
      </w:pPr>
      <w:r>
        <w:rPr>
          <w:rFonts w:ascii="Arial" w:cs="Arial" w:eastAsia="Arial" w:hAnsi="Arial"/>
          <w:sz w:val="16"/>
          <w:szCs w:val="16"/>
          <w:color w:val="auto"/>
        </w:rPr>
        <w:t>The Reporting Person is the beneficial owner of 60,092,515 shares of Class A Common Stock issuable upon the conversion of an equal number of shares of Class B Common Stock. Scott Marlette, Douglas Hirsch and Trevor Bezdek are the managing members of the Reporting Person. Each of the foregoing individuals disclaims beneficial ownership of the securities held by the Reporting Person.</w:t>
      </w:r>
    </w:p>
    <w:p>
      <w:pPr>
        <w:spacing w:after="0" w:line="37" w:lineRule="exact"/>
        <w:rPr>
          <w:sz w:val="20"/>
          <w:szCs w:val="20"/>
          <w:color w:val="auto"/>
        </w:rPr>
      </w:pPr>
    </w:p>
    <w:p>
      <w:pPr>
        <w:ind w:left="1260" w:hanging="338"/>
        <w:spacing w:after="0"/>
        <w:tabs>
          <w:tab w:leader="none" w:pos="1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w:t>
      </w:r>
      <w:r>
        <w:rPr>
          <w:rFonts w:ascii="Arial" w:cs="Arial" w:eastAsia="Arial" w:hAnsi="Arial"/>
          <w:sz w:val="18"/>
          <w:szCs w:val="18"/>
          <w:color w:val="auto"/>
        </w:rPr>
        <w:t>57.2%</w:t>
      </w:r>
    </w:p>
    <w:p>
      <w:pPr>
        <w:spacing w:after="0" w:line="117" w:lineRule="exact"/>
        <w:rPr>
          <w:rFonts w:ascii="Arial" w:cs="Arial" w:eastAsia="Arial" w:hAnsi="Arial"/>
          <w:sz w:val="18"/>
          <w:szCs w:val="18"/>
          <w:b w:val="1"/>
          <w:bCs w:val="1"/>
          <w:color w:val="auto"/>
        </w:rPr>
      </w:pPr>
    </w:p>
    <w:p>
      <w:pPr>
        <w:ind w:left="1260" w:hanging="318"/>
        <w:spacing w:after="0"/>
        <w:tabs>
          <w:tab w:leader="none" w:pos="1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21" w:lineRule="exact"/>
        <w:rPr>
          <w:rFonts w:ascii="Arial" w:cs="Arial" w:eastAsia="Arial" w:hAnsi="Arial"/>
          <w:sz w:val="18"/>
          <w:szCs w:val="18"/>
          <w:b w:val="1"/>
          <w:bCs w:val="1"/>
          <w:color w:val="auto"/>
        </w:rPr>
      </w:pPr>
    </w:p>
    <w:p>
      <w:pPr>
        <w:ind w:left="1600" w:hanging="350"/>
        <w:spacing w:after="0"/>
        <w:tabs>
          <w:tab w:leader="none" w:pos="16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vote or to direct the vote: 60,092,515</w:t>
      </w:r>
    </w:p>
    <w:p>
      <w:pPr>
        <w:spacing w:after="0" w:line="23" w:lineRule="exact"/>
        <w:rPr>
          <w:rFonts w:ascii="Arial" w:cs="Arial" w:eastAsia="Arial" w:hAnsi="Arial"/>
          <w:sz w:val="18"/>
          <w:szCs w:val="18"/>
          <w:color w:val="auto"/>
        </w:rPr>
      </w:pPr>
    </w:p>
    <w:p>
      <w:pPr>
        <w:ind w:left="1600" w:hanging="350"/>
        <w:spacing w:after="0"/>
        <w:tabs>
          <w:tab w:leader="none" w:pos="16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9" w:lineRule="exact"/>
        <w:rPr>
          <w:rFonts w:ascii="Arial" w:cs="Arial" w:eastAsia="Arial" w:hAnsi="Arial"/>
          <w:sz w:val="18"/>
          <w:szCs w:val="18"/>
          <w:color w:val="auto"/>
        </w:rPr>
      </w:pPr>
    </w:p>
    <w:p>
      <w:pPr>
        <w:ind w:left="1600" w:hanging="350"/>
        <w:spacing w:after="0"/>
        <w:tabs>
          <w:tab w:leader="none" w:pos="16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60,092,515</w:t>
      </w:r>
    </w:p>
    <w:p>
      <w:pPr>
        <w:spacing w:after="0" w:line="9" w:lineRule="exact"/>
        <w:rPr>
          <w:rFonts w:ascii="Arial" w:cs="Arial" w:eastAsia="Arial" w:hAnsi="Arial"/>
          <w:sz w:val="18"/>
          <w:szCs w:val="18"/>
          <w:color w:val="auto"/>
        </w:rPr>
      </w:pPr>
    </w:p>
    <w:p>
      <w:pPr>
        <w:ind w:left="1600" w:hanging="350"/>
        <w:spacing w:after="0"/>
        <w:tabs>
          <w:tab w:leader="none" w:pos="16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36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The Reporting Person and certain affiliates of Francisco Partners, Spectrum Equity and Silver Lake (collectively, the “Stockholders”) are parties to a Stockholders Agreement (the “Stockholders Agreement”), which contains, among other things, certain provisions relating to transfer of, and coordination of the voting of, securities of the Issuer by the parties thereto.</w:t>
      </w:r>
    </w:p>
    <w:p>
      <w:pPr>
        <w:spacing w:after="0" w:line="184"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By virtue of the Stockholders Agreement and the obligations and rights thereunder, the Reporting Person acknowledges and agrees that it is acting as a “group” with the other Stockholders within the meaning of Section 13(d) of the Securities Exchange Act of 1934, as amended (the “Exchange Act”). The Reporting Person expressly disclaims beneficial ownership over any shares of Class A Common Stock that it may be deemed to beneficially own solely by reason of the Stockholders Agreement. Certain entities affiliated with the other Stockholders are separately making Schedule 13G filings reporting their beneficial ownership of shares of Class A Common Stock.</w:t>
      </w:r>
    </w:p>
    <w:p>
      <w:pPr>
        <w:sectPr>
          <w:pgSz w:w="11900" w:h="16838" w:orient="portrait"/>
          <w:cols w:equalWidth="0" w:num="1">
            <w:col w:w="11240"/>
          </w:cols>
          <w:pgMar w:left="320" w:top="274" w:right="339" w:bottom="1440" w:gutter="0" w:footer="0" w:header="0"/>
        </w:sectPr>
      </w:pPr>
    </w:p>
    <w:bookmarkStart w:id="4" w:name="page5"/>
    <w:bookmarkEnd w:id="4"/>
    <w:p>
      <w:pPr>
        <w:spacing w:after="0"/>
        <w:tabs>
          <w:tab w:leader="none" w:pos="5340" w:val="left"/>
          <w:tab w:leader="none" w:pos="10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38246G108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4 of 5</w:t>
      </w:r>
    </w:p>
    <w:p>
      <w:pPr>
        <w:spacing w:after="0" w:line="15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jc w:val="center"/>
        <w:ind w:right="9200"/>
        <w:spacing w:after="0"/>
        <w:tabs>
          <w:tab w:leader="none" w:pos="2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jc w:val="center"/>
        <w:ind w:right="92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274" w:right="339" w:bottom="1440" w:gutter="0" w:footer="0" w:header="0"/>
        </w:sectPr>
      </w:pPr>
    </w:p>
    <w:bookmarkStart w:id="5" w:name="page6"/>
    <w:bookmarkEnd w:id="5"/>
    <w:p>
      <w:pPr>
        <w:spacing w:after="0"/>
        <w:tabs>
          <w:tab w:leader="none" w:pos="4980" w:val="left"/>
          <w:tab w:leader="none" w:pos="10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38246G108</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5 of 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4"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February 12, 2021</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Idea Men, LLC</w:t>
      </w:r>
    </w:p>
    <w:p>
      <w:pPr>
        <w:spacing w:after="0" w:line="229"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Trevor Bezdek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Trevor Bezdek</w:t>
      </w:r>
    </w:p>
    <w:p>
      <w:pPr>
        <w:spacing w:after="0" w:line="23"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Title:</w:t>
        <w:tab/>
        <w:t>Manager</w:t>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1"/>
      <w:numFmt w:val="decimal"/>
      <w:start w:val="10"/>
    </w:lvl>
  </w:abstractNum>
  <w:abstractNum w:abstractNumId="9">
    <w:nsid w:val="216231B"/>
    <w:multiLevelType w:val="hybridMultilevel"/>
    <w:lvl w:ilvl="0">
      <w:lvlJc w:val="left"/>
      <w:lvlText w:val="(%1)"/>
      <w:numFmt w:val="lowerLetter"/>
      <w:start w:val="5"/>
    </w:lvl>
  </w:abstractNum>
  <w:abstractNum w:abstractNumId="10">
    <w:nsid w:val="1F16E9E8"/>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2021-02-12T15:27:21Z</dcterms:created>
  <dcterms:modified xsi:type="dcterms:W3CDTF">2021-02-12T15:27:21Z</dcterms:modified>
</cp:coreProperties>
</file>