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35"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9" w:lineRule="exact"/>
        <w:rPr>
          <w:sz w:val="24"/>
          <w:szCs w:val="24"/>
          <w:color w:val="auto"/>
        </w:rPr>
      </w:pPr>
    </w:p>
    <w:p>
      <w:pPr>
        <w:ind w:left="560" w:hanging="534"/>
        <w:spacing w:after="0"/>
        <w:tabs>
          <w:tab w:leader="none" w:pos="56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2023</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3" w:lineRule="exact"/>
        <w:rPr>
          <w:sz w:val="24"/>
          <w:szCs w:val="24"/>
          <w:color w:val="auto"/>
        </w:rPr>
      </w:pPr>
    </w:p>
    <w:p>
      <w:pPr>
        <w:ind w:left="560" w:hanging="534"/>
        <w:spacing w:after="0"/>
        <w:tabs>
          <w:tab w:leader="none" w:pos="56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90" w:lineRule="exact"/>
        <w:rPr>
          <w:sz w:val="24"/>
          <w:szCs w:val="24"/>
          <w:color w:val="auto"/>
        </w:rPr>
      </w:pPr>
    </w:p>
    <w:tbl>
      <w:tblPr>
        <w:tblLayout w:type="fixed"/>
        <w:tblInd w:w="1600" w:type="dxa"/>
        <w:tblCellMar>
          <w:top w:w="0" w:type="dxa"/>
          <w:left w:w="0" w:type="dxa"/>
          <w:bottom w:w="0" w:type="dxa"/>
          <w:right w:w="0" w:type="dxa"/>
        </w:tblCellMar>
      </w:tblPr>
      <w:tr>
        <w:trPr>
          <w:trHeight w:val="200"/>
        </w:trPr>
        <w:tc>
          <w:tcPr>
            <w:tcW w:w="6080" w:type="dxa"/>
            <w:vAlign w:val="bottom"/>
          </w:tcPr>
          <w:p>
            <w:pPr>
              <w:jc w:val="center"/>
              <w:ind w:left="1880"/>
              <w:spacing w:after="0"/>
              <w:rPr>
                <w:sz w:val="20"/>
                <w:szCs w:val="20"/>
                <w:color w:val="auto"/>
              </w:rPr>
            </w:pPr>
            <w:r>
              <w:rPr>
                <w:rFonts w:ascii="Arial" w:cs="Arial" w:eastAsia="Arial" w:hAnsi="Arial"/>
                <w:sz w:val="14"/>
                <w:szCs w:val="14"/>
                <w:b w:val="1"/>
                <w:bCs w:val="1"/>
                <w:color w:val="auto"/>
              </w:rPr>
              <w:t>For the transition period from ______ to ______.</w:t>
            </w:r>
          </w:p>
        </w:tc>
        <w:tc>
          <w:tcPr>
            <w:tcW w:w="1180" w:type="dxa"/>
            <w:vAlign w:val="bottom"/>
          </w:tcPr>
          <w:p>
            <w:pPr>
              <w:spacing w:after="0"/>
              <w:rPr>
                <w:sz w:val="17"/>
                <w:szCs w:val="17"/>
                <w:color w:val="auto"/>
              </w:rPr>
            </w:pPr>
          </w:p>
        </w:tc>
      </w:tr>
      <w:tr>
        <w:trPr>
          <w:trHeight w:val="219"/>
        </w:trPr>
        <w:tc>
          <w:tcPr>
            <w:tcW w:w="6080" w:type="dxa"/>
            <w:vAlign w:val="bottom"/>
          </w:tcPr>
          <w:p>
            <w:pPr>
              <w:jc w:val="center"/>
              <w:ind w:left="1880"/>
              <w:spacing w:after="0"/>
              <w:rPr>
                <w:sz w:val="20"/>
                <w:szCs w:val="20"/>
                <w:color w:val="auto"/>
              </w:rPr>
            </w:pPr>
            <w:r>
              <w:rPr>
                <w:rFonts w:ascii="Arial" w:cs="Arial" w:eastAsia="Arial" w:hAnsi="Arial"/>
                <w:sz w:val="14"/>
                <w:szCs w:val="14"/>
                <w:b w:val="1"/>
                <w:bCs w:val="1"/>
                <w:color w:val="auto"/>
              </w:rPr>
              <w:t>Commission File Number: 001-39549</w:t>
            </w:r>
          </w:p>
        </w:tc>
        <w:tc>
          <w:tcPr>
            <w:tcW w:w="1180" w:type="dxa"/>
            <w:vAlign w:val="bottom"/>
          </w:tcPr>
          <w:p>
            <w:pPr>
              <w:spacing w:after="0"/>
              <w:rPr>
                <w:sz w:val="19"/>
                <w:szCs w:val="19"/>
                <w:color w:val="auto"/>
              </w:rPr>
            </w:pPr>
          </w:p>
        </w:tc>
      </w:tr>
      <w:tr>
        <w:trPr>
          <w:trHeight w:val="229"/>
        </w:trPr>
        <w:tc>
          <w:tcPr>
            <w:tcW w:w="6080" w:type="dxa"/>
            <w:vAlign w:val="bottom"/>
          </w:tcPr>
          <w:p>
            <w:pPr>
              <w:jc w:val="center"/>
              <w:ind w:left="1880"/>
              <w:spacing w:after="0"/>
              <w:rPr>
                <w:sz w:val="20"/>
                <w:szCs w:val="20"/>
                <w:color w:val="auto"/>
              </w:rPr>
            </w:pPr>
            <w:r>
              <w:rPr>
                <w:rFonts w:ascii="Arial" w:cs="Arial" w:eastAsia="Arial" w:hAnsi="Arial"/>
                <w:sz w:val="18"/>
                <w:szCs w:val="18"/>
                <w:color w:val="auto"/>
                <w:w w:val="99"/>
              </w:rPr>
              <w:t>________________________________</w:t>
            </w:r>
          </w:p>
        </w:tc>
        <w:tc>
          <w:tcPr>
            <w:tcW w:w="1180" w:type="dxa"/>
            <w:vAlign w:val="bottom"/>
          </w:tcPr>
          <w:p>
            <w:pPr>
              <w:spacing w:after="0"/>
              <w:rPr>
                <w:sz w:val="19"/>
                <w:szCs w:val="19"/>
                <w:color w:val="auto"/>
              </w:rPr>
            </w:pPr>
          </w:p>
        </w:tc>
      </w:tr>
      <w:tr>
        <w:trPr>
          <w:trHeight w:val="473"/>
        </w:trPr>
        <w:tc>
          <w:tcPr>
            <w:tcW w:w="6080" w:type="dxa"/>
            <w:vAlign w:val="bottom"/>
          </w:tcPr>
          <w:p>
            <w:pPr>
              <w:jc w:val="center"/>
              <w:ind w:left="1900"/>
              <w:spacing w:after="0"/>
              <w:rPr>
                <w:sz w:val="20"/>
                <w:szCs w:val="20"/>
                <w:color w:val="auto"/>
              </w:rPr>
            </w:pPr>
            <w:r>
              <w:rPr>
                <w:rFonts w:ascii="Arial" w:cs="Arial" w:eastAsia="Arial" w:hAnsi="Arial"/>
                <w:sz w:val="36"/>
                <w:szCs w:val="36"/>
                <w:b w:val="1"/>
                <w:bCs w:val="1"/>
                <w:color w:val="auto"/>
                <w:w w:val="99"/>
              </w:rPr>
              <w:t>GoodRx Holdings, Inc.</w:t>
            </w:r>
          </w:p>
        </w:tc>
        <w:tc>
          <w:tcPr>
            <w:tcW w:w="1180" w:type="dxa"/>
            <w:vAlign w:val="bottom"/>
          </w:tcPr>
          <w:p>
            <w:pPr>
              <w:spacing w:after="0"/>
              <w:rPr>
                <w:sz w:val="24"/>
                <w:szCs w:val="24"/>
                <w:color w:val="auto"/>
              </w:rPr>
            </w:pPr>
          </w:p>
        </w:tc>
      </w:tr>
      <w:tr>
        <w:trPr>
          <w:trHeight w:val="176"/>
        </w:trPr>
        <w:tc>
          <w:tcPr>
            <w:tcW w:w="6080" w:type="dxa"/>
            <w:vAlign w:val="bottom"/>
          </w:tcPr>
          <w:p>
            <w:pPr>
              <w:jc w:val="center"/>
              <w:ind w:left="188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180" w:type="dxa"/>
            <w:vAlign w:val="bottom"/>
          </w:tcPr>
          <w:p>
            <w:pPr>
              <w:spacing w:after="0"/>
              <w:rPr>
                <w:sz w:val="15"/>
                <w:szCs w:val="15"/>
                <w:color w:val="auto"/>
              </w:rPr>
            </w:pPr>
          </w:p>
        </w:tc>
      </w:tr>
      <w:tr>
        <w:trPr>
          <w:trHeight w:val="229"/>
        </w:trPr>
        <w:tc>
          <w:tcPr>
            <w:tcW w:w="6080" w:type="dxa"/>
            <w:vAlign w:val="bottom"/>
          </w:tcPr>
          <w:p>
            <w:pPr>
              <w:jc w:val="center"/>
              <w:ind w:left="1880"/>
              <w:spacing w:after="0"/>
              <w:rPr>
                <w:sz w:val="20"/>
                <w:szCs w:val="20"/>
                <w:color w:val="auto"/>
              </w:rPr>
            </w:pPr>
            <w:r>
              <w:rPr>
                <w:rFonts w:ascii="Arial" w:cs="Arial" w:eastAsia="Arial" w:hAnsi="Arial"/>
                <w:sz w:val="18"/>
                <w:szCs w:val="18"/>
                <w:color w:val="auto"/>
                <w:w w:val="99"/>
              </w:rPr>
              <w:t>________________________________</w:t>
            </w:r>
          </w:p>
        </w:tc>
        <w:tc>
          <w:tcPr>
            <w:tcW w:w="1180" w:type="dxa"/>
            <w:vAlign w:val="bottom"/>
          </w:tcPr>
          <w:p>
            <w:pPr>
              <w:spacing w:after="0"/>
              <w:rPr>
                <w:sz w:val="19"/>
                <w:szCs w:val="19"/>
                <w:color w:val="auto"/>
              </w:rPr>
            </w:pPr>
          </w:p>
        </w:tc>
      </w:tr>
      <w:tr>
        <w:trPr>
          <w:trHeight w:val="295"/>
        </w:trPr>
        <w:tc>
          <w:tcPr>
            <w:tcW w:w="6080" w:type="dxa"/>
            <w:vAlign w:val="bottom"/>
          </w:tcPr>
          <w:p>
            <w:pPr>
              <w:jc w:val="center"/>
              <w:ind w:right="3640"/>
              <w:spacing w:after="0"/>
              <w:rPr>
                <w:sz w:val="20"/>
                <w:szCs w:val="20"/>
                <w:color w:val="auto"/>
              </w:rPr>
            </w:pPr>
            <w:r>
              <w:rPr>
                <w:rFonts w:ascii="Arial" w:cs="Arial" w:eastAsia="Arial" w:hAnsi="Arial"/>
                <w:sz w:val="14"/>
                <w:szCs w:val="14"/>
                <w:b w:val="1"/>
                <w:bCs w:val="1"/>
                <w:color w:val="auto"/>
              </w:rPr>
              <w:t>Delaware</w:t>
            </w:r>
          </w:p>
        </w:tc>
        <w:tc>
          <w:tcPr>
            <w:tcW w:w="1180" w:type="dxa"/>
            <w:vAlign w:val="bottom"/>
          </w:tcPr>
          <w:p>
            <w:pPr>
              <w:jc w:val="right"/>
              <w:ind w:right="73"/>
              <w:spacing w:after="0"/>
              <w:rPr>
                <w:sz w:val="20"/>
                <w:szCs w:val="20"/>
                <w:color w:val="auto"/>
              </w:rPr>
            </w:pPr>
            <w:r>
              <w:rPr>
                <w:rFonts w:ascii="Arial" w:cs="Arial" w:eastAsia="Arial" w:hAnsi="Arial"/>
                <w:sz w:val="14"/>
                <w:szCs w:val="14"/>
                <w:b w:val="1"/>
                <w:bCs w:val="1"/>
                <w:color w:val="auto"/>
              </w:rPr>
              <w:t>47-5104396</w:t>
            </w:r>
          </w:p>
        </w:tc>
      </w:tr>
      <w:tr>
        <w:trPr>
          <w:trHeight w:val="169"/>
        </w:trPr>
        <w:tc>
          <w:tcPr>
            <w:tcW w:w="6080" w:type="dxa"/>
            <w:vAlign w:val="bottom"/>
          </w:tcPr>
          <w:p>
            <w:pPr>
              <w:jc w:val="center"/>
              <w:ind w:right="3640"/>
              <w:spacing w:after="0"/>
              <w:rPr>
                <w:sz w:val="20"/>
                <w:szCs w:val="20"/>
                <w:color w:val="auto"/>
              </w:rPr>
            </w:pPr>
            <w:r>
              <w:rPr>
                <w:rFonts w:ascii="Arial" w:cs="Arial" w:eastAsia="Arial" w:hAnsi="Arial"/>
                <w:sz w:val="13"/>
                <w:szCs w:val="13"/>
                <w:b w:val="1"/>
                <w:bCs w:val="1"/>
                <w:color w:val="auto"/>
                <w:w w:val="96"/>
              </w:rPr>
              <w:t>(State or other jurisdiction of</w:t>
            </w:r>
          </w:p>
        </w:tc>
        <w:tc>
          <w:tcPr>
            <w:tcW w:w="1180" w:type="dxa"/>
            <w:vAlign w:val="bottom"/>
          </w:tcPr>
          <w:p>
            <w:pPr>
              <w:jc w:val="center"/>
              <w:ind w:left="53"/>
              <w:spacing w:after="0"/>
              <w:rPr>
                <w:sz w:val="20"/>
                <w:szCs w:val="20"/>
                <w:color w:val="auto"/>
              </w:rPr>
            </w:pPr>
            <w:r>
              <w:rPr>
                <w:rFonts w:ascii="Arial" w:cs="Arial" w:eastAsia="Arial" w:hAnsi="Arial"/>
                <w:sz w:val="13"/>
                <w:szCs w:val="13"/>
                <w:b w:val="1"/>
                <w:bCs w:val="1"/>
                <w:color w:val="auto"/>
                <w:w w:val="98"/>
              </w:rPr>
              <w:t>(I.R.S. Employer</w:t>
            </w:r>
          </w:p>
        </w:tc>
      </w:tr>
      <w:tr>
        <w:trPr>
          <w:trHeight w:val="176"/>
        </w:trPr>
        <w:tc>
          <w:tcPr>
            <w:tcW w:w="6080" w:type="dxa"/>
            <w:vAlign w:val="bottom"/>
          </w:tcPr>
          <w:p>
            <w:pPr>
              <w:jc w:val="center"/>
              <w:ind w:right="3640"/>
              <w:spacing w:after="0"/>
              <w:rPr>
                <w:sz w:val="20"/>
                <w:szCs w:val="20"/>
                <w:color w:val="auto"/>
              </w:rPr>
            </w:pPr>
            <w:r>
              <w:rPr>
                <w:rFonts w:ascii="Arial" w:cs="Arial" w:eastAsia="Arial" w:hAnsi="Arial"/>
                <w:sz w:val="13"/>
                <w:szCs w:val="13"/>
                <w:b w:val="1"/>
                <w:bCs w:val="1"/>
                <w:color w:val="auto"/>
                <w:w w:val="96"/>
              </w:rPr>
              <w:t>incorporation or organization)</w:t>
            </w:r>
          </w:p>
        </w:tc>
        <w:tc>
          <w:tcPr>
            <w:tcW w:w="1180" w:type="dxa"/>
            <w:vAlign w:val="bottom"/>
          </w:tcPr>
          <w:p>
            <w:pPr>
              <w:jc w:val="center"/>
              <w:ind w:left="53"/>
              <w:spacing w:after="0"/>
              <w:rPr>
                <w:sz w:val="20"/>
                <w:szCs w:val="20"/>
                <w:color w:val="auto"/>
              </w:rPr>
            </w:pPr>
            <w:r>
              <w:rPr>
                <w:rFonts w:ascii="Arial" w:cs="Arial" w:eastAsia="Arial" w:hAnsi="Arial"/>
                <w:sz w:val="13"/>
                <w:szCs w:val="13"/>
                <w:b w:val="1"/>
                <w:bCs w:val="1"/>
                <w:color w:val="auto"/>
                <w:w w:val="96"/>
              </w:rPr>
              <w:t>Identification No.)</w:t>
            </w:r>
          </w:p>
        </w:tc>
      </w:tr>
      <w:tr>
        <w:trPr>
          <w:trHeight w:val="454"/>
        </w:trPr>
        <w:tc>
          <w:tcPr>
            <w:tcW w:w="6080" w:type="dxa"/>
            <w:vAlign w:val="bottom"/>
          </w:tcPr>
          <w:p>
            <w:pPr>
              <w:jc w:val="center"/>
              <w:ind w:right="3640"/>
              <w:spacing w:after="0"/>
              <w:rPr>
                <w:sz w:val="20"/>
                <w:szCs w:val="20"/>
                <w:color w:val="auto"/>
              </w:rPr>
            </w:pPr>
            <w:r>
              <w:rPr>
                <w:rFonts w:ascii="Arial" w:cs="Arial" w:eastAsia="Arial" w:hAnsi="Arial"/>
                <w:sz w:val="14"/>
                <w:szCs w:val="14"/>
                <w:b w:val="1"/>
                <w:bCs w:val="1"/>
                <w:color w:val="auto"/>
              </w:rPr>
              <w:t>2701 Olympic Boulevard</w:t>
            </w:r>
          </w:p>
        </w:tc>
        <w:tc>
          <w:tcPr>
            <w:tcW w:w="1180" w:type="dxa"/>
            <w:vAlign w:val="bottom"/>
          </w:tcPr>
          <w:p>
            <w:pPr>
              <w:spacing w:after="0"/>
              <w:rPr>
                <w:sz w:val="24"/>
                <w:szCs w:val="24"/>
                <w:color w:val="auto"/>
              </w:rPr>
            </w:pPr>
          </w:p>
        </w:tc>
      </w:tr>
      <w:tr>
        <w:trPr>
          <w:trHeight w:val="200"/>
        </w:trPr>
        <w:tc>
          <w:tcPr>
            <w:tcW w:w="6080" w:type="dxa"/>
            <w:vAlign w:val="bottom"/>
          </w:tcPr>
          <w:p>
            <w:pPr>
              <w:jc w:val="center"/>
              <w:ind w:right="3640"/>
              <w:spacing w:after="0"/>
              <w:rPr>
                <w:sz w:val="20"/>
                <w:szCs w:val="20"/>
                <w:color w:val="auto"/>
              </w:rPr>
            </w:pPr>
            <w:r>
              <w:rPr>
                <w:rFonts w:ascii="Arial" w:cs="Arial" w:eastAsia="Arial" w:hAnsi="Arial"/>
                <w:sz w:val="14"/>
                <w:szCs w:val="14"/>
                <w:b w:val="1"/>
                <w:bCs w:val="1"/>
                <w:color w:val="auto"/>
              </w:rPr>
              <w:t>Santa Monica, CA</w:t>
            </w:r>
          </w:p>
        </w:tc>
        <w:tc>
          <w:tcPr>
            <w:tcW w:w="1180" w:type="dxa"/>
            <w:vAlign w:val="bottom"/>
          </w:tcPr>
          <w:p>
            <w:pPr>
              <w:jc w:val="right"/>
              <w:ind w:right="273"/>
              <w:spacing w:after="0"/>
              <w:rPr>
                <w:sz w:val="20"/>
                <w:szCs w:val="20"/>
                <w:color w:val="auto"/>
              </w:rPr>
            </w:pPr>
            <w:r>
              <w:rPr>
                <w:rFonts w:ascii="Arial" w:cs="Arial" w:eastAsia="Arial" w:hAnsi="Arial"/>
                <w:sz w:val="14"/>
                <w:szCs w:val="14"/>
                <w:b w:val="1"/>
                <w:bCs w:val="1"/>
                <w:color w:val="auto"/>
              </w:rPr>
              <w:t>90404</w:t>
            </w:r>
          </w:p>
        </w:tc>
      </w:tr>
      <w:tr>
        <w:trPr>
          <w:trHeight w:val="196"/>
        </w:trPr>
        <w:tc>
          <w:tcPr>
            <w:tcW w:w="6080" w:type="dxa"/>
            <w:vAlign w:val="bottom"/>
          </w:tcPr>
          <w:p>
            <w:pPr>
              <w:jc w:val="center"/>
              <w:ind w:right="3640"/>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1180" w:type="dxa"/>
            <w:vAlign w:val="bottom"/>
          </w:tcPr>
          <w:p>
            <w:pPr>
              <w:jc w:val="center"/>
              <w:ind w:left="53"/>
              <w:spacing w:after="0"/>
              <w:rPr>
                <w:sz w:val="20"/>
                <w:szCs w:val="20"/>
                <w:color w:val="auto"/>
              </w:rPr>
            </w:pPr>
            <w:r>
              <w:rPr>
                <w:rFonts w:ascii="Arial" w:cs="Arial" w:eastAsia="Arial" w:hAnsi="Arial"/>
                <w:sz w:val="13"/>
                <w:szCs w:val="13"/>
                <w:b w:val="1"/>
                <w:bCs w:val="1"/>
                <w:color w:val="auto"/>
                <w:w w:val="96"/>
              </w:rPr>
              <w:t>(Zip Code)</w:t>
            </w:r>
          </w:p>
        </w:tc>
      </w:tr>
      <w:tr>
        <w:trPr>
          <w:trHeight w:val="332"/>
        </w:trPr>
        <w:tc>
          <w:tcPr>
            <w:tcW w:w="6080" w:type="dxa"/>
            <w:vAlign w:val="bottom"/>
          </w:tcPr>
          <w:p>
            <w:pPr>
              <w:jc w:val="center"/>
              <w:ind w:left="1900"/>
              <w:spacing w:after="0"/>
              <w:rPr>
                <w:sz w:val="20"/>
                <w:szCs w:val="20"/>
                <w:color w:val="auto"/>
              </w:rPr>
            </w:pPr>
            <w:r>
              <w:rPr>
                <w:rFonts w:ascii="Arial" w:cs="Arial" w:eastAsia="Arial" w:hAnsi="Arial"/>
                <w:sz w:val="14"/>
                <w:szCs w:val="14"/>
                <w:b w:val="1"/>
                <w:bCs w:val="1"/>
                <w:color w:val="auto"/>
              </w:rPr>
              <w:t>(855) 268-2822</w:t>
            </w:r>
          </w:p>
        </w:tc>
        <w:tc>
          <w:tcPr>
            <w:tcW w:w="1180" w:type="dxa"/>
            <w:vAlign w:val="bottom"/>
          </w:tcPr>
          <w:p>
            <w:pPr>
              <w:spacing w:after="0"/>
              <w:rPr>
                <w:sz w:val="24"/>
                <w:szCs w:val="24"/>
                <w:color w:val="auto"/>
              </w:rPr>
            </w:pPr>
          </w:p>
        </w:tc>
      </w:tr>
      <w:tr>
        <w:trPr>
          <w:trHeight w:val="200"/>
        </w:trPr>
        <w:tc>
          <w:tcPr>
            <w:tcW w:w="6080" w:type="dxa"/>
            <w:vAlign w:val="bottom"/>
          </w:tcPr>
          <w:p>
            <w:pPr>
              <w:jc w:val="center"/>
              <w:ind w:left="188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180" w:type="dxa"/>
            <w:vAlign w:val="bottom"/>
          </w:tcPr>
          <w:p>
            <w:pPr>
              <w:spacing w:after="0"/>
              <w:rPr>
                <w:sz w:val="17"/>
                <w:szCs w:val="17"/>
                <w:color w:val="auto"/>
              </w:rPr>
            </w:pPr>
          </w:p>
        </w:tc>
      </w:tr>
    </w:tbl>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59"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5"/>
                <w:szCs w:val="15"/>
                <w:color w:val="auto"/>
              </w:rPr>
            </w:pPr>
          </w:p>
        </w:tc>
        <w:tc>
          <w:tcPr>
            <w:tcW w:w="4420" w:type="dxa"/>
            <w:vAlign w:val="bottom"/>
          </w:tcPr>
          <w:p>
            <w:pPr>
              <w:spacing w:after="0"/>
              <w:rPr>
                <w:sz w:val="15"/>
                <w:szCs w:val="15"/>
                <w:color w:val="auto"/>
              </w:rPr>
            </w:pPr>
          </w:p>
        </w:tc>
      </w:tr>
      <w:tr>
        <w:trPr>
          <w:trHeight w:val="20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7"/>
                <w:szCs w:val="17"/>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8"/>
        </w:trPr>
        <w:tc>
          <w:tcPr>
            <w:tcW w:w="4440" w:type="dxa"/>
            <w:vAlign w:val="bottom"/>
          </w:tcPr>
          <w:p>
            <w:pPr>
              <w:jc w:val="center"/>
              <w:spacing w:after="0"/>
              <w:rPr>
                <w:sz w:val="20"/>
                <w:szCs w:val="20"/>
                <w:color w:val="auto"/>
              </w:rPr>
            </w:pPr>
            <w:r>
              <w:rPr>
                <w:rFonts w:ascii="Arial" w:cs="Arial" w:eastAsia="Arial" w:hAnsi="Arial"/>
                <w:sz w:val="14"/>
                <w:szCs w:val="14"/>
                <w:color w:val="auto"/>
              </w:rPr>
              <w:t>Class A common stock, $0.0001 par value per share</w:t>
            </w:r>
          </w:p>
        </w:tc>
        <w:tc>
          <w:tcPr>
            <w:tcW w:w="10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rPr>
              <w:t>GDRX</w:t>
            </w:r>
          </w:p>
        </w:tc>
        <w:tc>
          <w:tcPr>
            <w:tcW w:w="100" w:type="dxa"/>
            <w:vAlign w:val="bottom"/>
          </w:tcPr>
          <w:p>
            <w:pPr>
              <w:spacing w:after="0"/>
              <w:rPr>
                <w:sz w:val="17"/>
                <w:szCs w:val="17"/>
                <w:color w:val="auto"/>
              </w:rPr>
            </w:pPr>
          </w:p>
        </w:tc>
        <w:tc>
          <w:tcPr>
            <w:tcW w:w="442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169" w:lineRule="exact"/>
        <w:rPr>
          <w:sz w:val="24"/>
          <w:szCs w:val="24"/>
          <w:color w:val="auto"/>
        </w:rPr>
      </w:pPr>
    </w:p>
    <w:p>
      <w:pPr>
        <w:jc w:val="both"/>
        <w:ind w:firstLine="648"/>
        <w:spacing w:after="0" w:line="26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0" w:lineRule="exact"/>
        <w:rPr>
          <w:sz w:val="24"/>
          <w:szCs w:val="24"/>
          <w:color w:val="auto"/>
        </w:rPr>
      </w:pPr>
    </w:p>
    <w:p>
      <w:pPr>
        <w:jc w:val="both"/>
        <w:ind w:firstLine="648"/>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2" w:lineRule="exact"/>
        <w:rPr>
          <w:sz w:val="24"/>
          <w:szCs w:val="24"/>
          <w:color w:val="auto"/>
        </w:rPr>
      </w:pPr>
    </w:p>
    <w:p>
      <w:pPr>
        <w:jc w:val="both"/>
        <w:ind w:firstLine="648"/>
        <w:spacing w:after="0" w:line="27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1"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23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40" w:type="dxa"/>
            <w:vAlign w:val="bottom"/>
          </w:tcPr>
          <w:p>
            <w:pPr>
              <w:ind w:left="660"/>
              <w:spacing w:after="0"/>
              <w:rPr>
                <w:sz w:val="20"/>
                <w:szCs w:val="20"/>
                <w:color w:val="auto"/>
              </w:rPr>
            </w:pPr>
            <w:r>
              <w:rPr>
                <w:rFonts w:ascii="Arial" w:cs="Arial" w:eastAsia="Arial" w:hAnsi="Arial"/>
                <w:sz w:val="14"/>
                <w:szCs w:val="14"/>
                <w:color w:val="auto"/>
              </w:rPr>
              <w:t>o</w:t>
            </w:r>
          </w:p>
        </w:tc>
        <w:tc>
          <w:tcPr>
            <w:tcW w:w="4740" w:type="dxa"/>
            <w:vAlign w:val="bottom"/>
          </w:tcPr>
          <w:p>
            <w:pPr>
              <w:ind w:left="1320"/>
              <w:spacing w:after="0"/>
              <w:rPr>
                <w:sz w:val="20"/>
                <w:szCs w:val="20"/>
                <w:color w:val="auto"/>
              </w:rPr>
            </w:pPr>
            <w:r>
              <w:rPr>
                <w:rFonts w:ascii="Arial" w:cs="Arial" w:eastAsia="Arial" w:hAnsi="Arial"/>
                <w:sz w:val="14"/>
                <w:szCs w:val="14"/>
                <w:color w:val="auto"/>
              </w:rPr>
              <w:t>Accelerated filer</w:t>
            </w:r>
          </w:p>
        </w:tc>
        <w:tc>
          <w:tcPr>
            <w:tcW w:w="1800" w:type="dxa"/>
            <w:vAlign w:val="bottom"/>
          </w:tcPr>
          <w:p>
            <w:pPr>
              <w:ind w:left="1720"/>
              <w:spacing w:after="0"/>
              <w:rPr>
                <w:sz w:val="20"/>
                <w:szCs w:val="20"/>
                <w:color w:val="auto"/>
              </w:rPr>
            </w:pPr>
            <w:r>
              <w:rPr>
                <w:rFonts w:ascii="Arial" w:cs="Arial" w:eastAsia="Arial" w:hAnsi="Arial"/>
                <w:sz w:val="14"/>
                <w:szCs w:val="14"/>
                <w:color w:val="auto"/>
                <w:w w:val="85"/>
              </w:rPr>
              <w:t>x</w:t>
            </w:r>
          </w:p>
        </w:tc>
      </w:tr>
      <w:tr>
        <w:trPr>
          <w:trHeight w:val="283"/>
        </w:trPr>
        <w:tc>
          <w:tcPr>
            <w:tcW w:w="2380" w:type="dxa"/>
            <w:vAlign w:val="bottom"/>
          </w:tcPr>
          <w:p>
            <w:pPr>
              <w:spacing w:after="0"/>
              <w:rPr>
                <w:sz w:val="20"/>
                <w:szCs w:val="20"/>
                <w:color w:val="auto"/>
              </w:rPr>
            </w:pPr>
            <w:r>
              <w:rPr>
                <w:rFonts w:ascii="Arial" w:cs="Arial" w:eastAsia="Arial" w:hAnsi="Arial"/>
                <w:sz w:val="14"/>
                <w:szCs w:val="14"/>
                <w:color w:val="auto"/>
              </w:rPr>
              <w:t>Non-accelerated filer</w:t>
            </w:r>
          </w:p>
        </w:tc>
        <w:tc>
          <w:tcPr>
            <w:tcW w:w="2040" w:type="dxa"/>
            <w:vAlign w:val="bottom"/>
          </w:tcPr>
          <w:p>
            <w:pPr>
              <w:ind w:left="660"/>
              <w:spacing w:after="0"/>
              <w:rPr>
                <w:sz w:val="20"/>
                <w:szCs w:val="20"/>
                <w:color w:val="auto"/>
              </w:rPr>
            </w:pPr>
            <w:r>
              <w:rPr>
                <w:rFonts w:ascii="Arial" w:cs="Arial" w:eastAsia="Arial" w:hAnsi="Arial"/>
                <w:sz w:val="14"/>
                <w:szCs w:val="14"/>
                <w:color w:val="auto"/>
              </w:rPr>
              <w:t>o</w:t>
            </w:r>
          </w:p>
        </w:tc>
        <w:tc>
          <w:tcPr>
            <w:tcW w:w="4740" w:type="dxa"/>
            <w:vAlign w:val="bottom"/>
          </w:tcPr>
          <w:p>
            <w:pPr>
              <w:ind w:left="1320"/>
              <w:spacing w:after="0"/>
              <w:rPr>
                <w:sz w:val="20"/>
                <w:szCs w:val="20"/>
                <w:color w:val="auto"/>
              </w:rPr>
            </w:pPr>
            <w:r>
              <w:rPr>
                <w:rFonts w:ascii="Arial" w:cs="Arial" w:eastAsia="Arial" w:hAnsi="Arial"/>
                <w:sz w:val="14"/>
                <w:szCs w:val="14"/>
                <w:color w:val="auto"/>
              </w:rPr>
              <w:t>Smaller reporting company</w:t>
            </w:r>
          </w:p>
        </w:tc>
        <w:tc>
          <w:tcPr>
            <w:tcW w:w="1800" w:type="dxa"/>
            <w:vAlign w:val="bottom"/>
          </w:tcPr>
          <w:p>
            <w:pPr>
              <w:ind w:left="1720"/>
              <w:spacing w:after="0"/>
              <w:rPr>
                <w:sz w:val="20"/>
                <w:szCs w:val="20"/>
                <w:color w:val="auto"/>
              </w:rPr>
            </w:pPr>
            <w:r>
              <w:rPr>
                <w:rFonts w:ascii="Arial" w:cs="Arial" w:eastAsia="Arial" w:hAnsi="Arial"/>
                <w:sz w:val="14"/>
                <w:szCs w:val="14"/>
                <w:color w:val="auto"/>
                <w:w w:val="76"/>
              </w:rPr>
              <w:t>o</w:t>
            </w:r>
          </w:p>
        </w:tc>
      </w:tr>
      <w:tr>
        <w:trPr>
          <w:trHeight w:val="284"/>
        </w:trPr>
        <w:tc>
          <w:tcPr>
            <w:tcW w:w="23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040" w:type="dxa"/>
            <w:vAlign w:val="bottom"/>
          </w:tcPr>
          <w:p>
            <w:pPr>
              <w:ind w:left="660"/>
              <w:spacing w:after="0"/>
              <w:rPr>
                <w:sz w:val="20"/>
                <w:szCs w:val="20"/>
                <w:color w:val="auto"/>
              </w:rPr>
            </w:pPr>
            <w:r>
              <w:rPr>
                <w:rFonts w:ascii="Arial" w:cs="Arial" w:eastAsia="Arial" w:hAnsi="Arial"/>
                <w:sz w:val="14"/>
                <w:szCs w:val="14"/>
                <w:color w:val="auto"/>
              </w:rPr>
              <w:t>o</w:t>
            </w:r>
          </w:p>
        </w:tc>
        <w:tc>
          <w:tcPr>
            <w:tcW w:w="47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155" w:lineRule="exact"/>
        <w:rPr>
          <w:sz w:val="24"/>
          <w:szCs w:val="24"/>
          <w:color w:val="auto"/>
        </w:rPr>
      </w:pPr>
    </w:p>
    <w:p>
      <w:pPr>
        <w:ind w:firstLine="648"/>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69" w:lineRule="exact"/>
        <w:rPr>
          <w:sz w:val="24"/>
          <w:szCs w:val="24"/>
          <w:color w:val="auto"/>
        </w:rPr>
      </w:pPr>
    </w:p>
    <w:p>
      <w:pPr>
        <w:ind w:right="400" w:firstLine="648"/>
        <w:spacing w:after="0" w:line="273" w:lineRule="auto"/>
        <w:rPr>
          <w:sz w:val="20"/>
          <w:szCs w:val="20"/>
          <w:color w:val="auto"/>
        </w:rPr>
      </w:pPr>
      <w:r>
        <w:rPr>
          <w:rFonts w:ascii="Arial" w:cs="Arial" w:eastAsia="Arial" w:hAnsi="Arial"/>
          <w:sz w:val="14"/>
          <w:szCs w:val="14"/>
          <w:color w:val="auto"/>
        </w:rPr>
        <w:t>As of August 1, 2023, the registrant had 84,113,697 shares of Class A common stock, $0.0001 par value per share, and 313,731,628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the ongoing impact of a grocery chain previously not accepting pharmacy benefit managers ("PBMs") pricing (the "grocer issue") on our future results of operations, the launch of new offerings, stock compensation, our stock repurchase program, anticipated impacts of the de-prioritization of certain solutions under our pharma manufacturer solutions offering and our cost savings initiatives, our direct contracting approach with retailers, realizability of deferred tax assets, business strategy, plans, market growth and our objectives for future operations.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related to our limited operating history and early stage of growth; our ability to achieve broad market education and change consumer purchasing habits; our general ability to continue to attract, acquire and retain consumers in a cost-effective manner; our reliance on our prescription transactions offering and ability to expand our offerings; changes in medication pricing and pricing structures; our general inability to control the categories and types of prescriptions for which we can offer savings or discounted prices; our reliance on a limited number of industry participants, including PBMs, pharmacies, and pharma manufacturers; the competitive nature of industry; risks related to pandemics, epidemics or outbreak of infectious disease, including COVID-19; the accuracy of our estimate of our total addressable market and other operational metrics; risks related to a decrease in consumer willingness to receive correspondence or any technical, legal or any other restrictions to send such correspondence; risks related to any failure to comply with applicable data protection, privacy and security, advertising and consumer protection laws, standards, and other requirements; risks related to negative media coverage; our ability to respond to changes in the market for prescription pricing and to maintain and expand the use of GoodRx codes; our ability to maintain positive perception of our platform and brand; risks related to any failure to maintain effective internal control over financial reporting; risks related to use of social media, emails, text messages and other messaging channels as part of our marketing strategy; our ability to accurately forecast revenue and appropriately plan our expenses in the future; risks related to government regulation of the internet, e-commerce, consumer data and privacy, information technology and cyber-security; our ability to utilize our net operating loss carryforwards and certain other tax attributes; our ability to attract, develop, motivate and retain well-qualified employees, and to successfully transition our Chief Executive Officer role; risks related to general economic factors, natural disasters or other unexpected events; risks related to our acquisition strategy; risks related to our debt arrangements; interruptions or delays in service on our apps or websites; our reliance on third-party platforms to distribute our platform and offerings, including software as-a-service technologies; systems failures or other disruptions in the operations of these parties on which we depend; the increasing focus on environmental sustainability and social initiatives; risks related to our intellectual property; risks related to climate change; risks related to operating in the healthcare industry; risks related to our organizational structure; risks related to fluctuations in our tax obligations and effective income tax rate which could materially and adversely affect our results of operations; litigation related risks; risks related to the recent healthcare reform legislation and other changes in the healthcare industry and in healthcare spending which may adversely affect our business, financial condition and results of operations; the risk that we may not achieve the intended outcomes of our restructuring and cost reduction efforts; as well as the other important factors discussed in the sections entitled “Risk Factors” of our Annual Report on Form 10-K for the fiscal year ended December 31, 2022 (“2022 10-K”) and this Quarterly Report on Form 10-Q and in our other filings with the Securities and Exchange Commission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periodically post information that may be important to investors on our investor relations website at https://investors.goodrx.com. We intend to use our website as a means of disclosing material non-public information and for complying with our disclosure obligations under Regulation FD. Accordingly, investors and potential investors are encouraged to consult our website regularly for important information, in addition to following GoodRx’s press releases, filings with the SEC and public conference calls and webcasts. The information contained on, or that may be accessed through, our website is not incorporated by reference into, and is not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8"/>
          </w:tcPr>
          <w:p>
            <w:pPr>
              <w:spacing w:after="0"/>
              <w:rPr>
                <w:sz w:val="20"/>
                <w:szCs w:val="20"/>
                <w:color w:val="auto"/>
              </w:rPr>
            </w:pPr>
            <w:r>
              <w:rPr>
                <w:rFonts w:ascii="Arial" w:cs="Arial" w:eastAsia="Arial" w:hAnsi="Arial"/>
                <w:sz w:val="16"/>
                <w:szCs w:val="16"/>
                <w:b w:val="1"/>
                <w:bCs w:val="1"/>
                <w:color w:val="auto"/>
              </w:rPr>
              <w:t>Table of Contents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
        </w:trPr>
        <w:tc>
          <w:tcPr>
            <w:tcW w:w="1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PART I.</w:t>
            </w:r>
          </w:p>
        </w:tc>
        <w:tc>
          <w:tcPr>
            <w:tcW w:w="9200" w:type="dxa"/>
            <w:vAlign w:val="bottom"/>
            <w:gridSpan w:val="18"/>
            <w:vMerge w:val="restart"/>
          </w:tcPr>
          <w:p>
            <w:pPr>
              <w:spacing w:after="0"/>
              <w:rPr>
                <w:sz w:val="20"/>
                <w:szCs w:val="20"/>
                <w:color w:val="auto"/>
              </w:rPr>
            </w:pPr>
            <w:r>
              <w:rPr>
                <w:rFonts w:ascii="Arial" w:cs="Arial" w:eastAsia="Arial" w:hAnsi="Arial"/>
                <w:sz w:val="16"/>
                <w:szCs w:val="16"/>
                <w:b w:val="1"/>
                <w:bCs w:val="1"/>
                <w:color w:val="auto"/>
              </w:rPr>
              <w:t>FINANCIAL INFORMATION</w:t>
            </w: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5"/>
        </w:trPr>
        <w:tc>
          <w:tcPr>
            <w:tcW w:w="1240" w:type="dxa"/>
            <w:vAlign w:val="bottom"/>
            <w:vMerge w:val="continue"/>
          </w:tcPr>
          <w:p>
            <w:pPr>
              <w:spacing w:after="0"/>
              <w:rPr>
                <w:sz w:val="24"/>
                <w:szCs w:val="24"/>
                <w:color w:val="auto"/>
              </w:rPr>
            </w:pPr>
          </w:p>
        </w:tc>
        <w:tc>
          <w:tcPr>
            <w:tcW w:w="9200" w:type="dxa"/>
            <w:vAlign w:val="bottom"/>
            <w:gridSpan w:val="18"/>
            <w:vMerge w:val="continue"/>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6"/>
                <w:szCs w:val="16"/>
                <w:color w:val="auto"/>
              </w:rPr>
              <w:t>Item 1.</w:t>
            </w:r>
          </w:p>
        </w:tc>
        <w:tc>
          <w:tcPr>
            <w:tcW w:w="426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Condensed Consolidated Financial Statements (Unaudited)</w:t>
            </w:r>
          </w:p>
        </w:tc>
        <w:tc>
          <w:tcPr>
            <w:tcW w:w="4940" w:type="dxa"/>
            <w:vAlign w:val="bottom"/>
            <w:gridSpan w:val="4"/>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30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Condensed Consolidated Balance Sheets</w:t>
            </w:r>
          </w:p>
        </w:tc>
        <w:tc>
          <w:tcPr>
            <w:tcW w:w="6200" w:type="dxa"/>
            <w:vAlign w:val="bottom"/>
            <w:gridSpan w:val="9"/>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370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rPr>
              <w:t>Condensed Consolidated Statements of Operations</w:t>
            </w:r>
          </w:p>
        </w:tc>
        <w:tc>
          <w:tcPr>
            <w:tcW w:w="5500" w:type="dxa"/>
            <w:vAlign w:val="bottom"/>
            <w:gridSpan w:val="8"/>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p>
        </w:tc>
        <w:tc>
          <w:tcPr>
            <w:tcW w:w="9200" w:type="dxa"/>
            <w:vAlign w:val="bottom"/>
            <w:gridSpan w:val="18"/>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780" w:type="dxa"/>
            <w:vAlign w:val="bottom"/>
          </w:tcPr>
          <w:p>
            <w:pPr>
              <w:jc w:val="center"/>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436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0000FF"/>
              </w:rPr>
              <w:t>Condensed Consolidated Statements of Cash Flows</w:t>
            </w:r>
          </w:p>
        </w:tc>
        <w:tc>
          <w:tcPr>
            <w:tcW w:w="4840" w:type="dxa"/>
            <w:vAlign w:val="bottom"/>
            <w:gridSpan w:val="3"/>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40" w:type="dxa"/>
            <w:vAlign w:val="bottom"/>
          </w:tcPr>
          <w:p>
            <w:pPr>
              <w:spacing w:after="0"/>
              <w:rPr>
                <w:sz w:val="20"/>
                <w:szCs w:val="20"/>
                <w:color w:val="auto"/>
              </w:rPr>
            </w:pPr>
          </w:p>
        </w:tc>
        <w:tc>
          <w:tcPr>
            <w:tcW w:w="402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5180" w:type="dxa"/>
            <w:vAlign w:val="bottom"/>
            <w:gridSpan w:val="6"/>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6"/>
                <w:szCs w:val="16"/>
                <w:color w:val="auto"/>
              </w:rPr>
              <w:t>Item 2.</w:t>
            </w:r>
          </w:p>
        </w:tc>
        <w:tc>
          <w:tcPr>
            <w:tcW w:w="636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2840" w:type="dxa"/>
            <w:vAlign w:val="bottom"/>
            <w:gridSpan w:val="2"/>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6"/>
                <w:szCs w:val="16"/>
                <w:color w:val="auto"/>
              </w:rPr>
              <w:t>Item 3.</w:t>
            </w:r>
          </w:p>
        </w:tc>
        <w:tc>
          <w:tcPr>
            <w:tcW w:w="9200" w:type="dxa"/>
            <w:vAlign w:val="bottom"/>
            <w:gridSpan w:val="18"/>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780" w:type="dxa"/>
            <w:vAlign w:val="bottom"/>
          </w:tcPr>
          <w:p>
            <w:pPr>
              <w:jc w:val="center"/>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40" w:type="dxa"/>
            <w:vAlign w:val="bottom"/>
          </w:tcPr>
          <w:p>
            <w:pPr>
              <w:ind w:left="20"/>
              <w:spacing w:after="0"/>
              <w:rPr>
                <w:sz w:val="20"/>
                <w:szCs w:val="20"/>
                <w:color w:val="auto"/>
              </w:rPr>
            </w:pPr>
            <w:r>
              <w:rPr>
                <w:rFonts w:ascii="Arial" w:cs="Arial" w:eastAsia="Arial" w:hAnsi="Arial"/>
                <w:sz w:val="16"/>
                <w:szCs w:val="16"/>
                <w:color w:val="auto"/>
              </w:rPr>
              <w:t>Item 4.</w:t>
            </w:r>
          </w:p>
        </w:tc>
        <w:tc>
          <w:tcPr>
            <w:tcW w:w="422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0000FF"/>
              </w:rPr>
              <w:t>Controls and Procedures</w:t>
            </w:r>
          </w:p>
        </w:tc>
        <w:tc>
          <w:tcPr>
            <w:tcW w:w="4980" w:type="dxa"/>
            <w:vAlign w:val="bottom"/>
            <w:gridSpan w:val="5"/>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1780" w:type="dxa"/>
            <w:vAlign w:val="bottom"/>
            <w:tcBorders>
              <w:top w:val="single" w:sz="8" w:color="0000FF"/>
            </w:tcBorders>
            <w:gridSpan w:val="7"/>
          </w:tcPr>
          <w:p>
            <w:pPr>
              <w:spacing w:after="0"/>
              <w:rPr>
                <w:sz w:val="20"/>
                <w:szCs w:val="20"/>
                <w:color w:val="auto"/>
              </w:rPr>
            </w:pPr>
            <w:r>
              <w:rPr>
                <w:rFonts w:ascii="Arial" w:cs="Arial" w:eastAsia="Arial" w:hAnsi="Arial"/>
                <w:sz w:val="16"/>
                <w:szCs w:val="16"/>
                <w:b w:val="1"/>
                <w:bCs w:val="1"/>
                <w:color w:val="auto"/>
              </w:rPr>
              <w:t>OTHER INFORMATION</w:t>
            </w:r>
          </w:p>
        </w:tc>
        <w:tc>
          <w:tcPr>
            <w:tcW w:w="742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9"/>
              </w:rPr>
              <w:t>Legal Proceedings</w:t>
            </w:r>
          </w:p>
        </w:tc>
        <w:tc>
          <w:tcPr>
            <w:tcW w:w="7860" w:type="dxa"/>
            <w:vAlign w:val="bottom"/>
            <w:gridSpan w:val="13"/>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Risk Factors</w:t>
            </w:r>
          </w:p>
        </w:tc>
        <w:tc>
          <w:tcPr>
            <w:tcW w:w="8300" w:type="dxa"/>
            <w:vAlign w:val="bottom"/>
            <w:gridSpan w:val="15"/>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6"/>
                <w:szCs w:val="16"/>
                <w:color w:val="auto"/>
              </w:rPr>
              <w:t>Item 2.</w:t>
            </w:r>
          </w:p>
        </w:tc>
        <w:tc>
          <w:tcPr>
            <w:tcW w:w="71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Unregistered Sales of Equity Securities, Use of Proceeds, and Issuer Purchases of Equity Securities</w:t>
            </w:r>
          </w:p>
        </w:tc>
        <w:tc>
          <w:tcPr>
            <w:tcW w:w="20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40" w:type="dxa"/>
            <w:vAlign w:val="bottom"/>
          </w:tcPr>
          <w:p>
            <w:pPr>
              <w:ind w:left="20"/>
              <w:spacing w:after="0"/>
              <w:rPr>
                <w:sz w:val="20"/>
                <w:szCs w:val="20"/>
                <w:color w:val="auto"/>
              </w:rPr>
            </w:pPr>
            <w:r>
              <w:rPr>
                <w:rFonts w:ascii="Arial" w:cs="Arial" w:eastAsia="Arial" w:hAnsi="Arial"/>
                <w:sz w:val="16"/>
                <w:szCs w:val="16"/>
                <w:color w:val="auto"/>
              </w:rPr>
              <w:t>Item 3.</w:t>
            </w:r>
          </w:p>
        </w:tc>
        <w:tc>
          <w:tcPr>
            <w:tcW w:w="9200" w:type="dxa"/>
            <w:vAlign w:val="bottom"/>
            <w:gridSpan w:val="18"/>
          </w:tcPr>
          <w:p>
            <w:pPr>
              <w:spacing w:after="0"/>
              <w:rPr>
                <w:sz w:val="20"/>
                <w:szCs w:val="20"/>
                <w:color w:val="auto"/>
              </w:rPr>
            </w:pPr>
            <w:r>
              <w:rPr>
                <w:rFonts w:ascii="Arial" w:cs="Arial" w:eastAsia="Arial" w:hAnsi="Arial"/>
                <w:sz w:val="16"/>
                <w:szCs w:val="16"/>
                <w:color w:val="0000FF"/>
              </w:rPr>
              <w:t>Defaults Upon Senior Securities</w:t>
            </w:r>
          </w:p>
        </w:tc>
        <w:tc>
          <w:tcPr>
            <w:tcW w:w="780" w:type="dxa"/>
            <w:vAlign w:val="bottom"/>
          </w:tcPr>
          <w:p>
            <w:pPr>
              <w:jc w:val="center"/>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6"/>
                <w:szCs w:val="16"/>
                <w:color w:val="auto"/>
              </w:rPr>
              <w:t>Item 4.</w:t>
            </w:r>
          </w:p>
        </w:tc>
        <w:tc>
          <w:tcPr>
            <w:tcW w:w="2280" w:type="dxa"/>
            <w:vAlign w:val="bottom"/>
            <w:tcBorders>
              <w:top w:val="single" w:sz="8" w:color="0000FF"/>
            </w:tcBorders>
            <w:gridSpan w:val="8"/>
          </w:tcPr>
          <w:p>
            <w:pPr>
              <w:spacing w:after="0"/>
              <w:rPr>
                <w:sz w:val="20"/>
                <w:szCs w:val="20"/>
                <w:color w:val="auto"/>
              </w:rPr>
            </w:pPr>
            <w:r>
              <w:rPr>
                <w:rFonts w:ascii="Arial" w:cs="Arial" w:eastAsia="Arial" w:hAnsi="Arial"/>
                <w:sz w:val="16"/>
                <w:szCs w:val="16"/>
                <w:color w:val="0000FF"/>
              </w:rPr>
              <w:t>Mine Safety Disclosures</w:t>
            </w:r>
          </w:p>
        </w:tc>
        <w:tc>
          <w:tcPr>
            <w:tcW w:w="6920" w:type="dxa"/>
            <w:vAlign w:val="bottom"/>
            <w:gridSpan w:val="10"/>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40" w:type="dxa"/>
            <w:vAlign w:val="bottom"/>
          </w:tcPr>
          <w:p>
            <w:pPr>
              <w:ind w:left="20"/>
              <w:spacing w:after="0"/>
              <w:rPr>
                <w:sz w:val="20"/>
                <w:szCs w:val="20"/>
                <w:color w:val="auto"/>
              </w:rPr>
            </w:pPr>
            <w:r>
              <w:rPr>
                <w:rFonts w:ascii="Arial" w:cs="Arial" w:eastAsia="Arial" w:hAnsi="Arial"/>
                <w:sz w:val="16"/>
                <w:szCs w:val="16"/>
                <w:color w:val="auto"/>
              </w:rPr>
              <w:t>Item 5.</w:t>
            </w:r>
          </w:p>
        </w:tc>
        <w:tc>
          <w:tcPr>
            <w:tcW w:w="12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w w:val="99"/>
              </w:rPr>
              <w:t>Other Information</w:t>
            </w:r>
          </w:p>
        </w:tc>
        <w:tc>
          <w:tcPr>
            <w:tcW w:w="460" w:type="dxa"/>
            <w:vAlign w:val="bottom"/>
            <w:tcBorders>
              <w:top w:val="single" w:sz="8" w:color="0000FF"/>
            </w:tcBorders>
            <w:gridSpan w:val="2"/>
          </w:tcPr>
          <w:p>
            <w:pPr>
              <w:spacing w:after="0"/>
              <w:rPr>
                <w:sz w:val="20"/>
                <w:szCs w:val="20"/>
                <w:color w:val="auto"/>
              </w:rPr>
            </w:pPr>
          </w:p>
        </w:tc>
        <w:tc>
          <w:tcPr>
            <w:tcW w:w="7480" w:type="dxa"/>
            <w:vAlign w:val="bottom"/>
            <w:gridSpan w:val="12"/>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6"/>
                <w:szCs w:val="16"/>
                <w:color w:val="auto"/>
              </w:rPr>
              <w:t>Item 6.</w:t>
            </w:r>
          </w:p>
        </w:tc>
        <w:tc>
          <w:tcPr>
            <w:tcW w:w="5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Exhibits</w:t>
            </w:r>
          </w:p>
        </w:tc>
        <w:tc>
          <w:tcPr>
            <w:tcW w:w="8640" w:type="dxa"/>
            <w:vAlign w:val="bottom"/>
            <w:gridSpan w:val="17"/>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9200" w:type="dxa"/>
            <w:vAlign w:val="bottom"/>
            <w:gridSpan w:val="18"/>
          </w:tcPr>
          <w:p>
            <w:pPr>
              <w:spacing w:after="0"/>
              <w:rPr>
                <w:sz w:val="20"/>
                <w:szCs w:val="20"/>
                <w:color w:val="auto"/>
              </w:rPr>
            </w:pPr>
            <w:r>
              <w:rPr>
                <w:rFonts w:ascii="Arial" w:cs="Arial" w:eastAsia="Arial" w:hAnsi="Arial"/>
                <w:sz w:val="16"/>
                <w:szCs w:val="16"/>
                <w:color w:val="0000FF"/>
              </w:rPr>
              <w:t>Signatures</w:t>
            </w:r>
          </w:p>
        </w:tc>
        <w:tc>
          <w:tcPr>
            <w:tcW w:w="780" w:type="dxa"/>
            <w:vAlign w:val="bottom"/>
          </w:tcPr>
          <w:p>
            <w:pPr>
              <w:jc w:val="center"/>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3"/>
        </w:trPr>
        <w:tc>
          <w:tcPr>
            <w:tcW w:w="124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Consolidated Financial Statements (Unaudited)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par values)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December 31, 2022</w:t>
            </w:r>
          </w:p>
        </w:tc>
      </w:tr>
      <w:tr>
        <w:trPr>
          <w:trHeight w:val="22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3"/>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761,988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757,165</w:t>
            </w:r>
          </w:p>
        </w:tc>
      </w:tr>
      <w:tr>
        <w:trPr>
          <w:trHeight w:val="224"/>
        </w:trPr>
        <w:tc>
          <w:tcPr>
            <w:tcW w:w="748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123,378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117,141</w:t>
            </w:r>
          </w:p>
        </w:tc>
      </w:tr>
      <w:tr>
        <w:trPr>
          <w:trHeight w:val="33"/>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45,380</w:t>
            </w:r>
          </w:p>
        </w:tc>
      </w:tr>
      <w:tr>
        <w:trPr>
          <w:trHeight w:val="224"/>
        </w:trPr>
        <w:tc>
          <w:tcPr>
            <w:tcW w:w="748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919,252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919,686</w:t>
            </w:r>
          </w:p>
        </w:tc>
      </w:tr>
      <w:tr>
        <w:trPr>
          <w:trHeight w:val="33"/>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19,820</w:t>
            </w: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412,117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412,117</w:t>
            </w:r>
          </w:p>
        </w:tc>
      </w:tr>
      <w:tr>
        <w:trPr>
          <w:trHeight w:val="24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119,865</w:t>
            </w: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Capitalized software, net</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93,478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70,072</w:t>
            </w:r>
          </w:p>
        </w:tc>
      </w:tr>
      <w:tr>
        <w:trPr>
          <w:trHeight w:val="24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35,906</w:t>
            </w: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62,686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27,165</w:t>
            </w:r>
          </w:p>
        </w:tc>
      </w:tr>
      <w:tr>
        <w:trPr>
          <w:trHeight w:val="253"/>
        </w:trPr>
        <w:tc>
          <w:tcPr>
            <w:tcW w:w="748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1,692,102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1,604,631</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4"/>
        </w:trPr>
        <w:tc>
          <w:tcPr>
            <w:tcW w:w="7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3"/>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17,700</w:t>
            </w:r>
          </w:p>
        </w:tc>
      </w:tr>
      <w:tr>
        <w:trPr>
          <w:trHeight w:val="233"/>
        </w:trPr>
        <w:tc>
          <w:tcPr>
            <w:tcW w:w="748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66,001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47,523</w:t>
            </w:r>
          </w:p>
        </w:tc>
      </w:tr>
      <w:tr>
        <w:trPr>
          <w:trHeight w:val="246"/>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debt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7,029</w:t>
            </w:r>
          </w:p>
        </w:tc>
      </w:tr>
      <w:tr>
        <w:trPr>
          <w:trHeight w:val="237"/>
        </w:trPr>
        <w:tc>
          <w:tcPr>
            <w:tcW w:w="7480" w:type="dxa"/>
            <w:vAlign w:val="bottom"/>
          </w:tcPr>
          <w:p>
            <w:pPr>
              <w:ind w:left="180"/>
              <w:spacing w:after="0"/>
              <w:rPr>
                <w:sz w:val="20"/>
                <w:szCs w:val="20"/>
                <w:color w:val="auto"/>
              </w:rPr>
            </w:pPr>
            <w:r>
              <w:rPr>
                <w:rFonts w:ascii="Arial" w:cs="Arial" w:eastAsia="Arial" w:hAnsi="Arial"/>
                <w:sz w:val="16"/>
                <w:szCs w:val="16"/>
                <w:color w:val="auto"/>
              </w:rPr>
              <w:t>Operating lease liabilities, current</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4,068</w:t>
            </w:r>
          </w:p>
        </w:tc>
      </w:tr>
      <w:tr>
        <w:trPr>
          <w:trHeight w:val="243"/>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82,553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76,320</w:t>
            </w:r>
          </w:p>
        </w:tc>
      </w:tr>
      <w:tr>
        <w:trPr>
          <w:trHeight w:val="223"/>
        </w:trPr>
        <w:tc>
          <w:tcPr>
            <w:tcW w:w="7480" w:type="dxa"/>
            <w:vAlign w:val="bottom"/>
          </w:tcPr>
          <w:p>
            <w:pPr>
              <w:ind w:left="20"/>
              <w:spacing w:after="0"/>
              <w:rPr>
                <w:sz w:val="20"/>
                <w:szCs w:val="20"/>
                <w:color w:val="auto"/>
              </w:rPr>
            </w:pPr>
            <w:r>
              <w:rPr>
                <w:rFonts w:ascii="Arial" w:cs="Arial" w:eastAsia="Arial" w:hAnsi="Arial"/>
                <w:sz w:val="16"/>
                <w:szCs w:val="16"/>
                <w:color w:val="auto"/>
              </w:rPr>
              <w:t>Debt, net</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649,753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651,796</w:t>
            </w:r>
          </w:p>
        </w:tc>
      </w:tr>
      <w:tr>
        <w:trPr>
          <w:trHeight w:val="33"/>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54,131</w:t>
            </w:r>
          </w:p>
        </w:tc>
      </w:tr>
      <w:tr>
        <w:trPr>
          <w:trHeight w:val="25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7,557</w:t>
            </w:r>
          </w:p>
        </w:tc>
      </w:tr>
      <w:tr>
        <w:trPr>
          <w:trHeight w:val="243"/>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796,731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789,804</w:t>
            </w: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Commitments and contingencies (Note 7)</w:t>
            </w: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06"/>
        </w:trPr>
        <w:tc>
          <w:tcPr>
            <w:tcW w:w="7480" w:type="dxa"/>
            <w:vAlign w:val="bottom"/>
          </w:tcPr>
          <w:p>
            <w:pPr>
              <w:ind w:left="180"/>
              <w:spacing w:after="0"/>
              <w:rPr>
                <w:sz w:val="20"/>
                <w:szCs w:val="20"/>
                <w:color w:val="auto"/>
              </w:rPr>
            </w:pPr>
            <w:r>
              <w:rPr>
                <w:rFonts w:ascii="Arial" w:cs="Arial" w:eastAsia="Arial" w:hAnsi="Arial"/>
                <w:sz w:val="16"/>
                <w:szCs w:val="16"/>
                <w:color w:val="auto"/>
              </w:rPr>
              <w:t>Preferred stock, $0.0001 par value; 50,000 shares authorized and zero shares issued and</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7"/>
        </w:trPr>
        <w:tc>
          <w:tcPr>
            <w:tcW w:w="7480" w:type="dxa"/>
            <w:vAlign w:val="bottom"/>
          </w:tcPr>
          <w:p>
            <w:pPr>
              <w:ind w:left="360"/>
              <w:spacing w:after="0"/>
              <w:rPr>
                <w:sz w:val="20"/>
                <w:szCs w:val="20"/>
                <w:color w:val="auto"/>
              </w:rPr>
            </w:pPr>
            <w:r>
              <w:rPr>
                <w:rFonts w:ascii="Arial" w:cs="Arial" w:eastAsia="Arial" w:hAnsi="Arial"/>
                <w:sz w:val="16"/>
                <w:szCs w:val="16"/>
                <w:color w:val="auto"/>
              </w:rPr>
              <w:t>outstanding at June 30, 2023 and December 31, 2022</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6"/>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$0.0001 par value; Class A: 2,000,000 shares authorized, 82,940 and 83,293 shares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8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issued and outstanding at June 30, 2023 and December 31, 2022, respectively; and Class B:</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03"/>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1,000,000 shares authorized and 313,732 shares issued and outstanding at June 30, 2023 and</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26"/>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2022</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23"/>
        </w:trPr>
        <w:tc>
          <w:tcPr>
            <w:tcW w:w="748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2,288,370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2,263,322</w:t>
            </w:r>
          </w:p>
        </w:tc>
      </w:tr>
      <w:tr>
        <w:trPr>
          <w:trHeight w:val="33"/>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6"/>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2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(1,393,039)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(1,448,535)</w:t>
            </w:r>
          </w:p>
        </w:tc>
      </w:tr>
      <w:tr>
        <w:trPr>
          <w:trHeight w:val="237"/>
        </w:trPr>
        <w:tc>
          <w:tcPr>
            <w:tcW w:w="7480" w:type="dxa"/>
            <w:vAlign w:val="bottom"/>
          </w:tcPr>
          <w:p>
            <w:pPr>
              <w:ind w:left="36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895,371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814,827</w:t>
            </w:r>
          </w:p>
        </w:tc>
      </w:tr>
      <w:tr>
        <w:trPr>
          <w:trHeight w:val="273"/>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1,692,102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1,604,631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4"/>
          </w:tcPr>
          <w:p>
            <w:pPr>
              <w:jc w:val="right"/>
              <w:ind w:right="75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189,677</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191,798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373,663</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395,127</w:t>
            </w:r>
          </w:p>
        </w:tc>
        <w:tc>
          <w:tcPr>
            <w:tcW w:w="0" w:type="dxa"/>
            <w:vAlign w:val="bottom"/>
          </w:tcPr>
          <w:p>
            <w:pPr>
              <w:spacing w:after="0"/>
              <w:rPr>
                <w:sz w:val="1"/>
                <w:szCs w:val="1"/>
                <w:color w:val="auto"/>
              </w:rPr>
            </w:pPr>
          </w:p>
        </w:tc>
      </w:tr>
      <w:tr>
        <w:trPr>
          <w:trHeight w:val="233"/>
        </w:trPr>
        <w:tc>
          <w:tcPr>
            <w:tcW w:w="4960" w:type="dxa"/>
            <w:vAlign w:val="bottom"/>
          </w:tcPr>
          <w:p>
            <w:pPr>
              <w:ind w:left="20"/>
              <w:spacing w:after="0"/>
              <w:rPr>
                <w:sz w:val="20"/>
                <w:szCs w:val="20"/>
                <w:color w:val="auto"/>
              </w:rPr>
            </w:pPr>
            <w:r>
              <w:rPr>
                <w:rFonts w:ascii="Arial" w:cs="Arial" w:eastAsia="Arial" w:hAnsi="Arial"/>
                <w:sz w:val="16"/>
                <w:szCs w:val="16"/>
                <w:color w:val="auto"/>
              </w:rPr>
              <w:t>Costs and operating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revenue, exclusive of depreciation and amortization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presented separately below</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30,324</w:t>
            </w:r>
          </w:p>
        </w:tc>
        <w:tc>
          <w:tcPr>
            <w:tcW w:w="0" w:type="dxa"/>
            <w:vAlign w:val="bottom"/>
          </w:tcPr>
          <w:p>
            <w:pPr>
              <w:spacing w:after="0"/>
              <w:rPr>
                <w:sz w:val="1"/>
                <w:szCs w:val="1"/>
                <w:color w:val="auto"/>
              </w:rPr>
            </w:pPr>
          </w:p>
        </w:tc>
      </w:tr>
      <w:tr>
        <w:trPr>
          <w:trHeight w:val="224"/>
        </w:trPr>
        <w:tc>
          <w:tcPr>
            <w:tcW w:w="4960" w:type="dxa"/>
            <w:vAlign w:val="bottom"/>
          </w:tcPr>
          <w:p>
            <w:pPr>
              <w:ind w:left="260"/>
              <w:spacing w:after="0"/>
              <w:rPr>
                <w:sz w:val="20"/>
                <w:szCs w:val="20"/>
                <w:color w:val="auto"/>
              </w:rPr>
            </w:pPr>
            <w:r>
              <w:rPr>
                <w:rFonts w:ascii="Arial" w:cs="Arial" w:eastAsia="Arial" w:hAnsi="Arial"/>
                <w:sz w:val="16"/>
                <w:szCs w:val="16"/>
                <w:color w:val="auto"/>
              </w:rPr>
              <w:t>Product development and technology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31,285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64,193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70,446</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77,440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94,338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155,962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187,288</w:t>
            </w:r>
          </w:p>
        </w:tc>
        <w:tc>
          <w:tcPr>
            <w:tcW w:w="0" w:type="dxa"/>
            <w:vAlign w:val="bottom"/>
          </w:tcPr>
          <w:p>
            <w:pPr>
              <w:spacing w:after="0"/>
              <w:rPr>
                <w:sz w:val="1"/>
                <w:szCs w:val="1"/>
                <w:color w:val="auto"/>
              </w:rPr>
            </w:pPr>
          </w:p>
        </w:tc>
      </w:tr>
      <w:tr>
        <w:trPr>
          <w:trHeight w:val="233"/>
        </w:trPr>
        <w:tc>
          <w:tcPr>
            <w:tcW w:w="496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34,740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59,827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66,663</w:t>
            </w:r>
          </w:p>
        </w:tc>
        <w:tc>
          <w:tcPr>
            <w:tcW w:w="0" w:type="dxa"/>
            <w:vAlign w:val="bottom"/>
          </w:tcPr>
          <w:p>
            <w:pPr>
              <w:spacing w:after="0"/>
              <w:rPr>
                <w:sz w:val="1"/>
                <w:szCs w:val="1"/>
                <w:color w:val="auto"/>
              </w:rPr>
            </w:pPr>
          </w:p>
        </w:tc>
      </w:tr>
      <w:tr>
        <w:trPr>
          <w:trHeight w:val="260"/>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16,097</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13,319</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31,036</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24,692</w:t>
            </w: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6"/>
                <w:szCs w:val="16"/>
                <w:color w:val="auto"/>
              </w:rPr>
              <w:t>Total costs and operating expenses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171,369</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195,845</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344,052</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379,413</w:t>
            </w:r>
          </w:p>
        </w:tc>
        <w:tc>
          <w:tcPr>
            <w:tcW w:w="0" w:type="dxa"/>
            <w:vAlign w:val="bottom"/>
          </w:tcPr>
          <w:p>
            <w:pPr>
              <w:spacing w:after="0"/>
              <w:rPr>
                <w:sz w:val="1"/>
                <w:szCs w:val="1"/>
                <w:color w:val="auto"/>
              </w:rPr>
            </w:pPr>
          </w:p>
        </w:tc>
      </w:tr>
      <w:tr>
        <w:trPr>
          <w:trHeight w:val="24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29,611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15,714</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96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15,048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60"/>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(6,969)</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(27,187)</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(12,838)</w:t>
            </w:r>
          </w:p>
        </w:tc>
        <w:tc>
          <w:tcPr>
            <w:tcW w:w="0" w:type="dxa"/>
            <w:vAlign w:val="bottom"/>
          </w:tcPr>
          <w:p>
            <w:pPr>
              <w:spacing w:after="0"/>
              <w:rPr>
                <w:sz w:val="1"/>
                <w:szCs w:val="1"/>
                <w:color w:val="auto"/>
              </w:rPr>
            </w:pPr>
          </w:p>
        </w:tc>
      </w:tr>
      <w:tr>
        <w:trPr>
          <w:trHeight w:val="236"/>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(13,947)</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(11,929)</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46,718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39,832</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7,093</w:t>
            </w:r>
          </w:p>
        </w:tc>
        <w:tc>
          <w:tcPr>
            <w:tcW w:w="0" w:type="dxa"/>
            <w:vAlign w:val="bottom"/>
          </w:tcPr>
          <w:p>
            <w:pPr>
              <w:spacing w:after="0"/>
              <w:rPr>
                <w:sz w:val="1"/>
                <w:szCs w:val="1"/>
                <w:color w:val="auto"/>
              </w:rPr>
            </w:pPr>
          </w:p>
        </w:tc>
      </w:tr>
      <w:tr>
        <w:trPr>
          <w:trHeight w:val="263"/>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55,496</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6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3"/>
        </w:trPr>
        <w:tc>
          <w:tcPr>
            <w:tcW w:w="4960" w:type="dxa"/>
            <w:vAlign w:val="bottom"/>
          </w:tcPr>
          <w:p>
            <w:pPr>
              <w:ind w:left="26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0.14</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0.13</w:t>
            </w:r>
          </w:p>
        </w:tc>
        <w:tc>
          <w:tcPr>
            <w:tcW w:w="6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21"/>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used in computing earnings (loss)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per share: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tcPr>
          <w:p>
            <w:pPr>
              <w:ind w:left="26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412,221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412,135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412,322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413,405</w:t>
            </w:r>
          </w:p>
        </w:tc>
        <w:tc>
          <w:tcPr>
            <w:tcW w:w="0" w:type="dxa"/>
            <w:vAlign w:val="bottom"/>
          </w:tcPr>
          <w:p>
            <w:pPr>
              <w:spacing w:after="0"/>
              <w:rPr>
                <w:sz w:val="1"/>
                <w:szCs w:val="1"/>
                <w:color w:val="auto"/>
              </w:rPr>
            </w:pPr>
          </w:p>
        </w:tc>
      </w:tr>
      <w:tr>
        <w:trPr>
          <w:trHeight w:val="246"/>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414,335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412,135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414,373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423,077</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Stock-based compensation included in costs and operating</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expenses: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960" w:type="dxa"/>
            <w:vAlign w:val="bottom"/>
          </w:tcPr>
          <w:p>
            <w:pPr>
              <w:ind w:left="260"/>
              <w:spacing w:after="0"/>
              <w:rPr>
                <w:sz w:val="20"/>
                <w:szCs w:val="20"/>
                <w:color w:val="auto"/>
              </w:rPr>
            </w:pPr>
            <w:r>
              <w:rPr>
                <w:rFonts w:ascii="Arial" w:cs="Arial" w:eastAsia="Arial" w:hAnsi="Arial"/>
                <w:sz w:val="16"/>
                <w:szCs w:val="16"/>
                <w:color w:val="auto"/>
              </w:rPr>
              <w:t>Cost of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180</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341</w:t>
            </w:r>
          </w:p>
        </w:tc>
        <w:tc>
          <w:tcPr>
            <w:tcW w:w="6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53"/>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Product development and technology</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17,298</w:t>
            </w:r>
          </w:p>
        </w:tc>
        <w:tc>
          <w:tcPr>
            <w:tcW w:w="0" w:type="dxa"/>
            <w:vAlign w:val="bottom"/>
          </w:tcPr>
          <w:p>
            <w:pPr>
              <w:spacing w:after="0"/>
              <w:rPr>
                <w:sz w:val="1"/>
                <w:szCs w:val="1"/>
                <w:color w:val="auto"/>
              </w:rPr>
            </w:pPr>
          </w:p>
        </w:tc>
      </w:tr>
      <w:tr>
        <w:trPr>
          <w:trHeight w:val="224"/>
        </w:trPr>
        <w:tc>
          <w:tcPr>
            <w:tcW w:w="496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11,233</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248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Class A and Class B</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2480" w:type="dxa"/>
            <w:vAlign w:val="bottom"/>
            <w:gridSpan w:val="3"/>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2480" w:type="dxa"/>
            <w:vAlign w:val="bottom"/>
            <w:tcBorders>
              <w:bottom w:val="single" w:sz="8" w:color="auto"/>
            </w:tcBorders>
            <w:gridSpan w:val="3"/>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right"/>
              <w:ind w:right="380"/>
              <w:spacing w:after="0" w:line="12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140"/>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right="80"/>
              <w:spacing w:after="0" w:line="12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32"/>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397,025</w:t>
            </w:r>
          </w:p>
        </w:tc>
        <w:tc>
          <w:tcPr>
            <w:tcW w:w="1120" w:type="dxa"/>
            <w:vAlign w:val="bottom"/>
            <w:gridSpan w:val="2"/>
            <w:shd w:val="clear" w:color="auto" w:fill="CCEEFF"/>
          </w:tcPr>
          <w:p>
            <w:pPr>
              <w:jc w:val="right"/>
              <w:ind w:right="84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2,263,322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(1,448,535)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814,827</w:t>
            </w:r>
          </w:p>
        </w:tc>
        <w:tc>
          <w:tcPr>
            <w:tcW w:w="0" w:type="dxa"/>
            <w:vAlign w:val="bottom"/>
          </w:tcPr>
          <w:p>
            <w:pPr>
              <w:spacing w:after="0"/>
              <w:rPr>
                <w:sz w:val="1"/>
                <w:szCs w:val="1"/>
                <w:color w:val="auto"/>
              </w:rPr>
            </w:pPr>
          </w:p>
        </w:tc>
      </w:tr>
      <w:tr>
        <w:trPr>
          <w:trHeight w:val="224"/>
        </w:trPr>
        <w:tc>
          <w:tcPr>
            <w:tcW w:w="4040" w:type="dxa"/>
            <w:vAlign w:val="bottom"/>
          </w:tcPr>
          <w:p>
            <w:pPr>
              <w:ind w:left="180"/>
              <w:spacing w:after="0"/>
              <w:rPr>
                <w:sz w:val="20"/>
                <w:szCs w:val="20"/>
                <w:color w:val="auto"/>
              </w:rPr>
            </w:pPr>
            <w:r>
              <w:rPr>
                <w:rFonts w:ascii="Arial" w:cs="Arial" w:eastAsia="Arial" w:hAnsi="Arial"/>
                <w:sz w:val="16"/>
                <w:szCs w:val="16"/>
                <w:color w:val="auto"/>
              </w:rPr>
              <w:t>Stock options exercised</w:t>
            </w:r>
          </w:p>
        </w:tc>
        <w:tc>
          <w:tcPr>
            <w:tcW w:w="1360" w:type="dxa"/>
            <w:vAlign w:val="bottom"/>
          </w:tcPr>
          <w:p>
            <w:pPr>
              <w:jc w:val="right"/>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28,263</w:t>
            </w:r>
          </w:p>
        </w:tc>
        <w:tc>
          <w:tcPr>
            <w:tcW w:w="0" w:type="dxa"/>
            <w:vAlign w:val="bottom"/>
          </w:tcPr>
          <w:p>
            <w:pPr>
              <w:spacing w:after="0"/>
              <w:rPr>
                <w:sz w:val="1"/>
                <w:szCs w:val="1"/>
                <w:color w:val="auto"/>
              </w:rPr>
            </w:pPr>
          </w:p>
        </w:tc>
      </w:tr>
      <w:tr>
        <w:trPr>
          <w:trHeight w:val="223"/>
        </w:trPr>
        <w:tc>
          <w:tcPr>
            <w:tcW w:w="4040" w:type="dxa"/>
            <w:vAlign w:val="bottom"/>
          </w:tcPr>
          <w:p>
            <w:pPr>
              <w:ind w:left="180"/>
              <w:spacing w:after="0"/>
              <w:rPr>
                <w:sz w:val="20"/>
                <w:szCs w:val="20"/>
                <w:color w:val="auto"/>
              </w:rPr>
            </w:pPr>
            <w:r>
              <w:rPr>
                <w:rFonts w:ascii="Arial" w:cs="Arial" w:eastAsia="Arial" w:hAnsi="Arial"/>
                <w:sz w:val="16"/>
                <w:szCs w:val="16"/>
                <w:color w:val="auto"/>
              </w:rPr>
              <w:t>Vesting and settlement of restricted stock units</w:t>
            </w:r>
          </w:p>
        </w:tc>
        <w:tc>
          <w:tcPr>
            <w:tcW w:w="1360" w:type="dxa"/>
            <w:vAlign w:val="bottom"/>
          </w:tcPr>
          <w:p>
            <w:pPr>
              <w:jc w:val="right"/>
              <w:spacing w:after="0"/>
              <w:rPr>
                <w:sz w:val="20"/>
                <w:szCs w:val="20"/>
                <w:color w:val="auto"/>
              </w:rPr>
            </w:pPr>
            <w:r>
              <w:rPr>
                <w:rFonts w:ascii="Arial" w:cs="Arial" w:eastAsia="Arial" w:hAnsi="Arial"/>
                <w:sz w:val="16"/>
                <w:szCs w:val="16"/>
                <w:color w:val="auto"/>
              </w:rPr>
              <w:t>1,668</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withheld related to net share</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settlement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w:t>
            </w:r>
          </w:p>
        </w:tc>
        <w:tc>
          <w:tcPr>
            <w:tcW w:w="0" w:type="dxa"/>
            <w:vAlign w:val="bottom"/>
          </w:tcPr>
          <w:p>
            <w:pPr>
              <w:spacing w:after="0"/>
              <w:rPr>
                <w:sz w:val="1"/>
                <w:szCs w:val="1"/>
                <w:color w:val="auto"/>
              </w:rPr>
            </w:pPr>
          </w:p>
        </w:tc>
      </w:tr>
      <w:tr>
        <w:trPr>
          <w:trHeight w:val="223"/>
        </w:trPr>
        <w:tc>
          <w:tcPr>
            <w:tcW w:w="4040" w:type="dxa"/>
            <w:vAlign w:val="bottom"/>
          </w:tcPr>
          <w:p>
            <w:pPr>
              <w:ind w:left="180"/>
              <w:spacing w:after="0"/>
              <w:rPr>
                <w:sz w:val="20"/>
                <w:szCs w:val="20"/>
                <w:color w:val="auto"/>
              </w:rPr>
            </w:pPr>
            <w:r>
              <w:rPr>
                <w:rFonts w:ascii="Arial" w:cs="Arial" w:eastAsia="Arial" w:hAnsi="Arial"/>
                <w:sz w:val="16"/>
                <w:szCs w:val="16"/>
                <w:color w:val="auto"/>
              </w:rPr>
              <w:t>Repurchases of Class A common stock</w:t>
            </w:r>
          </w:p>
        </w:tc>
        <w:tc>
          <w:tcPr>
            <w:tcW w:w="1360" w:type="dxa"/>
            <w:vAlign w:val="bottom"/>
          </w:tcPr>
          <w:p>
            <w:pPr>
              <w:jc w:val="right"/>
              <w:spacing w:after="0"/>
              <w:rPr>
                <w:sz w:val="20"/>
                <w:szCs w:val="20"/>
                <w:color w:val="auto"/>
              </w:rPr>
            </w:pPr>
            <w:r>
              <w:rPr>
                <w:rFonts w:ascii="Arial" w:cs="Arial" w:eastAsia="Arial" w:hAnsi="Arial"/>
                <w:sz w:val="16"/>
                <w:szCs w:val="16"/>
                <w:color w:val="auto"/>
              </w:rPr>
              <w:t>(1,570)</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(9,517)</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(3,290)</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6"/>
                <w:szCs w:val="16"/>
                <w:color w:val="auto"/>
              </w:rPr>
              <w:t>Balance at March 31, 2023</w:t>
            </w:r>
          </w:p>
        </w:tc>
        <w:tc>
          <w:tcPr>
            <w:tcW w:w="1360" w:type="dxa"/>
            <w:vAlign w:val="bottom"/>
          </w:tcPr>
          <w:p>
            <w:pPr>
              <w:jc w:val="right"/>
              <w:spacing w:after="0"/>
              <w:rPr>
                <w:sz w:val="20"/>
                <w:szCs w:val="20"/>
                <w:color w:val="auto"/>
              </w:rPr>
            </w:pPr>
            <w:r>
              <w:rPr>
                <w:rFonts w:ascii="Arial" w:cs="Arial" w:eastAsia="Arial" w:hAnsi="Arial"/>
                <w:sz w:val="16"/>
                <w:szCs w:val="16"/>
                <w:color w:val="auto"/>
              </w:rPr>
              <w:t>396,649</w:t>
            </w:r>
          </w:p>
        </w:tc>
        <w:tc>
          <w:tcPr>
            <w:tcW w:w="112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40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2,279,253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(1,451,825)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827,468</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options 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33"/>
        </w:trPr>
        <w:tc>
          <w:tcPr>
            <w:tcW w:w="404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21,354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21,354</w:t>
            </w:r>
          </w:p>
        </w:tc>
        <w:tc>
          <w:tcPr>
            <w:tcW w:w="0" w:type="dxa"/>
            <w:vAlign w:val="bottom"/>
          </w:tcPr>
          <w:p>
            <w:pPr>
              <w:spacing w:after="0"/>
              <w:rPr>
                <w:sz w:val="1"/>
                <w:szCs w:val="1"/>
                <w:color w:val="auto"/>
              </w:rPr>
            </w:pPr>
          </w:p>
        </w:tc>
      </w:tr>
      <w:tr>
        <w:trPr>
          <w:trHeight w:val="246"/>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Vesting and settlement of restricted stock units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40" w:type="dxa"/>
            <w:vAlign w:val="bottom"/>
          </w:tcPr>
          <w:p>
            <w:pPr>
              <w:ind w:left="180"/>
              <w:spacing w:after="0"/>
              <w:rPr>
                <w:sz w:val="20"/>
                <w:szCs w:val="20"/>
                <w:color w:val="auto"/>
              </w:rPr>
            </w:pPr>
            <w:r>
              <w:rPr>
                <w:rFonts w:ascii="Arial" w:cs="Arial" w:eastAsia="Arial" w:hAnsi="Arial"/>
                <w:sz w:val="16"/>
                <w:szCs w:val="16"/>
                <w:color w:val="auto"/>
              </w:rPr>
              <w:t>Common stock withheld related to net share</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6"/>
                <w:szCs w:val="16"/>
                <w:color w:val="auto"/>
              </w:rPr>
              <w:t>settlement</w:t>
            </w:r>
          </w:p>
        </w:tc>
        <w:tc>
          <w:tcPr>
            <w:tcW w:w="1360" w:type="dxa"/>
            <w:vAlign w:val="bottom"/>
          </w:tcPr>
          <w:p>
            <w:pPr>
              <w:jc w:val="right"/>
              <w:spacing w:after="0"/>
              <w:rPr>
                <w:sz w:val="20"/>
                <w:szCs w:val="20"/>
                <w:color w:val="auto"/>
              </w:rPr>
            </w:pPr>
            <w:r>
              <w:rPr>
                <w:rFonts w:ascii="Arial" w:cs="Arial" w:eastAsia="Arial" w:hAnsi="Arial"/>
                <w:sz w:val="16"/>
                <w:szCs w:val="16"/>
                <w:color w:val="auto"/>
              </w:rPr>
              <w:t>(827)</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(4,526)</w:t>
            </w:r>
          </w:p>
        </w:tc>
        <w:tc>
          <w:tcPr>
            <w:tcW w:w="0" w:type="dxa"/>
            <w:vAlign w:val="bottom"/>
          </w:tcPr>
          <w:p>
            <w:pPr>
              <w:spacing w:after="0"/>
              <w:rPr>
                <w:sz w:val="1"/>
                <w:szCs w:val="1"/>
                <w:color w:val="auto"/>
              </w:rPr>
            </w:pPr>
          </w:p>
        </w:tc>
      </w:tr>
      <w:tr>
        <w:trPr>
          <w:trHeight w:val="246"/>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Repurchases of Class A common stock</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(8,920)</w:t>
            </w:r>
          </w:p>
        </w:tc>
        <w:tc>
          <w:tcPr>
            <w:tcW w:w="0" w:type="dxa"/>
            <w:vAlign w:val="bottom"/>
          </w:tcPr>
          <w:p>
            <w:pPr>
              <w:spacing w:after="0"/>
              <w:rPr>
                <w:sz w:val="1"/>
                <w:szCs w:val="1"/>
                <w:color w:val="auto"/>
              </w:rPr>
            </w:pPr>
          </w:p>
        </w:tc>
      </w:tr>
      <w:tr>
        <w:trPr>
          <w:trHeight w:val="206"/>
        </w:trPr>
        <w:tc>
          <w:tcPr>
            <w:tcW w:w="4040" w:type="dxa"/>
            <w:vAlign w:val="bottom"/>
          </w:tcPr>
          <w:p>
            <w:pPr>
              <w:ind w:left="180"/>
              <w:spacing w:after="0"/>
              <w:rPr>
                <w:sz w:val="20"/>
                <w:szCs w:val="20"/>
                <w:color w:val="auto"/>
              </w:rPr>
            </w:pPr>
            <w:r>
              <w:rPr>
                <w:rFonts w:ascii="Arial" w:cs="Arial" w:eastAsia="Arial" w:hAnsi="Arial"/>
                <w:sz w:val="16"/>
                <w:szCs w:val="16"/>
                <w:color w:val="auto"/>
              </w:rPr>
              <w:t>Issuance of common stock through employee stock</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40" w:type="dxa"/>
            <w:vAlign w:val="bottom"/>
          </w:tcPr>
          <w:p>
            <w:pPr>
              <w:ind w:left="360"/>
              <w:spacing w:after="0"/>
              <w:rPr>
                <w:sz w:val="20"/>
                <w:szCs w:val="20"/>
                <w:color w:val="auto"/>
              </w:rPr>
            </w:pPr>
            <w:r>
              <w:rPr>
                <w:rFonts w:ascii="Arial" w:cs="Arial" w:eastAsia="Arial" w:hAnsi="Arial"/>
                <w:sz w:val="16"/>
                <w:szCs w:val="16"/>
                <w:color w:val="auto"/>
              </w:rPr>
              <w:t>purchase plan</w:t>
            </w:r>
          </w:p>
        </w:tc>
        <w:tc>
          <w:tcPr>
            <w:tcW w:w="1360" w:type="dxa"/>
            <w:vAlign w:val="bottom"/>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58,786</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6"/>
                <w:szCs w:val="16"/>
                <w:color w:val="auto"/>
              </w:rPr>
              <w:t>Balance at June 30, 2023</w:t>
            </w:r>
          </w:p>
        </w:tc>
        <w:tc>
          <w:tcPr>
            <w:tcW w:w="1360" w:type="dxa"/>
            <w:vAlign w:val="bottom"/>
          </w:tcPr>
          <w:p>
            <w:pPr>
              <w:jc w:val="right"/>
              <w:spacing w:after="0"/>
              <w:rPr>
                <w:sz w:val="20"/>
                <w:szCs w:val="20"/>
                <w:color w:val="auto"/>
              </w:rPr>
            </w:pPr>
            <w:r>
              <w:rPr>
                <w:rFonts w:ascii="Arial" w:cs="Arial" w:eastAsia="Arial" w:hAnsi="Arial"/>
                <w:sz w:val="16"/>
                <w:szCs w:val="16"/>
                <w:color w:val="auto"/>
              </w:rPr>
              <w:t>396,672</w:t>
            </w:r>
          </w:p>
        </w:tc>
        <w:tc>
          <w:tcPr>
            <w:tcW w:w="112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40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2,288,370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(1,393,039)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895,371</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248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Class A and Class B</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2480" w:type="dxa"/>
            <w:vAlign w:val="bottom"/>
            <w:gridSpan w:val="3"/>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2480" w:type="dxa"/>
            <w:vAlign w:val="bottom"/>
            <w:tcBorders>
              <w:bottom w:val="single" w:sz="8" w:color="auto"/>
            </w:tcBorders>
            <w:gridSpan w:val="3"/>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right"/>
              <w:ind w:right="381"/>
              <w:spacing w:after="0" w:line="12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140"/>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right="81"/>
              <w:spacing w:after="0" w:line="12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32"/>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400,562</w:t>
            </w:r>
          </w:p>
        </w:tc>
        <w:tc>
          <w:tcPr>
            <w:tcW w:w="1120" w:type="dxa"/>
            <w:vAlign w:val="bottom"/>
            <w:gridSpan w:val="2"/>
            <w:shd w:val="clear" w:color="auto" w:fill="CCEEFF"/>
          </w:tcPr>
          <w:p>
            <w:pPr>
              <w:jc w:val="right"/>
              <w:ind w:right="84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2,247,347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(1,415,707)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831,680</w:t>
            </w:r>
          </w:p>
        </w:tc>
        <w:tc>
          <w:tcPr>
            <w:tcW w:w="0" w:type="dxa"/>
            <w:vAlign w:val="bottom"/>
          </w:tcPr>
          <w:p>
            <w:pPr>
              <w:spacing w:after="0"/>
              <w:rPr>
                <w:sz w:val="1"/>
                <w:szCs w:val="1"/>
                <w:color w:val="auto"/>
              </w:rPr>
            </w:pPr>
          </w:p>
        </w:tc>
      </w:tr>
      <w:tr>
        <w:trPr>
          <w:trHeight w:val="224"/>
        </w:trPr>
        <w:tc>
          <w:tcPr>
            <w:tcW w:w="4040" w:type="dxa"/>
            <w:vAlign w:val="bottom"/>
          </w:tcPr>
          <w:p>
            <w:pPr>
              <w:ind w:left="180"/>
              <w:spacing w:after="0"/>
              <w:rPr>
                <w:sz w:val="20"/>
                <w:szCs w:val="20"/>
                <w:color w:val="auto"/>
              </w:rPr>
            </w:pPr>
            <w:r>
              <w:rPr>
                <w:rFonts w:ascii="Arial" w:cs="Arial" w:eastAsia="Arial" w:hAnsi="Arial"/>
                <w:sz w:val="16"/>
                <w:szCs w:val="16"/>
                <w:color w:val="auto"/>
              </w:rPr>
              <w:t>Stock options exercised</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749</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3,699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3,699</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32,161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32,161</w:t>
            </w:r>
          </w:p>
        </w:tc>
        <w:tc>
          <w:tcPr>
            <w:tcW w:w="0" w:type="dxa"/>
            <w:vAlign w:val="bottom"/>
          </w:tcPr>
          <w:p>
            <w:pPr>
              <w:spacing w:after="0"/>
              <w:rPr>
                <w:sz w:val="1"/>
                <w:szCs w:val="1"/>
                <w:color w:val="auto"/>
              </w:rPr>
            </w:pPr>
          </w:p>
        </w:tc>
      </w:tr>
      <w:tr>
        <w:trPr>
          <w:trHeight w:val="223"/>
        </w:trPr>
        <w:tc>
          <w:tcPr>
            <w:tcW w:w="4040" w:type="dxa"/>
            <w:vAlign w:val="bottom"/>
          </w:tcPr>
          <w:p>
            <w:pPr>
              <w:ind w:left="180"/>
              <w:spacing w:after="0"/>
              <w:rPr>
                <w:sz w:val="20"/>
                <w:szCs w:val="20"/>
                <w:color w:val="auto"/>
              </w:rPr>
            </w:pPr>
            <w:r>
              <w:rPr>
                <w:rFonts w:ascii="Arial" w:cs="Arial" w:eastAsia="Arial" w:hAnsi="Arial"/>
                <w:sz w:val="16"/>
                <w:szCs w:val="16"/>
                <w:color w:val="auto"/>
              </w:rPr>
              <w:t>Vesting and settlement of restricted stock units</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822</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withheld related to net share</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settlement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(9,561)</w:t>
            </w:r>
          </w:p>
        </w:tc>
        <w:tc>
          <w:tcPr>
            <w:tcW w:w="0" w:type="dxa"/>
            <w:vAlign w:val="bottom"/>
          </w:tcPr>
          <w:p>
            <w:pPr>
              <w:spacing w:after="0"/>
              <w:rPr>
                <w:sz w:val="1"/>
                <w:szCs w:val="1"/>
                <w:color w:val="auto"/>
              </w:rPr>
            </w:pPr>
          </w:p>
        </w:tc>
      </w:tr>
      <w:tr>
        <w:trPr>
          <w:trHeight w:val="223"/>
        </w:trPr>
        <w:tc>
          <w:tcPr>
            <w:tcW w:w="4040" w:type="dxa"/>
            <w:vAlign w:val="bottom"/>
          </w:tcPr>
          <w:p>
            <w:pPr>
              <w:ind w:left="180"/>
              <w:spacing w:after="0"/>
              <w:rPr>
                <w:sz w:val="20"/>
                <w:szCs w:val="20"/>
                <w:color w:val="auto"/>
              </w:rPr>
            </w:pPr>
            <w:r>
              <w:rPr>
                <w:rFonts w:ascii="Arial" w:cs="Arial" w:eastAsia="Arial" w:hAnsi="Arial"/>
                <w:sz w:val="16"/>
                <w:szCs w:val="16"/>
                <w:color w:val="auto"/>
              </w:rPr>
              <w:t>Repurchases of Class A common stock</w:t>
            </w:r>
          </w:p>
        </w:tc>
        <w:tc>
          <w:tcPr>
            <w:tcW w:w="1360" w:type="dxa"/>
            <w:vAlign w:val="bottom"/>
          </w:tcPr>
          <w:p>
            <w:pPr>
              <w:jc w:val="right"/>
              <w:spacing w:after="0"/>
              <w:rPr>
                <w:sz w:val="20"/>
                <w:szCs w:val="20"/>
                <w:color w:val="auto"/>
              </w:rPr>
            </w:pPr>
            <w:r>
              <w:rPr>
                <w:rFonts w:ascii="Arial" w:cs="Arial" w:eastAsia="Arial" w:hAnsi="Arial"/>
                <w:sz w:val="16"/>
                <w:szCs w:val="16"/>
                <w:color w:val="auto"/>
              </w:rPr>
              <w:t>(5,637)</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(83,765)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(83,765)</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12,293</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12,293</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396,132</w:t>
            </w:r>
          </w:p>
        </w:tc>
        <w:tc>
          <w:tcPr>
            <w:tcW w:w="112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40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2,189,881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(1,403,414)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786,507</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options exercised</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1,176</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4,109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233"/>
        </w:trPr>
        <w:tc>
          <w:tcPr>
            <w:tcW w:w="404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33,466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33,466</w:t>
            </w:r>
          </w:p>
        </w:tc>
        <w:tc>
          <w:tcPr>
            <w:tcW w:w="0" w:type="dxa"/>
            <w:vAlign w:val="bottom"/>
          </w:tcPr>
          <w:p>
            <w:pPr>
              <w:spacing w:after="0"/>
              <w:rPr>
                <w:sz w:val="1"/>
                <w:szCs w:val="1"/>
                <w:color w:val="auto"/>
              </w:rPr>
            </w:pPr>
          </w:p>
        </w:tc>
      </w:tr>
      <w:tr>
        <w:trPr>
          <w:trHeight w:val="246"/>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Vesting and settlement of restricted stock units</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1,059</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40" w:type="dxa"/>
            <w:vAlign w:val="bottom"/>
          </w:tcPr>
          <w:p>
            <w:pPr>
              <w:ind w:left="180"/>
              <w:spacing w:after="0"/>
              <w:rPr>
                <w:sz w:val="20"/>
                <w:szCs w:val="20"/>
                <w:color w:val="auto"/>
              </w:rPr>
            </w:pPr>
            <w:r>
              <w:rPr>
                <w:rFonts w:ascii="Arial" w:cs="Arial" w:eastAsia="Arial" w:hAnsi="Arial"/>
                <w:sz w:val="16"/>
                <w:szCs w:val="16"/>
                <w:color w:val="auto"/>
              </w:rPr>
              <w:t>Common stock withheld related to net share</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6"/>
                <w:szCs w:val="16"/>
                <w:color w:val="auto"/>
              </w:rPr>
              <w:t>settlement</w:t>
            </w:r>
          </w:p>
        </w:tc>
        <w:tc>
          <w:tcPr>
            <w:tcW w:w="1360" w:type="dxa"/>
            <w:vAlign w:val="bottom"/>
          </w:tcPr>
          <w:p>
            <w:pPr>
              <w:jc w:val="right"/>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(4,727)</w:t>
            </w:r>
          </w:p>
        </w:tc>
        <w:tc>
          <w:tcPr>
            <w:tcW w:w="0" w:type="dxa"/>
            <w:vAlign w:val="bottom"/>
          </w:tcPr>
          <w:p>
            <w:pPr>
              <w:spacing w:after="0"/>
              <w:rPr>
                <w:sz w:val="1"/>
                <w:szCs w:val="1"/>
                <w:color w:val="auto"/>
              </w:rPr>
            </w:pPr>
          </w:p>
        </w:tc>
      </w:tr>
      <w:tr>
        <w:trPr>
          <w:trHeight w:val="260"/>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397,908</w:t>
            </w:r>
          </w:p>
        </w:tc>
        <w:tc>
          <w:tcPr>
            <w:tcW w:w="112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40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2,222,729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(1,404,829)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817,940</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gridSpan w:val="3"/>
          </w:tcPr>
          <w:p>
            <w:pPr>
              <w:jc w:val="right"/>
              <w:ind w:right="53"/>
              <w:spacing w:after="0"/>
              <w:rPr>
                <w:sz w:val="20"/>
                <w:szCs w:val="20"/>
                <w:color w:val="auto"/>
              </w:rPr>
            </w:pPr>
            <w:r>
              <w:rPr>
                <w:rFonts w:ascii="Arial" w:cs="Arial" w:eastAsia="Arial" w:hAnsi="Arial"/>
                <w:sz w:val="13"/>
                <w:szCs w:val="13"/>
                <w:b w:val="1"/>
                <w:bCs w:val="1"/>
                <w:color w:val="auto"/>
              </w:rPr>
              <w:t>Six Months Ended</w:t>
            </w:r>
          </w:p>
        </w:tc>
        <w:tc>
          <w:tcPr>
            <w:tcW w:w="1180" w:type="dxa"/>
            <w:vAlign w:val="bottom"/>
          </w:tcPr>
          <w:p>
            <w:pPr>
              <w:spacing w:after="0"/>
              <w:rPr>
                <w:sz w:val="14"/>
                <w:szCs w:val="14"/>
                <w:color w:val="auto"/>
              </w:rPr>
            </w:pPr>
          </w:p>
        </w:tc>
      </w:tr>
      <w:tr>
        <w:trPr>
          <w:trHeight w:val="199"/>
        </w:trPr>
        <w:tc>
          <w:tcPr>
            <w:tcW w:w="74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3"/>
                <w:szCs w:val="13"/>
                <w:b w:val="1"/>
                <w:bCs w:val="1"/>
                <w:color w:val="auto"/>
              </w:rPr>
              <w:t>June 30,</w:t>
            </w:r>
          </w:p>
        </w:tc>
        <w:tc>
          <w:tcPr>
            <w:tcW w:w="1180" w:type="dxa"/>
            <w:vAlign w:val="bottom"/>
            <w:tcBorders>
              <w:bottom w:val="single" w:sz="8" w:color="auto"/>
            </w:tcBorders>
          </w:tcPr>
          <w:p>
            <w:pPr>
              <w:spacing w:after="0"/>
              <w:rPr>
                <w:sz w:val="17"/>
                <w:szCs w:val="17"/>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93"/>
              <w:spacing w:after="0"/>
              <w:rPr>
                <w:sz w:val="20"/>
                <w:szCs w:val="20"/>
                <w:color w:val="auto"/>
              </w:rPr>
            </w:pPr>
            <w:r>
              <w:rPr>
                <w:rFonts w:ascii="Arial" w:cs="Arial" w:eastAsia="Arial" w:hAnsi="Arial"/>
                <w:sz w:val="13"/>
                <w:szCs w:val="13"/>
                <w:b w:val="1"/>
                <w:bCs w:val="1"/>
                <w:color w:val="auto"/>
              </w:rPr>
              <w:t>2022</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8"/>
        </w:trPr>
        <w:tc>
          <w:tcPr>
            <w:tcW w:w="74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44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55,496</w:t>
            </w:r>
          </w:p>
        </w:tc>
        <w:tc>
          <w:tcPr>
            <w:tcW w:w="760" w:type="dxa"/>
            <w:vAlign w:val="bottom"/>
            <w:gridSpan w:val="2"/>
          </w:tcPr>
          <w:p>
            <w:pPr>
              <w:jc w:val="right"/>
              <w:ind w:right="49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10,878</w:t>
            </w:r>
          </w:p>
        </w:tc>
      </w:tr>
      <w:tr>
        <w:trPr>
          <w:trHeight w:val="28"/>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89"/>
        </w:trPr>
        <w:tc>
          <w:tcPr>
            <w:tcW w:w="7480" w:type="dxa"/>
            <w:vAlign w:val="bottom"/>
          </w:tcPr>
          <w:p>
            <w:pPr>
              <w:ind w:left="180"/>
              <w:spacing w:after="0"/>
              <w:rPr>
                <w:sz w:val="20"/>
                <w:szCs w:val="20"/>
                <w:color w:val="auto"/>
              </w:rPr>
            </w:pPr>
            <w:r>
              <w:rPr>
                <w:rFonts w:ascii="Arial" w:cs="Arial" w:eastAsia="Arial" w:hAnsi="Arial"/>
                <w:sz w:val="13"/>
                <w:szCs w:val="13"/>
                <w:color w:val="auto"/>
              </w:rPr>
              <w:t>Depreciation and amortization</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31,036</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24,692</w:t>
            </w:r>
          </w:p>
        </w:tc>
      </w:tr>
      <w:tr>
        <w:trPr>
          <w:trHeight w:val="28"/>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Amortization of debt issuance costs</w:t>
            </w: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1,695</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1,710</w:t>
            </w:r>
          </w:p>
        </w:tc>
      </w:tr>
      <w:tr>
        <w:trPr>
          <w:trHeight w:val="188"/>
        </w:trPr>
        <w:tc>
          <w:tcPr>
            <w:tcW w:w="7480" w:type="dxa"/>
            <w:vAlign w:val="bottom"/>
          </w:tcPr>
          <w:p>
            <w:pPr>
              <w:ind w:left="180"/>
              <w:spacing w:after="0"/>
              <w:rPr>
                <w:sz w:val="20"/>
                <w:szCs w:val="20"/>
                <w:color w:val="auto"/>
              </w:rPr>
            </w:pPr>
            <w:r>
              <w:rPr>
                <w:rFonts w:ascii="Arial" w:cs="Arial" w:eastAsia="Arial" w:hAnsi="Arial"/>
                <w:sz w:val="13"/>
                <w:szCs w:val="13"/>
                <w:color w:val="auto"/>
              </w:rPr>
              <w:t>Non-cash operating lease expense</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2,055</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1,509</w:t>
            </w:r>
          </w:p>
        </w:tc>
      </w:tr>
      <w:tr>
        <w:trPr>
          <w:trHeight w:val="28"/>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43,396</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61,782</w:t>
            </w:r>
          </w:p>
        </w:tc>
      </w:tr>
      <w:tr>
        <w:trPr>
          <w:trHeight w:val="188"/>
        </w:trPr>
        <w:tc>
          <w:tcPr>
            <w:tcW w:w="7480" w:type="dxa"/>
            <w:vAlign w:val="bottom"/>
          </w:tcPr>
          <w:p>
            <w:pPr>
              <w:ind w:left="180"/>
              <w:spacing w:after="0"/>
              <w:rPr>
                <w:sz w:val="20"/>
                <w:szCs w:val="20"/>
                <w:color w:val="auto"/>
              </w:rPr>
            </w:pPr>
            <w:r>
              <w:rPr>
                <w:rFonts w:ascii="Arial" w:cs="Arial" w:eastAsia="Arial" w:hAnsi="Arial"/>
                <w:sz w:val="13"/>
                <w:szCs w:val="13"/>
                <w:color w:val="auto"/>
              </w:rPr>
              <w:t>Change in fair value of contingent consideration</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240</w:t>
            </w:r>
          </w:p>
        </w:tc>
      </w:tr>
      <w:tr>
        <w:trPr>
          <w:trHeight w:val="28"/>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Deferred income taxes</w:t>
            </w: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(62,980)</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(336)</w:t>
            </w:r>
          </w:p>
        </w:tc>
      </w:tr>
      <w:tr>
        <w:trPr>
          <w:trHeight w:val="189"/>
        </w:trPr>
        <w:tc>
          <w:tcPr>
            <w:tcW w:w="7480" w:type="dxa"/>
            <w:vAlign w:val="bottom"/>
          </w:tcPr>
          <w:p>
            <w:pPr>
              <w:ind w:left="180"/>
              <w:spacing w:after="0"/>
              <w:rPr>
                <w:sz w:val="20"/>
                <w:szCs w:val="20"/>
                <w:color w:val="auto"/>
              </w:rPr>
            </w:pPr>
            <w:r>
              <w:rPr>
                <w:rFonts w:ascii="Arial" w:cs="Arial" w:eastAsia="Arial" w:hAnsi="Arial"/>
                <w:sz w:val="13"/>
                <w:szCs w:val="13"/>
                <w:color w:val="auto"/>
              </w:rPr>
              <w:t>Loss on operating lease assets</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374</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8"/>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Loss on minority equity interest investment</w:t>
            </w: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1,808</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8"/>
        </w:trPr>
        <w:tc>
          <w:tcPr>
            <w:tcW w:w="7480" w:type="dxa"/>
            <w:vAlign w:val="bottom"/>
          </w:tcPr>
          <w:p>
            <w:pPr>
              <w:ind w:left="360"/>
              <w:spacing w:after="0"/>
              <w:rPr>
                <w:sz w:val="20"/>
                <w:szCs w:val="20"/>
                <w:color w:val="auto"/>
              </w:rPr>
            </w:pPr>
            <w:r>
              <w:rPr>
                <w:rFonts w:ascii="Arial" w:cs="Arial" w:eastAsia="Arial" w:hAnsi="Arial"/>
                <w:sz w:val="13"/>
                <w:szCs w:val="13"/>
                <w:color w:val="auto"/>
              </w:rPr>
              <w:t>Changes in operating assets and liabilities, net of effects of business acquisitions</w:t>
            </w: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8"/>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Accounts receivable</w:t>
            </w: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(6,237)</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(4,362)</w:t>
            </w:r>
          </w:p>
        </w:tc>
      </w:tr>
      <w:tr>
        <w:trPr>
          <w:trHeight w:val="188"/>
        </w:trPr>
        <w:tc>
          <w:tcPr>
            <w:tcW w:w="7480" w:type="dxa"/>
            <w:vAlign w:val="bottom"/>
          </w:tcPr>
          <w:p>
            <w:pPr>
              <w:ind w:left="360"/>
              <w:spacing w:after="0"/>
              <w:rPr>
                <w:sz w:val="20"/>
                <w:szCs w:val="20"/>
                <w:color w:val="auto"/>
              </w:rPr>
            </w:pPr>
            <w:r>
              <w:rPr>
                <w:rFonts w:ascii="Arial" w:cs="Arial" w:eastAsia="Arial" w:hAnsi="Arial"/>
                <w:sz w:val="13"/>
                <w:szCs w:val="13"/>
                <w:color w:val="auto"/>
              </w:rPr>
              <w:t>Prepaid expenses and other assets</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(13,574)</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(8,439)</w:t>
            </w:r>
          </w:p>
        </w:tc>
      </w:tr>
      <w:tr>
        <w:trPr>
          <w:trHeight w:val="28"/>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Accounts payable</w:t>
            </w: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(10,972)</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(1,860)</w:t>
            </w:r>
          </w:p>
        </w:tc>
      </w:tr>
      <w:tr>
        <w:trPr>
          <w:trHeight w:val="188"/>
        </w:trPr>
        <w:tc>
          <w:tcPr>
            <w:tcW w:w="7480" w:type="dxa"/>
            <w:vAlign w:val="bottom"/>
          </w:tcPr>
          <w:p>
            <w:pPr>
              <w:ind w:left="360"/>
              <w:spacing w:after="0"/>
              <w:rPr>
                <w:sz w:val="20"/>
                <w:szCs w:val="20"/>
                <w:color w:val="auto"/>
              </w:rPr>
            </w:pPr>
            <w:r>
              <w:rPr>
                <w:rFonts w:ascii="Arial" w:cs="Arial" w:eastAsia="Arial" w:hAnsi="Arial"/>
                <w:sz w:val="13"/>
                <w:szCs w:val="13"/>
                <w:color w:val="auto"/>
              </w:rPr>
              <w:t>Accrued expenses and other current liabilities</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18,418</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(2,089)</w:t>
            </w:r>
          </w:p>
        </w:tc>
      </w:tr>
      <w:tr>
        <w:trPr>
          <w:trHeight w:val="28"/>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Operating lease liabilities</w:t>
            </w: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(665)</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(2,156)</w:t>
            </w:r>
          </w:p>
        </w:tc>
      </w:tr>
      <w:tr>
        <w:trPr>
          <w:trHeight w:val="188"/>
        </w:trPr>
        <w:tc>
          <w:tcPr>
            <w:tcW w:w="7480" w:type="dxa"/>
            <w:vAlign w:val="bottom"/>
          </w:tcPr>
          <w:p>
            <w:pPr>
              <w:ind w:left="360"/>
              <w:spacing w:after="0"/>
              <w:rPr>
                <w:sz w:val="20"/>
                <w:szCs w:val="20"/>
                <w:color w:val="auto"/>
              </w:rPr>
            </w:pPr>
            <w:r>
              <w:rPr>
                <w:rFonts w:ascii="Arial" w:cs="Arial" w:eastAsia="Arial" w:hAnsi="Arial"/>
                <w:sz w:val="13"/>
                <w:szCs w:val="13"/>
                <w:color w:val="auto"/>
              </w:rPr>
              <w:t>Other liabilities</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2,304</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(400)</w:t>
            </w:r>
          </w:p>
        </w:tc>
      </w:tr>
      <w:tr>
        <w:trPr>
          <w:trHeight w:val="28"/>
        </w:trPr>
        <w:tc>
          <w:tcPr>
            <w:tcW w:w="7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7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Net cash provided by operating activities</w:t>
            </w: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62,154</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81,169</w:t>
            </w:r>
          </w:p>
        </w:tc>
      </w:tr>
      <w:tr>
        <w:trPr>
          <w:trHeight w:val="187"/>
        </w:trPr>
        <w:tc>
          <w:tcPr>
            <w:tcW w:w="748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4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205"/>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Purchase of property and equipment</w:t>
            </w: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(3,172)</w:t>
            </w:r>
          </w:p>
        </w:tc>
      </w:tr>
      <w:tr>
        <w:trPr>
          <w:trHeight w:val="188"/>
        </w:trPr>
        <w:tc>
          <w:tcPr>
            <w:tcW w:w="7480" w:type="dxa"/>
            <w:vAlign w:val="bottom"/>
          </w:tcPr>
          <w:p>
            <w:pPr>
              <w:ind w:left="20"/>
              <w:spacing w:after="0"/>
              <w:rPr>
                <w:sz w:val="20"/>
                <w:szCs w:val="20"/>
                <w:color w:val="auto"/>
              </w:rPr>
            </w:pPr>
            <w:r>
              <w:rPr>
                <w:rFonts w:ascii="Arial" w:cs="Arial" w:eastAsia="Arial" w:hAnsi="Arial"/>
                <w:sz w:val="13"/>
                <w:szCs w:val="13"/>
                <w:color w:val="auto"/>
              </w:rPr>
              <w:t>Acquisitions, net of cash acquired</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(156,853)</w:t>
            </w:r>
          </w:p>
        </w:tc>
      </w:tr>
      <w:tr>
        <w:trPr>
          <w:trHeight w:val="28"/>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Capitalized software</w:t>
            </w: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(28,807)</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(22,977)</w:t>
            </w:r>
          </w:p>
        </w:tc>
      </w:tr>
      <w:tr>
        <w:trPr>
          <w:trHeight w:val="210"/>
        </w:trPr>
        <w:tc>
          <w:tcPr>
            <w:tcW w:w="7480" w:type="dxa"/>
            <w:vAlign w:val="bottom"/>
          </w:tcPr>
          <w:p>
            <w:pPr>
              <w:ind w:left="20"/>
              <w:spacing w:after="0"/>
              <w:rPr>
                <w:sz w:val="20"/>
                <w:szCs w:val="20"/>
                <w:color w:val="auto"/>
              </w:rPr>
            </w:pPr>
            <w:r>
              <w:rPr>
                <w:rFonts w:ascii="Arial" w:cs="Arial" w:eastAsia="Arial" w:hAnsi="Arial"/>
                <w:sz w:val="13"/>
                <w:szCs w:val="13"/>
                <w:color w:val="auto"/>
              </w:rPr>
              <w:t>Investment in minority equity interest</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(15,007)</w:t>
            </w:r>
          </w:p>
        </w:tc>
      </w:tr>
      <w:tr>
        <w:trPr>
          <w:trHeight w:val="209"/>
        </w:trPr>
        <w:tc>
          <w:tcPr>
            <w:tcW w:w="7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Net cash used in investing activities</w:t>
            </w: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(29,247)</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(198,009)</w:t>
            </w:r>
          </w:p>
        </w:tc>
      </w:tr>
      <w:tr>
        <w:trPr>
          <w:trHeight w:val="207"/>
        </w:trPr>
        <w:tc>
          <w:tcPr>
            <w:tcW w:w="748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5"/>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Payments on long-term debt</w:t>
            </w: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(3,515)</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(3,515)</w:t>
            </w:r>
          </w:p>
        </w:tc>
      </w:tr>
      <w:tr>
        <w:trPr>
          <w:trHeight w:val="188"/>
        </w:trPr>
        <w:tc>
          <w:tcPr>
            <w:tcW w:w="7480" w:type="dxa"/>
            <w:vAlign w:val="bottom"/>
          </w:tcPr>
          <w:p>
            <w:pPr>
              <w:ind w:left="20"/>
              <w:spacing w:after="0"/>
              <w:rPr>
                <w:sz w:val="20"/>
                <w:szCs w:val="20"/>
                <w:color w:val="auto"/>
              </w:rPr>
            </w:pPr>
            <w:r>
              <w:rPr>
                <w:rFonts w:ascii="Arial" w:cs="Arial" w:eastAsia="Arial" w:hAnsi="Arial"/>
                <w:sz w:val="13"/>
                <w:szCs w:val="13"/>
                <w:color w:val="auto"/>
              </w:rPr>
              <w:t>Repurchases of Class A common stock</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(18,437)</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(83,765)</w:t>
            </w:r>
          </w:p>
        </w:tc>
      </w:tr>
      <w:tr>
        <w:trPr>
          <w:trHeight w:val="28"/>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1,267</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7,839</w:t>
            </w:r>
          </w:p>
        </w:tc>
      </w:tr>
      <w:tr>
        <w:trPr>
          <w:trHeight w:val="188"/>
        </w:trPr>
        <w:tc>
          <w:tcPr>
            <w:tcW w:w="7480" w:type="dxa"/>
            <w:vAlign w:val="bottom"/>
          </w:tcPr>
          <w:p>
            <w:pPr>
              <w:ind w:left="20"/>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(8,048)</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(14,288)</w:t>
            </w:r>
          </w:p>
        </w:tc>
      </w:tr>
      <w:tr>
        <w:trPr>
          <w:trHeight w:val="28"/>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employee stock purchase plan</w:t>
            </w: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7480" w:type="dxa"/>
            <w:vAlign w:val="bottom"/>
          </w:tcPr>
          <w:p>
            <w:pPr>
              <w:ind w:left="520"/>
              <w:spacing w:after="0"/>
              <w:rPr>
                <w:sz w:val="20"/>
                <w:szCs w:val="20"/>
                <w:color w:val="auto"/>
              </w:rPr>
            </w:pPr>
            <w:r>
              <w:rPr>
                <w:rFonts w:ascii="Arial" w:cs="Arial" w:eastAsia="Arial" w:hAnsi="Arial"/>
                <w:sz w:val="13"/>
                <w:szCs w:val="13"/>
                <w:color w:val="auto"/>
              </w:rPr>
              <w:t>Net cash used in financing activities</w:t>
            </w:r>
          </w:p>
        </w:tc>
        <w:tc>
          <w:tcPr>
            <w:tcW w:w="4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(28,084)</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(93,729)</w:t>
            </w:r>
          </w:p>
        </w:tc>
      </w:tr>
      <w:tr>
        <w:trPr>
          <w:trHeight w:val="28"/>
        </w:trPr>
        <w:tc>
          <w:tcPr>
            <w:tcW w:w="7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Net change in cash and cash equivalents</w:t>
            </w: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4,823</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(210,569)</w:t>
            </w:r>
          </w:p>
        </w:tc>
      </w:tr>
      <w:tr>
        <w:trPr>
          <w:trHeight w:val="189"/>
        </w:trPr>
        <w:tc>
          <w:tcPr>
            <w:tcW w:w="748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8"/>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Beginning of period</w:t>
            </w: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757,165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941,109</w:t>
            </w:r>
          </w:p>
        </w:tc>
      </w:tr>
      <w:tr>
        <w:trPr>
          <w:trHeight w:val="209"/>
        </w:trPr>
        <w:tc>
          <w:tcPr>
            <w:tcW w:w="7480" w:type="dxa"/>
            <w:vAlign w:val="bottom"/>
          </w:tcPr>
          <w:p>
            <w:pPr>
              <w:ind w:left="20"/>
              <w:spacing w:after="0"/>
              <w:rPr>
                <w:sz w:val="20"/>
                <w:szCs w:val="20"/>
                <w:color w:val="auto"/>
              </w:rPr>
            </w:pPr>
            <w:r>
              <w:rPr>
                <w:rFonts w:ascii="Arial" w:cs="Arial" w:eastAsia="Arial" w:hAnsi="Arial"/>
                <w:sz w:val="13"/>
                <w:szCs w:val="13"/>
                <w:color w:val="auto"/>
              </w:rPr>
              <w:t>End of period</w:t>
            </w:r>
          </w:p>
        </w:tc>
        <w:tc>
          <w:tcPr>
            <w:tcW w:w="4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761,988</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730,540</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7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8"/>
        </w:trPr>
        <w:tc>
          <w:tcPr>
            <w:tcW w:w="7480" w:type="dxa"/>
            <w:vAlign w:val="bottom"/>
          </w:tcPr>
          <w:p>
            <w:pPr>
              <w:ind w:left="20"/>
              <w:spacing w:after="0"/>
              <w:rPr>
                <w:sz w:val="20"/>
                <w:szCs w:val="20"/>
                <w:color w:val="auto"/>
              </w:rPr>
            </w:pPr>
            <w:r>
              <w:rPr>
                <w:rFonts w:ascii="Arial" w:cs="Arial" w:eastAsia="Arial" w:hAnsi="Arial"/>
                <w:sz w:val="13"/>
                <w:szCs w:val="13"/>
                <w:color w:val="auto"/>
              </w:rPr>
              <w:t>Non cash investing and financing activities:</w:t>
            </w: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8"/>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Stock-based compensation included in capitalized software</w:t>
            </w:r>
          </w:p>
        </w:tc>
        <w:tc>
          <w:tcPr>
            <w:tcW w:w="44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6,221</w:t>
            </w:r>
          </w:p>
        </w:tc>
        <w:tc>
          <w:tcPr>
            <w:tcW w:w="760" w:type="dxa"/>
            <w:vAlign w:val="bottom"/>
            <w:tcBorders>
              <w:bottom w:val="single" w:sz="8" w:color="CCEEFF"/>
            </w:tcBorders>
            <w:gridSpan w:val="2"/>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3,845</w:t>
            </w:r>
          </w:p>
        </w:tc>
      </w:tr>
      <w:tr>
        <w:trPr>
          <w:trHeight w:val="188"/>
        </w:trPr>
        <w:tc>
          <w:tcPr>
            <w:tcW w:w="7480" w:type="dxa"/>
            <w:vAlign w:val="bottom"/>
          </w:tcPr>
          <w:p>
            <w:pPr>
              <w:ind w:left="100"/>
              <w:spacing w:after="0"/>
              <w:rPr>
                <w:sz w:val="20"/>
                <w:szCs w:val="20"/>
                <w:color w:val="auto"/>
              </w:rPr>
            </w:pPr>
            <w:r>
              <w:rPr>
                <w:rFonts w:ascii="Arial" w:cs="Arial" w:eastAsia="Arial" w:hAnsi="Arial"/>
                <w:sz w:val="13"/>
                <w:szCs w:val="13"/>
                <w:color w:val="auto"/>
              </w:rPr>
              <w:t>Capitalized software included in accounts payable and accrued expenses and other current liabilities</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4,232</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3,272</w:t>
            </w:r>
          </w:p>
        </w:tc>
      </w:tr>
      <w:tr>
        <w:trPr>
          <w:trHeight w:val="28"/>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8"/>
        </w:trPr>
        <w:tc>
          <w:tcPr>
            <w:tcW w:w="7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Capitalized software transferred from prepaid assets</w:t>
            </w: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5,751</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8"/>
        </w:trPr>
        <w:tc>
          <w:tcPr>
            <w:tcW w:w="74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GoodRx Holdings, Inc. was incorporated in September 2015 and has no material assets or standalone operations other than its ownership in its consolidated subsidiaries. GoodRx, Inc. (“GoodRx”), a Delaware corporation initially formed in September 2011, is a wholly-owned subsidiary of GoodRx Intermediate Holdings, LLC, which itself is a wholly-owned subsidiary of GoodRx Holdings, Inc.</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GoodRx Holdings, Inc. and its subsidiaries (collectively, "we," "us" or "our") offer information and tools to help consumers compare prices and save on their prescription drug purchases. We operate a price comparison platform that provides consumers with curated, geographically relevant prescription pricing, and provides access to negotiated prices through our codes that can be used to save money on prescriptions across the United States. These services are free to consumers and we primarily earn revenue from our core business from pharmacy benefit managers ("PBMs") that manage formularies and prescription transactions including establishing pricing between consumers and pharmacies. We also offer other healthcare products and services, including pharmaceutical ("pharma") manufacturer solutions, subscriptions and telehealth services.</w:t>
      </w:r>
    </w:p>
    <w:p>
      <w:pPr>
        <w:spacing w:after="0" w:line="286" w:lineRule="exact"/>
        <w:rPr>
          <w:sz w:val="20"/>
          <w:szCs w:val="20"/>
          <w:color w:val="auto"/>
        </w:rPr>
      </w:pPr>
    </w:p>
    <w:p>
      <w:pPr>
        <w:ind w:right="7660" w:firstLine="8"/>
        <w:spacing w:after="0" w:line="401" w:lineRule="auto"/>
        <w:tabs>
          <w:tab w:leader="none" w:pos="1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our annual consolidated financial statements prepared in accordance with GAAP have been condensed or omitted. Accordingly, these condensed consolidated financial statements should be read in conjunction with our audited consolidated financial statements for the year ended December 31, 2022 and the related notes, which are included in our Annual Report on Form 10-K filed with the SEC on March 1, 2023 ("2022 10-K"). The December 31, 2022 condensed consolidated balance sheet was derived from our audited consolidated financial statements as of that date. The condensed consolidated financial statements include, in the opinion of management, all adjustments, consisting of normal and recurring items, necessary for the fair statement of our condensed consolidated financial statements. The operating results for the three and six months ended June 30, 2023 are not necessarily indicative of the results expected for the full year ending December 31, 2023.</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significant accounting policies during the six months ended June 30, 2023 from those disclosed in “Note 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Summary of Significant Accounting Policies” in the notes to our consolidated financial statements included in our 2022 10-K.</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condensed consolidated financial statements include the accounts of GoodRx Holdings, Inc., its wholly owned subsidiaries and variable interest entities for which we are the primary beneficiary. Intercompany balances and transactions have been eliminated in consolidation. Results of businesses acquired are included in our condensed consolidated financial statements from their respective dates of acquisition.</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estimates and assumptions that affect the amounts reported in the condensed consolidated financial statements, including the accompanying notes. We base our estimates on historical factors; current circumstances, including the impact of a grocery chain that previously did not accept discounted pricing for a subset of prescription drugs from our PBMs starting late in the first quarter of 2022 ("grocer issue"); macroeconomic events and conditions, including the consideration of the economic impact of COVID-19; and the experience and judgment of our management. We evaluate our estimates and assumptions on an ongoing basis. Actual results can differ materially from these estimates, and such differences can affect the results of operations reported in future periods. Although the grocer issue was addressed in August 2022 and our discounted pricing has since been consistently welcomed at the point of sale by the grocery chain, the sustained effects of the grocer issue on our business, future results of operations and financial condition continue to be an estimate with several variables that are uncertain, including, among others, consumer response to updated consumer pricing and timing and extent of returning user levels.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Risks and Concentrations</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Financial instruments that potentially subject us to significant concentrations of credit risk consist principally of cash, cash equivalents and accounts receivable.</w:t>
      </w:r>
    </w:p>
    <w:p>
      <w:pPr>
        <w:spacing w:after="0" w:line="29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maintain cash deposits with multiple financial institutions in the United States which, at times, may exceed federally insured limits. Cash may be withdrawn or redeemed on demand. We believe that the financial institutions that hold our cash are financially sound and, accordingly, minimal credit risk exists with respect to these balances. However, market conditions can impact the viability of these institutions. In the event of failure of any of the financial institutions where we maintain our cash and cash equivalents, there can be no assurance that we will be able to access uninsured funds in a timely manner or at all. We have not experienced any losses in such accounts.</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consider all short-term, highly liquid investments purchased with an original maturity of three months or less at the date of purchase to be cash equivalents. Cash equivalents, consisting of U.S. treasury securities money market funds, of $642.5 million at June 30, 2023 and December 31, 2022 were classified as Level 1 of the fair value hierarchy and valued using quoted market prices in active markets.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extend credit to our customers based on an evaluation of their ability to pay amounts due under contractual arrangements and generally do not obtain or require collateral. For the three months ended June 30, 2023, two customers accounted for 14% and 11% of our revenue. For the three months ended June 30, 2022, two customers accounted for 12% and 11% of our revenue. For the six months ended June 30, 2023, two customers accounted for 14% and 11% of our revenue. For the six months ended June 30, 2022, one customer accounted for 12% of our revenue. At June 30, 2023, no customer accounted for more than 10% of our accounts receivable balance. At December 31, 2022, one customer accounted for 13% of our accounts receivable balance.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Investments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We retain minority equity interests in privately-held companies without readily determinable fair values. Our ownership interests are less than 20% of the voting stock of the investees and we do not have the ability to exercise significant influence over the operating and financial policies of the investees. The equity investments are accounted for under the measurement alternative in accordance with Accounting Standards Codification Topic 321, </w:t>
      </w:r>
      <w:r>
        <w:rPr>
          <w:rFonts w:ascii="Arial" w:cs="Arial" w:eastAsia="Arial" w:hAnsi="Arial"/>
          <w:sz w:val="16"/>
          <w:szCs w:val="16"/>
          <w:i w:val="1"/>
          <w:iCs w:val="1"/>
          <w:color w:val="auto"/>
        </w:rPr>
        <w:t>Investments –</w:t>
      </w:r>
      <w:r>
        <w:rPr>
          <w:rFonts w:ascii="Arial" w:cs="Arial" w:eastAsia="Arial" w:hAnsi="Arial"/>
          <w:sz w:val="16"/>
          <w:szCs w:val="16"/>
          <w:color w:val="auto"/>
        </w:rPr>
        <w:t xml:space="preserve"> </w:t>
      </w:r>
      <w:r>
        <w:rPr>
          <w:rFonts w:ascii="Arial" w:cs="Arial" w:eastAsia="Arial" w:hAnsi="Arial"/>
          <w:sz w:val="16"/>
          <w:szCs w:val="16"/>
          <w:i w:val="1"/>
          <w:iCs w:val="1"/>
          <w:color w:val="auto"/>
        </w:rPr>
        <w:t>Equity Securities</w:t>
      </w:r>
      <w:r>
        <w:rPr>
          <w:rFonts w:ascii="Arial" w:cs="Arial" w:eastAsia="Arial" w:hAnsi="Arial"/>
          <w:sz w:val="16"/>
          <w:szCs w:val="16"/>
          <w:color w:val="auto"/>
        </w:rPr>
        <w:t>, which is cost minus impairment, if any, plus or minus changes resulting from observable price changes. Due to indicators of a decline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financial condition of one of our investees, we recognized a $1.8 million impairment loss on one of our minority equity interest investments during the three months ended March 31, 2023 and presented it as other expense on our accompanying condensed consolidated statement of operations for the six months ended June 30, 2023. We otherwise have not recognized any changes resulting from observable price changes or impairment loss on our minority equity interest investments during the three and six months ended June 30, 2023 and 2022. Equity investments included in other assets on our accompanying condensed consolidated balance sheets as of June 30, 2023 and December 31, 2022 was $17.2 million and $19.0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In June 2022, the Financial Accounting Standards Board issued Accounting Standards Update ("ASU") 2022-03, </w:t>
      </w:r>
      <w:r>
        <w:rPr>
          <w:rFonts w:ascii="Arial" w:cs="Arial" w:eastAsia="Arial" w:hAnsi="Arial"/>
          <w:sz w:val="16"/>
          <w:szCs w:val="16"/>
          <w:i w:val="1"/>
          <w:iCs w:val="1"/>
          <w:color w:val="auto"/>
        </w:rPr>
        <w:t>Fair Value Measurement (Topic 820):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 of Equity Securities Subject to Contractual Sale Restrictions </w:t>
      </w:r>
      <w:r>
        <w:rPr>
          <w:rFonts w:ascii="Arial" w:cs="Arial" w:eastAsia="Arial" w:hAnsi="Arial"/>
          <w:sz w:val="16"/>
          <w:szCs w:val="16"/>
          <w:color w:val="auto"/>
        </w:rPr>
        <w:t>("Topic 820"), which clarifies the guidance when measuring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an equity security subject to contractual restrictions that prohibit the sale of an equity security and introduces new disclosure requirements for equity securities subject to contractual sale restrictions that are measured at fair value in accordance with Topic 820. This guidance is effective for annual periods beginning after December 15, 2023, including interim periods within those fiscal years. Early adoption of this ASU is permitted. This ASU should be applied prospectively and recognize in earnings on the adoption date any adjustments made as a result of adoption. We early adopted this guidance effective January 1, 2023, and the adoption did not have an impact to our consolidated financial statements and disclosures.</w:t>
      </w:r>
    </w:p>
    <w:p>
      <w:pPr>
        <w:spacing w:after="0" w:line="286" w:lineRule="exact"/>
        <w:rPr>
          <w:sz w:val="20"/>
          <w:szCs w:val="20"/>
          <w:color w:val="auto"/>
        </w:rPr>
      </w:pPr>
    </w:p>
    <w:p>
      <w:pPr>
        <w:ind w:right="8520" w:firstLine="8"/>
        <w:spacing w:after="0" w:line="401"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 vitaCare Prescription Services, Inc.</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April 14, 2022, we acquired all of the equity interests of vitaCare Prescription Services, Inc. (“vitaCare”), a prescription technology and services platform, for a total purchase consideration of $131.8 million, inclusive of $149.9 million in cash, offset by contingent considerations with a net estimated acquisition-date fair value of $18.1 million. We acquired vitaCare to strengthen and expand our business capabilities with respect to our pharma manufacturer solutions platform. The goodwill recognized in connection with this acquisition primarily related to the expected long-term synergies and other benefits from the acquisition, including the acquired assembled workforce, and is expected to be tax deductible. The aggregate purchase consideration was principally allocated to goodwill of $80.6 million and other intangible assets of $52.0 million. Other intangible assets principally related to developed technology of $30.0 million and customer relationships of $21.0 million with estimated useful lives of five and eleven years,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contingent considerations recognized in connection with the vitaCare acquisition consisted of a contingent consideration receivable and a contingent consideration payable with estimated acquisition-date fair values of approximately $19.7 million and $1.7 million, respectively. As of June 30, 2023 and December 31, 2022, the fair value of the contingent consideration receivable was zero as the contingency was resolved in the year of acquisition. The contingent consideration payable of up to $7.0 million in cash is based upon vitaCare's achievement of certain specified revenue results through the end of 2023 as stipulated by the purchase agreement. As of June 30, 2023 and December 31, 2022, no future contingent payments were expected to be made.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following table reflects the pro forma unaudited consolidated results of operations for the three and six months ended June 30, 2022 as if the acquisition of vitaCare had occurred on January 1, 2021. The pro forma unaudited consolidated results of operations give effect to certain adjustments including: (i) transaction and severance costs incurred in connection with the acquisition; (ii) amortization expense related to the acquired intangible assets; and (iii) elimination of vitaCare's allocated interest expense related to the seller's financing agreement whereby vitaCare was released as a guarantor upon the consummation of the acquisition. The pro forma unaudited consolidated results of operations are not necessarily indicative of the operating results that would have occurred if the acquisition had been consummated as of the date indicated, nor are they necessarily indicative of future operating results.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10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ind w:right="264"/>
              <w:spacing w:after="0"/>
              <w:rPr>
                <w:sz w:val="20"/>
                <w:szCs w:val="20"/>
                <w:color w:val="auto"/>
              </w:rPr>
            </w:pPr>
            <w:r>
              <w:rPr>
                <w:rFonts w:ascii="Arial" w:cs="Arial" w:eastAsia="Arial" w:hAnsi="Arial"/>
                <w:sz w:val="14"/>
                <w:szCs w:val="14"/>
                <w:b w:val="1"/>
                <w:bCs w:val="1"/>
                <w:color w:val="auto"/>
              </w:rPr>
              <w:t>Six Months Ended</w:t>
            </w:r>
          </w:p>
        </w:tc>
      </w:tr>
      <w:tr>
        <w:trPr>
          <w:trHeight w:val="21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June 30, 2022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June 30, 2022</w:t>
            </w:r>
          </w:p>
        </w:tc>
      </w:tr>
      <w:tr>
        <w:trPr>
          <w:trHeight w:val="242"/>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 forma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191,874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395,698</w:t>
            </w:r>
          </w:p>
        </w:tc>
      </w:tr>
      <w:tr>
        <w:trPr>
          <w:trHeight w:val="224"/>
        </w:trPr>
        <w:tc>
          <w:tcPr>
            <w:tcW w:w="7280" w:type="dxa"/>
            <w:vAlign w:val="bottom"/>
          </w:tcPr>
          <w:p>
            <w:pPr>
              <w:ind w:left="20"/>
              <w:spacing w:after="0"/>
              <w:rPr>
                <w:sz w:val="20"/>
                <w:szCs w:val="20"/>
                <w:color w:val="auto"/>
              </w:rPr>
            </w:pPr>
            <w:r>
              <w:rPr>
                <w:rFonts w:ascii="Arial" w:cs="Arial" w:eastAsia="Arial" w:hAnsi="Arial"/>
                <w:sz w:val="16"/>
                <w:szCs w:val="16"/>
                <w:color w:val="auto"/>
              </w:rPr>
              <w:t>Pro forma net (loss)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(2,335)</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
              <w:spacing w:after="0"/>
              <w:rPr>
                <w:sz w:val="20"/>
                <w:szCs w:val="20"/>
                <w:color w:val="auto"/>
              </w:rPr>
            </w:pPr>
            <w:r>
              <w:rPr>
                <w:rFonts w:ascii="Arial" w:cs="Arial" w:eastAsia="Arial" w:hAnsi="Arial"/>
                <w:sz w:val="16"/>
                <w:szCs w:val="16"/>
                <w:color w:val="auto"/>
              </w:rPr>
              <w:t>2,805</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flipMD, Inc.</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February 18, 2022, we acquired all of the equity interests of flipMD, Inc., a marketplace connecting practicing physicians with organizations seeking on-demand medical expertise, for $7.0 million in cash.</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consist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December 31, 2022</w:t>
            </w:r>
          </w:p>
        </w:tc>
      </w:tr>
      <w:tr>
        <w:trPr>
          <w:trHeight w:val="24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bonus and other payroll related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20,642</w:t>
            </w:r>
          </w:p>
        </w:tc>
      </w:tr>
      <w:tr>
        <w:trPr>
          <w:trHeight w:val="223"/>
        </w:trPr>
        <w:tc>
          <w:tcPr>
            <w:tcW w:w="7480" w:type="dxa"/>
            <w:vAlign w:val="bottom"/>
          </w:tcPr>
          <w:p>
            <w:pPr>
              <w:ind w:left="20"/>
              <w:spacing w:after="0"/>
              <w:rPr>
                <w:sz w:val="20"/>
                <w:szCs w:val="20"/>
                <w:color w:val="auto"/>
              </w:rPr>
            </w:pPr>
            <w:r>
              <w:rPr>
                <w:rFonts w:ascii="Arial" w:cs="Arial" w:eastAsia="Arial" w:hAnsi="Arial"/>
                <w:sz w:val="16"/>
                <w:szCs w:val="16"/>
                <w:color w:val="auto"/>
              </w:rPr>
              <w:t>Accrued marketing</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15,305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12,104</w:t>
            </w:r>
          </w:p>
        </w:tc>
      </w:tr>
      <w:tr>
        <w:trPr>
          <w:trHeight w:val="33"/>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7,879</w:t>
            </w:r>
          </w:p>
        </w:tc>
      </w:tr>
      <w:tr>
        <w:trPr>
          <w:trHeight w:val="223"/>
        </w:trPr>
        <w:tc>
          <w:tcPr>
            <w:tcW w:w="748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16,616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accrued expenses</w:t>
            </w:r>
          </w:p>
        </w:tc>
        <w:tc>
          <w:tcPr>
            <w:tcW w:w="2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6,898</w:t>
            </w:r>
          </w:p>
        </w:tc>
      </w:tr>
      <w:tr>
        <w:trPr>
          <w:trHeight w:val="243"/>
        </w:trPr>
        <w:tc>
          <w:tcPr>
            <w:tcW w:w="7480" w:type="dxa"/>
            <w:vAlign w:val="bottom"/>
          </w:tcPr>
          <w:p>
            <w:pPr>
              <w:ind w:left="180"/>
              <w:spacing w:after="0"/>
              <w:rPr>
                <w:sz w:val="20"/>
                <w:szCs w:val="20"/>
                <w:color w:val="auto"/>
              </w:rPr>
            </w:pPr>
            <w:r>
              <w:rPr>
                <w:rFonts w:ascii="Arial" w:cs="Arial" w:eastAsia="Arial" w:hAnsi="Arial"/>
                <w:sz w:val="16"/>
                <w:szCs w:val="16"/>
                <w:color w:val="auto"/>
              </w:rPr>
              <w:t>Total accrued expenses and other current liabilities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66,001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47,523</w:t>
            </w:r>
          </w:p>
        </w:tc>
      </w:tr>
      <w:tr>
        <w:trPr>
          <w:trHeight w:val="20"/>
        </w:trPr>
        <w:tc>
          <w:tcPr>
            <w:tcW w:w="7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Deferred revenue represents payments received in advance of providing services for certain advertising contracts with customers and subscriptions. We expect substantially all of the deferred revenue at June 30, 2023 will be recognized as revenue within the subsequent twelve months. Of the $7.9 million of deferred revenue at December 31, 2022, $1.3 million and $7.0 million was recognized as revenue during the three and six months ended June 30, 2023, respectively. Revenue recognized during the three and six months ended June 30, 2022 of $1.3 million and $5.8 million, respectively, was included as deferred revenue at December 31, 2021.</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Income Taxes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generally calculate income taxes in interim periods by applying an estimated annual effective income tax rate to income or loss before income taxes and by calculating the tax effect of discrete items recognized during such periods. Our estimated annual effective income tax rate is based on our estimated full year income or loss and the related income taxes for each jurisdiction in which we operate. This rate can be affected by estimates of full year pre-tax income or loss and permanent differences.</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effective income tax rate for the three months ended June 30, 2023 and 2022 was (387.1%) and 86.1%, respectively. The effective income tax rate for the six months ended June 30, 2023 and 2022 was (254.3%) and (187.4%), respectively. The primary differences between our effective income tax rates and the federal statutory tax rate for the three and six months ended June 30, 2023 and 2022 were due to the effects of non-deductible officers’ stock-based compensation expense, the valuation allowance on our net deferred tax assets, state income taxes, benefits from research and development tax credits, and tax effects from our equity awards.</w:t>
      </w:r>
    </w:p>
    <w:p>
      <w:pPr>
        <w:spacing w:after="0" w:line="7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consider all available positive and negative evidence in our assessment of the recoverability of our net deferred tax assets each reporting period. As of June 30, 2023, we determined that a valuation allowance against our net deferred tax</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assets was no longer required primarily due to sustained tax profitability (pre-tax earnings or loss adjusted by permanent book to tax differences) beginning in 2022 through the first half of 2023, which was objective and verifiable evidence, and anticipated future earnings. Therefore, we believed it was more likely than not that we would achieve our forecasted three-year cumulative tax income results at the end of 2023.</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When a change in valuation allowance is recognized during an interim period, the change in valuation allowance resulting from current year income is included in the annual effective tax rate and the release of valuation allowance supported by projections of future taxable income is recorded as a discrete tax benefit in the interim period. We released $55.9 million of our valuation allowance as a discrete tax benefit during the three months ended June 30, 2023. Our judgment regarding the need for a valuation allowance may reasonably change in future reporting periods due to many factors, including changes in the level of tax profitability that we achieve, changes in tax laws or regulations, and price fluctuations of our Class A common stock and its related future tax effects from our outstanding equity awards.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Debt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First Lien Credit Agreement (as amended from time to time, the "Credit Agreement") provides for (i) a $700.0 million term loan maturing on October 10, 2025 (“First Lien Term Loan Facility”); and (ii) a revolving credit facility for up to $100.0 million maturing on October 11, 2024 (the “Revolving Credit Facility”). On June 29, 2023 and July 7, 2023, we amended our Revolving Credit Facility and First Lien Term Loan Facility, respectively, to replace London Interbank Offered Rate (“LIBOR”) with Secured Overnight Financing Rate (“SOFR”) as the benchmark interest rate for borrowings under our Revolving Credit Facility and First Lien Term Loan Facility, beginning in July 2023. The First Lien Term Loan Facility and Revolving Credit Facility are collateralized by substantially all of our assets and 100% of the equity interest of GoodRx.</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Lien Term Loan Facility</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Up to and including June 30, 2023, borrowings under our First Lien Term Loan Facility accrued interest at an adjusted LIBOR plus a variable margin based on our most recently determined First Lien Net Leverage Ratio (as defined in the Credit Agreement), ranging from 2.75% to 3.00%. The effective interest rate on the First Lien Term Loan Facility for the three months ended June 30, 2023 and 2022 was 8.37% and 4.06%, respectively. The effective interest rate on the First Lien Term Loan Facility for the six months ended June 30, 2023 and 2022 was 8.09% and 3.72%, respectively. As of July 2023, borrowings under our First Lien Term Loan Facility will bear interest, at our option, at either (i) a term rate based on SOFR (“Term SOFR”) plus an adjustment ranging from 0.10% to 0.25% based on the term of the interest rate period plus a margin ranging from 2.75% to 3.00%; or (ii) an alternate base rate plus a margin ranging from 1.75% to 2.00%, both depending on our First Lien Net Leverage Ratio (as defined in the Credit Agreement). The First Lien Term Loan Facility requires quarterly principal payments through September 2025, with any remaining unpaid principal and any accrued and unpaid interest due upon maturity. We may prepay the First Lien Term Loan Facility without penalty. .</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Facility</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had no borrowings against the Revolving Credit Facility as of June 30, 2023 and December 31, 2022. As of July 2023, borrowings under our Revolving Credit Facility, if any, will bear interest, at our option, at either (i) Term SOFR plus a margin ranging from 2.50% to 3.00%; or (ii) an alternate base rate plus a margin ranging from 1.50% to 2.00%, each with the applicable margin dependent on our First Lien Net Leverage Ratio (as defined in the Credit Agreement). We incur a commitment fee ranging from 0.25% to 0.50% per annum, depending on our First Lien Net Leverage Ratio (as defined in the Credit Agreement), on any unused commitments.</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had outstanding letters of credit issued against the Revolving Credit Facility for $9.2 million as of June 30, 2023 and December 31, 2022, which reduced our available borrowings under the Revolving Credit Facility.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Our debt balance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December 31, 2022</w:t>
            </w:r>
          </w:p>
        </w:tc>
      </w:tr>
      <w:tr>
        <w:trPr>
          <w:trHeight w:val="231"/>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balance under First Lien Term Loan Facility</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663,553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667,068</w:t>
            </w:r>
          </w:p>
        </w:tc>
      </w:tr>
      <w:tr>
        <w:trPr>
          <w:trHeight w:val="237"/>
        </w:trPr>
        <w:tc>
          <w:tcPr>
            <w:tcW w:w="7480" w:type="dxa"/>
            <w:vAlign w:val="bottom"/>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(8,243)</w:t>
            </w:r>
          </w:p>
        </w:tc>
      </w:tr>
      <w:tr>
        <w:trPr>
          <w:trHeight w:val="281"/>
        </w:trPr>
        <w:tc>
          <w:tcPr>
            <w:tcW w:w="74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656,782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658,825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estimated fair value of our debt was $660.2 million and $649.6 million as of June 30, 2023 and December 31, 2022, respectively, based on inputs categorized as Level 2 in the fair value hierarchy.</w:t>
      </w:r>
    </w:p>
    <w:p>
      <w:pPr>
        <w:spacing w:after="0" w:line="5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Under the Credit Agreement, we are subject to a financial covenant requiring maintenance of a First Lien Net Leverage Ratio (as defined in the Credit Agreement) not to exceed 8.2 to 1.0 and other nonfinancial covenants. Additionally, GoodRx is restricted from making dividend payments, loans or advances to us. At June 30, 2023, we were in compliance with our covenants.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Commitments and Contingencies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Aside from the below, as of June 30, 2023, there were no material changes to our commitments and contingencies as disclosed in the notes to our consolidated financial statements included in our 2022 10-K.</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March 2020, we received a letter from the Federal Trade Commission ("FTC") indicating its intent to investigate our privacy and security practices to determine whether such practices comply with Section 5 of the FTC Act. In April 2020, the FTC sent an initial request for information to us regarding our sharing of data regarding individuals’ use of our website, app and services with service providers, including Google and Facebook. Notwithstanding our belief that we complied with applicable regulations and had meritorious defenses to any claims or assertions to the contrary, on February 1, 2023, we reached a negotiated settlement with the FTC (a "proposed consent order") to resolve all claims and allegations arising out of or relating to the FTC investigation which included a monetary settlement amount of $1.5 million that was accrued as of December 31, 2022 and paid during the three months ended March 31, 2023. The proposed consent order was filed in the United States District Court for the Northern District of California ("NDCA") and was approved and entered on February 17, 2023. The consent order also includes agreements to effect or maintain, as applicable, certain changes to our business practices, policies and compliance requirements that may impose additional costs that we do not believe will be material both individually and in the aggregate to us.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Between February 2, 2023, and March 30, 2023, five individual plaintiffs filed five separate putative class actions lawsuits against GoodRx Holdings, Inc., Google, Meta, and Criteo, alleging generally that we have not adequately protected consumer privacy and that we communicated consumer information to third parties, including the three co-defendants. Four of the plaintiffs allege California common law intrusion upon seclusion and unjust enrichment claims, as well as claims under California’s Medical Information Act, Invasion of Privacy Act, Consumer Legal Remedies Act, and Unfair Competition Law. One of these four plaintiffs additionally brings a claim under the Electronic Communications Privacy Act. The fifth plaintiff brings claims for common-law unjust enrichment and violations of New York’s General Business Law. The plaintiffs in these lawsuits are seeking various forms of monetary damages (such as statutory damages, compensatory damages, attorneys’ fees and disgorgement of profits) as well as injunctive relief. Four of these cases were originally filed in the NDCA (Cases No. 3:23-cv-00501; 3:23-cv-00744; 3:23-cv-00940; and 4:23-cv-01293). One case was originally filed in the United States District Court for the Southern District of New York (Case No. 1:23-cv-00943); however, that case was voluntarily dismissed and re-filed in the NDCA (Case No. 3:23-cv-01508). These five matters have been consolidated and assigned to U.S. District Judge Araceli Martínez-Olguín in the NDCA. The court also set a briefing schedule for filing a single consolidated complaint as well as motions to dismiss and motions to compel arbitration. Briefing on the motions to dismiss and motions to compel arbitration will be completed by August 24, 2023 and heard on September 7, 2023. In addition, the court referred the parties to mediation, which has not been scheduled or discussed further yet at this time. We have not accrued a loss for this matter as a loss is not probable and reasonably estimable. While it is reasonably possible a loss may have been incurred, we are unable to estimate a loss or range of loss in this matter. This pending proceeding involves complex questions of fact and law and may require the expenditure of significant funds and the diversion of other resources to defend. The results of legal proceedings are inherently uncertain, and material adverse outcomes are reasonably possible.</w:t>
      </w:r>
    </w:p>
    <w:p>
      <w:pPr>
        <w:spacing w:after="0" w:line="8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addition, during the normal course of business, we may become subject to, and are presently involved in, legal proceedings, claims and litigations. Such matters are subject to many uncertainties and outcomes are not predictable with assurance. Accruals for loss contingencies are recognized when a loss is probable, and the amount of such loss can be reasonably estimated.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Revenue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2023 and 2022, revenue comprised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4"/>
          </w:tcPr>
          <w:p>
            <w:pPr>
              <w:jc w:val="right"/>
              <w:ind w:right="74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5"/>
                <w:szCs w:val="15"/>
                <w:color w:val="auto"/>
              </w:rPr>
            </w:pPr>
          </w:p>
        </w:tc>
      </w:tr>
      <w:tr>
        <w:trPr>
          <w:trHeight w:val="209"/>
        </w:trPr>
        <w:tc>
          <w:tcPr>
            <w:tcW w:w="5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w w:val="96"/>
              </w:rPr>
              <w:t>2022</w:t>
            </w: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Prescription transactions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136,540</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134,403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271,447</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289,910</w:t>
            </w: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Pharma manufacturer solutions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24,330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26,551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44,765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50,020</w:t>
            </w:r>
          </w:p>
        </w:tc>
      </w:tr>
      <w:tr>
        <w:trPr>
          <w:trHeight w:val="246"/>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48,021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45,095</w:t>
            </w:r>
          </w:p>
        </w:tc>
      </w:tr>
      <w:tr>
        <w:trPr>
          <w:trHeight w:val="237"/>
        </w:trPr>
        <w:tc>
          <w:tcPr>
            <w:tcW w:w="502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4,929</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9,430</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10,102</w:t>
            </w:r>
          </w:p>
        </w:tc>
      </w:tr>
      <w:tr>
        <w:trPr>
          <w:trHeight w:val="274"/>
        </w:trPr>
        <w:tc>
          <w:tcPr>
            <w:tcW w:w="5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189,677</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191,798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373,663</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395,127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right="9440" w:firstLine="8"/>
        <w:spacing w:after="0" w:line="401"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Share Repurchases</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February 23, 2022, our board of directors (our "Board") authorized the repurchase of up to an aggregate of $250.0 million of our Class A common stock through February 23, 2024 (the "repurchase program"). Repurchases under the repurchase program may be made in the open market, in privately negotiated transactions or otherwise, with the amount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and timing of repurchases to be determined at our discretion, depending on market conditions and corporate needs, or under a trading plan intended to satisfy the affirmative defense conditions of Rule 10b5-1(c)(1) under the Exchange Act (a "Rule 10b5-1 Plan"). This repurchase program does not obligate us to acquire any particular amount of Class A common stock and may be modified, suspended or terminated at any time at the discretion of our Board. As of June 30, 2023, we had $129.8 million available for future repurchases of our Class A common stock under the repurchase program.</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our repurchases of our Class A common stock: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2660" w:type="dxa"/>
            <w:vAlign w:val="bottom"/>
            <w:gridSpan w:val="4"/>
          </w:tcPr>
          <w:p>
            <w:pPr>
              <w:jc w:val="center"/>
              <w:ind w:left="32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5"/>
                <w:szCs w:val="15"/>
                <w:color w:val="auto"/>
              </w:rPr>
            </w:pPr>
          </w:p>
        </w:tc>
      </w:tr>
      <w:tr>
        <w:trPr>
          <w:trHeight w:val="209"/>
        </w:trPr>
        <w:tc>
          <w:tcPr>
            <w:tcW w:w="50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ind w:right="502"/>
              <w:spacing w:after="0"/>
              <w:rPr>
                <w:sz w:val="20"/>
                <w:szCs w:val="20"/>
                <w:color w:val="auto"/>
              </w:rPr>
            </w:pPr>
            <w:r>
              <w:rPr>
                <w:rFonts w:ascii="Arial" w:cs="Arial" w:eastAsia="Arial" w:hAnsi="Arial"/>
                <w:sz w:val="14"/>
                <w:szCs w:val="14"/>
                <w:b w:val="1"/>
                <w:bCs w:val="1"/>
                <w:color w:val="auto"/>
                <w:w w:val="96"/>
              </w:rPr>
              <w:t>2022</w:t>
            </w:r>
          </w:p>
        </w:tc>
      </w:tr>
      <w:tr>
        <w:trPr>
          <w:trHeight w:val="231"/>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1,663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3,233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5,637</w:t>
            </w:r>
          </w:p>
        </w:tc>
      </w:tr>
      <w:tr>
        <w:trPr>
          <w:trHeight w:val="224"/>
        </w:trPr>
        <w:tc>
          <w:tcPr>
            <w:tcW w:w="5020" w:type="dxa"/>
            <w:vAlign w:val="bottom"/>
          </w:tcPr>
          <w:p>
            <w:pPr>
              <w:ind w:left="20"/>
              <w:spacing w:after="0"/>
              <w:rPr>
                <w:sz w:val="20"/>
                <w:szCs w:val="20"/>
                <w:color w:val="auto"/>
              </w:rPr>
            </w:pPr>
            <w:r>
              <w:rPr>
                <w:rFonts w:ascii="Arial" w:cs="Arial" w:eastAsia="Arial" w:hAnsi="Arial"/>
                <w:sz w:val="16"/>
                <w:szCs w:val="16"/>
                <w:color w:val="auto"/>
              </w:rPr>
              <w:t>Cost of shares repurchased</w:t>
            </w:r>
          </w:p>
        </w:tc>
        <w:tc>
          <w:tcPr>
            <w:tcW w:w="960" w:type="dxa"/>
            <w:vAlign w:val="bottom"/>
          </w:tcPr>
          <w:p>
            <w:pPr>
              <w:jc w:val="right"/>
              <w:ind w:right="765"/>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8,920</w:t>
            </w:r>
          </w:p>
        </w:tc>
        <w:tc>
          <w:tcPr>
            <w:tcW w:w="118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
              <w:spacing w:after="0"/>
              <w:rPr>
                <w:sz w:val="20"/>
                <w:szCs w:val="20"/>
                <w:color w:val="auto"/>
              </w:rPr>
            </w:pPr>
            <w:r>
              <w:rPr>
                <w:rFonts w:ascii="Arial" w:cs="Arial" w:eastAsia="Arial" w:hAnsi="Arial"/>
                <w:sz w:val="16"/>
                <w:szCs w:val="16"/>
                <w:color w:val="auto"/>
                <w:w w:val="98"/>
              </w:rPr>
              <w:t>18,437</w:t>
            </w:r>
          </w:p>
        </w:tc>
        <w:tc>
          <w:tcPr>
            <w:tcW w:w="6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83,765</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Co-Chief Executive Officers and Interim Chief Executive Officer</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April 25, 2023, Trevor Bezdek and Douglas Hirsch transitioned from our co-Chief Executive Officers to Chairman of the Board and Chief Mission Officer, respectively, in addition to continuing as directors of our Board (the “Transition”). Pursuant to their restated employment agreements as a result of the Transition, Messrs. Bezdek and Hirsch have agreed not to sell their ownership of any of our common stock without approval from our Board, subject to certain exceptions including, but not limited to, pursuant to any new, modified or amended contract, instruction or written plan intended as a Rule 10b5-1 Plan that has been approved or will be approved by our Board after April 25, 2023 or an existing Rule 10b5-1 Plan as of such date.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connection with the Transition, our Board appointed Scott Wagner as our Interim Chief Executive Officer (principal executive officer), effective April 25, 2023. Pursuant to Mr. Wagner's employment agreement, Mr. Wagner was eligible to receive, amongst other compensation terms and conditions, a stock option award covering between 2.5 million and 3.0 million shares of our Class A common stock, with the final number determined by our Board in its sole discretion. On May 12, 2023, our Board granted Mr. Wagner a stock option award covering 3.0 million shares of our Class A common stock. The grant date fair value of the stock option award was $9.6 million, which vests and becomes exercisable in twelve substantially equal installments on each monthly anniversary of April 25, 2023, subject to Mr. Wagner’s continued employment through the applicable vesting date.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Basic and Diluted Earnings (Loss) Per Share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earnings (loss) per share for the three and six months ended June 30, 2023 and 2022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5"/>
                <w:szCs w:val="15"/>
                <w:color w:val="auto"/>
              </w:rPr>
            </w:pPr>
          </w:p>
        </w:tc>
      </w:tr>
      <w:tr>
        <w:trPr>
          <w:trHeight w:val="209"/>
        </w:trPr>
        <w:tc>
          <w:tcPr>
            <w:tcW w:w="5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w w:val="96"/>
              </w:rPr>
              <w:t>2022</w:t>
            </w: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33"/>
        </w:trPr>
        <w:tc>
          <w:tcPr>
            <w:tcW w:w="50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58,786</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(1,415)</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55,496</w:t>
            </w:r>
          </w:p>
        </w:tc>
        <w:tc>
          <w:tcPr>
            <w:tcW w:w="6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10,878</w:t>
            </w:r>
          </w:p>
        </w:tc>
      </w:tr>
      <w:tr>
        <w:trPr>
          <w:trHeight w:val="25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6"/>
                <w:szCs w:val="16"/>
                <w:color w:val="auto"/>
              </w:rPr>
              <w:t>Weighted average shares - basic</w:t>
            </w:r>
          </w:p>
        </w:tc>
        <w:tc>
          <w:tcPr>
            <w:tcW w:w="34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412,221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412,135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412,322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413,405</w:t>
            </w: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6"/>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Dilutive impact of stock options, restricted stock awards and</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0"/>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units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2,114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9,672</w:t>
            </w:r>
          </w:p>
        </w:tc>
      </w:tr>
      <w:tr>
        <w:trPr>
          <w:trHeight w:val="243"/>
        </w:trPr>
        <w:tc>
          <w:tcPr>
            <w:tcW w:w="5040" w:type="dxa"/>
            <w:vAlign w:val="bottom"/>
          </w:tcPr>
          <w:p>
            <w:pPr>
              <w:ind w:left="20"/>
              <w:spacing w:after="0"/>
              <w:rPr>
                <w:sz w:val="20"/>
                <w:szCs w:val="20"/>
                <w:color w:val="auto"/>
              </w:rPr>
            </w:pPr>
            <w:r>
              <w:rPr>
                <w:rFonts w:ascii="Arial" w:cs="Arial" w:eastAsia="Arial" w:hAnsi="Arial"/>
                <w:sz w:val="16"/>
                <w:szCs w:val="16"/>
                <w:color w:val="auto"/>
              </w:rPr>
              <w:t>Weighted average shares - diluted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414,335</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412,135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414,373</w:t>
            </w:r>
          </w:p>
        </w:tc>
        <w:tc>
          <w:tcPr>
            <w:tcW w:w="1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423,077</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233"/>
        </w:trPr>
        <w:tc>
          <w:tcPr>
            <w:tcW w:w="5040" w:type="dxa"/>
            <w:vAlign w:val="bottom"/>
          </w:tcPr>
          <w:p>
            <w:pPr>
              <w:ind w:left="2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0.14</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(0.00)</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0.13</w:t>
            </w:r>
          </w:p>
        </w:tc>
        <w:tc>
          <w:tcPr>
            <w:tcW w:w="6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3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33"/>
        </w:trPr>
        <w:tc>
          <w:tcPr>
            <w:tcW w:w="5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weighted average potentially dilutive shares are excluded from the computation of diluted earnings (loss) per share for the periods presented because including them would have been antidilutive: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30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160" w:type="dxa"/>
            <w:vAlign w:val="bottom"/>
            <w:gridSpan w:val="3"/>
          </w:tcPr>
          <w:p>
            <w:pPr>
              <w:jc w:val="center"/>
              <w:ind w:left="828"/>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5"/>
                <w:szCs w:val="15"/>
                <w:color w:val="auto"/>
              </w:rPr>
            </w:pPr>
          </w:p>
        </w:tc>
      </w:tr>
      <w:tr>
        <w:trPr>
          <w:trHeight w:val="209"/>
        </w:trPr>
        <w:tc>
          <w:tcPr>
            <w:tcW w:w="5040" w:type="dxa"/>
            <w:vAlign w:val="bottom"/>
          </w:tcPr>
          <w:p>
            <w:pPr>
              <w:spacing w:after="0"/>
              <w:rPr>
                <w:sz w:val="18"/>
                <w:szCs w:val="18"/>
                <w:color w:val="auto"/>
              </w:rPr>
            </w:pPr>
          </w:p>
        </w:tc>
        <w:tc>
          <w:tcPr>
            <w:tcW w:w="1980" w:type="dxa"/>
            <w:vAlign w:val="bottom"/>
            <w:tcBorders>
              <w:bottom w:val="single" w:sz="8" w:color="auto"/>
            </w:tcBorders>
            <w:gridSpan w:val="3"/>
          </w:tcPr>
          <w:p>
            <w:pPr>
              <w:jc w:val="center"/>
              <w:ind w:left="986"/>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bottom w:val="single" w:sz="8" w:color="auto"/>
            </w:tcBorders>
            <w:gridSpan w:val="3"/>
          </w:tcPr>
          <w:p>
            <w:pPr>
              <w:jc w:val="center"/>
              <w:ind w:left="82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15"/>
        </w:trPr>
        <w:tc>
          <w:tcPr>
            <w:tcW w:w="5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w w:val="96"/>
              </w:rPr>
              <w:t>2022</w:t>
            </w:r>
          </w:p>
        </w:tc>
      </w:tr>
      <w:tr>
        <w:trPr>
          <w:trHeight w:val="218"/>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restricted stock awards and restricted stock units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27,057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30,470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6,742</w:t>
            </w:r>
          </w:p>
        </w:tc>
      </w:tr>
      <w:tr>
        <w:trPr>
          <w:trHeight w:val="33"/>
        </w:trPr>
        <w:tc>
          <w:tcPr>
            <w:tcW w:w="50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Subsequent Events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Lien Term Loan Facility Amendment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July 7, 2023, we amended our First Lien Term Loan Facility to replace LIBOR with SOFR as the benchmark interest rate, see "Note 6. Debt."</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Plan</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7, 2023, our Board approved a multi-phase plan to de-prioritize certain solutions under our pharma manufacturer solutions offering (the “Restructuring Plan”), which included (i) a reduction in force involving employees of our wholly-owned subsidiaries GoodRx, Inc. and vitaCare; (ii) the entry into retention agreements with certain other employees for the purpose of maintaining business continuity; and (iii) the restructuring or termination of certain solutions and arrangements with our clients to better align with our strategic goals and future scale. These actions are part of our continued strategic focus on scaling and re-balancing our cost structure to drive improved margins. The Restructuring Plan is expected to be substantially complete by the end of 2023.</w:t>
      </w:r>
    </w:p>
    <w:p>
      <w:pPr>
        <w:spacing w:after="0" w:line="28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connection with the Restructuring Plan, we estimate that we will incur total pre-tax charges of approximately $55 million to $75 million, substantially all of which is expected to be incurred in the third and fourth quarters of 2023. These estimated charges include (i) non-cash charges of approximately $50 million to $60 million substantially relating to accelerated amortization of certain intangible assets, principally related to developed technology and customer relationships acquired in connection with the acquisition of vitaCare, and other software abandonment charges; (ii) cash expenditures relating to various headcount reduction and personnel initiatives of approximately $5 million to $10 million; and (iii) cash expenditures relating to restructuring or termination of certain client contracts of up to $5 million. The foregoing charges are estimates and subject to a number of assumptions, and actual results may differ materially. We may incur other material charges and expenses not currently contemplated due to events that may occur as a result of, or in connection with, these restructuring activities.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Part II, Item 7, “Management’s Discussion and Analysis of Financial Condition and Results of Operations” and Part II, Item 8, “Financial Statements and Supplementary Data” included in our 2022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sections of our 2022 10-K and this Quarterly Report on Form 10-Q and other factors set forth in other parts of this Quarterly Report on Form 10-Q and our filings with the SEC.</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 of Selected Terminology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Quarterly Report on Form 10-Q, unless the context otherwise requires, references to:</w:t>
      </w:r>
    </w:p>
    <w:p>
      <w:pPr>
        <w:spacing w:after="0" w:line="105" w:lineRule="exact"/>
        <w:rPr>
          <w:sz w:val="20"/>
          <w:szCs w:val="20"/>
          <w:color w:val="auto"/>
        </w:rPr>
      </w:pPr>
    </w:p>
    <w:p>
      <w:pPr>
        <w:ind w:left="980" w:hanging="648"/>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we</w:t>
      </w:r>
      <w:r>
        <w:rPr>
          <w:rFonts w:ascii="Arial" w:cs="Arial" w:eastAsia="Arial" w:hAnsi="Arial"/>
          <w:sz w:val="16"/>
          <w:szCs w:val="16"/>
          <w:color w:val="auto"/>
        </w:rPr>
        <w:t>,” “</w:t>
      </w:r>
      <w:r>
        <w:rPr>
          <w:rFonts w:ascii="Arial" w:cs="Arial" w:eastAsia="Arial" w:hAnsi="Arial"/>
          <w:sz w:val="16"/>
          <w:szCs w:val="16"/>
          <w:b w:val="1"/>
          <w:bCs w:val="1"/>
          <w:i w:val="1"/>
          <w:iCs w:val="1"/>
          <w:color w:val="auto"/>
        </w:rPr>
        <w:t>us</w:t>
      </w:r>
      <w:r>
        <w:rPr>
          <w:rFonts w:ascii="Arial" w:cs="Arial" w:eastAsia="Arial" w:hAnsi="Arial"/>
          <w:sz w:val="16"/>
          <w:szCs w:val="16"/>
          <w:color w:val="auto"/>
        </w:rPr>
        <w:t>,” “</w:t>
      </w:r>
      <w:r>
        <w:rPr>
          <w:rFonts w:ascii="Arial" w:cs="Arial" w:eastAsia="Arial" w:hAnsi="Arial"/>
          <w:sz w:val="16"/>
          <w:szCs w:val="16"/>
          <w:b w:val="1"/>
          <w:bCs w:val="1"/>
          <w:i w:val="1"/>
          <w:iCs w:val="1"/>
          <w:color w:val="auto"/>
        </w:rPr>
        <w:t>our</w:t>
      </w:r>
      <w:r>
        <w:rPr>
          <w:rFonts w:ascii="Arial" w:cs="Arial" w:eastAsia="Arial" w:hAnsi="Arial"/>
          <w:sz w:val="16"/>
          <w:szCs w:val="16"/>
          <w:color w:val="auto"/>
        </w:rPr>
        <w:t>,”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t>
      </w:r>
      <w:r>
        <w:rPr>
          <w:rFonts w:ascii="Arial" w:cs="Arial" w:eastAsia="Arial" w:hAnsi="Arial"/>
          <w:sz w:val="16"/>
          <w:szCs w:val="16"/>
          <w:b w:val="1"/>
          <w:bCs w:val="1"/>
          <w:i w:val="1"/>
          <w:iCs w:val="1"/>
          <w:color w:val="auto"/>
        </w:rPr>
        <w:t>GoodRx</w:t>
      </w:r>
      <w:r>
        <w:rPr>
          <w:rFonts w:ascii="Arial" w:cs="Arial" w:eastAsia="Arial" w:hAnsi="Arial"/>
          <w:sz w:val="16"/>
          <w:szCs w:val="16"/>
          <w:color w:val="auto"/>
        </w:rPr>
        <w:t>,” and similar references refer to GoodRx Holdings, Inc. and its consolidated subsidiaries.</w:t>
      </w:r>
    </w:p>
    <w:p>
      <w:pPr>
        <w:spacing w:after="0" w:line="113" w:lineRule="exact"/>
        <w:rPr>
          <w:rFonts w:ascii="Arial" w:cs="Arial" w:eastAsia="Arial" w:hAnsi="Arial"/>
          <w:sz w:val="16"/>
          <w:szCs w:val="16"/>
          <w:color w:val="auto"/>
        </w:rPr>
      </w:pPr>
    </w:p>
    <w:p>
      <w:pPr>
        <w:ind w:left="980" w:hanging="648"/>
        <w:spacing w:after="0" w:line="319"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consumers</w:t>
      </w:r>
      <w:r>
        <w:rPr>
          <w:rFonts w:ascii="Arial" w:cs="Arial" w:eastAsia="Arial" w:hAnsi="Arial"/>
          <w:sz w:val="16"/>
          <w:szCs w:val="16"/>
          <w:i w:val="1"/>
          <w:iCs w:val="1"/>
          <w:color w:val="auto"/>
        </w:rPr>
        <w:t>”</w:t>
      </w:r>
      <w:r>
        <w:rPr>
          <w:rFonts w:ascii="Arial" w:cs="Arial" w:eastAsia="Arial" w:hAnsi="Arial"/>
          <w:sz w:val="16"/>
          <w:szCs w:val="16"/>
          <w:color w:val="auto"/>
        </w:rPr>
        <w:t xml:space="preserve"> refer to the general population in the United States that uses or otherwise purchases healthcare products and services. References to “</w:t>
      </w:r>
      <w:r>
        <w:rPr>
          <w:rFonts w:ascii="Arial" w:cs="Arial" w:eastAsia="Arial" w:hAnsi="Arial"/>
          <w:sz w:val="16"/>
          <w:szCs w:val="16"/>
          <w:b w:val="1"/>
          <w:bCs w:val="1"/>
          <w:i w:val="1"/>
          <w:iCs w:val="1"/>
          <w:color w:val="auto"/>
        </w:rPr>
        <w:t>our consumers</w:t>
      </w:r>
      <w:r>
        <w:rPr>
          <w:rFonts w:ascii="Arial" w:cs="Arial" w:eastAsia="Arial" w:hAnsi="Arial"/>
          <w:sz w:val="16"/>
          <w:szCs w:val="16"/>
          <w:color w:val="auto"/>
        </w:rPr>
        <w:t>” or “</w:t>
      </w:r>
      <w:r>
        <w:rPr>
          <w:rFonts w:ascii="Arial" w:cs="Arial" w:eastAsia="Arial" w:hAnsi="Arial"/>
          <w:sz w:val="16"/>
          <w:szCs w:val="16"/>
          <w:b w:val="1"/>
          <w:bCs w:val="1"/>
          <w:i w:val="1"/>
          <w:iCs w:val="1"/>
          <w:color w:val="auto"/>
        </w:rPr>
        <w:t>GoodRx consumers</w:t>
      </w:r>
      <w:r>
        <w:rPr>
          <w:rFonts w:ascii="Arial" w:cs="Arial" w:eastAsia="Arial" w:hAnsi="Arial"/>
          <w:sz w:val="16"/>
          <w:szCs w:val="16"/>
          <w:color w:val="auto"/>
        </w:rPr>
        <w:t>” refer to consumers that have used one or more of our offerings.</w:t>
      </w:r>
    </w:p>
    <w:p>
      <w:pPr>
        <w:spacing w:after="0" w:line="10" w:lineRule="exact"/>
        <w:rPr>
          <w:rFonts w:ascii="Arial" w:cs="Arial" w:eastAsia="Arial" w:hAnsi="Arial"/>
          <w:sz w:val="16"/>
          <w:szCs w:val="16"/>
          <w:color w:val="auto"/>
        </w:rPr>
      </w:pPr>
    </w:p>
    <w:p>
      <w:pPr>
        <w:jc w:val="both"/>
        <w:ind w:left="980" w:hanging="648"/>
        <w:spacing w:after="0" w:line="269"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discounted price</w:t>
      </w:r>
      <w:r>
        <w:rPr>
          <w:rFonts w:ascii="Arial" w:cs="Arial" w:eastAsia="Arial" w:hAnsi="Arial"/>
          <w:sz w:val="16"/>
          <w:szCs w:val="16"/>
          <w:color w:val="auto"/>
        </w:rPr>
        <w:t>” refers to a price for a prescription provided on our platform that represents a negotiated rate provided by one of our PBM partners at a retail pharmacy.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 GoodRx Gold (“</w:t>
      </w:r>
      <w:r>
        <w:rPr>
          <w:rFonts w:ascii="Arial" w:cs="Arial" w:eastAsia="Arial" w:hAnsi="Arial"/>
          <w:sz w:val="16"/>
          <w:szCs w:val="16"/>
          <w:b w:val="1"/>
          <w:bCs w:val="1"/>
          <w:i w:val="1"/>
          <w:iCs w:val="1"/>
          <w:color w:val="auto"/>
        </w:rPr>
        <w:t>Gold</w:t>
      </w:r>
      <w:r>
        <w:rPr>
          <w:rFonts w:ascii="Arial" w:cs="Arial" w:eastAsia="Arial" w:hAnsi="Arial"/>
          <w:sz w:val="16"/>
          <w:szCs w:val="16"/>
          <w:color w:val="auto"/>
        </w:rPr>
        <w:t>”), and Kroger Rx Savings Club powered by GoodRx (“</w:t>
      </w:r>
      <w:r>
        <w:rPr>
          <w:rFonts w:ascii="Arial" w:cs="Arial" w:eastAsia="Arial" w:hAnsi="Arial"/>
          <w:sz w:val="16"/>
          <w:szCs w:val="16"/>
          <w:b w:val="1"/>
          <w:bCs w:val="1"/>
          <w:i w:val="1"/>
          <w:iCs w:val="1"/>
          <w:color w:val="auto"/>
        </w:rPr>
        <w:t>Kroger Savings</w:t>
      </w:r>
      <w:r>
        <w:rPr>
          <w:rFonts w:ascii="Arial" w:cs="Arial" w:eastAsia="Arial" w:hAnsi="Arial"/>
          <w:sz w:val="16"/>
          <w:szCs w:val="16"/>
          <w:color w:val="auto"/>
        </w:rPr>
        <w:t>”).</w:t>
      </w:r>
    </w:p>
    <w:p>
      <w:pPr>
        <w:spacing w:after="0" w:line="48" w:lineRule="exact"/>
        <w:rPr>
          <w:rFonts w:ascii="Arial" w:cs="Arial" w:eastAsia="Arial" w:hAnsi="Arial"/>
          <w:sz w:val="16"/>
          <w:szCs w:val="16"/>
          <w:color w:val="auto"/>
        </w:rPr>
      </w:pPr>
    </w:p>
    <w:p>
      <w:pPr>
        <w:jc w:val="both"/>
        <w:ind w:left="980" w:hanging="648"/>
        <w:spacing w:after="0" w:line="275"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GoodRx code</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56" w:lineRule="exact"/>
        <w:rPr>
          <w:rFonts w:ascii="Arial" w:cs="Arial" w:eastAsia="Arial" w:hAnsi="Arial"/>
          <w:sz w:val="16"/>
          <w:szCs w:val="16"/>
          <w:color w:val="auto"/>
        </w:rPr>
      </w:pPr>
    </w:p>
    <w:p>
      <w:pPr>
        <w:jc w:val="both"/>
        <w:ind w:left="980" w:hanging="648"/>
        <w:spacing w:after="0" w:line="258"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Monthly Active Consumers</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used our telehealth offerings. When presented for a period longer than a month, Monthly Active Consumers is averaged over the number of calendar months in such period. For example, a unique consumer who uses a GoodRx code twice in January, but who did not use our prescription transactions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transactions offering in February, would be counted as 1 in January, 0 in February and 1 in March, thus contributing 0.66 to our Monthly Active Consumers for such quarter. Monthly Active Consumers from acquired companies are only included beginning in the first full quarter following the acquisition.</w:t>
      </w:r>
    </w:p>
    <w:p>
      <w:pPr>
        <w:spacing w:after="0" w:line="70" w:lineRule="exact"/>
        <w:rPr>
          <w:rFonts w:ascii="Arial" w:cs="Arial" w:eastAsia="Arial" w:hAnsi="Arial"/>
          <w:sz w:val="16"/>
          <w:szCs w:val="16"/>
          <w:color w:val="auto"/>
        </w:rPr>
      </w:pPr>
    </w:p>
    <w:p>
      <w:pPr>
        <w:jc w:val="both"/>
        <w:ind w:left="980" w:hanging="648"/>
        <w:spacing w:after="0" w:line="265"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PBM</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64" w:lineRule="exact"/>
        <w:rPr>
          <w:rFonts w:ascii="Arial" w:cs="Arial" w:eastAsia="Arial" w:hAnsi="Arial"/>
          <w:sz w:val="16"/>
          <w:szCs w:val="16"/>
          <w:color w:val="auto"/>
        </w:rPr>
      </w:pPr>
    </w:p>
    <w:p>
      <w:pPr>
        <w:ind w:left="980" w:hanging="648"/>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pharma</w:t>
      </w:r>
      <w:r>
        <w:rPr>
          <w:rFonts w:ascii="Arial" w:cs="Arial" w:eastAsia="Arial" w:hAnsi="Arial"/>
          <w:sz w:val="16"/>
          <w:szCs w:val="16"/>
          <w:color w:val="auto"/>
        </w:rPr>
        <w:t>” is an abbreviation for pharmaceutical.</w:t>
      </w:r>
    </w:p>
    <w:p>
      <w:pPr>
        <w:spacing w:after="0" w:line="126" w:lineRule="exact"/>
        <w:rPr>
          <w:rFonts w:ascii="Arial" w:cs="Arial" w:eastAsia="Arial" w:hAnsi="Arial"/>
          <w:sz w:val="16"/>
          <w:szCs w:val="16"/>
          <w:color w:val="auto"/>
        </w:rPr>
      </w:pPr>
    </w:p>
    <w:p>
      <w:pPr>
        <w:jc w:val="both"/>
        <w:ind w:left="980" w:hanging="648"/>
        <w:spacing w:after="0" w:line="259"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savings,</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saved</w:t>
      </w:r>
      <w:r>
        <w:rPr>
          <w:rFonts w:ascii="Arial" w:cs="Arial" w:eastAsia="Arial" w:hAnsi="Arial"/>
          <w:sz w:val="16"/>
          <w:szCs w:val="16"/>
          <w:i w:val="1"/>
          <w:iCs w:val="1"/>
          <w:color w:val="auto"/>
        </w:rPr>
        <w:t>”</w:t>
      </w:r>
      <w:r>
        <w:rPr>
          <w:rFonts w:ascii="Arial" w:cs="Arial" w:eastAsia="Arial" w:hAnsi="Arial"/>
          <w:sz w:val="16"/>
          <w:szCs w:val="16"/>
          <w:color w:val="auto"/>
        </w:rPr>
        <w:t xml:space="preserve">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980"/>
        <w:spacing w:after="0" w:line="262" w:lineRule="auto"/>
        <w:rPr>
          <w:sz w:val="20"/>
          <w:szCs w:val="20"/>
          <w:color w:val="auto"/>
        </w:rPr>
      </w:pPr>
      <w:r>
        <w:rPr>
          <w:rFonts w:ascii="Arial" w:cs="Arial" w:eastAsia="Arial" w:hAnsi="Arial"/>
          <w:sz w:val="16"/>
          <w:szCs w:val="16"/>
          <w:color w:val="auto"/>
        </w:rPr>
        <w:t>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80" w:lineRule="exact"/>
        <w:rPr>
          <w:sz w:val="20"/>
          <w:szCs w:val="20"/>
          <w:color w:val="auto"/>
        </w:rPr>
      </w:pPr>
    </w:p>
    <w:p>
      <w:pPr>
        <w:jc w:val="both"/>
        <w:ind w:left="980" w:hanging="648"/>
        <w:spacing w:after="0" w:line="265"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subscribers</w:t>
      </w:r>
      <w:r>
        <w:rPr>
          <w:rFonts w:ascii="Arial" w:cs="Arial" w:eastAsia="Arial" w:hAnsi="Arial"/>
          <w:sz w:val="16"/>
          <w:szCs w:val="16"/>
          <w:color w:val="auto"/>
        </w:rPr>
        <w:t>” and similar references refers to our consumers that are subscribed to either of our subscription offerings, Gold or Kroger Savings. References to subscription plans as of a particular date represents an active subscription to either one of our aforementioned subscription offerings as of the specified date. Each subscription plan may represent more than one subscriber since family subscription plans may include multiple members.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mission is to help Americans get the healthcare they need at a price they can afford. To achieve this, we are building the leading resource for healthcare savings and information in the United States. We believe our financial results reflect the significant market demand for our offerings and the value that we provide to the broader healthcare ecosystem; however, our financial results for the three and six months ended June 30, 2023 have been materially impacted by the sustained effects of certain events that occurred during 2022.</w:t>
      </w:r>
    </w:p>
    <w:p>
      <w:pPr>
        <w:spacing w:after="0" w:line="6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Late in the first quarter of 2022, a grocery chain took actions that impacted acceptance of discounted pricing for a subset of prescription drugs from PBMs, who are one category of our customers, and whose pricing we promote on our platform (such events referred to as the grocer issue). This had a material adverse impact on our prescription transactions revenue and Monthly Active Consumers, which was partially offset by our ability to shift certain prescription transactions to other retailers. Although the grocer issue was addressed in August 2022 and our discounted pricing has since been consistently welcomed at the point of sale by the grocery chain, beginning in the second quarter of 2022, it has had and is expected to continue to have a sustained adverse impact on our prescription transactions revenue and Monthly Active Consumers due to consumer response to updated consumer pricing and the timing and extent of returning user levels. We have not experienced, and are not aware of, PBM-pharmacy issues at any other large volume pharmacies, with the exception of the grocery chain described above, and we believe our pharmacy and PBM relationships remain strong. For additional information, please see sections entitled “Risk Factors" in our 2022 10-K and this Quarterly Report on Form 10-Q.</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to the above, but to a lesser extent, the acquisition of vitaCare Prescription Services, Inc. ("vitaCare") in April 2022 also had a negative impact on our net income, net income margin, Adjusted EBITDA and Adjusted EBITDA Margin for the three and six months ended June 30, 2023. vitaCare has a higher cost of revenue due to the operational nature of the business and has historically generated net losses and negative Adjusted EBITDA. On August 7, 2023, our board of directors (our "Board") approved a plan to de-prioritize certain solutions provided under our pharma manufacturer solutions offering, including vitaCare. See section titled "Recent Developments" below for additional information.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2023 as compared to the same period of 2022:</w:t>
      </w:r>
    </w:p>
    <w:p>
      <w:pPr>
        <w:spacing w:after="0" w:line="113"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Revenue decreased 1% to $189.7 million from $191.8 million;</w:t>
      </w:r>
    </w:p>
    <w:p>
      <w:pPr>
        <w:spacing w:after="0" w:line="113" w:lineRule="exact"/>
        <w:rPr>
          <w:rFonts w:ascii="Arial" w:cs="Arial" w:eastAsia="Arial" w:hAnsi="Arial"/>
          <w:sz w:val="16"/>
          <w:szCs w:val="16"/>
          <w:color w:val="auto"/>
        </w:rPr>
      </w:pPr>
    </w:p>
    <w:p>
      <w:pPr>
        <w:ind w:left="980" w:hanging="648"/>
        <w:spacing w:after="0" w:line="293"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income and net income margin were $58.8 million and 31.0%, respectively, compared to net loss and net loss margin of $1.4 million and 0.7%, respectively; and</w:t>
      </w:r>
    </w:p>
    <w:p>
      <w:pPr>
        <w:spacing w:after="0" w:line="50" w:lineRule="exact"/>
        <w:rPr>
          <w:rFonts w:ascii="Arial" w:cs="Arial" w:eastAsia="Arial" w:hAnsi="Arial"/>
          <w:sz w:val="16"/>
          <w:szCs w:val="16"/>
          <w:color w:val="auto"/>
        </w:rPr>
      </w:pPr>
    </w:p>
    <w:p>
      <w:pPr>
        <w:ind w:right="20" w:firstLine="332"/>
        <w:spacing w:after="0" w:line="396" w:lineRule="auto"/>
        <w:tabs>
          <w:tab w:leader="none" w:pos="972"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and Adjusted EBITDA Margin were $53.5 million and 28.2%, respectively, compared to $47.2 million and 24.6%, respectively. For the six months ended June 30, 2023 as compared to the same period of 2022:</w:t>
      </w:r>
    </w:p>
    <w:p>
      <w:pPr>
        <w:ind w:left="980" w:hanging="64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Revenue decreased 5% to $373.7 million from $395.1 million;</w:t>
      </w:r>
    </w:p>
    <w:p>
      <w:pPr>
        <w:spacing w:after="0" w:line="113" w:lineRule="exact"/>
        <w:rPr>
          <w:rFonts w:ascii="Arial" w:cs="Arial" w:eastAsia="Arial" w:hAnsi="Arial"/>
          <w:sz w:val="16"/>
          <w:szCs w:val="16"/>
          <w:color w:val="auto"/>
        </w:rPr>
      </w:pPr>
    </w:p>
    <w:p>
      <w:pPr>
        <w:ind w:left="980" w:hanging="64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income and net income margin were $55.5 million and 14.9%, respectively, up from $10.9 million and 2.8%, respectively; and</w:t>
      </w:r>
    </w:p>
    <w:p>
      <w:pPr>
        <w:spacing w:after="0" w:line="126" w:lineRule="exact"/>
        <w:rPr>
          <w:rFonts w:ascii="Arial" w:cs="Arial" w:eastAsia="Arial" w:hAnsi="Arial"/>
          <w:sz w:val="16"/>
          <w:szCs w:val="16"/>
          <w:color w:val="auto"/>
        </w:rPr>
      </w:pPr>
    </w:p>
    <w:p>
      <w:pPr>
        <w:ind w:left="980" w:hanging="648"/>
        <w:spacing w:after="0" w:line="276"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and Adjusted EBITDA Margin were $106.7 million and 28.6%, respectively, compared to $111.9 million and 28.3%, respectively.</w:t>
      </w: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Revenue, net income (loss) and net income (loss) margin are financial measures prepared in conformity with accounting principles generally accepted in the United States ("GAAP"). Adjusted EBITDA and Adjusted EBITDA Margin are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non-GAAP financial measures. For a reconciliation and presentation of Adjusted EBITDA and Adjusted EBITDA Margin to the most directly comparable GAAP financial measures, information about why we consider Adjusted EBITDA and Adjusted EBITDA Margin useful and a discussion of the material risks and limitations of these measures, please see “Key Financial and Operating Metrics—Non-GAAP Financial Measures" below.</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typically experience stronger consumer demand during the first and fourth quarters of each year, which coincide with generally higher consumer healthcare spending, doctor office visits, annual benefit enrollment season, and seasonal cold and flu trends. In addition, we may experience stronger demand for our pharma manufacturer solutions offering during the fourth quarter of each year, which coincides with pharma manufacturers' annual budgetary spending patterns. This seasonality may impact revenue and sales and marketing expense. The grocer issue and the ongoing impact of COVID-19 may have masked these trends in recent periods and may continue to impact these trends in the future.</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Caremark Cost Saver</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July 2023, we announced the launch of Caremark Cost Saver to help lower pharmacy out-of-pocket drug costs for CVS Caremark's eligible members. Through the new program, these members will have automatic access to our prescription pricing to allow them to pay lower prices, when available, on generic medications. This program is anticipated to launch in early 2024.</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First Lien Term Loan Facility Amendment</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amended our First Lien Term Loan Facility in July 2023 to replace LIBOR with SOFR as the benchmark interest rate. See Note 6 to our condensed consolidated financial statements included elsewhere in this Quarterly Report on Form 10-Q for additional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Plan</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7, 2023, our Board approved a multi-phase plan to de-prioritize certain solutions under our pharma manufacturer solutions offering (the “Restructuring Plan”), which included (i) a reduction in force involving employees of our wholly-owned subsidiaries GoodRx, Inc. and vitaCare; (ii) the entry into retention agreements with certain other employees for the purpose of maintaining business continuity; and (iii) the restructuring or termination of certain solutions and arrangements with our clients to better align with our strategic goals and future scale. These actions are part of our continued strategic focus on scaling and re-balancing our cost structure to drive improved margins. The Restructuring Plan is expected to be substantially complete by the end of 2023.</w:t>
      </w: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connection with the Restructuring Plan, we estimate that we will incur total pre-tax charges of approximately $55 million to $75 million, substantially all of which is expected to be incurred in the third and fourth quarters of 2023. These estimated charges include (i) non-cash charges of approximately $50 million to $60 million substantially relating to accelerated amortization of certain intangible assets, principally related to developed technology and customer relationships acquired in connection with the acquisition of vitaCare, and other software abandonment charges; (ii) cash expenditures relating to various headcount reduction and personnel initiatives of approximately $5 million to $10 million; and (iii) cash expenditures relating to restructuring or termination of certain client contracts of up to $5 million. The foregoing estimated cash expenditures relating to various headcount reduction and personnel initiatives almost entirely consist of termination charges arising from severance obligations, continuation of salaries and benefits over a 60-day transitional period during which impacted employees remain employed but are not expected to provide active service, and other customary employee benefit payments in connection with a reduction in force as well as retention charges for certain other employees. These restructuring activities are expected to result in approximately $18 million to $22 million of annualized run rate cash savings.</w:t>
      </w:r>
    </w:p>
    <w:p>
      <w:pPr>
        <w:spacing w:after="0" w:line="8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may incur other material charges and expenses not currently contemplated due to events that may occur as a result of, or in connection with, these restructuring activities. The foregoing charges we expect to incur under the Restructuring Plan and the annualized run rate cash savings are estimates and subject to a number of assumptions, and actual results may differ materially.</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expect the results of these restructuring activities to adversely impact our pharma manufacturer solutions revenue by approximately mid single digit millions in the second half of 2023, which will have a sustained impact on our pharma manufacturer solutions revenue in the medium term. In addition, we expect the run rate cash savings to principally impact future cost of revenues.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Financial and Operating Metrics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use Monthly Active Consumers, subscription plans, Adjusted EBITDA and Adjusted EBITDA Margin to assess our performance, make strategic and offering decisions and build our financial projections. The number of Monthly Active Consumers and subscription plans are key indicators of the scale of our consumer base and a gauge for our marketing and engagement efforts. We believe these operating metrics reflect our scale, growth and engagement with consumers.</w:t>
      </w:r>
    </w:p>
    <w:p>
      <w:pPr>
        <w:spacing w:after="0" w:line="69"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We exited the second quarter of 2023 with over 7 million prescription-related consumers that used GoodRx across our prescription transactions and subscription offerings. Our prescription-related consumers represent the sum of Monthly Active Consumers for the three months ended June 30, 2023 and subscribers to our subscription plans as of June 30, 2023.</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Monthly Active Consumers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Monthly Active Consumers beginning with the second quarter of 2022 were impacted by the grocer issue.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89"/>
        </w:trPr>
        <w:tc>
          <w:tcPr>
            <w:tcW w:w="2660" w:type="dxa"/>
            <w:vAlign w:val="bottom"/>
          </w:tcPr>
          <w:p>
            <w:pPr>
              <w:spacing w:after="0"/>
              <w:rPr>
                <w:sz w:val="16"/>
                <w:szCs w:val="16"/>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99"/>
              </w:rPr>
              <w:t>June 30,</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r>
      <w:tr>
        <w:trPr>
          <w:trHeight w:val="201"/>
        </w:trPr>
        <w:tc>
          <w:tcPr>
            <w:tcW w:w="2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r>
      <w:tr>
        <w:trPr>
          <w:trHeight w:val="218"/>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Monthly Active Consumers</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26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 Plans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Beginning in 2022, subscription plans have been impacted by a pricing increase for Gold subscribers that went into effect in the first half of 2022 and a sequential decline in our subscription plans for Kroger Savings as a result of reduced marketing spend in relation to the offering. We expect our subscription plans for Kroger Savings to continue to sequentially decline through July 2024, the expected sunset of the program.</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189"/>
        </w:trPr>
        <w:tc>
          <w:tcPr>
            <w:tcW w:w="2660" w:type="dxa"/>
            <w:vAlign w:val="bottom"/>
          </w:tcPr>
          <w:p>
            <w:pPr>
              <w:spacing w:after="0"/>
              <w:rPr>
                <w:sz w:val="16"/>
                <w:szCs w:val="16"/>
                <w:color w:val="auto"/>
              </w:rPr>
            </w:pPr>
          </w:p>
        </w:tc>
        <w:tc>
          <w:tcPr>
            <w:tcW w:w="102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June 30,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jc w:val="center"/>
              <w:ind w:right="85"/>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r>
      <w:tr>
        <w:trPr>
          <w:trHeight w:val="201"/>
        </w:trPr>
        <w:tc>
          <w:tcPr>
            <w:tcW w:w="2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r>
      <w:tr>
        <w:trPr>
          <w:trHeight w:val="218"/>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plans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1,203</w:t>
            </w:r>
          </w:p>
        </w:tc>
      </w:tr>
      <w:tr>
        <w:trPr>
          <w:trHeight w:val="33"/>
        </w:trPr>
        <w:tc>
          <w:tcPr>
            <w:tcW w:w="26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Adjusted EBITDA and Adjusted EBITDA Margin are key measures we use to assess our financial performance and are also used for internal planning and forecasting purposes. We believe Adjusted EBITDA and Adjusted EBITDA Margin are helpful to investors, analysts and other interested parties because they can assist in providing a more consistent and comparable overview of our operations across our historical financial periods. In addition, these measures are frequently used by analysts, investors and other interested parties to evaluate and assess performance.</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define Adjusted EBITDA for a particular period as net income or loss before interest, taxes, depreciation and amortization, and as further adjusted, as applicable, for acquisition related expenses, stock-based compensation expense, payroll tax expense related to stock-based compensation, loss on extinguishment of debt, financing related expenses, loss on operating lease assets, restructuring related expenses, legal settlement expenses, charitable stock donation, gain on sale of business and other income or expense, net. Adjusted EBITDA Margin represents Adjusted EBITDA as a percentage of revenue.</w:t>
      </w: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condensed consolidated statements of operations that are necessary to run our business. Other companies, including other companies in our industry, may not use these measures or may calculate these measures differently than as presented in this Quarterly Report on Form 10-Q, limiting their usefulness as comparative measures.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following table presents a reconciliation of net income (loss), the most directly comparable financial measure calculated in accordance with GAAP, to Adjusted EBITDA, and presents net income (loss) margin, the most directly comparable financial measure calculated in accordance with GAAP, with Adjusted EBITDA Margin: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5"/>
                <w:szCs w:val="15"/>
                <w:color w:val="auto"/>
              </w:rPr>
            </w:pPr>
          </w:p>
        </w:tc>
      </w:tr>
      <w:tr>
        <w:trPr>
          <w:trHeight w:val="209"/>
        </w:trPr>
        <w:tc>
          <w:tcPr>
            <w:tcW w:w="4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2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58,786</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(1,415)</w:t>
            </w:r>
          </w:p>
        </w:tc>
        <w:tc>
          <w:tcPr>
            <w:tcW w:w="4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55,496</w:t>
            </w:r>
          </w:p>
        </w:tc>
        <w:tc>
          <w:tcPr>
            <w:tcW w:w="680" w:type="dxa"/>
            <w:vAlign w:val="bottom"/>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10,878</w:t>
            </w:r>
          </w:p>
        </w:tc>
      </w:tr>
      <w:tr>
        <w:trPr>
          <w:trHeight w:val="233"/>
        </w:trPr>
        <w:tc>
          <w:tcPr>
            <w:tcW w:w="470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6"/>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(7,814)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(15,048)</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(909)</w:t>
            </w:r>
          </w:p>
        </w:tc>
      </w:tr>
      <w:tr>
        <w:trPr>
          <w:trHeight w:val="233"/>
        </w:trPr>
        <w:tc>
          <w:tcPr>
            <w:tcW w:w="470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14,054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6,969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27,187</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12,838</w:t>
            </w:r>
          </w:p>
        </w:tc>
      </w:tr>
      <w:tr>
        <w:trPr>
          <w:trHeight w:val="246"/>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benefit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(46,718)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(8,744)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(39,832)</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(7,093)</w:t>
            </w:r>
          </w:p>
        </w:tc>
      </w:tr>
      <w:tr>
        <w:trPr>
          <w:trHeight w:val="233"/>
        </w:trPr>
        <w:tc>
          <w:tcPr>
            <w:tcW w:w="470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16,097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13,319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31,036</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24,692</w:t>
            </w:r>
          </w:p>
        </w:tc>
      </w:tr>
      <w:tr>
        <w:trPr>
          <w:trHeight w:val="253"/>
        </w:trPr>
        <w:tc>
          <w:tcPr>
            <w:tcW w:w="47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xml:space="preserve">Other expense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1,808</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56"/>
        </w:trPr>
        <w:tc>
          <w:tcPr>
            <w:tcW w:w="4700" w:type="dxa"/>
            <w:vAlign w:val="bottom"/>
          </w:tcPr>
          <w:p>
            <w:pPr>
              <w:ind w:left="260"/>
              <w:spacing w:after="0"/>
              <w:rPr>
                <w:sz w:val="20"/>
                <w:szCs w:val="20"/>
                <w:color w:val="auto"/>
              </w:rPr>
            </w:pPr>
            <w:r>
              <w:rPr>
                <w:rFonts w:ascii="Arial" w:cs="Arial" w:eastAsia="Arial" w:hAnsi="Arial"/>
                <w:sz w:val="16"/>
                <w:szCs w:val="16"/>
                <w:color w:val="auto"/>
              </w:rPr>
              <w:t xml:space="preserve">Financing related expenses </w:t>
            </w:r>
            <w:r>
              <w:rPr>
                <w:rFonts w:ascii="Arial" w:cs="Arial" w:eastAsia="Arial" w:hAnsi="Arial"/>
                <w:sz w:val="21"/>
                <w:szCs w:val="21"/>
                <w:color w:val="auto"/>
                <w:vertAlign w:val="superscript"/>
              </w:rPr>
              <w:t>(2)</w:t>
            </w:r>
          </w:p>
        </w:tc>
        <w:tc>
          <w:tcPr>
            <w:tcW w:w="360" w:type="dxa"/>
            <w:vAlign w:val="bottom"/>
          </w:tcPr>
          <w:p>
            <w:pPr>
              <w:spacing w:after="0"/>
              <w:rPr>
                <w:sz w:val="22"/>
                <w:szCs w:val="22"/>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9</w:t>
            </w:r>
          </w:p>
        </w:tc>
      </w:tr>
      <w:tr>
        <w:trPr>
          <w:trHeight w:val="243"/>
        </w:trPr>
        <w:tc>
          <w:tcPr>
            <w:tcW w:w="47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xml:space="preserve">Acquisition related expenses </w:t>
            </w:r>
            <w:r>
              <w:rPr>
                <w:rFonts w:ascii="Arial" w:cs="Arial" w:eastAsia="Arial" w:hAnsi="Arial"/>
                <w:sz w:val="21"/>
                <w:szCs w:val="21"/>
                <w:color w:val="auto"/>
                <w:vertAlign w:val="superscript"/>
              </w:rPr>
              <w:t>(3)</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3,001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1,441</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4,974</w:t>
            </w:r>
          </w:p>
        </w:tc>
      </w:tr>
      <w:tr>
        <w:trPr>
          <w:trHeight w:val="243"/>
        </w:trPr>
        <w:tc>
          <w:tcPr>
            <w:tcW w:w="4700" w:type="dxa"/>
            <w:vAlign w:val="bottom"/>
          </w:tcPr>
          <w:p>
            <w:pPr>
              <w:ind w:left="260"/>
              <w:spacing w:after="0"/>
              <w:rPr>
                <w:sz w:val="20"/>
                <w:szCs w:val="20"/>
                <w:color w:val="auto"/>
              </w:rPr>
            </w:pPr>
            <w:r>
              <w:rPr>
                <w:rFonts w:ascii="Arial" w:cs="Arial" w:eastAsia="Arial" w:hAnsi="Arial"/>
                <w:sz w:val="16"/>
                <w:szCs w:val="16"/>
                <w:color w:val="auto"/>
              </w:rPr>
              <w:t xml:space="preserve">Restructuring related expenses </w:t>
            </w:r>
            <w:r>
              <w:rPr>
                <w:rFonts w:ascii="Arial" w:cs="Arial" w:eastAsia="Arial" w:hAnsi="Arial"/>
                <w:sz w:val="21"/>
                <w:szCs w:val="21"/>
                <w:color w:val="auto"/>
                <w:vertAlign w:val="superscript"/>
              </w:rPr>
              <w:t>(4)</w:t>
            </w:r>
          </w:p>
        </w:tc>
        <w:tc>
          <w:tcPr>
            <w:tcW w:w="360" w:type="dxa"/>
            <w:vAlign w:val="bottom"/>
          </w:tcPr>
          <w:p>
            <w:pPr>
              <w:spacing w:after="0"/>
              <w:rPr>
                <w:sz w:val="21"/>
                <w:szCs w:val="21"/>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356</w:t>
            </w:r>
          </w:p>
        </w:tc>
      </w:tr>
      <w:tr>
        <w:trPr>
          <w:trHeight w:val="256"/>
        </w:trPr>
        <w:tc>
          <w:tcPr>
            <w:tcW w:w="47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xml:space="preserve">Legal settlement expenses </w:t>
            </w:r>
            <w:r>
              <w:rPr>
                <w:rFonts w:ascii="Arial" w:cs="Arial" w:eastAsia="Arial" w:hAnsi="Arial"/>
                <w:sz w:val="21"/>
                <w:szCs w:val="21"/>
                <w:color w:val="auto"/>
                <w:vertAlign w:val="superscript"/>
              </w:rPr>
              <w:t>(5)</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2,800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2,800</w:t>
            </w:r>
          </w:p>
        </w:tc>
      </w:tr>
      <w:tr>
        <w:trPr>
          <w:trHeight w:val="233"/>
        </w:trPr>
        <w:tc>
          <w:tcPr>
            <w:tcW w:w="470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17,897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31,633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43,396</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61,782</w:t>
            </w:r>
          </w:p>
        </w:tc>
      </w:tr>
      <w:tr>
        <w:trPr>
          <w:trHeight w:val="246"/>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Payroll tax expense related to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845</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1,555</w:t>
            </w:r>
          </w:p>
        </w:tc>
      </w:tr>
      <w:tr>
        <w:trPr>
          <w:trHeight w:val="243"/>
        </w:trPr>
        <w:tc>
          <w:tcPr>
            <w:tcW w:w="4700" w:type="dxa"/>
            <w:vAlign w:val="bottom"/>
          </w:tcPr>
          <w:p>
            <w:pPr>
              <w:ind w:left="260"/>
              <w:spacing w:after="0"/>
              <w:rPr>
                <w:sz w:val="20"/>
                <w:szCs w:val="20"/>
                <w:color w:val="auto"/>
              </w:rPr>
            </w:pPr>
            <w:r>
              <w:rPr>
                <w:rFonts w:ascii="Arial" w:cs="Arial" w:eastAsia="Arial" w:hAnsi="Arial"/>
                <w:sz w:val="16"/>
                <w:szCs w:val="16"/>
                <w:color w:val="auto"/>
              </w:rPr>
              <w:t xml:space="preserve">Loss on operating lease assets </w:t>
            </w:r>
            <w:r>
              <w:rPr>
                <w:rFonts w:ascii="Arial" w:cs="Arial" w:eastAsia="Arial" w:hAnsi="Arial"/>
                <w:sz w:val="21"/>
                <w:szCs w:val="21"/>
                <w:color w:val="auto"/>
                <w:vertAlign w:val="superscript"/>
              </w:rPr>
              <w:t>(6)</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374</w:t>
            </w:r>
          </w:p>
        </w:tc>
        <w:tc>
          <w:tcPr>
            <w:tcW w:w="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r>
      <w:tr>
        <w:trPr>
          <w:trHeight w:val="25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53,466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47,228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106,703</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111,882</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8"/>
        </w:trPr>
        <w:tc>
          <w:tcPr>
            <w:tcW w:w="4700" w:type="dxa"/>
            <w:vAlign w:val="bottom"/>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189,677</w:t>
            </w:r>
          </w:p>
        </w:tc>
        <w:tc>
          <w:tcPr>
            <w:tcW w:w="54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191,798</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373,663</w:t>
            </w:r>
          </w:p>
        </w:tc>
        <w:tc>
          <w:tcPr>
            <w:tcW w:w="680" w:type="dxa"/>
            <w:vAlign w:val="bottom"/>
            <w:gridSpan w:val="2"/>
          </w:tcPr>
          <w:p>
            <w:pPr>
              <w:jc w:val="right"/>
              <w:ind w:right="3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395,127</w:t>
            </w: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income (loss) margin </w:t>
            </w:r>
            <w:r>
              <w:rPr>
                <w:rFonts w:ascii="Arial" w:cs="Arial" w:eastAsia="Arial" w:hAnsi="Arial"/>
                <w:sz w:val="21"/>
                <w:szCs w:val="21"/>
                <w:color w:val="auto"/>
                <w:vertAlign w:val="superscript"/>
              </w:rPr>
              <w:t>(7)</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31.0 %</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23"/>
        </w:trPr>
        <w:tc>
          <w:tcPr>
            <w:tcW w:w="470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24.6 %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28.3 %</w:t>
            </w:r>
          </w:p>
        </w:tc>
      </w:tr>
      <w:tr>
        <w:trPr>
          <w:trHeight w:val="310"/>
        </w:trPr>
        <w:tc>
          <w:tcPr>
            <w:tcW w:w="4700" w:type="dxa"/>
            <w:vAlign w:val="bottom"/>
          </w:tcPr>
          <w:p>
            <w:pPr>
              <w:spacing w:after="0"/>
              <w:rPr>
                <w:sz w:val="20"/>
                <w:szCs w:val="20"/>
                <w:color w:val="auto"/>
              </w:rPr>
            </w:pPr>
            <w:r>
              <w:rPr>
                <w:rFonts w:ascii="Arial" w:cs="Arial" w:eastAsia="Arial" w:hAnsi="Arial"/>
                <w:sz w:val="16"/>
                <w:szCs w:val="16"/>
                <w:color w:val="auto"/>
              </w:rPr>
              <w:t>______________________</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expense represents the impairment loss on one of our minority equity interest investments.</w:t>
      </w:r>
    </w:p>
    <w:p>
      <w:pPr>
        <w:spacing w:after="0" w:line="12"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Financing related expenses include third-party fees related to proposed financings.</w:t>
      </w:r>
    </w:p>
    <w:p>
      <w:pPr>
        <w:spacing w:after="0" w:line="5" w:lineRule="exact"/>
        <w:rPr>
          <w:rFonts w:ascii="Arial" w:cs="Arial" w:eastAsia="Arial" w:hAnsi="Arial"/>
          <w:sz w:val="16"/>
          <w:szCs w:val="16"/>
          <w:color w:val="auto"/>
        </w:rPr>
      </w:pPr>
    </w:p>
    <w:p>
      <w:pPr>
        <w:jc w:val="both"/>
        <w:ind w:left="660" w:hanging="652"/>
        <w:spacing w:after="0" w:line="254"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Acquisition related expenses principally include costs for actual or planned acquisitions including related third-party fees, legal, consulting and other expenditures, and as applicable, severance costs and retention bonuses to employees related to acquisitions and change in fair value of contingent consideration.</w:t>
      </w:r>
    </w:p>
    <w:p>
      <w:pPr>
        <w:spacing w:after="0" w:line="1" w:lineRule="exact"/>
        <w:rPr>
          <w:rFonts w:ascii="Arial" w:cs="Arial" w:eastAsia="Arial" w:hAnsi="Arial"/>
          <w:sz w:val="16"/>
          <w:szCs w:val="16"/>
          <w:color w:val="auto"/>
        </w:rPr>
      </w:pPr>
    </w:p>
    <w:p>
      <w:pPr>
        <w:ind w:left="660" w:hanging="652"/>
        <w:spacing w:after="0" w:line="25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Restructuring related expenses include employee severance and other personnel related costs in connection with workforce optimization and organizational changes to better align with our strategic goals and future scale.</w:t>
      </w:r>
    </w:p>
    <w:p>
      <w:pPr>
        <w:spacing w:after="0" w:line="1" w:lineRule="exact"/>
        <w:rPr>
          <w:rFonts w:ascii="Arial" w:cs="Arial" w:eastAsia="Arial" w:hAnsi="Arial"/>
          <w:sz w:val="16"/>
          <w:szCs w:val="16"/>
          <w:color w:val="auto"/>
        </w:rPr>
      </w:pPr>
    </w:p>
    <w:p>
      <w:pPr>
        <w:jc w:val="both"/>
        <w:ind w:left="660" w:hanging="652"/>
        <w:spacing w:after="0" w:line="254"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Legal settlement expenses represent the estimated amount accrued with respect to the Federal Trade Commission ("FTC") negotiated settlement. The estimated accrual was adjusted in the fourth quarter of 2022 to reflect the actual negotiated settlement amount of $1.5 million. See Note 7 to our condensed consolidated financial statements for additional information.</w:t>
      </w:r>
    </w:p>
    <w:p>
      <w:pPr>
        <w:spacing w:after="0" w:line="1" w:lineRule="exact"/>
        <w:rPr>
          <w:rFonts w:ascii="Arial" w:cs="Arial" w:eastAsia="Arial" w:hAnsi="Arial"/>
          <w:sz w:val="16"/>
          <w:szCs w:val="16"/>
          <w:color w:val="auto"/>
        </w:rPr>
      </w:pPr>
    </w:p>
    <w:p>
      <w:pPr>
        <w:ind w:left="660" w:hanging="652"/>
        <w:spacing w:after="0" w:line="25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Loss on operating lease assets include, as applicable for the periods presented, losses incurred relating to the abandonment or sublease of certain leased office spaces and disposal of related capitalized costs.</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income (loss) margin represents net income or net loss, as applicable, as a percentage of revenue.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revenue is primarily derived from prescription transactions revenue that is generated when pharmacies fill prescriptions for consumers, and from other revenue streams such as our pharma manufacturer solutions, subscription offerings, and our telehealth offering. All of our revenue has been generated in the United States. We consider PBMs, pharmacies, pharma manufacturers and our subscribers, with whom we have direct contractual agreements, to be our primary customers.</w:t>
      </w:r>
    </w:p>
    <w:p>
      <w:pPr>
        <w:spacing w:after="0" w:line="70" w:lineRule="exact"/>
        <w:rPr>
          <w:sz w:val="20"/>
          <w:szCs w:val="20"/>
          <w:color w:val="auto"/>
        </w:rPr>
      </w:pPr>
    </w:p>
    <w:p>
      <w:pPr>
        <w:jc w:val="both"/>
        <w:ind w:left="980" w:hanging="648"/>
        <w:spacing w:after="0" w:line="257"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Prescription transactions revenue</w:t>
      </w:r>
      <w:r>
        <w:rPr>
          <w:rFonts w:ascii="Arial" w:cs="Arial" w:eastAsia="Arial" w:hAnsi="Arial"/>
          <w:sz w:val="16"/>
          <w:szCs w:val="16"/>
          <w:color w:val="auto"/>
        </w:rPr>
        <w:t>: Consists primarily of revenue generated from PBMs when a prescription is filled with a GoodRx code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through our platform. The majority of our contracts with PBMs provide for fees that represent a percentage of the fees that PBMs charge to the pharmacy, and a minority of our contracts provide for a fixed fee per transaction. Our percentage of fee contracts often also include a minimum fixed fee per transaction. Certain contracts also provide that the amount of fees we receive is based on the volume of prescriptions filled each month. We expect the revenue contribution from contracts with fixed fee arrangements to remain largely stable over the medium term, and do not expect that changes in revenue contribution from fixed fee versus percentage of fee arrangements will materially impact our revenue from PBMs. Beginning in late 2022, we began to enter into direct contractual agreements with pharmacies, which generally provide for lower fees per transaction relative to prescriptions filled through our agreements with PBMs. Our contracts with pharmacies provide consumers access to discounted prices. We earn fixed fees per transaction from such pharmacies when a prescription is filled with a GoodRx code provided through our platform. We expect to increase direct contractual relationships with more pharmacies in proportion to existing contractual agreements with our PBMs in the near term.</w:t>
      </w:r>
    </w:p>
    <w:p>
      <w:pPr>
        <w:spacing w:after="0" w:line="87" w:lineRule="exact"/>
        <w:rPr>
          <w:rFonts w:ascii="Arial" w:cs="Arial" w:eastAsia="Arial" w:hAnsi="Arial"/>
          <w:sz w:val="16"/>
          <w:szCs w:val="16"/>
          <w:color w:val="auto"/>
        </w:rPr>
      </w:pPr>
    </w:p>
    <w:p>
      <w:pPr>
        <w:jc w:val="both"/>
        <w:ind w:left="980" w:hanging="648"/>
        <w:spacing w:after="0" w:line="263"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Pharma manufacturer solutions revenue: </w:t>
      </w:r>
      <w:r>
        <w:rPr>
          <w:rFonts w:ascii="Arial" w:cs="Arial" w:eastAsia="Arial" w:hAnsi="Arial"/>
          <w:sz w:val="16"/>
          <w:szCs w:val="16"/>
          <w:color w:val="auto"/>
        </w:rPr>
        <w:t>Consists primarily of revenue generated from pharma manufacturers and other customers for</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including integrating onto our platform their affordability solutions to our consumers, and also from prescription transaction fees generated when pharmacies fill prescriptions for products sold by pharma manufacturers via our vitaCare pharmacy services solution.</w:t>
      </w:r>
    </w:p>
    <w:p>
      <w:pPr>
        <w:spacing w:after="0" w:line="83" w:lineRule="exact"/>
        <w:rPr>
          <w:rFonts w:ascii="Arial" w:cs="Arial" w:eastAsia="Arial" w:hAnsi="Arial"/>
          <w:sz w:val="16"/>
          <w:szCs w:val="16"/>
          <w:color w:val="auto"/>
        </w:rPr>
      </w:pPr>
    </w:p>
    <w:p>
      <w:pPr>
        <w:ind w:left="980" w:hanging="64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 Consists of revenue from our Gold and Kroger Savings subscription offerings.</w:t>
      </w:r>
    </w:p>
    <w:p>
      <w:pPr>
        <w:spacing w:after="0" w:line="113" w:lineRule="exact"/>
        <w:rPr>
          <w:rFonts w:ascii="Arial" w:cs="Arial" w:eastAsia="Arial" w:hAnsi="Arial"/>
          <w:sz w:val="16"/>
          <w:szCs w:val="16"/>
          <w:color w:val="auto"/>
        </w:rPr>
      </w:pPr>
    </w:p>
    <w:p>
      <w:pPr>
        <w:ind w:left="980" w:hanging="64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Other revenue</w:t>
      </w:r>
      <w:r>
        <w:rPr>
          <w:rFonts w:ascii="Arial" w:cs="Arial" w:eastAsia="Arial" w:hAnsi="Arial"/>
          <w:sz w:val="16"/>
          <w:szCs w:val="16"/>
          <w:color w:val="auto"/>
        </w:rPr>
        <w:t>: Consists of revenue generated by our telehealth offering that allows consumers to access healthcare professionals online.</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incur the following expenses directly related to our cost of revenue and operating expenses:</w:t>
      </w:r>
    </w:p>
    <w:p>
      <w:pPr>
        <w:spacing w:after="0" w:line="109" w:lineRule="exact"/>
        <w:rPr>
          <w:sz w:val="20"/>
          <w:szCs w:val="20"/>
          <w:color w:val="auto"/>
        </w:rPr>
      </w:pPr>
    </w:p>
    <w:p>
      <w:pPr>
        <w:jc w:val="both"/>
        <w:ind w:left="980" w:hanging="648"/>
        <w:spacing w:after="0" w:line="264"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Consists primarily of costs related to outsourced consumer support; healthcare provider costs; personnel costs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salaries, benefits, bonuses and stock-based compensation expense, for our consumer support employees; hosting and cloud costs; merchant account fees; processing fees; allocated overhead; and as applicable, fulfillment costs for certain solutions provided to customers under our pharma manufacturer solutions offering. Cost of revenue is largely driven by the growth of our visitor, subscriber and active consumer base, as well as our offering mix. Our cost of revenue as a percentage of revenue may vary based on the change in mix of our various offerings.</w:t>
      </w:r>
    </w:p>
    <w:p>
      <w:pPr>
        <w:spacing w:after="0" w:line="68" w:lineRule="exact"/>
        <w:rPr>
          <w:rFonts w:ascii="Arial" w:cs="Arial" w:eastAsia="Arial" w:hAnsi="Arial"/>
          <w:sz w:val="16"/>
          <w:szCs w:val="16"/>
          <w:color w:val="auto"/>
        </w:rPr>
      </w:pPr>
    </w:p>
    <w:p>
      <w:pPr>
        <w:jc w:val="both"/>
        <w:ind w:left="980" w:hanging="648"/>
        <w:spacing w:after="0" w:line="261"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Product development and technology: </w:t>
      </w:r>
      <w:r>
        <w:rPr>
          <w:rFonts w:ascii="Arial" w:cs="Arial" w:eastAsia="Arial" w:hAnsi="Arial"/>
          <w:sz w:val="16"/>
          <w:szCs w:val="16"/>
          <w:color w:val="auto"/>
        </w:rPr>
        <w:t>Consists primarily of personnel costs, including salaries, benefits, bonuses and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expense, for employees involved in product development activities; costs related to third-party services and contractors related to product development, information technology and software; and allocated overhead. Product development and technology expenses are primarily driven by changes in headcount and investments to support and develop our various products. We capitalize certain qualified costs related to the development of internal-use software, which may also cause product development and technology expenses to vary from period to period.</w:t>
      </w:r>
    </w:p>
    <w:p>
      <w:pPr>
        <w:spacing w:after="0" w:line="282" w:lineRule="exact"/>
        <w:rPr>
          <w:rFonts w:ascii="Arial" w:cs="Arial" w:eastAsia="Arial" w:hAnsi="Arial"/>
          <w:sz w:val="16"/>
          <w:szCs w:val="16"/>
          <w:color w:val="auto"/>
        </w:rPr>
      </w:pPr>
    </w:p>
    <w:p>
      <w:pPr>
        <w:jc w:val="both"/>
        <w:ind w:left="980" w:hanging="648"/>
        <w:spacing w:after="0" w:line="258"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Consists primarily of advertising and promotional expenses for consumer acquisition and retention including consumer</w:t>
      </w:r>
      <w:r>
        <w:rPr>
          <w:rFonts w:ascii="Arial" w:cs="Arial" w:eastAsia="Arial" w:hAnsi="Arial"/>
          <w:sz w:val="16"/>
          <w:szCs w:val="16"/>
          <w:i w:val="1"/>
          <w:iCs w:val="1"/>
          <w:color w:val="auto"/>
        </w:rPr>
        <w:t xml:space="preserve"> </w:t>
      </w:r>
      <w:r>
        <w:rPr>
          <w:rFonts w:ascii="Arial" w:cs="Arial" w:eastAsia="Arial" w:hAnsi="Arial"/>
          <w:sz w:val="16"/>
          <w:szCs w:val="16"/>
          <w:color w:val="auto"/>
        </w:rPr>
        <w:t>(who are not our customers) discounts and incentives; as well as personnel costs, including salaries, benefits, bonuses, stock-based compensation expense and sales commissions, for sales and marketing employees; costs related to third-party services and contractors; and allocated overhead. Sales and marketing expenses are primarily driven by investments to grow and retain our consumer base and may fluctuate based on the timing of our investments in consumer acquisition and retention. We continuously evaluate the impact of sales and marketing activities on our business and actively manage our sales and marketing spend, including our investments in consumer acquisition, which is largely variable, as market and business conditions change.</w:t>
      </w:r>
    </w:p>
    <w:p>
      <w:pPr>
        <w:spacing w:after="0" w:line="73" w:lineRule="exact"/>
        <w:rPr>
          <w:rFonts w:ascii="Arial" w:cs="Arial" w:eastAsia="Arial" w:hAnsi="Arial"/>
          <w:sz w:val="16"/>
          <w:szCs w:val="16"/>
          <w:color w:val="auto"/>
        </w:rPr>
      </w:pPr>
    </w:p>
    <w:p>
      <w:pPr>
        <w:jc w:val="both"/>
        <w:ind w:left="980" w:hanging="648"/>
        <w:spacing w:after="0" w:line="27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Consists primarily of personnel costs including salaries, benefits, bonuses and stock-based compensation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for our executive, finance, accounting, legal, and human resources functions; as well as professional fees; occupancy costs; other general overhead costs; and as applicable,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change in fair value of contingent consideration, loss on operating lease assets, gain on sale of business and charitable donations.</w:t>
      </w:r>
    </w:p>
    <w:p>
      <w:pPr>
        <w:spacing w:after="0" w:line="109" w:lineRule="exact"/>
        <w:rPr>
          <w:sz w:val="20"/>
          <w:szCs w:val="20"/>
          <w:color w:val="auto"/>
        </w:rPr>
      </w:pPr>
    </w:p>
    <w:p>
      <w:pPr>
        <w:jc w:val="both"/>
        <w:ind w:left="980" w:hanging="648"/>
        <w:spacing w:after="0" w:line="27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Consists of depreciation of property and equipment and amortization of capitalized internal-use software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intangible assets. Our depreciation and amortization changes primarily based on changes in our property and equipment, intangible assets, and capitalized software balances.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other expense, net consists of the following:</w:t>
      </w:r>
    </w:p>
    <w:p>
      <w:pPr>
        <w:spacing w:after="0" w:line="109"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Other expense</w:t>
      </w:r>
      <w:r>
        <w:rPr>
          <w:rFonts w:ascii="Arial" w:cs="Arial" w:eastAsia="Arial" w:hAnsi="Arial"/>
          <w:sz w:val="16"/>
          <w:szCs w:val="16"/>
          <w:color w:val="auto"/>
        </w:rPr>
        <w:t>: Consists primarily of miscellaneous expense that are not core to our operations.</w:t>
      </w:r>
    </w:p>
    <w:p>
      <w:pPr>
        <w:spacing w:after="0" w:line="126" w:lineRule="exact"/>
        <w:rPr>
          <w:rFonts w:ascii="Arial" w:cs="Arial" w:eastAsia="Arial" w:hAnsi="Arial"/>
          <w:sz w:val="16"/>
          <w:szCs w:val="16"/>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Consists primarily of interest income earned on excess cash held in interest-bearing accounts.</w:t>
      </w:r>
    </w:p>
    <w:p>
      <w:pPr>
        <w:spacing w:after="0" w:line="113" w:lineRule="exact"/>
        <w:rPr>
          <w:rFonts w:ascii="Arial" w:cs="Arial" w:eastAsia="Arial" w:hAnsi="Arial"/>
          <w:sz w:val="16"/>
          <w:szCs w:val="16"/>
          <w:color w:val="auto"/>
        </w:rPr>
      </w:pPr>
    </w:p>
    <w:p>
      <w:pPr>
        <w:ind w:left="980" w:hanging="648"/>
        <w:spacing w:after="0" w:line="298"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Consists primarily of interest expense associated with our debt arrangements, including amortization of debt issuance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discounts.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income taxes consists of federal and state income taxes. Our effective income tax rate differs from the U.S. federal statutory rate of 21.0% primarily due to effects of non-deductible officers’ stock-based compensation expense, changes in the valuation allowance against our net deferred tax assets, state income taxes, research and development tax credits and tax effects from our equity awards. For information regarding our calculation of income taxes in interim periods, see Note 5 to our condensed consolidated financial statements appearing elsewhere in this Quarterly Report on Form 10-Q.</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June 30, 2023 Compared to Three Months Ended June 30, 2022</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results of operations for the three months ended June 30, 2023 and 2022:</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59"/>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 of Total</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right="139"/>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 of 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Revenue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Change ($)</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Change (%)</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3940" w:type="dxa"/>
            <w:vAlign w:val="bottom"/>
          </w:tcPr>
          <w:p>
            <w:pPr>
              <w:ind w:left="260"/>
              <w:spacing w:after="0"/>
              <w:rPr>
                <w:sz w:val="20"/>
                <w:szCs w:val="20"/>
                <w:color w:val="auto"/>
              </w:rPr>
            </w:pPr>
            <w:r>
              <w:rPr>
                <w:rFonts w:ascii="Arial" w:cs="Arial" w:eastAsia="Arial" w:hAnsi="Arial"/>
                <w:sz w:val="16"/>
                <w:szCs w:val="16"/>
                <w:color w:val="auto"/>
              </w:rPr>
              <w:t>Prescription transactions revenue</w:t>
            </w: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136,540</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72%</w:t>
            </w:r>
          </w:p>
        </w:tc>
        <w:tc>
          <w:tcPr>
            <w:tcW w:w="32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134,403</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rPr>
              <w:t>70%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2,137</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2%</w:t>
            </w:r>
          </w:p>
        </w:tc>
      </w:tr>
      <w:tr>
        <w:trPr>
          <w:trHeight w:val="3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Pharma manufacturer solutions revenue</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24,330</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26,551</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(8%)</w:t>
            </w:r>
          </w:p>
        </w:tc>
      </w:tr>
      <w:tr>
        <w:trPr>
          <w:trHeight w:val="224"/>
        </w:trPr>
        <w:tc>
          <w:tcPr>
            <w:tcW w:w="3940" w:type="dxa"/>
            <w:vAlign w:val="bottom"/>
          </w:tcPr>
          <w:p>
            <w:pPr>
              <w:ind w:left="260"/>
              <w:spacing w:after="0"/>
              <w:rPr>
                <w:sz w:val="20"/>
                <w:szCs w:val="20"/>
                <w:color w:val="auto"/>
              </w:rPr>
            </w:pPr>
            <w:r>
              <w:rPr>
                <w:rFonts w:ascii="Arial" w:cs="Arial" w:eastAsia="Arial" w:hAnsi="Arial"/>
                <w:sz w:val="16"/>
                <w:szCs w:val="16"/>
                <w:color w:val="auto"/>
              </w:rPr>
              <w:t>Subscription revenue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23,878</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25,985</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(2,107)</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(8%)</w:t>
            </w:r>
          </w:p>
        </w:tc>
      </w:tr>
      <w:tr>
        <w:trPr>
          <w:trHeight w:val="3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revenue</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4,929</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4,859</w:t>
            </w:r>
          </w:p>
        </w:tc>
        <w:tc>
          <w:tcPr>
            <w:tcW w:w="12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r>
      <w:tr>
        <w:trPr>
          <w:trHeight w:val="233"/>
        </w:trPr>
        <w:tc>
          <w:tcPr>
            <w:tcW w:w="39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189,677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191,798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Costs and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06"/>
        </w:trPr>
        <w:tc>
          <w:tcPr>
            <w:tcW w:w="3940" w:type="dxa"/>
            <w:vAlign w:val="bottom"/>
          </w:tcPr>
          <w:p>
            <w:pPr>
              <w:ind w:left="260"/>
              <w:spacing w:after="0"/>
              <w:rPr>
                <w:sz w:val="20"/>
                <w:szCs w:val="20"/>
                <w:color w:val="auto"/>
              </w:rPr>
            </w:pPr>
            <w:r>
              <w:rPr>
                <w:rFonts w:ascii="Arial" w:cs="Arial" w:eastAsia="Arial" w:hAnsi="Arial"/>
                <w:sz w:val="16"/>
                <w:szCs w:val="16"/>
                <w:color w:val="auto"/>
              </w:rPr>
              <w:t>Cost of revenue, exclusive of depreciation and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3940" w:type="dxa"/>
            <w:vAlign w:val="bottom"/>
          </w:tcPr>
          <w:p>
            <w:pPr>
              <w:ind w:left="440"/>
              <w:spacing w:after="0"/>
              <w:rPr>
                <w:sz w:val="20"/>
                <w:szCs w:val="20"/>
                <w:color w:val="auto"/>
              </w:rPr>
            </w:pPr>
            <w:r>
              <w:rPr>
                <w:rFonts w:ascii="Arial" w:cs="Arial" w:eastAsia="Arial" w:hAnsi="Arial"/>
                <w:sz w:val="16"/>
                <w:szCs w:val="16"/>
                <w:color w:val="auto"/>
              </w:rPr>
              <w:t>amortization presented separately below</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16,339</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18,044</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(1,705)</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(9%)</w:t>
            </w:r>
          </w:p>
        </w:tc>
      </w:tr>
      <w:tr>
        <w:trPr>
          <w:trHeight w:val="3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Product development and technology</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31,285</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35,404</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(4,119)</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8"/>
              </w:rPr>
              <w:t>(12%)</w:t>
            </w:r>
          </w:p>
        </w:tc>
      </w:tr>
      <w:tr>
        <w:trPr>
          <w:trHeight w:val="233"/>
        </w:trPr>
        <w:tc>
          <w:tcPr>
            <w:tcW w:w="394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77,440</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41%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94,338</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(16,898)</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w w:val="98"/>
              </w:rPr>
              <w:t>(18%)</w:t>
            </w:r>
          </w:p>
        </w:tc>
      </w:tr>
      <w:tr>
        <w:trPr>
          <w:trHeight w:val="246"/>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30,208</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16%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34,740</w:t>
            </w:r>
          </w:p>
        </w:tc>
        <w:tc>
          <w:tcPr>
            <w:tcW w:w="12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(4,532)</w:t>
            </w:r>
          </w:p>
        </w:tc>
        <w:tc>
          <w:tcPr>
            <w:tcW w:w="1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8"/>
              </w:rPr>
              <w:t>(13%)</w:t>
            </w:r>
          </w:p>
        </w:tc>
      </w:tr>
      <w:tr>
        <w:trPr>
          <w:trHeight w:val="237"/>
        </w:trPr>
        <w:tc>
          <w:tcPr>
            <w:tcW w:w="394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16,097</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13,319</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2,778</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21%</w:t>
            </w:r>
          </w:p>
        </w:tc>
      </w:tr>
      <w:tr>
        <w:trPr>
          <w:trHeight w:val="25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costs and operating expenses</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171,369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195,845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6"/>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18,308</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(4,047)</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r>
      <w:tr>
        <w:trPr>
          <w:trHeight w:val="22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33"/>
        </w:trPr>
        <w:tc>
          <w:tcPr>
            <w:tcW w:w="394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7,814</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857</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6,957</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812%</w:t>
            </w:r>
          </w:p>
        </w:tc>
      </w:tr>
      <w:tr>
        <w:trPr>
          <w:trHeight w:val="260"/>
        </w:trPr>
        <w:tc>
          <w:tcPr>
            <w:tcW w:w="3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(14,054)</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(6,969)</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(7,085)</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102%</w:t>
            </w:r>
          </w:p>
        </w:tc>
      </w:tr>
      <w:tr>
        <w:trPr>
          <w:trHeight w:val="237"/>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(6,240)</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(6,112)</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46,718</w:t>
            </w:r>
          </w:p>
        </w:tc>
        <w:tc>
          <w:tcPr>
            <w:tcW w:w="12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9"/>
              </w:rPr>
              <w:t>25%</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8,744</w:t>
            </w:r>
          </w:p>
        </w:tc>
        <w:tc>
          <w:tcPr>
            <w:tcW w:w="12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4"/>
              </w:rPr>
              <w:t>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37,974</w:t>
            </w:r>
          </w:p>
        </w:tc>
        <w:tc>
          <w:tcPr>
            <w:tcW w:w="12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rPr>
              <w:t>434%</w:t>
            </w:r>
          </w:p>
        </w:tc>
      </w:tr>
      <w:tr>
        <w:trPr>
          <w:trHeight w:val="26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58,786</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Prescription transactions revenue increased $2.1 million, or 2%, year-over-year, primarily driven by a 5% increase in the number of our Monthly Active Consumers partially offset by an ongoing shift in the volume of prescription transactions to certain retailers with lower pricing relative to prescription transactions processed through the grocer as a result of the grocer issue as described above. In addition, we expect a modest decrease in prescription transactions revenue per prescription transaction in the near term as we focus on increasing the volume of prescription transactions processed through pharmacies that we directly contract with, which currently do and may in the future provide lower pricing relative to prescription transactions processed through our PBMs.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Pharma manufacturer solutions revenue decreased $2.2 million, or 8%, year-over-year, primarily driven by our increased focus on prioritizing service arrangements with high levels of recurring revenue potential relative to the prior year and moderation in spending across pharma manufacturers, partially offset by an increase of $1.3 million in revenue contribution from vitaCare, an acquisition we completed in April 2022. Despite a moderation in spend across pharma manufacturers in the near term, we expect pharma manufacturer solutions revenue to grow sequentially in absolute dollars through the second half of 2023 as we believe macro trends support pharma manufacturers' shift to more digital solutions and as we continue to scale and expand available services, capabilities and platforms of our pharma manufacturer solutions offering.</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Subscription revenue decreased $2.1 million, or 8%, year-over-year, primarily driven by a 14% decrease in the number of subscription plans to 969 thousand as of June 30, 2023 compared to 1,133 thousand as of June 30, 2022, largely as a result of the sunset of Kroger Savings. The year-over-year decrease in subscription revenue was partially offset by the effects of the pricing increase for Gold subscribers in the first half of 2022. We do not believe the grocer issue materially impacted subscription revenue through the second quarter of 2023.</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Other revenue stayed relatively flat year-over-year. Other than revenue from vitaCare relative to pharma manufacturer solutions revenue, our acquisitions individually and in the aggregate did not materially contribute to the change in our revenue for the three months ended June 30, 2023 compared to the same period of 2022. We do not believe the expected sunset of Kroger Savings in July 2024 will have a material impact on our future revenue and financial results.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 exclusive of depreciation and amortization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Cost of revenue decreased $1.7 million, or 9%, year-over-year, primarily driven by a $1.9 million decrease in fulfillment costs for certain solutions provided to customers under our pharma manufacturer solutions offering.</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 development and technology</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Product development and technology expenses decreased $4.1 million, or 12%, year-over-year, primarily driven by a $3.9 million decrease in payroll and related costs due to lower average headcount and higher capitalization of certain qualified costs related to the development of internal-use software in the three months ended June 30, 2023 relative to the same period of 2022 due to greater investment in our products that better align with our strategic goals and future scale.</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and marketing</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Sales and marketing expenses decreased $16.9 million, or 18%, year-over-year, primarily driven by a $11.4 million decrease in payroll and related costs due to lower average headcount and reversal of previously recognized stock-based compensation expense as certain performance milestones were no longer probable of being met, and a $9.7 million decrease in advertising expenses, partially offset by a $2.6 million increase in third-party marketing and referral services, and a $1.2 million increase in promotional expenses, substantially in the form of consumer discounts, as we proactively managed our spend to better align with our strategic goals and future scale.</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General and administrative expenses decreased $4.5 million, or 13%, year-over-year, primarily driven by a $6.2 million decrease in stock-based compensation expense related to awards granted to our co-founders (the "Founders Awards") in connection with our initial public offering ("IPO") in 2020 and a $2.8 million estimated legal settlement accrual recognized in the second quarter of 2022 with respect to the then-pending FTC investigation. The year-over-year change in general and administrative expenses was partially offset by a $5.4 million increase in payroll and related expenses, principally driven by a $1.7 million stock-based compensation expense related to a stock option award granted to our Interim Chief Executive Officer in the second quarter of 2023.</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Depreciation and amortization expenses increased $2.8 million, or 21%, year-over-year, primarily driven by a $3.5 million increase in capitalized software amortization due to higher capitalized costs for platform improvements and the introduction of new products and features.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Interest income increased by $7.0 million year-over-year primarily due to higher interest rates earned on cash equivalents held in U.S. treasury securities money market funds.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by $7.1 million, or 102%, year-over-year, primarily due to higher interest rates, partially offset by lower average debt balances.</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the three months ended June 30, 2023, we had an income tax benefit of $46.7 million compared to $8.7 million for the three months ended June 30, 2022 and an effective income tax rate of (387.1%) and 86.1%, respectively. The year-over-year increase in our income tax benefit was primarily due to the discrete release of $55.9 million of our valuation allowance on beginning of year deferred tax assets in the three months ended June 30, 2023, partially offset by changes in our estimated annual effective income tax rate year-over-year driven by the current year tax effects from our valuation allowance. For information regarding our valuation allowance analysis, see Part I, Item 2, "Management’s Discussion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Analysis of Financial Condition and Results of Operations—Critical Accounting Policies and Estimates—Income Taxes—Valuation of Deferred Tax Assets" included elsewhere in this Quarterly Report on Form 10-Q.</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June 30, 2023 Compared to Six Months Ended June 30, 2022</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results of operations for the six months ended June 30, 2023 and 2022:</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8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6"/>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 of Total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Change ($)</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 (%)</w:t>
            </w:r>
          </w:p>
        </w:tc>
      </w:tr>
      <w:tr>
        <w:trPr>
          <w:trHeight w:val="22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33"/>
        </w:trPr>
        <w:tc>
          <w:tcPr>
            <w:tcW w:w="3940" w:type="dxa"/>
            <w:vAlign w:val="bottom"/>
          </w:tcPr>
          <w:p>
            <w:pPr>
              <w:ind w:left="260"/>
              <w:spacing w:after="0"/>
              <w:rPr>
                <w:sz w:val="20"/>
                <w:szCs w:val="20"/>
                <w:color w:val="auto"/>
              </w:rPr>
            </w:pPr>
            <w:r>
              <w:rPr>
                <w:rFonts w:ascii="Arial" w:cs="Arial" w:eastAsia="Arial" w:hAnsi="Arial"/>
                <w:sz w:val="16"/>
                <w:szCs w:val="16"/>
                <w:color w:val="auto"/>
              </w:rPr>
              <w:t>Prescription transactions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271,447</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73%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289,910</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73%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(18,463)</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(6%)</w:t>
            </w:r>
          </w:p>
        </w:tc>
      </w:tr>
      <w:tr>
        <w:trPr>
          <w:trHeight w:val="246"/>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Pharma manufacturer solutions revenue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44,765</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12%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50,020</w:t>
            </w:r>
          </w:p>
        </w:tc>
        <w:tc>
          <w:tcPr>
            <w:tcW w:w="12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(5,255)</w:t>
            </w:r>
          </w:p>
        </w:tc>
        <w:tc>
          <w:tcPr>
            <w:tcW w:w="1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8"/>
              </w:rPr>
              <w:t>(11%)</w:t>
            </w:r>
          </w:p>
        </w:tc>
      </w:tr>
      <w:tr>
        <w:trPr>
          <w:trHeight w:val="233"/>
        </w:trPr>
        <w:tc>
          <w:tcPr>
            <w:tcW w:w="3940" w:type="dxa"/>
            <w:vAlign w:val="bottom"/>
          </w:tcPr>
          <w:p>
            <w:pPr>
              <w:ind w:left="260"/>
              <w:spacing w:after="0"/>
              <w:rPr>
                <w:sz w:val="20"/>
                <w:szCs w:val="20"/>
                <w:color w:val="auto"/>
              </w:rPr>
            </w:pPr>
            <w:r>
              <w:rPr>
                <w:rFonts w:ascii="Arial" w:cs="Arial" w:eastAsia="Arial" w:hAnsi="Arial"/>
                <w:sz w:val="16"/>
                <w:szCs w:val="16"/>
                <w:color w:val="auto"/>
              </w:rPr>
              <w:t>Subscription revenue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48,021</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45,095</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2,926</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w w:val="94"/>
              </w:rPr>
              <w:t>6%</w:t>
            </w:r>
          </w:p>
        </w:tc>
      </w:tr>
      <w:tr>
        <w:trPr>
          <w:trHeight w:val="250"/>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revenue</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9,430</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10,102</w:t>
            </w:r>
          </w:p>
        </w:tc>
        <w:tc>
          <w:tcPr>
            <w:tcW w:w="12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rPr>
              <w:t>(7%)</w:t>
            </w:r>
          </w:p>
        </w:tc>
      </w:tr>
      <w:tr>
        <w:trPr>
          <w:trHeight w:val="220"/>
        </w:trPr>
        <w:tc>
          <w:tcPr>
            <w:tcW w:w="39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373,663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395,127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operating expenses: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19"/>
        </w:trPr>
        <w:tc>
          <w:tcPr>
            <w:tcW w:w="3940" w:type="dxa"/>
            <w:vAlign w:val="bottom"/>
          </w:tcPr>
          <w:p>
            <w:pPr>
              <w:ind w:left="260"/>
              <w:spacing w:after="0"/>
              <w:rPr>
                <w:sz w:val="20"/>
                <w:szCs w:val="20"/>
                <w:color w:val="auto"/>
              </w:rPr>
            </w:pPr>
            <w:r>
              <w:rPr>
                <w:rFonts w:ascii="Arial" w:cs="Arial" w:eastAsia="Arial" w:hAnsi="Arial"/>
                <w:sz w:val="16"/>
                <w:szCs w:val="16"/>
                <w:color w:val="auto"/>
              </w:rPr>
              <w:t>Cost of revenue, exclusive of depreciation and</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6"/>
                <w:szCs w:val="16"/>
                <w:color w:val="auto"/>
              </w:rPr>
              <w:t>amortization presented separately below</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33,034</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30,324</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2,710</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w w:val="94"/>
              </w:rPr>
              <w:t>9%</w:t>
            </w:r>
          </w:p>
        </w:tc>
      </w:tr>
      <w:tr>
        <w:trPr>
          <w:trHeight w:val="253"/>
        </w:trPr>
        <w:tc>
          <w:tcPr>
            <w:tcW w:w="3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Product development and technology</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64,193</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70,446</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(6,253)</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(9%)</w:t>
            </w:r>
          </w:p>
        </w:tc>
      </w:tr>
      <w:tr>
        <w:trPr>
          <w:trHeight w:val="224"/>
        </w:trPr>
        <w:tc>
          <w:tcPr>
            <w:tcW w:w="394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155,962</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187,288</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(31,326)</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w w:val="98"/>
              </w:rPr>
              <w:t>(17%)</w:t>
            </w:r>
          </w:p>
        </w:tc>
      </w:tr>
      <w:tr>
        <w:trPr>
          <w:trHeight w:val="33"/>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59,827</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66,663</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(6,836)</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8"/>
              </w:rPr>
              <w:t>(10%)</w:t>
            </w:r>
          </w:p>
        </w:tc>
      </w:tr>
      <w:tr>
        <w:trPr>
          <w:trHeight w:val="250"/>
        </w:trPr>
        <w:tc>
          <w:tcPr>
            <w:tcW w:w="39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31,036</w:t>
            </w:r>
          </w:p>
        </w:tc>
        <w:tc>
          <w:tcPr>
            <w:tcW w:w="12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24,692</w:t>
            </w:r>
          </w:p>
        </w:tc>
        <w:tc>
          <w:tcPr>
            <w:tcW w:w="122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6,344</w:t>
            </w:r>
          </w:p>
        </w:tc>
        <w:tc>
          <w:tcPr>
            <w:tcW w:w="122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9"/>
              </w:rPr>
              <w:t>26%</w:t>
            </w:r>
          </w:p>
        </w:tc>
      </w:tr>
      <w:tr>
        <w:trPr>
          <w:trHeight w:val="23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costs and operating expenses</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344,052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379,413</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29,611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15,714</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4"/>
        </w:trPr>
        <w:tc>
          <w:tcPr>
            <w:tcW w:w="3940" w:type="dxa"/>
            <w:vAlign w:val="bottom"/>
          </w:tcPr>
          <w:p>
            <w:pPr>
              <w:ind w:left="260"/>
              <w:spacing w:after="0"/>
              <w:rPr>
                <w:sz w:val="20"/>
                <w:szCs w:val="20"/>
                <w:color w:val="auto"/>
              </w:rPr>
            </w:pPr>
            <w:r>
              <w:rPr>
                <w:rFonts w:ascii="Arial" w:cs="Arial" w:eastAsia="Arial" w:hAnsi="Arial"/>
                <w:sz w:val="16"/>
                <w:szCs w:val="16"/>
                <w:color w:val="auto"/>
              </w:rPr>
              <w:t>Other expense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(1,808)</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(1,808)</w:t>
            </w:r>
          </w:p>
        </w:tc>
        <w:tc>
          <w:tcPr>
            <w:tcW w:w="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7"/>
              </w:rPr>
              <w:t>n/m</w:t>
            </w:r>
          </w:p>
        </w:tc>
      </w:tr>
      <w:tr>
        <w:trPr>
          <w:trHeight w:val="33"/>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15,048</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14,139</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1,555%</w:t>
            </w:r>
          </w:p>
        </w:tc>
      </w:tr>
      <w:tr>
        <w:trPr>
          <w:trHeight w:val="237"/>
        </w:trPr>
        <w:tc>
          <w:tcPr>
            <w:tcW w:w="394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(27,187)</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(12,838)</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(14,349)</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w w:val="97"/>
              </w:rPr>
              <w:t>112%</w:t>
            </w:r>
          </w:p>
        </w:tc>
      </w:tr>
      <w:tr>
        <w:trPr>
          <w:trHeight w:val="25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(13,947)</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39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15,664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3,785</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39,832</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11%</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7,093</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32,739</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462%</w:t>
            </w:r>
          </w:p>
        </w:tc>
      </w:tr>
      <w:tr>
        <w:trPr>
          <w:trHeight w:val="243"/>
        </w:trPr>
        <w:tc>
          <w:tcPr>
            <w:tcW w:w="39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55,496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10,878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Prescription transactions revenue decreased $18.5 million, or 6%, year-over-year, while Monthly Active Consumers remained relatively flat, primarily driven by the effects of the grocer issue described above and an ongoing shift in the volume of prescription transactions to certain retailers with lower pricing relative to prescription transactions processed through the grocer.</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Pharma manufacturer solutions revenue decreased $5.3 million, or 11%, year-over-year, driven by the same factors described above in our discussion of the three months ended June 30, 2023 compared to the three months ended June 30, 2022. vitaCare, an acquisition completed in April 2022, provided an increase of $3.7 million in revenue contribution for the six months ended June 30, 2023 compared to the same period of 2022.</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Subscription revenue increased $2.9 million, or 6%, year-over-year, primarily driven by the effects of the pricing increase for Gold subscribers in the first half of 2022, partially offset by a 14% decrease in the number of subscription plans to 969 thousand as of June 30, 2023 compared to 1,133 thousand as of June 30, 2022, largely as a result of the sunset of Kroger Savings.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Other revenue stayed relatively flat year-over-year. Other than revenue from vitaCare relative to pharma manufacturer solutions revenue, our acquisitions individually and in the aggregate did not materially contribute to the change in our revenue for the six months ended June 30, 2023 compared to the same period of 2022. For expected revenue trends, see our discussion and analysis above for the three months ended June 30, 2023 compared to the same period of 2022.</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 exclusive of depreciation and amortization</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Cost of revenue increased $2.7 million, or 9%, year-over-year, primarily driven by a $3.5 million increase in allocated overhead as well as outsourced and in-house personnel and other costs related to consumer support, principally as a result of vitaCare, partially offset by a $2.0 million decrease in fulfillment costs for certain solutions provided to customers under our pharma manufacturer solutions offering.</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 development and technology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Product development and technology expenses decreased $6.3 million, or 9%, year-over-year, primarily driven by a $6.1 million decrease in payroll and related costs due to higher capitalization of certain qualified costs related to the development of internal-use software and lower average headcount in the six months ended June 30, 2023 relative to the same period of 2022 due to greater investment in our products that better align with our strategic goals and future scale.</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and marketing</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Sales and marketing expenses decreased $31.3 million, or 17%, year-over-year, primarily driven by a $37.1 million decrease in advertising expenses and a $12.4 million decrease in payroll and related costs principally due to a reversal of previously recognized stock-based compensation expense as certain performance milestones were no longer probable of being met and lower average headcount, partially offset by a $9.2 million increase in promotional expenses, substantially in the form of consumer discounts, as we proactively managed our spend to better align with our strategic goals and future scale. The net impact from these items was further offset by a $8.2 million increase in third-party marketing and referral services.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General and administrative expenses decreased $6.8 million, or 10%, year-over-year, primarily driven by a $13.2 million decrease in stock-based compensation expense related to the Founders Awards and a $2.8 million estimated legal settlement accrual recognized in the second quarter of 2022 with respect to the then-pending FTC investigation, partially offset by a $11.3 million increase in payroll and related expenses, principally due to changes in our employee composition and increased equity grants to existing and new employees in the six months ended June 30, 2023 relative to the same period of 2022.</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Depreciation and amortization expenses increased $6.3 million, or 26%, year-over-year, primarily driven by a $6.7 million increase in capitalized software amortization due to higher capitalized costs for platform improvements and the introduction of new products and features.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Other expense increased by $1.8 million year-over-year, due to an impairment loss on one of our minority equity interest investments.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Interest income increased by $14.1 million year-over-year, primarily due to higher interest rates earned on cash equivalents held in U.S. treasury securities money market funds.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by $14.3 million, or 112%, year-over-year, primarily due to higher interest rates, partially offset by lower average debt balances.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 the six months ended June 30, 2023, we had an income tax benefit of $39.8 million compared to $7.1 million for the six months ended June 30, 2022 and an effective income tax rate of (254.3%) and (187.4%), respectively. The year-over-year increase in our income tax benefit was primarily due to the discrete release of $55.9 million of our valuation allowance on beginning of year deferred tax assets in the three months ended June 30, 2023. The year-over-year increase in the income tax benefit was partially offset by a decrease in our excess stock benefits from our equity awards and changes in our estimated annual effective income tax rate year-over-year driven by the current year tax effects from our valuation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allowance. For information regarding our valuation allowance analysis, see Part I, Item 2, "Management’s Discussion and Analysis of Financial Condition and Results of Operations—Critical Accounting Policies and Estimates—Income Taxes—Valuation of Deferred Tax Assets" included elsewhere in this Quarterly Report on Form 10-Q.</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Since our inception, we have financed our operations primarily through net cash provided by operating activities, equity issuances, and borrowings under our long-term debt arrangements. Our principal sources of liquidity are expected to be our cash and cash equivalents and borrowings available under our $100.0 million secured revolving credit facility which expires on October 11, 2024. As of June 30, 2023, we had cash and cash equivalents of $762.0 million and $90.8 million available under our revolving credit facility. For additional information regarding our revolving credit facility and our term loan, refer to Note 6 to our condensed consolidated financial statements appearing elsewhere in this Quarterly Report on Form 10-Q.</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As of June 30, 2023, there were no material changes to our primary short-term and long-term requirements for liquidity and capital or to our contractual commitments as disclosed in Part II, Item 7, "Management's Discussion and Analysis of Financial Condition and Results of Operations" of our 2022 10-K. Based on current conditions, we believe that our net cash provided by operating activities and cash on hand will be adequate to meet our operating, investing and financing needs for at least the next twelve months. Our future capital requirements will depend on many factors, including our revenue growth, the timing and extent of investments, sales and marketing activities, and many other factors as described in sections entitled “Risk Factors” of our 2022 10-K and this Quarterly Report on Form 10-Q.</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current economic uncertainty, including rising inflation and socio-political events, has resulted in, and may continue to result in, significant disruption of global financial markets, including rising interest rates, reducing our ability to access capital. If we are unable to raise additional funds when or on the terms desired, our business, financial condition and results of operations could be adversely affected.</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Holding Company Status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GoodRx Holdings, Inc. is a holding company that does not conduct any business operations of its own. As a result, GoodRx Holdings, Inc. is largely dependent upon cash distributions and other transfers from its subsidiaries to meet its obligations and to make future dividend payments, if any. Our existing debt arrangement contains covenants restricting payments of dividends by our subsidiaries, including GoodRx, Inc., unless certain conditions are met. These covenants provide for certain exceptions for specific types of payments. Based on these restrictions, all of the net assets of GoodRx, Inc. were restricted pursuant to the terms of our debt arrangements as of June 30, 2023. Since the restricted net assets of GoodRx, Inc. and its subsidiaries exceed 25% of our consolidated net assets, in accordance with Regulation S-X, see Note 17 to our consolidated financial statements included in our 2022 10-K for the condensed parent company financial information of GoodRx Holdings, Inc.</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Pr>
          <w:p>
            <w:pPr>
              <w:spacing w:after="0"/>
              <w:rPr>
                <w:sz w:val="15"/>
                <w:szCs w:val="15"/>
                <w:color w:val="auto"/>
              </w:rPr>
            </w:pPr>
          </w:p>
        </w:tc>
      </w:tr>
      <w:tr>
        <w:trPr>
          <w:trHeight w:val="209"/>
        </w:trPr>
        <w:tc>
          <w:tcPr>
            <w:tcW w:w="74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8"/>
                <w:szCs w:val="18"/>
                <w:color w:val="auto"/>
              </w:rPr>
            </w:pPr>
          </w:p>
        </w:tc>
      </w:tr>
      <w:tr>
        <w:trPr>
          <w:trHeight w:val="22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2022</w:t>
            </w:r>
          </w:p>
        </w:tc>
      </w:tr>
      <w:tr>
        <w:trPr>
          <w:trHeight w:val="24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62,154</w:t>
            </w: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81,169</w:t>
            </w: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(29,247)</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(198,009)</w:t>
            </w:r>
          </w:p>
        </w:tc>
      </w:tr>
      <w:tr>
        <w:trPr>
          <w:trHeight w:val="260"/>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(28,084)</w:t>
            </w:r>
          </w:p>
        </w:tc>
        <w:tc>
          <w:tcPr>
            <w:tcW w:w="12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(93,729)</w:t>
            </w:r>
          </w:p>
        </w:tc>
      </w:tr>
      <w:tr>
        <w:trPr>
          <w:trHeight w:val="243"/>
        </w:trPr>
        <w:tc>
          <w:tcPr>
            <w:tcW w:w="7480" w:type="dxa"/>
            <w:vAlign w:val="bottom"/>
          </w:tcPr>
          <w:p>
            <w:pPr>
              <w:ind w:left="180"/>
              <w:spacing w:after="0"/>
              <w:rPr>
                <w:sz w:val="20"/>
                <w:szCs w:val="20"/>
                <w:color w:val="auto"/>
              </w:rPr>
            </w:pPr>
            <w:r>
              <w:rPr>
                <w:rFonts w:ascii="Arial" w:cs="Arial" w:eastAsia="Arial" w:hAnsi="Arial"/>
                <w:sz w:val="16"/>
                <w:szCs w:val="16"/>
                <w:color w:val="auto"/>
              </w:rPr>
              <w:t>Net change in cash and cash equivalents</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4,823</w:t>
            </w:r>
          </w:p>
        </w:tc>
        <w:tc>
          <w:tcPr>
            <w:tcW w:w="7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(210,569)</w:t>
            </w:r>
          </w:p>
        </w:tc>
      </w:tr>
      <w:tr>
        <w:trPr>
          <w:trHeight w:val="20"/>
        </w:trPr>
        <w:tc>
          <w:tcPr>
            <w:tcW w:w="7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provided by operating activities consist of net income adjusted for certain non-cash items and changes in assets and liabilities. The $19.0 million decrease in net cash provided by operations during the six months ended June 30, 2023 compared to the six months ended June 30, 2022 was due to an increase in net income of $44.6 million and a net decrease of $8.6 million in cash outflow from changes in operating assets and liabilities, offset by a net decrease of $72.2 million in non-cash adjustments. The net decrease in non-cash adjustments was primarily driven by an increase in deferred income tax as a result of the discrete release of the valuation allowance in the three months ended June 30, 2023 and a year-over-year decrease in stock-based compensation expense due to the Founders Awards. The changes in operating assets and liabilities were primarily driven by the timing of income tax payments and refunds, as well as by the timing of payments of accounts payable and accrued expenses and collections of accounts receivable.</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Net cash used in investing activities primarily consist of cash used for acquisitions and investments, software development costs and capital expenditures. The $168.8 million decrease in net cash used in investing activities for the six months ended June 30, 2023 compared to the six months ended June 30, 2022 was primarily related to a $171.9 million decrease in cash paid for acquisition of businesses and minority equity interest investments in privately-held companies, partially offset by a $5.8 million increase in software development costs.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used in financing activities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Net cash used in financing activities primarily consist of payments related to our debt arrangements, repurchases of our Class A common stock, and net share settlement of equity awards, partially offset by proceeds from exercise of stock options and from our employee stock purchase plan. The $65.6 million decrease in net cash used in financing activities for the six months ended June 30, 2023 compared to the six months ended June 30, 2022 was related to a decrease of $65.3 million for repurchases of our Class A common stock and a $6.2 million decrease in payments related to net share settlement of equity awards, partially offset by a $6.6 million decrease in proceeds from exercises of stock options.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Refer to Note 2 to our condensed consolidated financial statements appearing elsewhere in this Quarterly Report on Form 10-Q for further information on a new accounting standard adopted in 2023.</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Except as noted below, during the three months ended June 30, 2023, there have been no significant changes to our critical accounting policies and estimates compared with those disclosed in Part II, Item 7, “Management’s Discussion and Analysis of Financial Condition and Results of Operations” of our 2022 10-K.</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Taxes—Valuation of Deferred Tax Assets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Deferred tax assets represent amounts available to reduce income taxes payable on taxable income in future years. Such assets arise because of temporary differences between the financial reporting and tax basis of assets and liabilities, as well as from net operating losses and tax credits. We evaluate the recoverability of deferred tax assets by assessing all available evidence, both positive and negative, to determine whether, based on the weight of that evidence, a valuation allowance for deferred tax assets is needed. A valuation allowance is established if it is more likely than not that all or a portion of deferred tax assets will not be realized. The determination of whether a valuation allowance should be established, as well as the amount of such allowance, requires significant judgment and estimates, including estimates of future earnings. Accordingly, the valuation of our net deferred tax assets is a critical accounting estimate.</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evaluating the realizability of our net deferred tax assets, we perform an assessment each reporting period of both positive and negative evidence. As of December 31, 2021 through March 31, 2023, we maintained a full valuation allowance against our net deferred tax assets in excess of amortizable goodwill as the objectively verifiable negative evidence outweighed the positive evidence. We determined it was more likely than not that our deferred tax assets would not be realized. Objectively verifiable negative evidence at the time primarily included (i) the existence of fiscal and trailing three-year cumulative tax losses (pre-tax earnings or losses adjusted for permanent book to tax differences) principally generated from 2021 and 2020; and (ii) the existence of substantial stock options granted prior to our IPO that remain outstanding. The tax losses in 2021 and 2020 were attributable to substantial excess tax benefits realized from the exercise of stock options granted prior to our IPO. Stock options granted prior to our IPO contained substantially lower exercise prices compared to the closing prices of our Class A common stock as reported on the Nasdaq Global Select Market in 2021 and 2020, which when exercised, resulted in significant excess tax benefits to us. In 2022 and through the first half of 2023, the excess tax benefits realized substantially decreased relative to 2021 and 2020 due to a decline in the closing prices of our Class A common stock. Accordingly, relative to 2021, the weight of the negative evidence related to substantial excess tax benefits to be realized in future tax periods declined in recent periods.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June 30, 2023, positive evidence reviewed included sustained tax profitability, which was objective and verifiable, and anticipated future earnings. The sustained trend of tax profitability realized began in 2022 and continued through the first half of 2023. As a result, we believed it was more likely than not that we would achieve our forecasted three-year cumulative tax income results at the end of 2023. Additional positive evidence reviewed included (i) stock options granted will expire 10 years from the date of grant if unexercised; and (ii) an indefinite carryforward period for certain deferred tax assets.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Although we have a significant number of outstanding stock options granted prior to our IPO available to be exercised in future tax periods, which may generate incremental excess tax benefits if they are exercised, the degree of excess tax benefits that will be realized in the future will depend on many factors outside of our control, including the closing prices of our Class A common stock in the future and stock option exercises being initiated by employees. Further, we have granted additional equity awards to our employees since our IPO at various closing prices of our Class A common stock which when vested or exercised, could offset, partially offset or supplement the incremental excess tax benefits to be realized from the exercise of stock options granted prior to our IPO in future tax periods.</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apply judgment to consider the relative impact of negative and positive evidence and the weight given to negative and positive evidence is commensurate with the extent to which such evidence can be objectively verified. Based on our evaluation of all available positive and negative evidence, and by placing greater weight on the sustained tax profitability achieved since 2022, which was objectively verifiable, and forecasted earnings at the end of 2023, we determined, as of June 30, 2023, that it was more likely than not that our net deferred tax assets would be realized. When a change in valuation allowance is recognized during an interim period, the change in valuation allowance resulting from current year income is included in the annual effective tax rate and the release of valuation allowance supported by projections of future taxable income is recorded as a discrete tax benefit in the interim period. Accordingly, we released $55.9 million of our valuation allowance as a discrete tax benefit during the three months ended June 30, 2023. Our judgment regarding the need for a valuation allowance may reasonably change in future reporting periods due to many factors, including changes in the level of tax profitability that we achieve, changes in tax laws or regulations, and price fluctuations of our Class A common stock and its related future tax effects from our outstanding equity awards.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have been no material changes in our market risk from the disclosure included in Part II, Item 7A, “Quantitative and Qualitative Disclosures About Market Risk” of our 2022 10-K.</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June 30, 2023, our disclosure controls and procedures were effective.</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and 15d-15(f) under the Exchange Act) during the three months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information required under this Part II, Item 1 is set forth in Note 7 to our condensed consolidated financial statements included in this Quarterly Report on Form 10-Q and is incorporated herein by this reference.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For a discussion of potential risks and uncertainties related to us, see the information included in Part I, Item 1A, "Risk Factors" of our 2022 10-K. There have been no material changes to the risk factors previously disclosed in our 2022 10-K, except as noted below:</w:t>
      </w:r>
    </w:p>
    <w:p>
      <w:pPr>
        <w:spacing w:after="0" w:line="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rely significantly on our prescription transactions offering and may not be successful in expanding our offerings within our markets, particularly the U.S. prescriptions market, or to other segments of the healthcare industry.</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 date, the vast majority of our revenue has been derived from our prescription transactions offering. When a consumer uses a GoodRx code to fill a prescription and saves money compared to the list price at that pharmacy, we receive fees from our partners, including PBMs, pharma manufacturers and pharmacies, as applicable. Revenue from our prescription transactions offering represented 72%, 80% and 89% of our revenue for the years ended December 31, 2022, 2021 and 2020, respectively. Substantially all of this revenue was generated from consumer transactions at brick-and-mortar pharmacies. The introduction of competing offerings with lower prices for consumers, fluctuations in prescription prices, changes in consumer purchasing habits, including an increase in the use of mail delivery prescriptions, changes in our relationships with industry participants and our various partners, changes in the regulatory landscape, and other factors could result in changes to our contracts or a decline in our total revenue, which may have an adverse effect on our business, financial condition and results of operations. Because we derive a vast majority of our revenue from our prescription transactions offering, any material decline in the use of such offering or in the fees we receive from our partners in connection with such offering would have a pronounced impact on our future revenue and results of operations, particularly if we are unable to expand our offerings overall.</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seek to expand our offerings within the prescriptions market and the pharma manufacturer solutions market in the United States, and we are actively investing in these growth areas. We also continue to focus on the optimization of our existing partnerships and have entered into and may in the future enter into new agreements with industry participants. However, expanding our offerings, entering into new markets and entering into new partnerships requires substantial additional resources, and our ability to succeed is not certain. During and following periods of active investment in such offerings, markets, relationships and partnerships, we may experience a decrease in profitability or margins, particularly if the area of investment generates lower margins than our other offerings. As we attempt to expand our offerings and optimize our partnerships, we will need to take additional steps, such as hiring additional personnel, partnering with new third parties and incurring considerable research and development expenses, in order to pursue such expansion and optimization successfully. Any such expansion and/or optimization would be subject to additional uncertainties and would likely be subject to additional laws and regulations. As a result, we may not be successful in future efforts to expand into or achieve profitability from new markets, new business models or strategies, new partnerships or new offering types, and our ability to generate revenue from our current offerings and continue our existing business may be negatively affected. If any such expansion does not enhance our ability to maintain or grow revenue or recover any associated development costs, our business, financial condition and results of operations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changes in medication pricing and is significantly impacted by pricing structures negotiated by industry participants.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platform aggregates and analyzes pricing data from a number of different sources. The discounted prices that we present through our platform are based in large part upon pricing structures negotiated by industry participants. Although some of our contracts with certain of our partners contain provisions related to discount rates, we do not control the overall pricing strategies of pharma manufacturers, wholesalers, PBMs and pharmacies, each of which is motivated by independent considerations and drivers that are outside our control and has the ability to set or significantly impact market prices for different prescription medications. While we have contractual and non-contractual relationships with certain industry participants, such as pharmacies, PBMs and pharma manufacturers, these and other industry participants often negotiate complex and multi-party pricing structures, and we have no control over these participants and the policies and strategies that they implement in negotiating these multi-party pricing structures. For example, a grocery chain took actions late in the first quarter of 2022 that impacted acceptance of discounted pricing for a subset of prescription drugs from PBMs, who are one category of our customers, and whose pricing we promote on our platform. This had a material adverse impact on our results of operations for the year ended December 31, 2022 and may continue to have a material adverse impact in future periods.</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Pharma manufacturers generally direct medication pricing by setting medication list prices and offering rebates and discounts for their medications. List prices are impacted by, among other things, market considerations such as the number of competitor medications and availability of alternative treatment options. Wholesalers can impact medication pricing by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purchasing medications in bulk from pharma manufacturers and then reselling such medications to pharmacies. PBMs generally impact medication pricing through their bargaining power, negotiated rebates with pharma manufacturers and contracts with different pharmacy providers and health insurance companies. PBMs work with pharmacies to determine the negotiated rate that will be paid at the pharmacy by consumers. We also work with pharmacies with which we have contractual arrangements to offer discount rates to consumers. Medication pricing is also impacted by health insurance companies and the extent to which a health insurance plan provides for, among other things, covered medications, preferred tiers for different medications and high or low deductibles. A vast majority of the utilization of our platform relates to generic medications.</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ability to present discounted prices through our platform, the value of any such discounts and our ability to generate revenue are directly affected by the pricing structures in place amongst these industry participants, and changes in medication pricing and in the general pricing structures that are in place could have an adverse effect on our business, financial condition and results of operations. For example, changes in the negotiated rates of the PBMs on our platform at pharmacies could negatively impact the prices that we present through our platform, and changes in insurance plan coverage for specific medications could reduce demand for and/or our ability to offer competitive discounts for certain medications, any of which could have an adverse effect on our ability to generate revenue and business. In addition, changes in the fee and pricing structures among industry participants, whether due to regulatory requirements, competitive pressures or otherwise, that reduce or adversely impact fees generated by PBMs or directly by us through partner pharmacies would have an adverse effect on our ability to generate revenue and business. Due in part to existing pricing structures, we generate a smaller portion of our revenue through contracts with pharma manufacturers and other intermediaries. Changes in the roles of industry participants and in general pricing structures, as well as price competition among industry participants, could have an adverse impact on our business. For example, integration of PBMs and pharmacy providers could result in pricing structures whereby such entities would have greater pricing power and flexibility or industry players could implement direct to consumer initiatives that could significantly alter existing pricing structures, either of which would have an adverse impact on our ability to present competitive and low prices to consumers and, as a result, the value of our platform for consumers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generally do not control the categories and types of prescriptions for which we can offer savings or discounted prices.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categories and brands of medications for which we can present discounted prices are largely determined by PBMs, pharmacies and pharma manufacturers. PBMs work with insurance companies, employers and other organizations and enter into contracts with pharmacies to determine negotiated rates. They also negotiate rebates with pharma manufacturers. The terms that different PBMs negotiate with each pharmacy are generally different and result in different negotiated rates available via each PBM’s network, all of which is outside our control. Different PBMs prioritize and allocate discounts across different medications, and continuously update these allocations in accordance with their internal strategies and expectations. As we have agreements with PBMs to market their negotiated rates through our platform, our ability to present discounted prices is in part dependent upon the arrangements that such PBMs have negotiated with pharmacies and upon the resulting availability and allocation of discounts for medications subject to these arrangements. We also have agreements with partner pharmacies to offer discount rates to consumers and such discount rates are subject to negotiated terms and conditions. In general, industry participants are less likely to allocate or provide discounts or rebates on brand medications that are covered by patents. As a result, the discounted prices that we are able to present for brand medications may not be as competitive as for generic medications. Similar to the total prescription volume in the United States, the vast majority of the utilization of our platform relates to generic medications.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Changes in the categories and types of medications for which we can present pricing through our platform could have an adverse effect on our business, financial condition and results of operations. In addition, demand for our offerings and the use and utility of our platform is impacted by the value of the discounts that we are able to present and the extent to which there is inconsistency in the price of a particular prescription across the market. If pharmacies, PBMs or others do not allocate or otherwise facilitate adequate discounts for these medications, or if there is significant price similarity or competition across PBMs and pharmacies, the perceived value of our platform and the demand for our offerings would decrease and there would be a significant impact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a limited number of industry participants.</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and relationships with our PBMs and partner pharmacies, including any successor PBMs or pharmacies should there be further consolidation of PBMs or pharmacies, we may lose them as customers and partners, as applicable, or the negotiated rates provided by such PBMs or directly through such partner pharmacies may become less competitive, which could have an adverse impact on the discounted prices we present through our platform.</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 limited number of PBMs generate a significant percentage of the discounted prices that we present through our platform and, as a result, we generate a significant portion of our revenue from contracts with a limited number of PBMs. We work with more than a dozen PBMs that maintain cash networks and prices, and the number of PBMs we work with has significantly increased over time, limiting the extent to which any one PBM contributes to our overall revenue; however, we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may not expand beyond our existing PBM partners and the number of our PBM partners may even decline. Revenue from each PBM fluctuates from period to period as the discounts and prices available through our platform change, and different PBMs experience increases and decreases in the volume of transactions processed through their respective networks. Our three largest PBM partners accounted for 31% of our revenue in 2022, 34% of our revenue in 2021, and 42% of our revenue in 2020. In 2022, Express Scripts accounted for more than 10% of revenue. In 2021, Express Scripts and Navitus each accounted for more than 10% of revenue. In 2020, Navitus, MedImpact and Express Scripts each accounted for more than 10% of revenue. The loss of any of these large PBMs may negatively impact the breadth of the pricing that we are able to offer consumers.</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Most of our PBM contracts provide for monthly payments from PBMs, including our contracts with MedImpact, Navitus, and Express Scripts. Our PBM contracts generally can be divided into two categories: PBM contracts featuring a percentage of fee arrangement, where fees are a percentage of the fees that PBMs charge to pharmacies, and PBM contracts featuring a fixed fee per transaction arrangement. Our percentage of fee contracts often also include a minimum fixed fee per transaction. The majority of our PBM contracts, including our contracts with MedImpact and Navitus, are percentage of fee contracts, and a minority of our contracts, including our PBM contract with Express Scripts, provide for fixed fee per transaction arrangements. Our PBM contracts generally, including our contracts with MedImpact, Navitus, and Express Scripts, have a tiered fee structure based on volume generated in the applicable payment period. Our PBM contracts, including our contracts with MedImpact, Navitus, and Express Scripts, do not contain minimum volume requirements, and thus do not provide for any assurance as to minimum payments to us. Our PBM contracts generally renew automatically, including our contracts with MedImpact and Navitus. In addition, our PBM contracts generally provide for continuing payments to us after such contracts are terminated, including our contracts with MedImpact, Navitus and Express Scripts. Some of our PBM contracts provide for these continuing payments for so long as negotiated rates related to the applicable PBM contract continue to be used after termination, and other contracts provide for these continuing payments for specified multi-year payment periods after termination. Our contracts with MedImpact, Navitus, and Express Scripts provide for periods of five years, three years, and five years, respectively, during which payments will be made as negotiated rates related to the applicable PBM contract continue to be used. Between contract renewals, our contracts generally provide for limited termination rights and do not provide for termination for convenience.</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our PBM contracts typically include provisions that prevent PBMs from circumventing our platform, redirecting volumes outside of our platform and other protective measures. For example, our PBM contracts, including our contracts with MedImpact, Navitus, and Express Scripts, contain provisions that limit PBM use of our intellectual property related to our brand and platform and require PBMs to maintain the confidentiality of our data. While we have consistently renewed and extended the term of our contracts with PBMs over time, there can be no assurance that PBMs will enter into future contracts or renew existing contracts with us, or that any future contracts they enter into will be on equally favorable terms. Changes that limit or otherwise negatively impact our ability to receive fees from these partners would have an adverse effect on our business, financial condition and results of operations. Consolidation of PBMs or the loss of a PBM could negatively impact the discounts and prices that we present through our platform and may result in less competitive discounts and prices on our platform.</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consumers use GoodRx codes at the point of purchase at nearby pharmacies. These codes can be used at over 70,000 pharmacies in the United States. The U.S. prescriptions market is dominated by a limited number of national and regional pharmacy chains, such as CVS, Kroger, Walmart and Walgreens. These pharmacy chains represent a significant portion of overall prescription medication transactions in the United States. Similarly, a significant portion of our discounted prices are used at a limited number of pharmacy chains and, as a result, a significant portion of our revenue is derived from transactions processed at a limited number of pharmacy chains. We have entered, and may in the future enter, into direct contractual arrangements with pharmacies, which we refer to as our partner pharmacies, to offer discount rates to consumers at such pharmacies.</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one or more of these pharmacy chains terminates its cash network contracts with PBMs that we work with, enters into cash network contracts with PBMs that we work with at less competitive rates, or to the extent a pharmacy chain has entered into a direct contractual arrangement with us, terminates such contractual arrangement, our business may be negatively affected. For example, a grocery chain took actions late in the first quarter of 2022 that impacted acceptance of discounted pricing for a subset of prescription drugs from PBMs, who are one category of our customers, and whose pricing we promote on our platform. This had a material adverse impact on our results of operations for the year ended December 31, 2022 and may continue to have a material adverse impact in future periods. Such actions could be exacerbated by further consolidation of PBMs or pharmacy chains. If such changes, individually or in the aggregate, are material, they would have an adverse effect on our business, results of operations and financial condition. If there is a decline in revenue generated from any of the PBMs we contract with, as a result of consolidation of PBMs or pharmacy chains, pricing competition among industry participants or otherwise, if we are unable to maintain or grow our relationships with PBMs and pharmacies or if we lose one or more of the PBMs or partner pharmacies we contract with and cannot replace such PBM or partner pharmacy in a timely manner or at all, there would be an adverse effect on our business, financial condition and results of operations.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do not generate a significant percentage of revenue from mail delivery service. To the extent consumer preferences change, including as a result of public health concerns, we may not be able to accommodate sufficient demand for mail delivery service which may have an adverse effect on our business, financial condition and results of operations.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rely on the performance of members of management and highly skilled personnel, and if we are unable to attract, develop, motivate and retain well-qualified employees, our business could be harmed.</w:t>
      </w:r>
    </w:p>
    <w:p>
      <w:pPr>
        <w:spacing w:after="0" w:line="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ability to maintain our competitive position is largely dependent on the services of our senior management and other key personnel. In addition, our future success depends on our continuing ability to attract, develop, motivate and retain highly qualified and skilled employees. Competition for such personnel is extremely intense. To attract and retain such personnel, we have had to offer, and believe we will need to continue to offer, highly competitive compensation packages. However, we have experienced and may continue to experience difficulties in hiring and retaining these personnel at compensation levels consistent with our existing compensation and salary structure. Some of the companies with which we compete for experienced employees have greater resources than we have and may be able to offer more attractive terms of employment. We have needed and may in the future need to invest significant amounts of cash and equity to attract and retain employees and we may not realize sufficient returns on these investments. In addition, the loss of any of our senior management or other key employees, the failure to successfully transition key roles, or our inability to recruit, develop and retain qualified personnel could materially and adversely affect our ability to execute our business plan and we may be unable to find adequate replacements. For instance, on April 25, 2023, Trevor Bezdek and Douglas Hirsch transitioned from their prior roles as our Co-Chief Executive Officers and our board of directors appointed Scott Wagner as Interim Chief Executive Officer. Our board of directors is currently engaged in a search process for a permanent Chief Executive Officer and any inability to successfully transition the Chief Executive Officer role and/or attract a permanent successor for such role could adversely impact our business.</w:t>
      </w:r>
    </w:p>
    <w:p>
      <w:pPr>
        <w:spacing w:after="0" w:line="29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and results of operations may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realize expected benefits from our restructuring and cost reduction efforts and our business might be adversely affected.</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order to operate more efficiently and control costs, from time to time, we announce restructuring plans and other cost savings initiatives, which include workforce reductions as well as re-balancing of products and services to align with our business strategy. These plans are intended to generate, among other things, operating expense savings and improved margins. For example, in August 2022, we implemented a reduction in force affecting employees of our wholly-owned subsidiary GoodRx, Inc.’s workforce in order to consolidate functions and eliminate or reduce investment in areas of lower focus. Additionally, in August 2023, our Board approved a multi-phase plan to de-prioritize certain solutions under our pharma manufacturer solutions offering, which included (i) a reduction in force involving employees of our wholly-owned subsidiaries GoodRx, Inc. and vitaCare; (ii) the entry into retention agreements with certain other employees for the purpose of maintaining business continuity; and (iii) the restructuring or termination of certain solutions and arrangements with our clients to better align with our strategic goals and future scale. We expect to generate approximately $18 million to $22 million of annualized run rate cash savings as a result of the actions taken under the multi-phase plan.</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may undertake further restructuring actions or workforce reductions in the future. These types of restructuring and cost reduction activities are complex and may result in unintended consequences and costs, such as unforeseen delays in the implementation of our strategic initiatives, business and operational disruptions, decreased employee morale, loss of institutional knowledge and expertise, and potential impacts on financial reporting. Any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do not successfully manage our current initiatives and restructuring activities or any other similar activities that we may undertake in the future, expected efficiencies and benefits might be delayed or not realized, and our business, financial condition, and results of operations may be materially adversely affected.</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Use of Proceeds, and Issuer Purchases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Unregistered Sales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Proceeds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September 25, 2020, we completed our IPO. All shares sold were registered pursuant to a registration statement on Form S-1 (File No. 333-248465), as amended (the “Registration Statement”), declared effective by the SEC on September 22, 2020.</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There have been no material changes in the expected use of the net proceeds from our IPO as described in our Registration Statement. As of June 30, 2023, we estimated we had used approximately $244.4 million of the net proceeds from our IPO: (i) $164.4 million for the acquisition of businesses that complement our business; and (ii) $80.0 million for the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repurchases of our Class A common stock. As of June 30, 2023, we had $642.5 million remaining net proceeds from our IPO which have been invested in investment grade, interest-bearing instruments.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Repurchases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with respect to our repurchases of our Class A common stock during the three months ended June 30,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jc w:val="center"/>
              <w:ind w:right="105"/>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jc w:val="center"/>
              <w:ind w:right="105"/>
              <w:spacing w:after="0"/>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jc w:val="center"/>
              <w:ind w:right="105"/>
              <w:spacing w:after="0"/>
              <w:rPr>
                <w:sz w:val="20"/>
                <w:szCs w:val="20"/>
                <w:color w:val="auto"/>
              </w:rPr>
            </w:pPr>
            <w:r>
              <w:rPr>
                <w:rFonts w:ascii="Arial" w:cs="Arial" w:eastAsia="Arial" w:hAnsi="Arial"/>
                <w:sz w:val="14"/>
                <w:szCs w:val="14"/>
                <w:b w:val="1"/>
                <w:bCs w:val="1"/>
                <w:color w:val="auto"/>
              </w:rPr>
              <w:t>May Yet Be Repurchased</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jc w:val="right"/>
              <w:ind w:right="444"/>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83"/>
              <w:spacing w:after="0"/>
              <w:rPr>
                <w:sz w:val="20"/>
                <w:szCs w:val="20"/>
                <w:color w:val="auto"/>
              </w:rPr>
            </w:pPr>
            <w:r>
              <w:rPr>
                <w:rFonts w:ascii="Arial" w:cs="Arial" w:eastAsia="Arial" w:hAnsi="Arial"/>
                <w:sz w:val="14"/>
                <w:szCs w:val="14"/>
                <w:b w:val="1"/>
                <w:bCs w:val="1"/>
                <w:color w:val="auto"/>
              </w:rPr>
              <w:t>Average Price Paid</w:t>
            </w:r>
          </w:p>
        </w:tc>
        <w:tc>
          <w:tcPr>
            <w:tcW w:w="10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Repurchased as Part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jc w:val="center"/>
              <w:ind w:right="125"/>
              <w:spacing w:after="0"/>
              <w:rPr>
                <w:sz w:val="20"/>
                <w:szCs w:val="20"/>
                <w:color w:val="auto"/>
              </w:rPr>
            </w:pPr>
            <w:r>
              <w:rPr>
                <w:rFonts w:ascii="Arial" w:cs="Arial" w:eastAsia="Arial" w:hAnsi="Arial"/>
                <w:sz w:val="14"/>
                <w:szCs w:val="14"/>
                <w:b w:val="1"/>
                <w:bCs w:val="1"/>
                <w:color w:val="auto"/>
              </w:rPr>
              <w:t>Under the Program</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Period</w:t>
            </w:r>
          </w:p>
        </w:tc>
        <w:tc>
          <w:tcPr>
            <w:tcW w:w="10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 xml:space="preserve">Shares Repurchased </w:t>
            </w:r>
            <w:r>
              <w:rPr>
                <w:rFonts w:ascii="Arial" w:cs="Arial" w:eastAsia="Arial" w:hAnsi="Arial"/>
                <w:sz w:val="18"/>
                <w:szCs w:val="18"/>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8"/>
                <w:szCs w:val="18"/>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Publicly Announced Program </w:t>
            </w:r>
            <w:r>
              <w:rPr>
                <w:rFonts w:ascii="Arial" w:cs="Arial" w:eastAsia="Arial" w:hAnsi="Arial"/>
                <w:sz w:val="18"/>
                <w:szCs w:val="18"/>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6"/>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1 - 30</w:t>
            </w: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420" w:type="dxa"/>
            <w:vAlign w:val="bottom"/>
          </w:tcPr>
          <w:p>
            <w:pPr>
              <w:ind w:left="20"/>
              <w:spacing w:after="0"/>
              <w:rPr>
                <w:sz w:val="20"/>
                <w:szCs w:val="20"/>
                <w:color w:val="auto"/>
              </w:rPr>
            </w:pPr>
            <w:r>
              <w:rPr>
                <w:rFonts w:ascii="Arial" w:cs="Arial" w:eastAsia="Arial" w:hAnsi="Arial"/>
                <w:sz w:val="16"/>
                <w:szCs w:val="16"/>
                <w:color w:val="auto"/>
              </w:rPr>
              <w:t>May 1 - 31</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974,181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
              <w:spacing w:after="0"/>
              <w:rPr>
                <w:sz w:val="20"/>
                <w:szCs w:val="20"/>
                <w:color w:val="auto"/>
              </w:rPr>
            </w:pPr>
            <w:r>
              <w:rPr>
                <w:rFonts w:ascii="Arial" w:cs="Arial" w:eastAsia="Arial" w:hAnsi="Arial"/>
                <w:sz w:val="16"/>
                <w:szCs w:val="16"/>
                <w:color w:val="auto"/>
              </w:rPr>
              <w:t>5.26</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974,181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5"/>
              <w:spacing w:after="0"/>
              <w:rPr>
                <w:sz w:val="20"/>
                <w:szCs w:val="20"/>
                <w:color w:val="auto"/>
              </w:rPr>
            </w:pPr>
            <w:r>
              <w:rPr>
                <w:rFonts w:ascii="Arial" w:cs="Arial" w:eastAsia="Arial" w:hAnsi="Arial"/>
                <w:sz w:val="16"/>
                <w:szCs w:val="16"/>
                <w:color w:val="auto"/>
              </w:rPr>
              <w:t>133,638</w:t>
            </w:r>
          </w:p>
        </w:tc>
        <w:tc>
          <w:tcPr>
            <w:tcW w:w="0" w:type="dxa"/>
            <w:vAlign w:val="bottom"/>
          </w:tcPr>
          <w:p>
            <w:pPr>
              <w:spacing w:after="0"/>
              <w:rPr>
                <w:sz w:val="1"/>
                <w:szCs w:val="1"/>
                <w:color w:val="auto"/>
              </w:rPr>
            </w:pPr>
          </w:p>
        </w:tc>
      </w:tr>
      <w:tr>
        <w:trPr>
          <w:trHeight w:val="260"/>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1 - 30</w:t>
            </w:r>
          </w:p>
        </w:tc>
        <w:tc>
          <w:tcPr>
            <w:tcW w:w="100" w:type="dxa"/>
            <w:vAlign w:val="bottom"/>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688,836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22"/>
                <w:szCs w:val="22"/>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688,836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129,842</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6"/>
                <w:szCs w:val="16"/>
                <w:color w:val="auto"/>
              </w:rPr>
              <w:t>Total</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1,663,017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1,663,017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6"/>
                <w:szCs w:val="16"/>
                <w:color w:val="auto"/>
              </w:rPr>
              <w:t>______________________</w:t>
            </w:r>
          </w:p>
        </w:tc>
        <w:tc>
          <w:tcPr>
            <w:tcW w:w="10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660" w:hanging="652"/>
        <w:spacing w:after="0" w:line="25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repurchases are being executed from time to time, subject to general business and market conditions and other investment opportunities, through open market purchases or privately negotiated transactions, which may include repurchases through Rule 10b5-1 plans. See Note 9 to our condensed consolidated financial statements included elsewhere in this Quarterly Report on Form 10-Q for additional information related to our stock repurchase program, which was approved by our Board on February 23, 2022 and announced on February 28, 2022.</w:t>
      </w:r>
    </w:p>
    <w:p>
      <w:pPr>
        <w:spacing w:after="0" w:line="2" w:lineRule="exact"/>
        <w:rPr>
          <w:rFonts w:ascii="Arial" w:cs="Arial" w:eastAsia="Arial" w:hAnsi="Arial"/>
          <w:sz w:val="16"/>
          <w:szCs w:val="16"/>
          <w:color w:val="auto"/>
        </w:rPr>
      </w:pPr>
    </w:p>
    <w:p>
      <w:pPr>
        <w:ind w:left="660" w:hanging="652"/>
        <w:spacing w:after="0" w:line="270"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Average price paid per share includes costs associated with the repurchases, including the estimated excise tax on the repurchases as imposed by the Inflation Reduction Act of 2022.</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Plan</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August 7, 2023, our Board approved a multi-phase plan to de-prioritize certain solutions under our pharma manufacturer solutions offering as part of our continued strategic focus on scaling and re-balancing our cost structure to drive improved margins. For additional information, including the total cash and non-cash charges expected to be incurred in connection with our planned restructuring activities, see Part I, Item 2, "Management’s Discussion and Analysis of Financial Condition and Results of Operations—Recent Developments—Restructuring Plan" included elsewhere in this Quarterly Report on Form 10-Q.</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Insider Trading Arrangements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During the three months ended June 30, 2023, none of our directors or officers (as defined in Section 16 of the Exchange Act), adopted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of the Exchange Act).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209"/>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19"/>
          </w:tcPr>
          <w:p>
            <w:pPr>
              <w:ind w:left="70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8"/>
                <w:szCs w:val="18"/>
                <w:color w:val="auto"/>
              </w:rPr>
            </w:pPr>
          </w:p>
        </w:tc>
        <w:tc>
          <w:tcPr>
            <w:tcW w:w="13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8"/>
                <w:szCs w:val="18"/>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9"/>
        </w:trPr>
        <w:tc>
          <w:tcPr>
            <w:tcW w:w="114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tcBorders>
              <w:bottom w:val="single" w:sz="8" w:color="0000FF"/>
            </w:tcBorders>
            <w:gridSpan w:val="9"/>
          </w:tcPr>
          <w:p>
            <w:pPr>
              <w:spacing w:after="0"/>
              <w:rPr>
                <w:rFonts w:ascii="Arial" w:cs="Arial" w:eastAsia="Arial" w:hAnsi="Arial"/>
                <w:sz w:val="14"/>
                <w:szCs w:val="14"/>
                <w:color w:val="0000FF"/>
              </w:rPr>
            </w:pPr>
            <w:hyperlink r:id="rId48">
              <w:r>
                <w:rPr>
                  <w:rFonts w:ascii="Arial" w:cs="Arial" w:eastAsia="Arial" w:hAnsi="Arial"/>
                  <w:sz w:val="14"/>
                  <w:szCs w:val="14"/>
                  <w:color w:val="0000FF"/>
                </w:rPr>
                <w:t>Amended and Restated Certificate of Incorporation</w:t>
              </w:r>
            </w:hyperlink>
          </w:p>
        </w:tc>
        <w:tc>
          <w:tcPr>
            <w:tcW w:w="1580" w:type="dxa"/>
            <w:vAlign w:val="bottom"/>
            <w:gridSpan w:val="15"/>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8-K</w:t>
            </w:r>
          </w:p>
        </w:tc>
        <w:tc>
          <w:tcPr>
            <w:tcW w:w="1420" w:type="dxa"/>
            <w:vAlign w:val="bottom"/>
            <w:gridSpan w:val="2"/>
          </w:tcPr>
          <w:p>
            <w:pPr>
              <w:jc w:val="center"/>
              <w:ind w:left="8"/>
              <w:spacing w:after="0"/>
              <w:rPr>
                <w:sz w:val="20"/>
                <w:szCs w:val="20"/>
                <w:color w:val="auto"/>
              </w:rPr>
            </w:pPr>
            <w:r>
              <w:rPr>
                <w:rFonts w:ascii="Arial" w:cs="Arial" w:eastAsia="Arial" w:hAnsi="Arial"/>
                <w:sz w:val="14"/>
                <w:szCs w:val="14"/>
                <w:color w:val="auto"/>
              </w:rPr>
              <w:t>001-39549</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rPr>
              <w:t>3.1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9/28/20</w:t>
            </w:r>
          </w:p>
        </w:tc>
        <w:tc>
          <w:tcPr>
            <w:tcW w:w="0" w:type="dxa"/>
            <w:vAlign w:val="bottom"/>
          </w:tcPr>
          <w:p>
            <w:pPr>
              <w:spacing w:after="0"/>
              <w:rPr>
                <w:sz w:val="1"/>
                <w:szCs w:val="1"/>
                <w:color w:val="auto"/>
              </w:rPr>
            </w:pPr>
          </w:p>
        </w:tc>
      </w:tr>
      <w:tr>
        <w:trPr>
          <w:trHeight w:val="263"/>
        </w:trPr>
        <w:tc>
          <w:tcPr>
            <w:tcW w:w="114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20" w:type="dxa"/>
            <w:vAlign w:val="bottom"/>
            <w:gridSpan w:val="24"/>
          </w:tcPr>
          <w:p>
            <w:pPr>
              <w:spacing w:after="0"/>
              <w:rPr>
                <w:rFonts w:ascii="Arial" w:cs="Arial" w:eastAsia="Arial" w:hAnsi="Arial"/>
                <w:sz w:val="14"/>
                <w:szCs w:val="14"/>
                <w:color w:val="0000FF"/>
              </w:rPr>
            </w:pPr>
            <w:hyperlink r:id="rId49">
              <w:r>
                <w:rPr>
                  <w:rFonts w:ascii="Arial" w:cs="Arial" w:eastAsia="Arial" w:hAnsi="Arial"/>
                  <w:sz w:val="14"/>
                  <w:szCs w:val="14"/>
                  <w:color w:val="0000FF"/>
                </w:rPr>
                <w:t>Amended and Restated Bylaws</w:t>
              </w:r>
            </w:hyperlink>
          </w:p>
        </w:tc>
        <w:tc>
          <w:tcPr>
            <w:tcW w:w="700" w:type="dxa"/>
            <w:vAlign w:val="bottom"/>
          </w:tcPr>
          <w:p>
            <w:pPr>
              <w:jc w:val="center"/>
              <w:spacing w:after="0"/>
              <w:rPr>
                <w:sz w:val="20"/>
                <w:szCs w:val="20"/>
                <w:color w:val="auto"/>
              </w:rPr>
            </w:pPr>
            <w:r>
              <w:rPr>
                <w:rFonts w:ascii="Arial" w:cs="Arial" w:eastAsia="Arial" w:hAnsi="Arial"/>
                <w:sz w:val="14"/>
                <w:szCs w:val="14"/>
                <w:color w:val="auto"/>
              </w:rPr>
              <w:t>8-K</w:t>
            </w:r>
          </w:p>
        </w:tc>
        <w:tc>
          <w:tcPr>
            <w:tcW w:w="1420" w:type="dxa"/>
            <w:vAlign w:val="bottom"/>
            <w:gridSpan w:val="2"/>
          </w:tcPr>
          <w:p>
            <w:pPr>
              <w:jc w:val="center"/>
              <w:ind w:left="8"/>
              <w:spacing w:after="0"/>
              <w:rPr>
                <w:sz w:val="20"/>
                <w:szCs w:val="20"/>
                <w:color w:val="auto"/>
              </w:rPr>
            </w:pPr>
            <w:r>
              <w:rPr>
                <w:rFonts w:ascii="Arial" w:cs="Arial" w:eastAsia="Arial" w:hAnsi="Arial"/>
                <w:sz w:val="14"/>
                <w:szCs w:val="14"/>
                <w:color w:val="auto"/>
              </w:rPr>
              <w:t>001-39549</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rPr>
              <w:t>3.2</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9/28/20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jc w:val="center"/>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20" w:type="dxa"/>
            <w:vAlign w:val="bottom"/>
            <w:gridSpan w:val="24"/>
          </w:tcPr>
          <w:p>
            <w:pPr>
              <w:spacing w:after="0"/>
              <w:rPr>
                <w:rFonts w:ascii="Arial" w:cs="Arial" w:eastAsia="Arial" w:hAnsi="Arial"/>
                <w:sz w:val="14"/>
                <w:szCs w:val="14"/>
                <w:color w:val="0000FF"/>
              </w:rPr>
            </w:pPr>
            <w:hyperlink r:id="rId50">
              <w:r>
                <w:rPr>
                  <w:rFonts w:ascii="Arial" w:cs="Arial" w:eastAsia="Arial" w:hAnsi="Arial"/>
                  <w:sz w:val="14"/>
                  <w:szCs w:val="14"/>
                  <w:color w:val="0000FF"/>
                </w:rPr>
                <w:t>Form of Certificate of Class A Common Stock</w:t>
              </w:r>
            </w:hyperlink>
          </w:p>
        </w:tc>
        <w:tc>
          <w:tcPr>
            <w:tcW w:w="700" w:type="dxa"/>
            <w:vAlign w:val="bottom"/>
          </w:tcPr>
          <w:p>
            <w:pPr>
              <w:jc w:val="center"/>
              <w:spacing w:after="0"/>
              <w:rPr>
                <w:sz w:val="20"/>
                <w:szCs w:val="20"/>
                <w:color w:val="auto"/>
              </w:rPr>
            </w:pPr>
            <w:r>
              <w:rPr>
                <w:rFonts w:ascii="Arial" w:cs="Arial" w:eastAsia="Arial" w:hAnsi="Arial"/>
                <w:sz w:val="14"/>
                <w:szCs w:val="14"/>
                <w:color w:val="auto"/>
              </w:rPr>
              <w:t>S-1</w:t>
            </w:r>
          </w:p>
        </w:tc>
        <w:tc>
          <w:tcPr>
            <w:tcW w:w="1420" w:type="dxa"/>
            <w:vAlign w:val="bottom"/>
            <w:gridSpan w:val="2"/>
          </w:tcPr>
          <w:p>
            <w:pPr>
              <w:jc w:val="center"/>
              <w:ind w:left="8"/>
              <w:spacing w:after="0"/>
              <w:rPr>
                <w:sz w:val="20"/>
                <w:szCs w:val="20"/>
                <w:color w:val="auto"/>
              </w:rPr>
            </w:pPr>
            <w:r>
              <w:rPr>
                <w:rFonts w:ascii="Arial" w:cs="Arial" w:eastAsia="Arial" w:hAnsi="Arial"/>
                <w:sz w:val="14"/>
                <w:szCs w:val="14"/>
                <w:color w:val="auto"/>
              </w:rPr>
              <w:t>333-248465</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rPr>
              <w:t>4.1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8/28/20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jc w:val="center"/>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20" w:type="dxa"/>
            <w:vAlign w:val="bottom"/>
            <w:gridSpan w:val="24"/>
          </w:tcPr>
          <w:p>
            <w:pPr>
              <w:spacing w:after="0"/>
              <w:rPr>
                <w:rFonts w:ascii="Arial" w:cs="Arial" w:eastAsia="Arial" w:hAnsi="Arial"/>
                <w:sz w:val="14"/>
                <w:szCs w:val="14"/>
                <w:color w:val="0000FF"/>
              </w:rPr>
            </w:pPr>
            <w:hyperlink r:id="rId51">
              <w:r>
                <w:rPr>
                  <w:rFonts w:ascii="Arial" w:cs="Arial" w:eastAsia="Arial" w:hAnsi="Arial"/>
                  <w:sz w:val="14"/>
                  <w:szCs w:val="14"/>
                  <w:color w:val="0000FF"/>
                </w:rPr>
                <w:t>Form of Certificate of Class B Common Stock</w:t>
              </w:r>
            </w:hyperlink>
          </w:p>
        </w:tc>
        <w:tc>
          <w:tcPr>
            <w:tcW w:w="700" w:type="dxa"/>
            <w:vAlign w:val="bottom"/>
          </w:tcPr>
          <w:p>
            <w:pPr>
              <w:jc w:val="center"/>
              <w:spacing w:after="0"/>
              <w:rPr>
                <w:sz w:val="20"/>
                <w:szCs w:val="20"/>
                <w:color w:val="auto"/>
              </w:rPr>
            </w:pPr>
            <w:r>
              <w:rPr>
                <w:rFonts w:ascii="Arial" w:cs="Arial" w:eastAsia="Arial" w:hAnsi="Arial"/>
                <w:sz w:val="14"/>
                <w:szCs w:val="14"/>
                <w:color w:val="auto"/>
              </w:rPr>
              <w:t>S-8</w:t>
            </w:r>
          </w:p>
        </w:tc>
        <w:tc>
          <w:tcPr>
            <w:tcW w:w="1420" w:type="dxa"/>
            <w:vAlign w:val="bottom"/>
            <w:gridSpan w:val="2"/>
          </w:tcPr>
          <w:p>
            <w:pPr>
              <w:jc w:val="center"/>
              <w:ind w:left="8"/>
              <w:spacing w:after="0"/>
              <w:rPr>
                <w:sz w:val="20"/>
                <w:szCs w:val="20"/>
                <w:color w:val="auto"/>
              </w:rPr>
            </w:pPr>
            <w:r>
              <w:rPr>
                <w:rFonts w:ascii="Arial" w:cs="Arial" w:eastAsia="Arial" w:hAnsi="Arial"/>
                <w:sz w:val="14"/>
                <w:szCs w:val="14"/>
                <w:color w:val="auto"/>
              </w:rPr>
              <w:t>333-249069</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rPr>
              <w:t>4.4</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9/25/20</w:t>
            </w:r>
          </w:p>
        </w:tc>
        <w:tc>
          <w:tcPr>
            <w:tcW w:w="0" w:type="dxa"/>
            <w:vAlign w:val="bottom"/>
          </w:tcPr>
          <w:p>
            <w:pPr>
              <w:spacing w:after="0"/>
              <w:rPr>
                <w:sz w:val="1"/>
                <w:szCs w:val="1"/>
                <w:color w:val="auto"/>
              </w:rPr>
            </w:pPr>
          </w:p>
        </w:tc>
      </w:tr>
      <w:tr>
        <w:trPr>
          <w:trHeight w:val="20"/>
        </w:trPr>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10.1</w:t>
            </w:r>
            <w:r>
              <w:rPr>
                <w:rFonts w:ascii="Arial" w:cs="Arial" w:eastAsia="Arial" w:hAnsi="Arial"/>
                <w:sz w:val="18"/>
                <w:szCs w:val="18"/>
                <w:color w:val="auto"/>
                <w:vertAlign w:val="superscript"/>
              </w:rPr>
              <w:t>†</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60" w:type="dxa"/>
            <w:vAlign w:val="bottom"/>
            <w:tcBorders>
              <w:bottom w:val="single" w:sz="8" w:color="0000FF"/>
            </w:tcBorders>
            <w:gridSpan w:val="13"/>
          </w:tcPr>
          <w:p>
            <w:pPr>
              <w:spacing w:after="0"/>
              <w:rPr>
                <w:rFonts w:ascii="Arial" w:cs="Arial" w:eastAsia="Arial" w:hAnsi="Arial"/>
                <w:sz w:val="14"/>
                <w:szCs w:val="14"/>
                <w:color w:val="0000FF"/>
              </w:rPr>
            </w:pPr>
            <w:hyperlink r:id="rId52">
              <w:r>
                <w:rPr>
                  <w:rFonts w:ascii="Arial" w:cs="Arial" w:eastAsia="Arial" w:hAnsi="Arial"/>
                  <w:sz w:val="14"/>
                  <w:szCs w:val="14"/>
                  <w:color w:val="0000FF"/>
                </w:rPr>
                <w:t>Employment Agreement, by and between GoodRx, Inc. and Scott</w:t>
              </w:r>
            </w:hyperlink>
          </w:p>
        </w:tc>
        <w:tc>
          <w:tcPr>
            <w:tcW w:w="660" w:type="dxa"/>
            <w:vAlign w:val="bottom"/>
            <w:gridSpan w:val="11"/>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8-K</w:t>
            </w:r>
          </w:p>
        </w:tc>
        <w:tc>
          <w:tcPr>
            <w:tcW w:w="1420" w:type="dxa"/>
            <w:vAlign w:val="bottom"/>
            <w:gridSpan w:val="2"/>
          </w:tcPr>
          <w:p>
            <w:pPr>
              <w:jc w:val="center"/>
              <w:ind w:left="8"/>
              <w:spacing w:after="0"/>
              <w:rPr>
                <w:sz w:val="20"/>
                <w:szCs w:val="20"/>
                <w:color w:val="auto"/>
              </w:rPr>
            </w:pPr>
            <w:r>
              <w:rPr>
                <w:rFonts w:ascii="Arial" w:cs="Arial" w:eastAsia="Arial" w:hAnsi="Arial"/>
                <w:sz w:val="14"/>
                <w:szCs w:val="14"/>
                <w:color w:val="auto"/>
              </w:rPr>
              <w:t>001-39549</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rPr>
              <w:t>10.1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4/25/23</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24"/>
          </w:tcPr>
          <w:p>
            <w:pPr>
              <w:spacing w:after="0" w:line="155" w:lineRule="exact"/>
              <w:rPr>
                <w:rFonts w:ascii="Arial" w:cs="Arial" w:eastAsia="Arial" w:hAnsi="Arial"/>
                <w:sz w:val="14"/>
                <w:szCs w:val="14"/>
                <w:color w:val="0000FF"/>
              </w:rPr>
            </w:pPr>
            <w:hyperlink r:id="rId52">
              <w:r>
                <w:rPr>
                  <w:rFonts w:ascii="Arial" w:cs="Arial" w:eastAsia="Arial" w:hAnsi="Arial"/>
                  <w:sz w:val="14"/>
                  <w:szCs w:val="14"/>
                  <w:color w:val="0000FF"/>
                </w:rPr>
                <w:t>Wagner, dated April 25, 2023</w:t>
              </w:r>
            </w:hyperlink>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jc w:val="center"/>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20" w:type="dxa"/>
            <w:vAlign w:val="bottom"/>
            <w:gridSpan w:val="24"/>
          </w:tcPr>
          <w:p>
            <w:pPr>
              <w:spacing w:after="0"/>
              <w:rPr>
                <w:rFonts w:ascii="Arial" w:cs="Arial" w:eastAsia="Arial" w:hAnsi="Arial"/>
                <w:sz w:val="14"/>
                <w:szCs w:val="14"/>
                <w:color w:val="0000FF"/>
              </w:rPr>
            </w:pPr>
            <w:hyperlink r:id="rId53">
              <w:r>
                <w:rPr>
                  <w:rFonts w:ascii="Arial" w:cs="Arial" w:eastAsia="Arial" w:hAnsi="Arial"/>
                  <w:sz w:val="14"/>
                  <w:szCs w:val="14"/>
                  <w:color w:val="0000FF"/>
                </w:rPr>
                <w:t>Second Amended and Restated Employment Agreement, by and between</w:t>
              </w:r>
            </w:hyperlink>
          </w:p>
        </w:tc>
        <w:tc>
          <w:tcPr>
            <w:tcW w:w="700" w:type="dxa"/>
            <w:vAlign w:val="bottom"/>
          </w:tcPr>
          <w:p>
            <w:pPr>
              <w:jc w:val="center"/>
              <w:spacing w:after="0"/>
              <w:rPr>
                <w:sz w:val="20"/>
                <w:szCs w:val="20"/>
                <w:color w:val="auto"/>
              </w:rPr>
            </w:pPr>
            <w:r>
              <w:rPr>
                <w:rFonts w:ascii="Arial" w:cs="Arial" w:eastAsia="Arial" w:hAnsi="Arial"/>
                <w:sz w:val="14"/>
                <w:szCs w:val="14"/>
                <w:color w:val="auto"/>
              </w:rPr>
              <w:t>8-K</w:t>
            </w:r>
          </w:p>
        </w:tc>
        <w:tc>
          <w:tcPr>
            <w:tcW w:w="1420" w:type="dxa"/>
            <w:vAlign w:val="bottom"/>
            <w:gridSpan w:val="2"/>
          </w:tcPr>
          <w:p>
            <w:pPr>
              <w:jc w:val="center"/>
              <w:ind w:left="8"/>
              <w:spacing w:after="0"/>
              <w:rPr>
                <w:sz w:val="20"/>
                <w:szCs w:val="20"/>
                <w:color w:val="auto"/>
              </w:rPr>
            </w:pPr>
            <w:r>
              <w:rPr>
                <w:rFonts w:ascii="Arial" w:cs="Arial" w:eastAsia="Arial" w:hAnsi="Arial"/>
                <w:sz w:val="14"/>
                <w:szCs w:val="14"/>
                <w:color w:val="auto"/>
              </w:rPr>
              <w:t>001-39549</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rPr>
              <w:t>10.2</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4/25/23</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22"/>
          </w:tcPr>
          <w:p>
            <w:pPr>
              <w:spacing w:after="0" w:line="155" w:lineRule="exact"/>
              <w:rPr>
                <w:rFonts w:ascii="Arial" w:cs="Arial" w:eastAsia="Arial" w:hAnsi="Arial"/>
                <w:sz w:val="14"/>
                <w:szCs w:val="14"/>
                <w:color w:val="0000FF"/>
              </w:rPr>
            </w:pPr>
            <w:hyperlink r:id="rId53">
              <w:r>
                <w:rPr>
                  <w:rFonts w:ascii="Arial" w:cs="Arial" w:eastAsia="Arial" w:hAnsi="Arial"/>
                  <w:sz w:val="14"/>
                  <w:szCs w:val="14"/>
                  <w:color w:val="0000FF"/>
                </w:rPr>
                <w:t>GoodRx, Inc. and Trevor Bezdek, dated April 25, 2023</w:t>
              </w:r>
            </w:hyperlink>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tcPr>
          <w:p>
            <w:pPr>
              <w:jc w:val="center"/>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20" w:type="dxa"/>
            <w:vAlign w:val="bottom"/>
            <w:gridSpan w:val="24"/>
          </w:tcPr>
          <w:p>
            <w:pPr>
              <w:spacing w:after="0"/>
              <w:rPr>
                <w:rFonts w:ascii="Arial" w:cs="Arial" w:eastAsia="Arial" w:hAnsi="Arial"/>
                <w:sz w:val="14"/>
                <w:szCs w:val="14"/>
                <w:color w:val="0000FF"/>
              </w:rPr>
            </w:pPr>
            <w:hyperlink r:id="rId54">
              <w:r>
                <w:rPr>
                  <w:rFonts w:ascii="Arial" w:cs="Arial" w:eastAsia="Arial" w:hAnsi="Arial"/>
                  <w:sz w:val="14"/>
                  <w:szCs w:val="14"/>
                  <w:color w:val="0000FF"/>
                </w:rPr>
                <w:t>Second Amended and Restated Employment Agreement, by and between</w:t>
              </w:r>
            </w:hyperlink>
          </w:p>
        </w:tc>
        <w:tc>
          <w:tcPr>
            <w:tcW w:w="700" w:type="dxa"/>
            <w:vAlign w:val="bottom"/>
          </w:tcPr>
          <w:p>
            <w:pPr>
              <w:jc w:val="center"/>
              <w:spacing w:after="0"/>
              <w:rPr>
                <w:sz w:val="20"/>
                <w:szCs w:val="20"/>
                <w:color w:val="auto"/>
              </w:rPr>
            </w:pPr>
            <w:r>
              <w:rPr>
                <w:rFonts w:ascii="Arial" w:cs="Arial" w:eastAsia="Arial" w:hAnsi="Arial"/>
                <w:sz w:val="14"/>
                <w:szCs w:val="14"/>
                <w:color w:val="auto"/>
              </w:rPr>
              <w:t>8-K</w:t>
            </w:r>
          </w:p>
        </w:tc>
        <w:tc>
          <w:tcPr>
            <w:tcW w:w="1420" w:type="dxa"/>
            <w:vAlign w:val="bottom"/>
            <w:gridSpan w:val="2"/>
          </w:tcPr>
          <w:p>
            <w:pPr>
              <w:jc w:val="center"/>
              <w:ind w:left="8"/>
              <w:spacing w:after="0"/>
              <w:rPr>
                <w:sz w:val="20"/>
                <w:szCs w:val="20"/>
                <w:color w:val="auto"/>
              </w:rPr>
            </w:pPr>
            <w:r>
              <w:rPr>
                <w:rFonts w:ascii="Arial" w:cs="Arial" w:eastAsia="Arial" w:hAnsi="Arial"/>
                <w:sz w:val="14"/>
                <w:szCs w:val="14"/>
                <w:color w:val="auto"/>
              </w:rPr>
              <w:t>001-39549</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rPr>
              <w:t>10.3</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4/25/23</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2"/>
          </w:tcPr>
          <w:p>
            <w:pPr>
              <w:spacing w:after="0" w:line="155" w:lineRule="exact"/>
              <w:rPr>
                <w:rFonts w:ascii="Arial" w:cs="Arial" w:eastAsia="Arial" w:hAnsi="Arial"/>
                <w:sz w:val="14"/>
                <w:szCs w:val="14"/>
                <w:color w:val="0000FF"/>
              </w:rPr>
            </w:pPr>
            <w:hyperlink r:id="rId54">
              <w:r>
                <w:rPr>
                  <w:rFonts w:ascii="Arial" w:cs="Arial" w:eastAsia="Arial" w:hAnsi="Arial"/>
                  <w:sz w:val="14"/>
                  <w:szCs w:val="14"/>
                  <w:color w:val="0000FF"/>
                </w:rPr>
                <w:t>GoodRx, Inc. and Douglas Hirsch, dated April 25, 2023</w:t>
              </w:r>
            </w:hyperlink>
          </w:p>
        </w:tc>
        <w:tc>
          <w:tcPr>
            <w:tcW w:w="1200" w:type="dxa"/>
            <w:vAlign w:val="bottom"/>
            <w:tcBorders>
              <w:top w:val="single" w:sz="8" w:color="0000FF"/>
            </w:tcBorders>
            <w:gridSpan w:val="10"/>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40" w:type="dxa"/>
            <w:vAlign w:val="bottom"/>
          </w:tcPr>
          <w:p>
            <w:pPr>
              <w:jc w:val="center"/>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20" w:type="dxa"/>
            <w:vAlign w:val="bottom"/>
            <w:gridSpan w:val="24"/>
          </w:tcPr>
          <w:p>
            <w:pPr>
              <w:spacing w:after="0"/>
              <w:rPr>
                <w:rFonts w:ascii="Arial" w:cs="Arial" w:eastAsia="Arial" w:hAnsi="Arial"/>
                <w:sz w:val="14"/>
                <w:szCs w:val="14"/>
                <w:color w:val="0000FF"/>
              </w:rPr>
            </w:pPr>
            <w:hyperlink r:id="rId55">
              <w:r>
                <w:rPr>
                  <w:rFonts w:ascii="Arial" w:cs="Arial" w:eastAsia="Arial" w:hAnsi="Arial"/>
                  <w:sz w:val="14"/>
                  <w:szCs w:val="14"/>
                  <w:color w:val="0000FF"/>
                </w:rPr>
                <w:t>Letter Agreement, by and between GoodRx, Inc. and Raj Beri, dated May</w:t>
              </w:r>
            </w:hyperlink>
          </w:p>
        </w:tc>
        <w:tc>
          <w:tcPr>
            <w:tcW w:w="700" w:type="dxa"/>
            <w:vAlign w:val="bottom"/>
          </w:tcPr>
          <w:p>
            <w:pPr>
              <w:jc w:val="center"/>
              <w:spacing w:after="0"/>
              <w:rPr>
                <w:sz w:val="20"/>
                <w:szCs w:val="20"/>
                <w:color w:val="auto"/>
              </w:rPr>
            </w:pPr>
            <w:r>
              <w:rPr>
                <w:rFonts w:ascii="Arial" w:cs="Arial" w:eastAsia="Arial" w:hAnsi="Arial"/>
                <w:sz w:val="14"/>
                <w:szCs w:val="14"/>
                <w:color w:val="auto"/>
              </w:rPr>
              <w:t>8-K</w:t>
            </w:r>
          </w:p>
        </w:tc>
        <w:tc>
          <w:tcPr>
            <w:tcW w:w="1420" w:type="dxa"/>
            <w:vAlign w:val="bottom"/>
            <w:gridSpan w:val="2"/>
          </w:tcPr>
          <w:p>
            <w:pPr>
              <w:jc w:val="center"/>
              <w:ind w:left="8"/>
              <w:spacing w:after="0"/>
              <w:rPr>
                <w:sz w:val="20"/>
                <w:szCs w:val="20"/>
                <w:color w:val="auto"/>
              </w:rPr>
            </w:pPr>
            <w:r>
              <w:rPr>
                <w:rFonts w:ascii="Arial" w:cs="Arial" w:eastAsia="Arial" w:hAnsi="Arial"/>
                <w:sz w:val="14"/>
                <w:szCs w:val="14"/>
                <w:color w:val="auto"/>
              </w:rPr>
              <w:t>001-39549</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rPr>
              <w:t>10.1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6/2/23</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560" w:type="dxa"/>
            <w:vAlign w:val="bottom"/>
            <w:tcBorders>
              <w:top w:val="single" w:sz="8" w:color="0000FF"/>
              <w:bottom w:val="single" w:sz="8" w:color="0000FF"/>
            </w:tcBorders>
            <w:gridSpan w:val="2"/>
          </w:tcPr>
          <w:p>
            <w:pPr>
              <w:spacing w:after="0" w:line="142" w:lineRule="exact"/>
              <w:rPr>
                <w:rFonts w:ascii="Arial" w:cs="Arial" w:eastAsia="Arial" w:hAnsi="Arial"/>
                <w:sz w:val="14"/>
                <w:szCs w:val="14"/>
                <w:color w:val="0000FF"/>
                <w:w w:val="99"/>
              </w:rPr>
            </w:pPr>
            <w:hyperlink r:id="rId55">
              <w:r>
                <w:rPr>
                  <w:rFonts w:ascii="Arial" w:cs="Arial" w:eastAsia="Arial" w:hAnsi="Arial"/>
                  <w:sz w:val="14"/>
                  <w:szCs w:val="14"/>
                  <w:color w:val="0000FF"/>
                  <w:w w:val="99"/>
                </w:rPr>
                <w:t>30, 2023</w:t>
              </w:r>
            </w:hyperlink>
          </w:p>
        </w:tc>
        <w:tc>
          <w:tcPr>
            <w:tcW w:w="2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jc w:val="center"/>
              <w:spacing w:after="0"/>
              <w:rPr>
                <w:sz w:val="20"/>
                <w:szCs w:val="20"/>
                <w:color w:val="auto"/>
              </w:rPr>
            </w:pPr>
            <w:r>
              <w:rPr>
                <w:rFonts w:ascii="Arial" w:cs="Arial" w:eastAsia="Arial" w:hAnsi="Arial"/>
                <w:sz w:val="14"/>
                <w:szCs w:val="14"/>
                <w:color w:val="auto"/>
              </w:rPr>
              <w:t>10.5</w:t>
            </w:r>
            <w:r>
              <w:rPr>
                <w:rFonts w:ascii="Arial" w:cs="Arial" w:eastAsia="Arial" w:hAnsi="Arial"/>
                <w:sz w:val="9"/>
                <w:szCs w:val="9"/>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80" w:type="dxa"/>
            <w:vAlign w:val="bottom"/>
            <w:tcBorders>
              <w:bottom w:val="single" w:sz="8" w:color="0000FF"/>
            </w:tcBorders>
            <w:gridSpan w:val="18"/>
          </w:tcPr>
          <w:p>
            <w:pPr>
              <w:spacing w:after="0"/>
              <w:rPr>
                <w:sz w:val="20"/>
                <w:szCs w:val="20"/>
                <w:color w:val="auto"/>
              </w:rPr>
            </w:pPr>
            <w:r>
              <w:rPr>
                <w:rFonts w:ascii="Arial" w:cs="Arial" w:eastAsia="Arial" w:hAnsi="Arial"/>
                <w:sz w:val="14"/>
                <w:szCs w:val="14"/>
                <w:color w:val="0000FF"/>
              </w:rPr>
              <w:t>Third Amendment to First Lien Credit Agreement, dated June 29, 2023</w:t>
            </w:r>
          </w:p>
        </w:tc>
        <w:tc>
          <w:tcPr>
            <w:tcW w:w="340" w:type="dxa"/>
            <w:vAlign w:val="bottom"/>
            <w:gridSpan w:val="6"/>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40" w:type="dxa"/>
            <w:vAlign w:val="bottom"/>
          </w:tcPr>
          <w:p>
            <w:pPr>
              <w:jc w:val="center"/>
              <w:spacing w:after="0"/>
              <w:rPr>
                <w:sz w:val="20"/>
                <w:szCs w:val="20"/>
                <w:color w:val="auto"/>
              </w:rPr>
            </w:pPr>
            <w:r>
              <w:rPr>
                <w:rFonts w:ascii="Arial" w:cs="Arial" w:eastAsia="Arial" w:hAnsi="Arial"/>
                <w:sz w:val="14"/>
                <w:szCs w:val="14"/>
                <w:color w:val="auto"/>
              </w:rPr>
              <w:t>10.6</w:t>
            </w:r>
            <w:r>
              <w:rPr>
                <w:rFonts w:ascii="Arial" w:cs="Arial" w:eastAsia="Arial" w:hAnsi="Arial"/>
                <w:sz w:val="18"/>
                <w:szCs w:val="18"/>
                <w:color w:val="auto"/>
                <w:vertAlign w:val="superscript"/>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20" w:type="dxa"/>
            <w:vAlign w:val="bottom"/>
            <w:gridSpan w:val="24"/>
          </w:tcPr>
          <w:p>
            <w:pPr>
              <w:spacing w:after="0"/>
              <w:rPr>
                <w:sz w:val="20"/>
                <w:szCs w:val="20"/>
                <w:color w:val="auto"/>
              </w:rPr>
            </w:pPr>
            <w:r>
              <w:rPr>
                <w:rFonts w:ascii="Arial" w:cs="Arial" w:eastAsia="Arial" w:hAnsi="Arial"/>
                <w:sz w:val="14"/>
                <w:szCs w:val="14"/>
                <w:color w:val="0000FF"/>
              </w:rPr>
              <w:t>Fourth Amendment to First Lien Credit Agreement, dated July 7, 2023</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10.7</w:t>
            </w:r>
            <w:r>
              <w:rPr>
                <w:rFonts w:ascii="Arial" w:cs="Arial" w:eastAsia="Arial" w:hAnsi="Arial"/>
                <w:sz w:val="18"/>
                <w:szCs w:val="18"/>
                <w:color w:val="auto"/>
                <w:vertAlign w:val="superscript"/>
              </w:rPr>
              <w:t>†</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20" w:type="dxa"/>
            <w:vAlign w:val="bottom"/>
            <w:gridSpan w:val="24"/>
          </w:tcPr>
          <w:p>
            <w:pPr>
              <w:spacing w:after="0"/>
              <w:rPr>
                <w:rFonts w:ascii="Arial" w:cs="Arial" w:eastAsia="Arial" w:hAnsi="Arial"/>
                <w:sz w:val="14"/>
                <w:szCs w:val="14"/>
                <w:color w:val="0000FF"/>
              </w:rPr>
            </w:pPr>
            <w:hyperlink r:id="rId56">
              <w:r>
                <w:rPr>
                  <w:rFonts w:ascii="Arial" w:cs="Arial" w:eastAsia="Arial" w:hAnsi="Arial"/>
                  <w:sz w:val="14"/>
                  <w:szCs w:val="14"/>
                  <w:color w:val="0000FF"/>
                </w:rPr>
                <w:t>Separation Agreement &amp; Release, by and among GoodRx Holdings, Inc.,</w:t>
              </w:r>
            </w:hyperlink>
          </w:p>
        </w:tc>
        <w:tc>
          <w:tcPr>
            <w:tcW w:w="700" w:type="dxa"/>
            <w:vAlign w:val="bottom"/>
          </w:tcPr>
          <w:p>
            <w:pPr>
              <w:jc w:val="center"/>
              <w:spacing w:after="0"/>
              <w:rPr>
                <w:sz w:val="20"/>
                <w:szCs w:val="20"/>
                <w:color w:val="auto"/>
              </w:rPr>
            </w:pPr>
            <w:r>
              <w:rPr>
                <w:rFonts w:ascii="Arial" w:cs="Arial" w:eastAsia="Arial" w:hAnsi="Arial"/>
                <w:sz w:val="14"/>
                <w:szCs w:val="14"/>
                <w:color w:val="auto"/>
              </w:rPr>
              <w:t>8-K</w:t>
            </w:r>
          </w:p>
        </w:tc>
        <w:tc>
          <w:tcPr>
            <w:tcW w:w="1420" w:type="dxa"/>
            <w:vAlign w:val="bottom"/>
            <w:gridSpan w:val="2"/>
          </w:tcPr>
          <w:p>
            <w:pPr>
              <w:jc w:val="center"/>
              <w:ind w:left="8"/>
              <w:spacing w:after="0"/>
              <w:rPr>
                <w:sz w:val="20"/>
                <w:szCs w:val="20"/>
                <w:color w:val="auto"/>
              </w:rPr>
            </w:pPr>
            <w:r>
              <w:rPr>
                <w:rFonts w:ascii="Arial" w:cs="Arial" w:eastAsia="Arial" w:hAnsi="Arial"/>
                <w:sz w:val="14"/>
                <w:szCs w:val="14"/>
                <w:color w:val="auto"/>
              </w:rPr>
              <w:t>001-39549</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rPr>
              <w:t>10.1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7/27/23</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FF"/>
            </w:tcBorders>
            <w:gridSpan w:val="19"/>
          </w:tcPr>
          <w:p>
            <w:pPr>
              <w:spacing w:after="0" w:line="155" w:lineRule="exact"/>
              <w:rPr>
                <w:rFonts w:ascii="Arial" w:cs="Arial" w:eastAsia="Arial" w:hAnsi="Arial"/>
                <w:sz w:val="14"/>
                <w:szCs w:val="14"/>
                <w:color w:val="0000FF"/>
              </w:rPr>
            </w:pPr>
            <w:hyperlink r:id="rId56">
              <w:r>
                <w:rPr>
                  <w:rFonts w:ascii="Arial" w:cs="Arial" w:eastAsia="Arial" w:hAnsi="Arial"/>
                  <w:sz w:val="14"/>
                  <w:szCs w:val="14"/>
                  <w:color w:val="0000FF"/>
                </w:rPr>
                <w:t>GoodRx, Inc. and Babak Azad, dated July 19, 2023</w:t>
              </w:r>
            </w:hyperlink>
          </w:p>
        </w:tc>
        <w:tc>
          <w:tcPr>
            <w:tcW w:w="180" w:type="dxa"/>
            <w:vAlign w:val="bottom"/>
            <w:gridSpan w:val="5"/>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jc w:val="center"/>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4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rPr>
              <w:t>Certification of Interim Chief Executive Officer pursuant to Rule 13a-</w:t>
            </w:r>
          </w:p>
        </w:tc>
        <w:tc>
          <w:tcPr>
            <w:tcW w:w="480" w:type="dxa"/>
            <w:vAlign w:val="bottom"/>
            <w:gridSpan w:val="9"/>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Borders>
              <w:bottom w:val="single" w:sz="8" w:color="0000FF"/>
            </w:tcBorders>
            <w:gridSpan w:val="4"/>
          </w:tcPr>
          <w:p>
            <w:pPr>
              <w:spacing w:after="0" w:line="155" w:lineRule="exact"/>
              <w:rPr>
                <w:sz w:val="20"/>
                <w:szCs w:val="20"/>
                <w:color w:val="auto"/>
              </w:rPr>
            </w:pPr>
            <w:r>
              <w:rPr>
                <w:rFonts w:ascii="Arial" w:cs="Arial" w:eastAsia="Arial" w:hAnsi="Arial"/>
                <w:sz w:val="14"/>
                <w:szCs w:val="14"/>
                <w:color w:val="0000FF"/>
              </w:rPr>
              <w:t>14(a)/15d-14(a)</w:t>
            </w:r>
          </w:p>
        </w:tc>
        <w:tc>
          <w:tcPr>
            <w:tcW w:w="3820" w:type="dxa"/>
            <w:vAlign w:val="bottom"/>
            <w:gridSpan w:val="20"/>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40" w:type="dxa"/>
            <w:vAlign w:val="bottom"/>
          </w:tcPr>
          <w:p>
            <w:pPr>
              <w:jc w:val="center"/>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60" w:type="dxa"/>
            <w:vAlign w:val="bottom"/>
            <w:tcBorders>
              <w:bottom w:val="single" w:sz="8" w:color="0000FF"/>
            </w:tcBorders>
            <w:gridSpan w:val="17"/>
          </w:tcPr>
          <w:p>
            <w:pPr>
              <w:spacing w:after="0"/>
              <w:rPr>
                <w:sz w:val="20"/>
                <w:szCs w:val="20"/>
                <w:color w:val="auto"/>
              </w:rPr>
            </w:pPr>
            <w:r>
              <w:rPr>
                <w:rFonts w:ascii="Arial" w:cs="Arial" w:eastAsia="Arial" w:hAnsi="Arial"/>
                <w:sz w:val="14"/>
                <w:szCs w:val="14"/>
                <w:color w:val="0000FF"/>
              </w:rPr>
              <w:t>Certification of Chief Financial Officer pursuant to Rule 13a-14(a)/15d-</w:t>
            </w:r>
          </w:p>
        </w:tc>
        <w:tc>
          <w:tcPr>
            <w:tcW w:w="360" w:type="dxa"/>
            <w:vAlign w:val="bottom"/>
            <w:gridSpan w:val="7"/>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0000FF"/>
            </w:tcBorders>
          </w:tcPr>
          <w:p>
            <w:pPr>
              <w:spacing w:after="0" w:line="155" w:lineRule="exact"/>
              <w:rPr>
                <w:sz w:val="20"/>
                <w:szCs w:val="20"/>
                <w:color w:val="auto"/>
              </w:rPr>
            </w:pPr>
            <w:r>
              <w:rPr>
                <w:rFonts w:ascii="Arial" w:cs="Arial" w:eastAsia="Arial" w:hAnsi="Arial"/>
                <w:sz w:val="14"/>
                <w:szCs w:val="14"/>
                <w:color w:val="0000FF"/>
                <w:w w:val="97"/>
              </w:rPr>
              <w:t>14(a)</w:t>
            </w:r>
          </w:p>
        </w:tc>
        <w:tc>
          <w:tcPr>
            <w:tcW w:w="4480" w:type="dxa"/>
            <w:vAlign w:val="bottom"/>
            <w:gridSpan w:val="23"/>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40" w:type="dxa"/>
            <w:vAlign w:val="bottom"/>
          </w:tcPr>
          <w:p>
            <w:pPr>
              <w:jc w:val="center"/>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20" w:type="dxa"/>
            <w:vAlign w:val="bottom"/>
            <w:gridSpan w:val="24"/>
          </w:tcPr>
          <w:p>
            <w:pPr>
              <w:spacing w:after="0"/>
              <w:rPr>
                <w:sz w:val="20"/>
                <w:szCs w:val="20"/>
                <w:color w:val="auto"/>
              </w:rPr>
            </w:pPr>
            <w:r>
              <w:rPr>
                <w:rFonts w:ascii="Arial" w:cs="Arial" w:eastAsia="Arial" w:hAnsi="Arial"/>
                <w:sz w:val="14"/>
                <w:szCs w:val="14"/>
                <w:color w:val="0000FF"/>
              </w:rPr>
              <w:t>Certification of Interim Chief Executive Officer pursuant to 18 U.S.C.</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4"/>
                <w:szCs w:val="14"/>
                <w:color w:val="0000FF"/>
              </w:rPr>
              <w:t>Section 1350</w:t>
            </w:r>
          </w:p>
        </w:tc>
        <w:tc>
          <w:tcPr>
            <w:tcW w:w="3480" w:type="dxa"/>
            <w:vAlign w:val="bottom"/>
            <w:tcBorders>
              <w:top w:val="single" w:sz="8" w:color="0000FF"/>
            </w:tcBorders>
            <w:gridSpan w:val="11"/>
          </w:tcPr>
          <w:p>
            <w:pPr>
              <w:spacing w:after="0"/>
              <w:rPr>
                <w:sz w:val="12"/>
                <w:szCs w:val="12"/>
                <w:color w:val="auto"/>
              </w:rPr>
            </w:pPr>
          </w:p>
        </w:tc>
        <w:tc>
          <w:tcPr>
            <w:tcW w:w="360" w:type="dxa"/>
            <w:vAlign w:val="bottom"/>
            <w:gridSpan w:val="7"/>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jc w:val="center"/>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80" w:type="dxa"/>
            <w:vAlign w:val="bottom"/>
            <w:tcBorders>
              <w:bottom w:val="single" w:sz="8" w:color="0000FF"/>
            </w:tcBorders>
            <w:gridSpan w:val="21"/>
          </w:tcPr>
          <w:p>
            <w:pPr>
              <w:spacing w:after="0"/>
              <w:rPr>
                <w:sz w:val="20"/>
                <w:szCs w:val="20"/>
                <w:color w:val="auto"/>
              </w:rPr>
            </w:pPr>
            <w:r>
              <w:rPr>
                <w:rFonts w:ascii="Arial" w:cs="Arial" w:eastAsia="Arial" w:hAnsi="Arial"/>
                <w:sz w:val="14"/>
                <w:szCs w:val="14"/>
                <w:color w:val="0000FF"/>
              </w:rPr>
              <w:t>Certification of Chief Financial Officer pursuant to 18 U.S.C. Section 1350</w:t>
            </w:r>
          </w:p>
        </w:tc>
        <w:tc>
          <w:tcPr>
            <w:tcW w:w="140" w:type="dxa"/>
            <w:vAlign w:val="bottom"/>
            <w:gridSpan w:val="3"/>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140" w:type="dxa"/>
            <w:vAlign w:val="bottom"/>
          </w:tcPr>
          <w:p>
            <w:pPr>
              <w:jc w:val="center"/>
              <w:spacing w:after="0"/>
              <w:rPr>
                <w:sz w:val="20"/>
                <w:szCs w:val="20"/>
                <w:color w:val="auto"/>
              </w:rPr>
            </w:pPr>
            <w:r>
              <w:rPr>
                <w:rFonts w:ascii="Arial" w:cs="Arial" w:eastAsia="Arial" w:hAnsi="Arial"/>
                <w:sz w:val="14"/>
                <w:szCs w:val="14"/>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4"/>
          </w:tcPr>
          <w:p>
            <w:pPr>
              <w:spacing w:after="0"/>
              <w:rPr>
                <w:sz w:val="20"/>
                <w:szCs w:val="20"/>
                <w:color w:val="auto"/>
              </w:rPr>
            </w:pPr>
            <w:r>
              <w:rPr>
                <w:rFonts w:ascii="Arial" w:cs="Arial" w:eastAsia="Arial" w:hAnsi="Arial"/>
                <w:sz w:val="14"/>
                <w:szCs w:val="14"/>
                <w:color w:val="auto"/>
              </w:rPr>
              <w:t>Inline XBRL Instance Document – the instance document does not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20" w:type="dxa"/>
            <w:vAlign w:val="bottom"/>
            <w:gridSpan w:val="24"/>
          </w:tcPr>
          <w:p>
            <w:pPr>
              <w:spacing w:after="0"/>
              <w:rPr>
                <w:sz w:val="20"/>
                <w:szCs w:val="20"/>
                <w:color w:val="auto"/>
              </w:rPr>
            </w:pPr>
            <w:r>
              <w:rPr>
                <w:rFonts w:ascii="Arial" w:cs="Arial" w:eastAsia="Arial" w:hAnsi="Arial"/>
                <w:sz w:val="14"/>
                <w:szCs w:val="14"/>
                <w:color w:val="auto"/>
              </w:rPr>
              <w:t>appear in the Interactive Data File because its XBRL tags are embedded</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20" w:type="dxa"/>
            <w:vAlign w:val="bottom"/>
            <w:gridSpan w:val="24"/>
          </w:tcPr>
          <w:p>
            <w:pPr>
              <w:spacing w:after="0"/>
              <w:rPr>
                <w:sz w:val="20"/>
                <w:szCs w:val="20"/>
                <w:color w:val="auto"/>
              </w:rPr>
            </w:pPr>
            <w:r>
              <w:rPr>
                <w:rFonts w:ascii="Arial" w:cs="Arial" w:eastAsia="Arial" w:hAnsi="Arial"/>
                <w:sz w:val="14"/>
                <w:szCs w:val="14"/>
                <w:color w:val="auto"/>
              </w:rPr>
              <w:t>within the Inline XBRL document</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40" w:type="dxa"/>
            <w:vAlign w:val="bottom"/>
          </w:tcPr>
          <w:p>
            <w:pPr>
              <w:jc w:val="center"/>
              <w:spacing w:after="0"/>
              <w:rPr>
                <w:sz w:val="20"/>
                <w:szCs w:val="20"/>
                <w:color w:val="auto"/>
              </w:rPr>
            </w:pPr>
            <w:r>
              <w:rPr>
                <w:rFonts w:ascii="Arial" w:cs="Arial" w:eastAsia="Arial" w:hAnsi="Arial"/>
                <w:sz w:val="14"/>
                <w:szCs w:val="14"/>
                <w:color w:val="auto"/>
              </w:rPr>
              <w:t>101.SCH</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20" w:type="dxa"/>
            <w:vAlign w:val="bottom"/>
            <w:gridSpan w:val="24"/>
          </w:tcPr>
          <w:p>
            <w:pPr>
              <w:spacing w:after="0"/>
              <w:rPr>
                <w:sz w:val="20"/>
                <w:szCs w:val="20"/>
                <w:color w:val="auto"/>
              </w:rPr>
            </w:pPr>
            <w:r>
              <w:rPr>
                <w:rFonts w:ascii="Arial" w:cs="Arial" w:eastAsia="Arial" w:hAnsi="Arial"/>
                <w:sz w:val="14"/>
                <w:szCs w:val="14"/>
                <w:color w:val="auto"/>
              </w:rPr>
              <w:t>Inline XBRL Taxonomy Extension Schema Document</w:t>
            </w: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140" w:type="dxa"/>
            <w:vAlign w:val="bottom"/>
          </w:tcPr>
          <w:p>
            <w:pPr>
              <w:jc w:val="center"/>
              <w:spacing w:after="0"/>
              <w:rPr>
                <w:sz w:val="20"/>
                <w:szCs w:val="20"/>
                <w:color w:val="auto"/>
              </w:rPr>
            </w:pPr>
            <w:r>
              <w:rPr>
                <w:rFonts w:ascii="Arial" w:cs="Arial" w:eastAsia="Arial" w:hAnsi="Arial"/>
                <w:sz w:val="14"/>
                <w:szCs w:val="14"/>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4"/>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40" w:type="dxa"/>
            <w:vAlign w:val="bottom"/>
          </w:tcPr>
          <w:p>
            <w:pPr>
              <w:jc w:val="center"/>
              <w:spacing w:after="0"/>
              <w:rPr>
                <w:sz w:val="20"/>
                <w:szCs w:val="20"/>
                <w:color w:val="auto"/>
              </w:rPr>
            </w:pPr>
            <w:r>
              <w:rPr>
                <w:rFonts w:ascii="Arial" w:cs="Arial" w:eastAsia="Arial" w:hAnsi="Arial"/>
                <w:sz w:val="14"/>
                <w:szCs w:val="14"/>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4"/>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40" w:type="dxa"/>
            <w:vAlign w:val="bottom"/>
          </w:tcPr>
          <w:p>
            <w:pPr>
              <w:jc w:val="center"/>
              <w:spacing w:after="0"/>
              <w:rPr>
                <w:sz w:val="20"/>
                <w:szCs w:val="20"/>
                <w:color w:val="auto"/>
              </w:rPr>
            </w:pPr>
            <w:r>
              <w:rPr>
                <w:rFonts w:ascii="Arial" w:cs="Arial" w:eastAsia="Arial" w:hAnsi="Arial"/>
                <w:sz w:val="14"/>
                <w:szCs w:val="14"/>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4"/>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40" w:type="dxa"/>
            <w:vAlign w:val="bottom"/>
          </w:tcPr>
          <w:p>
            <w:pPr>
              <w:jc w:val="center"/>
              <w:spacing w:after="0"/>
              <w:rPr>
                <w:sz w:val="20"/>
                <w:szCs w:val="20"/>
                <w:color w:val="auto"/>
              </w:rPr>
            </w:pPr>
            <w:r>
              <w:rPr>
                <w:rFonts w:ascii="Arial" w:cs="Arial" w:eastAsia="Arial" w:hAnsi="Arial"/>
                <w:sz w:val="14"/>
                <w:szCs w:val="14"/>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4"/>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260" w:right="4800" w:hanging="805"/>
        <w:spacing w:after="0" w:line="293" w:lineRule="auto"/>
        <w:tabs>
          <w:tab w:leader="none" w:pos="1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Filed/</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Furnished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23495</wp:posOffset>
            </wp:positionV>
            <wp:extent cx="6515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9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307" w:lineRule="exact"/>
        <w:rPr>
          <w:sz w:val="20"/>
          <w:szCs w:val="20"/>
          <w:color w:val="auto"/>
        </w:rPr>
      </w:pPr>
    </w:p>
    <w:p>
      <w:pPr>
        <w:sectPr>
          <w:pgSz w:w="11900" w:h="16838" w:orient="portrait"/>
          <w:cols w:equalWidth="0" w:num="2">
            <w:col w:w="10100" w:space="280"/>
            <w:col w:w="860"/>
          </w:cols>
          <w:pgMar w:left="320" w:top="125" w:right="339" w:bottom="1440" w:gutter="0" w:footer="0" w:header="0"/>
        </w:sectPr>
      </w:pPr>
    </w:p>
    <w:p>
      <w:pPr>
        <w:spacing w:after="0"/>
        <w:rPr>
          <w:sz w:val="20"/>
          <w:szCs w:val="20"/>
          <w:color w:val="auto"/>
        </w:rPr>
      </w:pPr>
      <w:r>
        <w:rPr>
          <w:rFonts w:ascii="Arial" w:cs="Arial" w:eastAsia="Arial" w:hAnsi="Arial"/>
          <w:sz w:val="16"/>
          <w:szCs w:val="16"/>
          <w:color w:val="auto"/>
        </w:rPr>
        <w:t>______________________</w:t>
      </w:r>
    </w:p>
    <w:p>
      <w:pPr>
        <w:spacing w:after="0" w:line="1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11" w:lineRule="exact"/>
        <w:rPr>
          <w:sz w:val="20"/>
          <w:szCs w:val="20"/>
          <w:color w:val="auto"/>
        </w:rPr>
      </w:pPr>
    </w:p>
    <w:p>
      <w:pPr>
        <w:ind w:left="340" w:hanging="332"/>
        <w:spacing w:after="0" w:line="270" w:lineRule="auto"/>
        <w:tabs>
          <w:tab w:leader="none" w:pos="3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annexes, schedules, and certain exhibits to this Exhibit have been omitted pursuant to Item 601(a)(5) of Regulation S-K. The Registrant hereby agrees to furnish supplementally a copy of any omitted annex, schedule or exhibit to the SEC upon request.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7780" w:type="dxa"/>
            <w:vAlign w:val="bottom"/>
            <w:gridSpan w:val="2"/>
          </w:tcPr>
          <w:p>
            <w:pPr>
              <w:ind w:left="1900"/>
              <w:spacing w:after="0"/>
              <w:rPr>
                <w:sz w:val="20"/>
                <w:szCs w:val="20"/>
                <w:color w:val="auto"/>
              </w:rPr>
            </w:pPr>
            <w:r>
              <w:rPr>
                <w:rFonts w:ascii="Arial" w:cs="Arial" w:eastAsia="Arial" w:hAnsi="Arial"/>
                <w:sz w:val="16"/>
                <w:szCs w:val="16"/>
                <w:color w:val="auto"/>
              </w:rPr>
              <w:t>GOODRX HOLDINGS, INC.</w:t>
            </w:r>
          </w:p>
        </w:tc>
      </w:tr>
      <w:tr>
        <w:trPr>
          <w:trHeight w:val="526"/>
        </w:trPr>
        <w:tc>
          <w:tcPr>
            <w:tcW w:w="3420" w:type="dxa"/>
            <w:vAlign w:val="bottom"/>
          </w:tcPr>
          <w:p>
            <w:pPr>
              <w:spacing w:after="0"/>
              <w:rPr>
                <w:sz w:val="20"/>
                <w:szCs w:val="20"/>
                <w:color w:val="auto"/>
              </w:rPr>
            </w:pPr>
            <w:r>
              <w:rPr>
                <w:rFonts w:ascii="Arial" w:cs="Arial" w:eastAsia="Arial" w:hAnsi="Arial"/>
                <w:sz w:val="16"/>
                <w:szCs w:val="16"/>
                <w:color w:val="auto"/>
              </w:rPr>
              <w:t>Date: August 9, 2023</w:t>
            </w:r>
          </w:p>
        </w:tc>
        <w:tc>
          <w:tcPr>
            <w:tcW w:w="2460" w:type="dxa"/>
            <w:vAlign w:val="bottom"/>
          </w:tcPr>
          <w:p>
            <w:pPr>
              <w:ind w:left="1900"/>
              <w:spacing w:after="0"/>
              <w:rPr>
                <w:sz w:val="20"/>
                <w:szCs w:val="20"/>
                <w:color w:val="auto"/>
              </w:rPr>
            </w:pPr>
            <w:r>
              <w:rPr>
                <w:rFonts w:ascii="Arial" w:cs="Arial" w:eastAsia="Arial" w:hAnsi="Arial"/>
                <w:sz w:val="16"/>
                <w:szCs w:val="16"/>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Wagner</w:t>
            </w:r>
          </w:p>
        </w:tc>
      </w:tr>
      <w:tr>
        <w:trPr>
          <w:trHeight w:val="224"/>
        </w:trPr>
        <w:tc>
          <w:tcPr>
            <w:tcW w:w="3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6"/>
                <w:szCs w:val="16"/>
                <w:color w:val="auto"/>
              </w:rPr>
              <w:t>Scott Wagner</w:t>
            </w:r>
          </w:p>
        </w:tc>
      </w:tr>
      <w:tr>
        <w:trPr>
          <w:trHeight w:val="243"/>
        </w:trPr>
        <w:tc>
          <w:tcPr>
            <w:tcW w:w="34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6"/>
                <w:szCs w:val="16"/>
                <w:color w:val="auto"/>
              </w:rPr>
              <w:t>Interim Chief Executive Officer</w:t>
            </w:r>
          </w:p>
        </w:tc>
      </w:tr>
      <w:tr>
        <w:trPr>
          <w:trHeight w:val="243"/>
        </w:trPr>
        <w:tc>
          <w:tcPr>
            <w:tcW w:w="34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r>
      <w:tr>
        <w:trPr>
          <w:trHeight w:val="526"/>
        </w:trPr>
        <w:tc>
          <w:tcPr>
            <w:tcW w:w="3420" w:type="dxa"/>
            <w:vAlign w:val="bottom"/>
          </w:tcPr>
          <w:p>
            <w:pPr>
              <w:spacing w:after="0"/>
              <w:rPr>
                <w:sz w:val="20"/>
                <w:szCs w:val="20"/>
                <w:color w:val="auto"/>
              </w:rPr>
            </w:pPr>
            <w:r>
              <w:rPr>
                <w:rFonts w:ascii="Arial" w:cs="Arial" w:eastAsia="Arial" w:hAnsi="Arial"/>
                <w:sz w:val="16"/>
                <w:szCs w:val="16"/>
                <w:color w:val="auto"/>
              </w:rPr>
              <w:t>Date: August 9, 2023</w:t>
            </w:r>
          </w:p>
        </w:tc>
        <w:tc>
          <w:tcPr>
            <w:tcW w:w="2460" w:type="dxa"/>
            <w:vAlign w:val="bottom"/>
          </w:tcPr>
          <w:p>
            <w:pPr>
              <w:ind w:left="1900"/>
              <w:spacing w:after="0"/>
              <w:rPr>
                <w:sz w:val="20"/>
                <w:szCs w:val="20"/>
                <w:color w:val="auto"/>
              </w:rPr>
            </w:pPr>
            <w:r>
              <w:rPr>
                <w:rFonts w:ascii="Arial" w:cs="Arial" w:eastAsia="Arial" w:hAnsi="Arial"/>
                <w:sz w:val="16"/>
                <w:szCs w:val="16"/>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Karsten Voermann</w:t>
            </w:r>
          </w:p>
        </w:tc>
      </w:tr>
      <w:tr>
        <w:trPr>
          <w:trHeight w:val="223"/>
        </w:trPr>
        <w:tc>
          <w:tcPr>
            <w:tcW w:w="3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6"/>
                <w:szCs w:val="16"/>
                <w:color w:val="auto"/>
              </w:rPr>
              <w:t>Karsten Voermann</w:t>
            </w:r>
          </w:p>
        </w:tc>
      </w:tr>
      <w:tr>
        <w:trPr>
          <w:trHeight w:val="243"/>
        </w:trPr>
        <w:tc>
          <w:tcPr>
            <w:tcW w:w="34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57"/>
        </w:trPr>
        <w:tc>
          <w:tcPr>
            <w:tcW w:w="34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532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r>
      <w:tr>
        <w:trPr>
          <w:trHeight w:val="512"/>
        </w:trPr>
        <w:tc>
          <w:tcPr>
            <w:tcW w:w="3420" w:type="dxa"/>
            <w:vAlign w:val="bottom"/>
          </w:tcPr>
          <w:p>
            <w:pPr>
              <w:spacing w:after="0"/>
              <w:rPr>
                <w:sz w:val="20"/>
                <w:szCs w:val="20"/>
                <w:color w:val="auto"/>
              </w:rPr>
            </w:pPr>
            <w:r>
              <w:rPr>
                <w:rFonts w:ascii="Arial" w:cs="Arial" w:eastAsia="Arial" w:hAnsi="Arial"/>
                <w:sz w:val="16"/>
                <w:szCs w:val="16"/>
                <w:color w:val="auto"/>
              </w:rPr>
              <w:t>Date: August 9, 2023</w:t>
            </w:r>
          </w:p>
        </w:tc>
        <w:tc>
          <w:tcPr>
            <w:tcW w:w="2460" w:type="dxa"/>
            <w:vAlign w:val="bottom"/>
          </w:tcPr>
          <w:p>
            <w:pPr>
              <w:ind w:left="1900"/>
              <w:spacing w:after="0"/>
              <w:rPr>
                <w:sz w:val="20"/>
                <w:szCs w:val="20"/>
                <w:color w:val="auto"/>
              </w:rPr>
            </w:pPr>
            <w:r>
              <w:rPr>
                <w:rFonts w:ascii="Arial" w:cs="Arial" w:eastAsia="Arial" w:hAnsi="Arial"/>
                <w:sz w:val="16"/>
                <w:szCs w:val="16"/>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Romin Nabiey</w:t>
            </w:r>
          </w:p>
        </w:tc>
      </w:tr>
      <w:tr>
        <w:trPr>
          <w:trHeight w:val="224"/>
        </w:trPr>
        <w:tc>
          <w:tcPr>
            <w:tcW w:w="3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6"/>
                <w:szCs w:val="16"/>
                <w:color w:val="auto"/>
              </w:rPr>
              <w:t>Romin Nabiey</w:t>
            </w:r>
          </w:p>
        </w:tc>
      </w:tr>
      <w:tr>
        <w:trPr>
          <w:trHeight w:val="243"/>
        </w:trPr>
        <w:tc>
          <w:tcPr>
            <w:tcW w:w="34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6"/>
                <w:szCs w:val="16"/>
                <w:color w:val="auto"/>
              </w:rPr>
              <w:t>Chief Accounting Officer</w:t>
            </w:r>
          </w:p>
        </w:tc>
      </w:tr>
    </w:tbl>
    <w:p>
      <w:pPr>
        <w:spacing w:after="0" w:line="46" w:lineRule="exact"/>
        <w:rPr>
          <w:sz w:val="20"/>
          <w:szCs w:val="20"/>
          <w:color w:val="auto"/>
        </w:rPr>
      </w:pPr>
    </w:p>
    <w:p>
      <w:pPr>
        <w:ind w:left="5920"/>
        <w:spacing w:after="0"/>
        <w:rPr>
          <w:sz w:val="20"/>
          <w:szCs w:val="20"/>
          <w:color w:val="auto"/>
        </w:rPr>
      </w:pPr>
      <w:r>
        <w:rPr>
          <w:rFonts w:ascii="Arial" w:cs="Arial" w:eastAsia="Arial" w:hAnsi="Arial"/>
          <w:sz w:val="16"/>
          <w:szCs w:val="16"/>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i w:val="1"/>
          <w:iCs w:val="1"/>
          <w:color w:val="auto"/>
        </w:rPr>
        <w:t>Exhibit 10.5</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Executed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auto"/>
        </w:rPr>
        <w:t>THIRD AMENDMENT TO FIRST LIEN CREDIT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THIS THIRD AMENDMENT TO  FIRST LIEN  CREDIT AGREEMENT</w:t>
      </w:r>
      <w:r>
        <w:rPr>
          <w:rFonts w:ascii="Arial" w:cs="Arial" w:eastAsia="Arial" w:hAnsi="Arial"/>
          <w:sz w:val="20"/>
          <w:szCs w:val="20"/>
          <w:color w:val="auto"/>
        </w:rPr>
        <w:t>,  dated  as  of  June  29,  2023  (this</w:t>
      </w:r>
    </w:p>
    <w:p>
      <w:pPr>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by and among GOODRX,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each of the Revolving Lenders, and BARCLAYS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BANK PLC (“</w:t>
      </w:r>
      <w:r>
        <w:rPr>
          <w:rFonts w:ascii="Arial" w:cs="Arial" w:eastAsia="Arial" w:hAnsi="Arial"/>
          <w:sz w:val="18"/>
          <w:szCs w:val="18"/>
          <w:u w:val="single" w:color="auto"/>
          <w:color w:val="auto"/>
        </w:rPr>
        <w:t>Barclays</w:t>
      </w:r>
      <w:r>
        <w:rPr>
          <w:rFonts w:ascii="Arial" w:cs="Arial" w:eastAsia="Arial" w:hAnsi="Arial"/>
          <w:sz w:val="18"/>
          <w:szCs w:val="18"/>
          <w:color w:val="auto"/>
        </w:rPr>
        <w:t xml:space="preserve"> ”),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amends that certain First Lien Credit Agreement, dated as of October 12, 2018 (as amended by that certain First Incremental Credit Facility Amendment to First Lien Credit</w:t>
      </w:r>
    </w:p>
    <w:p>
      <w:pPr>
        <w:spacing w:after="0" w:line="236" w:lineRule="auto"/>
        <w:rPr>
          <w:sz w:val="20"/>
          <w:szCs w:val="20"/>
          <w:color w:val="auto"/>
        </w:rPr>
      </w:pPr>
      <w:r>
        <w:rPr>
          <w:rFonts w:ascii="Arial" w:cs="Arial" w:eastAsia="Arial" w:hAnsi="Arial"/>
          <w:sz w:val="18"/>
          <w:szCs w:val="18"/>
          <w:color w:val="auto"/>
        </w:rPr>
        <w:t>Agreement, dated as of November 1, 2019, that certain Second Incremental Credit Facility Amendment to First Lien Credit Agreement, dated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as of May 12, 2020, and as further amended, restated, amended and restated, supplemented or otherwise modified prior to the date hereof,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the Borrower, Holdings, the Guarantors party thereto, the Lenders party thereto and the Administrative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Agent and the Collateral Agent. Capitalized terms used herein without definition shall have the same meanings herein as set forth in the Credit Agreement after giving effect to this Amendment.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and in accordance with</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2.14</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9.02(b)(i)</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Credit Agreement, on the terms</w:t>
      </w:r>
    </w:p>
    <w:p>
      <w:pPr>
        <w:spacing w:after="0" w:line="220" w:lineRule="auto"/>
        <w:rPr>
          <w:sz w:val="20"/>
          <w:szCs w:val="20"/>
          <w:color w:val="auto"/>
        </w:rPr>
      </w:pPr>
      <w:r>
        <w:rPr>
          <w:rFonts w:ascii="Arial" w:cs="Arial" w:eastAsia="Arial" w:hAnsi="Arial"/>
          <w:sz w:val="20"/>
          <w:szCs w:val="20"/>
          <w:color w:val="auto"/>
        </w:rPr>
        <w:t xml:space="preserve">and subject to the conditions set forth herein, the parties hereto have agreed to amend the Credit Agreement in the manner set forth in </w:t>
      </w:r>
      <w:r>
        <w:rPr>
          <w:rFonts w:ascii="Arial" w:cs="Arial" w:eastAsia="Arial" w:hAnsi="Arial"/>
          <w:sz w:val="20"/>
          <w:szCs w:val="20"/>
          <w:u w:val="single" w:color="auto"/>
          <w:color w:val="auto"/>
        </w:rPr>
        <w:t>Section I</w:t>
      </w:r>
      <w:r>
        <w:rPr>
          <w:rFonts w:ascii="Arial" w:cs="Arial" w:eastAsia="Arial" w:hAnsi="Arial"/>
          <w:sz w:val="20"/>
          <w:szCs w:val="20"/>
          <w:color w:val="auto"/>
        </w:rPr>
        <w:t xml:space="preserve"> of this Amendment (the Credit Agreement as so amended, the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 and</w:t>
      </w:r>
    </w:p>
    <w:p>
      <w:pPr>
        <w:spacing w:after="0" w:line="164" w:lineRule="exact"/>
        <w:rPr>
          <w:sz w:val="20"/>
          <w:szCs w:val="20"/>
          <w:color w:val="auto"/>
        </w:rPr>
      </w:pPr>
    </w:p>
    <w:p>
      <w:pPr>
        <w:ind w:firstLine="1296"/>
        <w:spacing w:after="0" w:line="23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agreements, provisions and covenants herein contained,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agree as follows:</w:t>
      </w:r>
    </w:p>
    <w:p>
      <w:pPr>
        <w:spacing w:after="0" w:line="16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Section I.</w:t>
      </w:r>
      <w:r>
        <w:rPr>
          <w:sz w:val="20"/>
          <w:szCs w:val="20"/>
          <w:color w:val="auto"/>
        </w:rPr>
        <w:tab/>
      </w:r>
      <w:r>
        <w:rPr>
          <w:rFonts w:ascii="Arial" w:cs="Arial" w:eastAsia="Arial" w:hAnsi="Arial"/>
          <w:sz w:val="16"/>
          <w:szCs w:val="16"/>
          <w:b w:val="1"/>
          <w:bCs w:val="1"/>
          <w:u w:val="single" w:color="auto"/>
          <w:color w:val="auto"/>
        </w:rPr>
        <w:t>Amendments to the Credit Agreement.</w:t>
      </w:r>
    </w:p>
    <w:p>
      <w:pPr>
        <w:spacing w:after="0" w:line="195" w:lineRule="exact"/>
        <w:rPr>
          <w:sz w:val="20"/>
          <w:szCs w:val="20"/>
          <w:color w:val="auto"/>
        </w:rPr>
      </w:pPr>
    </w:p>
    <w:p>
      <w:pPr>
        <w:ind w:left="1300" w:hanging="1073"/>
        <w:spacing w:after="0" w:line="221" w:lineRule="auto"/>
        <w:tabs>
          <w:tab w:leader="none" w:pos="578"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The Borrower, the Revolving Lenders and the Administrative Agent agree that, on the Effective Date, the Credit Agreement is hereby amended to delete the stricken text (indicated textually in the same manner as the following example: </w:t>
      </w:r>
      <w:r>
        <w:rPr>
          <w:rFonts w:ascii="Arial" w:cs="Arial" w:eastAsia="Arial" w:hAnsi="Arial"/>
          <w:sz w:val="19"/>
          <w:szCs w:val="19"/>
          <w:color w:val="FF0000"/>
          <w:strike w:val="1"/>
        </w:rPr>
        <w:t>stricken text</w:t>
      </w:r>
      <w:r>
        <w:rPr>
          <w:rFonts w:ascii="Arial" w:cs="Arial" w:eastAsia="Arial" w:hAnsi="Arial"/>
          <w:sz w:val="19"/>
          <w:szCs w:val="19"/>
          <w:color w:val="auto"/>
        </w:rPr>
        <w:t xml:space="preserve">) and to add the double-underlined text (indicated textually in the same manner as the following example: </w:t>
      </w:r>
      <w:r>
        <w:rPr>
          <w:rFonts w:ascii="Arial" w:cs="Arial" w:eastAsia="Arial" w:hAnsi="Arial"/>
          <w:sz w:val="19"/>
          <w:szCs w:val="19"/>
          <w:u w:val="single" w:color="auto"/>
          <w:color w:val="0000FF"/>
        </w:rPr>
        <w:t>double-underlined text</w:t>
      </w:r>
      <w:r>
        <w:rPr>
          <w:rFonts w:ascii="Arial" w:cs="Arial" w:eastAsia="Arial" w:hAnsi="Arial"/>
          <w:sz w:val="19"/>
          <w:szCs w:val="19"/>
          <w:color w:val="auto"/>
        </w:rPr>
        <w:t xml:space="preserve">) as set forth in the pages of the Amended Credit Agreement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w:t>
      </w:r>
      <w:r>
        <w:rPr>
          <w:rFonts w:ascii="Arial" w:cs="Arial" w:eastAsia="Arial" w:hAnsi="Arial"/>
          <w:sz w:val="19"/>
          <w:szCs w:val="19"/>
          <w:i w:val="1"/>
          <w:iCs w:val="1"/>
          <w:color w:val="auto"/>
        </w:rPr>
        <w:t>provided</w:t>
      </w:r>
      <w:r>
        <w:rPr>
          <w:rFonts w:ascii="Arial" w:cs="Arial" w:eastAsia="Arial" w:hAnsi="Arial"/>
          <w:sz w:val="19"/>
          <w:szCs w:val="19"/>
          <w:color w:val="auto"/>
        </w:rPr>
        <w:t>, that notwithstanding the foregoing, (x) all outstanding Revolving Loans that are Eurocurrency Loans (as defined in the Credit Agreement) immediately prior to the effectiveness of this Amendment (the “</w:t>
      </w:r>
      <w:r>
        <w:rPr>
          <w:rFonts w:ascii="Arial" w:cs="Arial" w:eastAsia="Arial" w:hAnsi="Arial"/>
          <w:sz w:val="19"/>
          <w:szCs w:val="19"/>
          <w:u w:val="single" w:color="auto"/>
          <w:color w:val="auto"/>
        </w:rPr>
        <w:t>Existing LIBOR Loans</w:t>
      </w:r>
      <w:r>
        <w:rPr>
          <w:rFonts w:ascii="Arial" w:cs="Arial" w:eastAsia="Arial" w:hAnsi="Arial"/>
          <w:sz w:val="19"/>
          <w:szCs w:val="19"/>
          <w:color w:val="auto"/>
        </w:rPr>
        <w:t>”), shall continue to bear interest based on the Eurocurrency Rate (as defined in the Credit Agreement) until the last day of each Interest Period applicable to such Loans and thereafter, all Interest Periods for such Loans shall be selected in accordance with the Credit Agreement as amended by this Amendment and (y) the terms of the Credit Agreement in respect of the calculation, payment and administration of the Existing LIBOR Loans shall remain in effect from and after the effectiveness of this Amendment, in each case, solely for purposes of making, and the administration of, interest payments on the Existing LIBOR Loans until the last day of each Interest Period applicable to such Loans;</w:t>
      </w:r>
    </w:p>
    <w:p>
      <w:pPr>
        <w:spacing w:after="0" w:line="177" w:lineRule="exact"/>
        <w:rPr>
          <w:rFonts w:ascii="Arial" w:cs="Arial" w:eastAsia="Arial" w:hAnsi="Arial"/>
          <w:sz w:val="19"/>
          <w:szCs w:val="19"/>
          <w:color w:val="auto"/>
        </w:rPr>
      </w:pPr>
    </w:p>
    <w:p>
      <w:pPr>
        <w:ind w:left="1300" w:hanging="1067"/>
        <w:spacing w:after="0" w:line="229" w:lineRule="auto"/>
        <w:tabs>
          <w:tab w:leader="none" w:pos="658" w:val="left"/>
        </w:tabs>
        <w:numPr>
          <w:ilvl w:val="0"/>
          <w:numId w:val="19"/>
        </w:numPr>
        <w:rPr>
          <w:rFonts w:ascii="Arial" w:cs="Arial" w:eastAsia="Arial" w:hAnsi="Arial"/>
          <w:sz w:val="20"/>
          <w:szCs w:val="20"/>
          <w:color w:val="auto"/>
        </w:rPr>
      </w:pPr>
      <w:r>
        <w:rPr>
          <w:rFonts w:ascii="Arial" w:cs="Arial" w:eastAsia="Arial" w:hAnsi="Arial"/>
          <w:sz w:val="20"/>
          <w:szCs w:val="20"/>
          <w:color w:val="auto"/>
        </w:rPr>
        <w:t>Exhibit A to the Credit Agreement is hereby amended and restated in the form of the Form of Borrowing Request attached hereto as Exhibit B; and</w:t>
      </w:r>
    </w:p>
    <w:p>
      <w:pPr>
        <w:spacing w:after="0" w:line="169" w:lineRule="exact"/>
        <w:rPr>
          <w:sz w:val="20"/>
          <w:szCs w:val="20"/>
          <w:color w:val="auto"/>
        </w:rPr>
      </w:pPr>
    </w:p>
    <w:p>
      <w:pPr>
        <w:ind w:left="1300" w:hanging="1024"/>
        <w:spacing w:after="0" w:line="236" w:lineRule="auto"/>
        <w:tabs>
          <w:tab w:leader="none" w:pos="743" w:val="left"/>
        </w:tabs>
        <w:numPr>
          <w:ilvl w:val="0"/>
          <w:numId w:val="20"/>
        </w:numPr>
        <w:rPr>
          <w:rFonts w:ascii="Arial" w:cs="Arial" w:eastAsia="Arial" w:hAnsi="Arial"/>
          <w:sz w:val="20"/>
          <w:szCs w:val="20"/>
          <w:color w:val="auto"/>
        </w:rPr>
      </w:pPr>
      <w:r>
        <w:rPr>
          <w:rFonts w:ascii="Arial" w:cs="Arial" w:eastAsia="Arial" w:hAnsi="Arial"/>
          <w:sz w:val="20"/>
          <w:szCs w:val="20"/>
          <w:color w:val="auto"/>
        </w:rPr>
        <w:t>Exhibit B to the Credit Agreement is hereby amended and restated in the form of the Form of Interest Election Request attached hereto as Exhibit C;</w:t>
      </w:r>
    </w:p>
    <w:p>
      <w:pPr>
        <w:spacing w:after="0" w:line="155"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 that the Schedules and Exhibits to the Credit Agreement shall remain in effect without any amendment or other</w:t>
      </w:r>
      <w:r>
        <w:rPr>
          <w:rFonts w:ascii="Arial" w:cs="Arial" w:eastAsia="Arial" w:hAnsi="Arial"/>
          <w:sz w:val="20"/>
          <w:szCs w:val="20"/>
          <w:i w:val="1"/>
          <w:iCs w:val="1"/>
          <w:color w:val="auto"/>
        </w:rPr>
        <w:t xml:space="preserve"> </w:t>
      </w:r>
      <w:r>
        <w:rPr>
          <w:rFonts w:ascii="Arial" w:cs="Arial" w:eastAsia="Arial" w:hAnsi="Arial"/>
          <w:sz w:val="20"/>
          <w:szCs w:val="20"/>
          <w:color w:val="auto"/>
        </w:rPr>
        <w:t>modification thereto.</w:t>
      </w:r>
    </w:p>
    <w:p>
      <w:pPr>
        <w:spacing w:after="0" w:line="163"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Section II.</w:t>
      </w:r>
      <w:r>
        <w:rPr>
          <w:sz w:val="20"/>
          <w:szCs w:val="20"/>
          <w:color w:val="auto"/>
        </w:rPr>
        <w:tab/>
      </w:r>
      <w:r>
        <w:rPr>
          <w:rFonts w:ascii="Arial" w:cs="Arial" w:eastAsia="Arial" w:hAnsi="Arial"/>
          <w:sz w:val="16"/>
          <w:szCs w:val="16"/>
          <w:b w:val="1"/>
          <w:bCs w:val="1"/>
          <w:u w:val="single" w:color="auto"/>
          <w:color w:val="auto"/>
        </w:rPr>
        <w:t>Conditions Precedent</w:t>
      </w:r>
      <w:r>
        <w:rPr>
          <w:rFonts w:ascii="Arial" w:cs="Arial" w:eastAsia="Arial" w:hAnsi="Arial"/>
          <w:sz w:val="16"/>
          <w:szCs w:val="16"/>
          <w:color w:val="auto"/>
        </w:rPr>
        <w:t>.</w:t>
      </w:r>
    </w:p>
    <w:p>
      <w:pPr>
        <w:sectPr>
          <w:pgSz w:w="11900" w:h="16838" w:orient="portrait"/>
          <w:cols w:equalWidth="0" w:num="1">
            <w:col w:w="11240"/>
          </w:cols>
          <w:pgMar w:left="320" w:top="104" w:right="339" w:bottom="1440" w:gutter="0" w:footer="0" w:header="0"/>
        </w:sectPr>
      </w:pPr>
    </w:p>
    <w:bookmarkStart w:id="38" w:name="page39"/>
    <w:bookmarkEnd w:id="38"/>
    <w:p>
      <w:pPr>
        <w:spacing w:after="0" w:line="87" w:lineRule="exact"/>
        <w:rPr>
          <w:sz w:val="20"/>
          <w:szCs w:val="20"/>
          <w:color w:val="auto"/>
        </w:rPr>
      </w:pPr>
    </w:p>
    <w:p>
      <w:pPr>
        <w:ind w:firstLine="205"/>
        <w:spacing w:after="0" w:line="229" w:lineRule="auto"/>
        <w:rPr>
          <w:sz w:val="20"/>
          <w:szCs w:val="20"/>
          <w:color w:val="auto"/>
        </w:rPr>
      </w:pPr>
      <w:r>
        <w:rPr>
          <w:rFonts w:ascii="Arial" w:cs="Arial" w:eastAsia="Arial" w:hAnsi="Arial"/>
          <w:sz w:val="20"/>
          <w:szCs w:val="20"/>
          <w:color w:val="auto"/>
        </w:rPr>
        <w:t>The effectiveness of this Amendment is subject to the satisfaction or waiver of the following conditions (the date on which such conditions are satisfied or waived,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69" w:lineRule="exact"/>
        <w:rPr>
          <w:sz w:val="20"/>
          <w:szCs w:val="20"/>
          <w:color w:val="auto"/>
        </w:rPr>
      </w:pPr>
    </w:p>
    <w:p>
      <w:pPr>
        <w:ind w:left="1000" w:hanging="344"/>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Amendment shall have been duly executed by each of the Borrower, each Revolving Lender and the Administrative Agent.</w:t>
      </w: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Section III.</w:t>
      </w:r>
      <w:r>
        <w:rPr>
          <w:sz w:val="20"/>
          <w:szCs w:val="20"/>
          <w:color w:val="auto"/>
        </w:rPr>
        <w:tab/>
      </w:r>
      <w:r>
        <w:rPr>
          <w:rFonts w:ascii="Arial" w:cs="Arial" w:eastAsia="Arial" w:hAnsi="Arial"/>
          <w:sz w:val="16"/>
          <w:szCs w:val="16"/>
          <w:b w:val="1"/>
          <w:bCs w:val="1"/>
          <w:u w:val="single" w:color="auto"/>
          <w:color w:val="auto"/>
        </w:rPr>
        <w:t>Miscellaneous.</w:t>
      </w:r>
    </w:p>
    <w:p>
      <w:pPr>
        <w:spacing w:after="0" w:line="175" w:lineRule="exact"/>
        <w:rPr>
          <w:sz w:val="20"/>
          <w:szCs w:val="20"/>
          <w:color w:val="auto"/>
        </w:rPr>
      </w:pPr>
    </w:p>
    <w:p>
      <w:pPr>
        <w:ind w:left="1300" w:right="120" w:hanging="644"/>
        <w:spacing w:after="0" w:line="230" w:lineRule="auto"/>
        <w:tabs>
          <w:tab w:leader="none" w:pos="987" w:val="left"/>
        </w:tabs>
        <w:numPr>
          <w:ilvl w:val="0"/>
          <w:numId w:val="22"/>
        </w:numPr>
        <w:rPr>
          <w:rFonts w:ascii="Arial" w:cs="Arial" w:eastAsia="Arial" w:hAnsi="Arial"/>
          <w:sz w:val="20"/>
          <w:szCs w:val="20"/>
          <w:color w:val="auto"/>
        </w:rPr>
      </w:pPr>
      <w:r>
        <w:rPr>
          <w:rFonts w:ascii="Arial" w:cs="Arial" w:eastAsia="Arial" w:hAnsi="Arial"/>
          <w:sz w:val="20"/>
          <w:szCs w:val="20"/>
          <w:b w:val="1"/>
          <w:bCs w:val="1"/>
          <w:color w:val="auto"/>
        </w:rPr>
        <w:t>Representations and Warranties</w:t>
      </w:r>
      <w:r>
        <w:rPr>
          <w:rFonts w:ascii="Arial" w:cs="Arial" w:eastAsia="Arial" w:hAnsi="Arial"/>
          <w:sz w:val="20"/>
          <w:szCs w:val="20"/>
          <w:color w:val="auto"/>
        </w:rPr>
        <w:t>. On and as of the Effective Date, (i) the Borrower has the organizational or constitutional</w:t>
      </w:r>
      <w:r>
        <w:rPr>
          <w:rFonts w:ascii="Arial" w:cs="Arial" w:eastAsia="Arial" w:hAnsi="Arial"/>
          <w:sz w:val="20"/>
          <w:szCs w:val="20"/>
          <w:b w:val="1"/>
          <w:bCs w:val="1"/>
          <w:color w:val="auto"/>
        </w:rPr>
        <w:t xml:space="preserve"> </w:t>
      </w:r>
      <w:r>
        <w:rPr>
          <w:rFonts w:ascii="Arial" w:cs="Arial" w:eastAsia="Arial" w:hAnsi="Arial"/>
          <w:sz w:val="20"/>
          <w:szCs w:val="20"/>
          <w:color w:val="auto"/>
        </w:rPr>
        <w:t>power and authority to execute, deliver and perform its obligations under this Amendment and (ii) the Amendment has been duly authorized by all other necessary organizational action by the Borrower.</w:t>
      </w:r>
    </w:p>
    <w:p>
      <w:pPr>
        <w:spacing w:after="0" w:line="148" w:lineRule="exact"/>
        <w:rPr>
          <w:rFonts w:ascii="Arial" w:cs="Arial" w:eastAsia="Arial" w:hAnsi="Arial"/>
          <w:sz w:val="20"/>
          <w:szCs w:val="20"/>
          <w:color w:val="auto"/>
        </w:rPr>
      </w:pPr>
    </w:p>
    <w:p>
      <w:pPr>
        <w:ind w:left="1300" w:right="20" w:hanging="644"/>
        <w:spacing w:after="0" w:line="234" w:lineRule="auto"/>
        <w:tabs>
          <w:tab w:leader="none" w:pos="99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Effect of Amendment</w:t>
      </w:r>
      <w:r>
        <w:rPr>
          <w:rFonts w:ascii="Arial" w:cs="Arial" w:eastAsia="Arial" w:hAnsi="Arial"/>
          <w:sz w:val="18"/>
          <w:szCs w:val="18"/>
          <w:color w:val="auto"/>
        </w:rPr>
        <w:t>. By its execution of this Amendment, each of the parties hereto acknowledges and agrees that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set forth herein, this Amendment (i) shall not by implication or otherwise limit, impair, constitute a waiver of or otherwise affect the rights and remedies of the Lenders, the Administrative Agent or the Collateral Agent,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The parties hereto acknowledge and agree that the amendment of the Credit Agreement pursuant to this Amendment and all other Loan Documents amended and/or executed and delivered in connection herewith shall not constitute a novation of the Credit Agreement or any other Loan Document as in effect prior to the Effective Date. This Amendment shall constitute a Loan Document for purposes of the Credit Agreement and the Amended Credit Agreement, and from and after the Effective Date, all references to the Credit Agreement in any Loan Document and all references in the Credit Agreement to “this Agreement”, “hereunder”, “hereof” or words of like import referring to the Credit Agreement shall, unless expressly provided otherwise, refer to the Amended Credit Agreement.</w:t>
      </w:r>
    </w:p>
    <w:p>
      <w:pPr>
        <w:spacing w:after="0" w:line="170" w:lineRule="exact"/>
        <w:rPr>
          <w:rFonts w:ascii="Arial" w:cs="Arial" w:eastAsia="Arial" w:hAnsi="Arial"/>
          <w:sz w:val="18"/>
          <w:szCs w:val="18"/>
          <w:color w:val="auto"/>
        </w:rPr>
      </w:pPr>
    </w:p>
    <w:p>
      <w:pPr>
        <w:ind w:left="1300" w:right="220" w:hanging="644"/>
        <w:spacing w:after="0" w:line="248" w:lineRule="auto"/>
        <w:tabs>
          <w:tab w:leader="none" w:pos="987"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Amendment, the Amended Credit Agreement and the other Loan Documents represent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Holdings, the Borrower, the other Loan Parties, the Agents and the Lenders with respect to the subject matter hereof and thereof, and there are no promises, undertakings, representations or warranties by the Agents or any Lender relative to the subject matter hereof not expressly set forth or referred to herein or in the other Loan Documents.</w:t>
      </w:r>
    </w:p>
    <w:p>
      <w:pPr>
        <w:spacing w:after="0" w:line="156" w:lineRule="exact"/>
        <w:rPr>
          <w:rFonts w:ascii="Arial" w:cs="Arial" w:eastAsia="Arial" w:hAnsi="Arial"/>
          <w:sz w:val="18"/>
          <w:szCs w:val="18"/>
          <w:color w:val="auto"/>
        </w:rPr>
      </w:pPr>
    </w:p>
    <w:p>
      <w:pPr>
        <w:ind w:left="1300" w:right="80" w:hanging="644"/>
        <w:spacing w:after="0" w:line="216" w:lineRule="auto"/>
        <w:tabs>
          <w:tab w:leader="none" w:pos="998" w:val="left"/>
        </w:tabs>
        <w:numPr>
          <w:ilvl w:val="0"/>
          <w:numId w:val="22"/>
        </w:numPr>
        <w:rPr>
          <w:rFonts w:ascii="Arial" w:cs="Arial" w:eastAsia="Arial" w:hAnsi="Arial"/>
          <w:sz w:val="20"/>
          <w:szCs w:val="20"/>
          <w:color w:val="auto"/>
        </w:rPr>
      </w:pPr>
      <w:r>
        <w:rPr>
          <w:rFonts w:ascii="Arial" w:cs="Arial" w:eastAsia="Arial" w:hAnsi="Arial"/>
          <w:sz w:val="20"/>
          <w:szCs w:val="20"/>
          <w:b w:val="1"/>
          <w:bCs w:val="1"/>
          <w:color w:val="auto"/>
        </w:rPr>
        <w:t>Governing Law; Jurisdiction; Consent to Service of Process; Waiver of Jury Trial</w:t>
      </w:r>
      <w:r>
        <w:rPr>
          <w:rFonts w:ascii="Arial" w:cs="Arial" w:eastAsia="Arial" w:hAnsi="Arial"/>
          <w:sz w:val="20"/>
          <w:szCs w:val="20"/>
          <w:color w:val="auto"/>
        </w:rPr>
        <w:t>. THIS AMENDMENT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IN ACCORDANCE WITH AND GOVERNED BY THE LAW OF THE STATE OF NEW YORK, WITHOUT REGARD TO CONFLICT OF LAWS PRINCIPLES THEREOF TO THE EXTENT SUCH PRINCIPLES WOULD CAUSE THE APPLICATION OF THE LAW OF ANOTHER STATE</w:t>
      </w:r>
      <w:r>
        <w:rPr>
          <w:rFonts w:ascii="Arial" w:cs="Arial" w:eastAsia="Arial" w:hAnsi="Arial"/>
          <w:sz w:val="21"/>
          <w:szCs w:val="21"/>
          <w:color w:val="auto"/>
        </w:rPr>
        <w:t>.</w:t>
      </w:r>
      <w:r>
        <w:rPr>
          <w:rFonts w:ascii="Arial" w:cs="Arial" w:eastAsia="Arial" w:hAnsi="Arial"/>
          <w:sz w:val="20"/>
          <w:szCs w:val="20"/>
          <w:color w:val="auto"/>
        </w:rPr>
        <w:t xml:space="preserve"> The provisions set forth in Sections 9.09(b) through (d) (</w:t>
      </w:r>
      <w:r>
        <w:rPr>
          <w:rFonts w:ascii="Arial" w:cs="Arial" w:eastAsia="Arial" w:hAnsi="Arial"/>
          <w:sz w:val="20"/>
          <w:szCs w:val="20"/>
          <w:i w:val="1"/>
          <w:iCs w:val="1"/>
          <w:color w:val="auto"/>
        </w:rPr>
        <w:t>Jurisdiction; Consent to Service of Process</w:t>
      </w:r>
      <w:r>
        <w:rPr>
          <w:rFonts w:ascii="Arial" w:cs="Arial" w:eastAsia="Arial" w:hAnsi="Arial"/>
          <w:sz w:val="20"/>
          <w:szCs w:val="20"/>
          <w:color w:val="auto"/>
        </w:rPr>
        <w:t>) and 9.10 (</w:t>
      </w:r>
      <w:r>
        <w:rPr>
          <w:rFonts w:ascii="Arial" w:cs="Arial" w:eastAsia="Arial" w:hAnsi="Arial"/>
          <w:sz w:val="20"/>
          <w:szCs w:val="20"/>
          <w:i w:val="1"/>
          <w:iCs w:val="1"/>
          <w:color w:val="auto"/>
        </w:rPr>
        <w:t>Waiver of Jury Trial</w:t>
      </w:r>
      <w:r>
        <w:rPr>
          <w:rFonts w:ascii="Arial" w:cs="Arial" w:eastAsia="Arial" w:hAnsi="Arial"/>
          <w:sz w:val="20"/>
          <w:szCs w:val="20"/>
          <w:color w:val="auto"/>
        </w:rPr>
        <w:t xml:space="preserve">) of the Credit Agreement are hereby incorporated herein,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65" w:lineRule="exact"/>
        <w:rPr>
          <w:rFonts w:ascii="Arial" w:cs="Arial" w:eastAsia="Arial" w:hAnsi="Arial"/>
          <w:sz w:val="20"/>
          <w:szCs w:val="20"/>
          <w:color w:val="auto"/>
        </w:rPr>
      </w:pPr>
    </w:p>
    <w:p>
      <w:pPr>
        <w:ind w:left="1300" w:right="40" w:hanging="644"/>
        <w:spacing w:after="0" w:line="221" w:lineRule="auto"/>
        <w:tabs>
          <w:tab w:leader="none" w:pos="987" w:val="left"/>
        </w:tabs>
        <w:numPr>
          <w:ilvl w:val="0"/>
          <w:numId w:val="22"/>
        </w:numPr>
        <w:rPr>
          <w:rFonts w:ascii="Arial" w:cs="Arial" w:eastAsia="Arial" w:hAnsi="Arial"/>
          <w:sz w:val="20"/>
          <w:szCs w:val="20"/>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Any provision of this Amendment which is prohibited or unenforceable in any jurisdiction shall, as to such</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5" w:lineRule="exact"/>
        <w:rPr>
          <w:rFonts w:ascii="Arial" w:cs="Arial" w:eastAsia="Arial" w:hAnsi="Arial"/>
          <w:sz w:val="20"/>
          <w:szCs w:val="20"/>
          <w:color w:val="auto"/>
        </w:rPr>
      </w:pPr>
    </w:p>
    <w:p>
      <w:pPr>
        <w:ind w:left="1300" w:right="200" w:hanging="644"/>
        <w:spacing w:after="0" w:line="255" w:lineRule="auto"/>
        <w:tabs>
          <w:tab w:leader="none" w:pos="96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and by different parties hereto on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when so executed and delivered shall be deemed to be an original, but all of which when taken together shall constitute a single instrument. Delivery of an executed counterpart of a signature page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39" w:name="page40"/>
    <w:bookmarkEnd w:id="39"/>
    <w:p>
      <w:pPr>
        <w:spacing w:after="0" w:line="87" w:lineRule="exact"/>
        <w:rPr>
          <w:sz w:val="20"/>
          <w:szCs w:val="20"/>
          <w:color w:val="auto"/>
        </w:rPr>
      </w:pPr>
    </w:p>
    <w:p>
      <w:pPr>
        <w:ind w:left="180" w:right="80"/>
        <w:spacing w:after="0" w:line="236" w:lineRule="auto"/>
        <w:rPr>
          <w:sz w:val="20"/>
          <w:szCs w:val="20"/>
          <w:color w:val="auto"/>
        </w:rPr>
      </w:pPr>
      <w:r>
        <w:rPr>
          <w:rFonts w:ascii="Arial" w:cs="Arial" w:eastAsia="Arial" w:hAnsi="Arial"/>
          <w:sz w:val="18"/>
          <w:szCs w:val="18"/>
          <w:color w:val="auto"/>
        </w:rPr>
        <w:t>this Amendment by facsimile or other customary means of electronic transmission (e.g., “.pdf”) shall be as effective as delivery of a manually executed counterpart hereof. The words “execution,” “execute”, “signed,” “signature,” and words of</w:t>
      </w:r>
    </w:p>
    <w:p>
      <w:pPr>
        <w:ind w:left="180"/>
        <w:spacing w:after="0"/>
        <w:rPr>
          <w:sz w:val="20"/>
          <w:szCs w:val="20"/>
          <w:color w:val="auto"/>
        </w:rPr>
      </w:pPr>
      <w:r>
        <w:rPr>
          <w:rFonts w:ascii="Arial" w:cs="Arial" w:eastAsia="Arial" w:hAnsi="Arial"/>
          <w:sz w:val="16"/>
          <w:szCs w:val="16"/>
          <w:color w:val="auto"/>
        </w:rPr>
        <w:t>like import in or related to any document to be signed in connection with this Amendment and the transactions contemplated</w:t>
      </w:r>
    </w:p>
    <w:p>
      <w:pPr>
        <w:spacing w:after="0" w:line="19" w:lineRule="exact"/>
        <w:rPr>
          <w:sz w:val="20"/>
          <w:szCs w:val="20"/>
          <w:color w:val="auto"/>
        </w:rPr>
      </w:pPr>
    </w:p>
    <w:p>
      <w:pPr>
        <w:ind w:left="180"/>
        <w:spacing w:after="0" w:line="255" w:lineRule="auto"/>
        <w:rPr>
          <w:sz w:val="20"/>
          <w:szCs w:val="20"/>
          <w:color w:val="auto"/>
        </w:rPr>
      </w:pPr>
      <w:r>
        <w:rPr>
          <w:rFonts w:ascii="Arial" w:cs="Arial" w:eastAsia="Arial" w:hAnsi="Arial"/>
          <w:sz w:val="16"/>
          <w:szCs w:val="16"/>
          <w:color w:val="auto"/>
        </w:rPr>
        <w:t>hereby (including without limitation amendments, waivers and consents) shall be deemed to include electronic signatures on electronic platforms approved by the Administrative Agent, or the keeping of records in electronic form, each of which shall</w:t>
      </w:r>
    </w:p>
    <w:p>
      <w:pPr>
        <w:ind w:left="180"/>
        <w:spacing w:after="0" w:line="223" w:lineRule="auto"/>
        <w:rPr>
          <w:sz w:val="20"/>
          <w:szCs w:val="20"/>
          <w:color w:val="auto"/>
        </w:rPr>
      </w:pPr>
      <w:r>
        <w:rPr>
          <w:rFonts w:ascii="Arial" w:cs="Arial" w:eastAsia="Arial" w:hAnsi="Arial"/>
          <w:sz w:val="19"/>
          <w:szCs w:val="19"/>
          <w:color w:val="auto"/>
        </w:rPr>
        <w:t>be of the same legal effect, validity or enforceability as a manually executed signature or the use of a paper-based</w:t>
      </w:r>
    </w:p>
    <w:p>
      <w:pPr>
        <w:ind w:left="180" w:right="60"/>
        <w:spacing w:after="0" w:line="255" w:lineRule="auto"/>
        <w:rPr>
          <w:sz w:val="20"/>
          <w:szCs w:val="20"/>
          <w:color w:val="auto"/>
        </w:rPr>
      </w:pPr>
      <w:r>
        <w:rPr>
          <w:rFonts w:ascii="Arial" w:cs="Arial" w:eastAsia="Arial" w:hAnsi="Arial"/>
          <w:sz w:val="16"/>
          <w:szCs w:val="16"/>
          <w:color w:val="auto"/>
        </w:rPr>
        <w:t>recordkeeping system, as the case may be, to the extent and as provided for in any applicable law, including the Federal Electronic Signatures in Global and National Commerce Act, the New York State Electronic Signatures and Records Act, or</w:t>
      </w:r>
    </w:p>
    <w:p>
      <w:pPr>
        <w:ind w:left="180"/>
        <w:spacing w:after="0" w:line="235" w:lineRule="auto"/>
        <w:rPr>
          <w:sz w:val="20"/>
          <w:szCs w:val="20"/>
          <w:color w:val="auto"/>
        </w:rPr>
      </w:pPr>
      <w:r>
        <w:rPr>
          <w:rFonts w:ascii="Arial" w:cs="Arial" w:eastAsia="Arial" w:hAnsi="Arial"/>
          <w:sz w:val="18"/>
          <w:szCs w:val="18"/>
          <w:color w:val="auto"/>
        </w:rPr>
        <w:t>any other similar state laws based on the Uniform Electronic Transactions Act. Each of the parties hereto represents and</w:t>
      </w:r>
    </w:p>
    <w:p>
      <w:pPr>
        <w:ind w:left="180" w:right="560"/>
        <w:spacing w:after="0" w:line="232" w:lineRule="auto"/>
        <w:rPr>
          <w:sz w:val="20"/>
          <w:szCs w:val="20"/>
          <w:color w:val="auto"/>
        </w:rPr>
      </w:pPr>
      <w:r>
        <w:rPr>
          <w:rFonts w:ascii="Arial" w:cs="Arial" w:eastAsia="Arial" w:hAnsi="Arial"/>
          <w:sz w:val="19"/>
          <w:szCs w:val="19"/>
          <w:color w:val="auto"/>
        </w:rPr>
        <w:t>warrants to the other parties hereto that it has the corporate capacity and authority to execute the Amendment through electronic means and there are no restrictions for doing so in that party’s constitutive documents.</w:t>
      </w:r>
    </w:p>
    <w:p>
      <w:pPr>
        <w:spacing w:after="0" w:line="169" w:lineRule="exact"/>
        <w:rPr>
          <w:sz w:val="20"/>
          <w:szCs w:val="20"/>
          <w:color w:val="auto"/>
        </w:rPr>
      </w:pPr>
    </w:p>
    <w:p>
      <w:pPr>
        <w:ind w:left="34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040"/>
          </w:cols>
          <w:pgMar w:left="1440" w:top="1440" w:right="419" w:bottom="1440" w:gutter="0" w:footer="0" w:header="0"/>
        </w:sectPr>
      </w:pPr>
    </w:p>
    <w:bookmarkStart w:id="40" w:name="page41"/>
    <w:bookmarkEnd w:id="40"/>
    <w:p>
      <w:pPr>
        <w:ind w:firstLine="648"/>
        <w:spacing w:after="0" w:line="239"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undersigned has caused its duly authorized officer to execute and deliver this Amendment as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date first set forth above.</w:t>
      </w:r>
    </w:p>
    <w:p>
      <w:pPr>
        <w:spacing w:after="0" w:line="144"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BARCLAYS BANK PLC</w:t>
      </w:r>
      <w:r>
        <w:rPr>
          <w:rFonts w:ascii="Arial" w:cs="Arial" w:eastAsia="Arial" w:hAnsi="Arial"/>
          <w:sz w:val="20"/>
          <w:szCs w:val="20"/>
          <w:color w:val="auto"/>
        </w:rPr>
        <w:t>,</w:t>
      </w:r>
    </w:p>
    <w:p>
      <w:pPr>
        <w:ind w:left="324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Jeremy Hazan</w:t>
      </w:r>
      <w:r>
        <w:rPr>
          <w:rFonts w:ascii="Arial" w:cs="Arial" w:eastAsia="Arial" w:hAnsi="Arial"/>
          <w:sz w:val="20"/>
          <w:szCs w:val="20"/>
          <w:i w:val="1"/>
          <w:iCs w:val="1"/>
          <w:u w:val="single" w:color="auto"/>
          <w:color w:val="auto"/>
        </w:rPr>
        <w:t>______________________</w:t>
      </w:r>
    </w:p>
    <w:p>
      <w:pPr>
        <w:ind w:left="3240"/>
        <w:spacing w:after="0" w:line="211" w:lineRule="auto"/>
        <w:rPr>
          <w:sz w:val="20"/>
          <w:szCs w:val="20"/>
          <w:color w:val="auto"/>
        </w:rPr>
      </w:pPr>
      <w:r>
        <w:rPr>
          <w:rFonts w:ascii="Arial" w:cs="Arial" w:eastAsia="Arial" w:hAnsi="Arial"/>
          <w:sz w:val="20"/>
          <w:szCs w:val="20"/>
          <w:color w:val="auto"/>
        </w:rPr>
        <w:t>Name: Jeremy Hazan</w:t>
      </w:r>
    </w:p>
    <w:p>
      <w:pPr>
        <w:ind w:left="324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Third Amendment to First Lien Credit Agreement</w:t>
      </w:r>
      <w:r>
        <w:rPr>
          <w:rFonts w:ascii="Arial" w:cs="Arial" w:eastAsia="Arial" w:hAnsi="Arial"/>
          <w:sz w:val="22"/>
          <w:szCs w:val="22"/>
          <w:color w:val="auto"/>
        </w:rPr>
        <w:t>]</w:t>
      </w:r>
    </w:p>
    <w:p>
      <w:pPr>
        <w:sectPr>
          <w:pgSz w:w="11900" w:h="16838" w:orient="portrait"/>
          <w:cols w:equalWidth="0" w:num="1">
            <w:col w:w="11240"/>
          </w:cols>
          <w:pgMar w:left="320" w:top="1399" w:right="339" w:bottom="1440" w:gutter="0" w:footer="0" w:header="0"/>
        </w:sectPr>
      </w:pPr>
    </w:p>
    <w:bookmarkStart w:id="41" w:name="page42"/>
    <w:bookmarkEnd w:id="41"/>
    <w:p>
      <w:pPr>
        <w:spacing w:after="0" w:line="197" w:lineRule="exact"/>
        <w:rPr>
          <w:sz w:val="20"/>
          <w:szCs w:val="20"/>
          <w:color w:val="auto"/>
        </w:rPr>
      </w:pPr>
    </w:p>
    <w:p>
      <w:pPr>
        <w:ind w:left="2120"/>
        <w:spacing w:after="0"/>
        <w:rPr>
          <w:sz w:val="20"/>
          <w:szCs w:val="20"/>
          <w:color w:val="auto"/>
        </w:rPr>
      </w:pPr>
      <w:r>
        <w:rPr>
          <w:rFonts w:ascii="Arial" w:cs="Arial" w:eastAsia="Arial" w:hAnsi="Arial"/>
          <w:sz w:val="20"/>
          <w:szCs w:val="20"/>
          <w:b w:val="1"/>
          <w:bCs w:val="1"/>
          <w:color w:val="auto"/>
        </w:rPr>
        <w:t>BARCLAYS BANK PLC</w:t>
      </w:r>
      <w:r>
        <w:rPr>
          <w:rFonts w:ascii="Arial" w:cs="Arial" w:eastAsia="Arial" w:hAnsi="Arial"/>
          <w:sz w:val="20"/>
          <w:szCs w:val="20"/>
          <w:color w:val="auto"/>
        </w:rPr>
        <w:t>,</w:t>
      </w:r>
    </w:p>
    <w:p>
      <w:pPr>
        <w:ind w:left="2120"/>
        <w:spacing w:after="0"/>
        <w:rPr>
          <w:sz w:val="20"/>
          <w:szCs w:val="20"/>
          <w:color w:val="auto"/>
        </w:rPr>
      </w:pPr>
      <w:r>
        <w:rPr>
          <w:rFonts w:ascii="Arial" w:cs="Arial" w:eastAsia="Arial" w:hAnsi="Arial"/>
          <w:sz w:val="20"/>
          <w:szCs w:val="20"/>
          <w:color w:val="auto"/>
        </w:rPr>
        <w:t>as a Revolving Lender,</w:t>
      </w:r>
    </w:p>
    <w:p>
      <w:pPr>
        <w:spacing w:after="0" w:line="200" w:lineRule="exact"/>
        <w:rPr>
          <w:sz w:val="20"/>
          <w:szCs w:val="20"/>
          <w:color w:val="auto"/>
        </w:rPr>
      </w:pPr>
    </w:p>
    <w:p>
      <w:pPr>
        <w:spacing w:after="0" w:line="229"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Jeremy Hazan____________________</w:t>
      </w:r>
    </w:p>
    <w:p>
      <w:pPr>
        <w:spacing w:after="0" w:line="7"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Name: Jeremy Hazan</w:t>
      </w:r>
    </w:p>
    <w:p>
      <w:pPr>
        <w:ind w:left="212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1440"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Third Amendment to First Lien Credit Agreement</w:t>
      </w:r>
      <w:r>
        <w:rPr>
          <w:rFonts w:ascii="Arial" w:cs="Arial" w:eastAsia="Arial" w:hAnsi="Arial"/>
          <w:sz w:val="19"/>
          <w:szCs w:val="19"/>
          <w:color w:val="auto"/>
        </w:rPr>
        <w:t>]</w:t>
      </w:r>
    </w:p>
    <w:p>
      <w:pPr>
        <w:sectPr>
          <w:pgSz w:w="11900" w:h="16838" w:orient="portrait"/>
          <w:cols w:equalWidth="0" w:num="1">
            <w:col w:w="9019"/>
          </w:cols>
          <w:pgMar w:left="1440" w:top="104" w:right="1440" w:bottom="1440" w:gutter="0" w:footer="0" w:header="0"/>
        </w:sectPr>
      </w:pPr>
    </w:p>
    <w:bookmarkStart w:id="43" w:name="page44"/>
    <w:bookmarkEnd w:id="43"/>
    <w:p>
      <w:pPr>
        <w:ind w:left="2120"/>
        <w:spacing w:after="0"/>
        <w:rPr>
          <w:sz w:val="20"/>
          <w:szCs w:val="20"/>
          <w:color w:val="auto"/>
        </w:rPr>
      </w:pPr>
      <w:r>
        <w:rPr>
          <w:rFonts w:ascii="Arial" w:cs="Arial" w:eastAsia="Arial" w:hAnsi="Arial"/>
          <w:sz w:val="20"/>
          <w:szCs w:val="20"/>
          <w:b w:val="1"/>
          <w:bCs w:val="1"/>
          <w:color w:val="auto"/>
        </w:rPr>
        <w:t>TRUIST BANK</w:t>
      </w:r>
      <w:r>
        <w:rPr>
          <w:rFonts w:ascii="Arial" w:cs="Arial" w:eastAsia="Arial" w:hAnsi="Arial"/>
          <w:sz w:val="20"/>
          <w:szCs w:val="20"/>
          <w:color w:val="auto"/>
        </w:rPr>
        <w:t>,</w:t>
      </w:r>
    </w:p>
    <w:p>
      <w:pPr>
        <w:ind w:left="2120"/>
        <w:spacing w:after="0"/>
        <w:rPr>
          <w:sz w:val="20"/>
          <w:szCs w:val="20"/>
          <w:color w:val="auto"/>
        </w:rPr>
      </w:pPr>
      <w:r>
        <w:rPr>
          <w:rFonts w:ascii="Arial" w:cs="Arial" w:eastAsia="Arial" w:hAnsi="Arial"/>
          <w:sz w:val="20"/>
          <w:szCs w:val="20"/>
          <w:color w:val="auto"/>
        </w:rPr>
        <w:t>as a Revolving Lender,</w:t>
      </w:r>
    </w:p>
    <w:p>
      <w:pPr>
        <w:spacing w:after="0" w:line="200" w:lineRule="exact"/>
        <w:rPr>
          <w:sz w:val="20"/>
          <w:szCs w:val="20"/>
          <w:color w:val="auto"/>
        </w:rPr>
      </w:pPr>
    </w:p>
    <w:p>
      <w:pPr>
        <w:spacing w:after="0" w:line="22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Tim Conway____________________</w:t>
      </w:r>
    </w:p>
    <w:p>
      <w:pPr>
        <w:ind w:left="2120"/>
        <w:spacing w:after="0" w:line="223" w:lineRule="auto"/>
        <w:rPr>
          <w:sz w:val="20"/>
          <w:szCs w:val="20"/>
          <w:color w:val="auto"/>
        </w:rPr>
      </w:pPr>
      <w:r>
        <w:rPr>
          <w:rFonts w:ascii="Arial" w:cs="Arial" w:eastAsia="Arial" w:hAnsi="Arial"/>
          <w:sz w:val="20"/>
          <w:szCs w:val="20"/>
          <w:color w:val="auto"/>
        </w:rPr>
        <w:t>Name: Tim Conway</w:t>
      </w:r>
    </w:p>
    <w:p>
      <w:pPr>
        <w:ind w:left="212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394" w:right="1440"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Third Amendment to First Lien Credit Agreement</w:t>
      </w:r>
      <w:r>
        <w:rPr>
          <w:rFonts w:ascii="Arial" w:cs="Arial" w:eastAsia="Arial" w:hAnsi="Arial"/>
          <w:sz w:val="19"/>
          <w:szCs w:val="19"/>
          <w:color w:val="auto"/>
        </w:rPr>
        <w:t>]</w:t>
      </w:r>
    </w:p>
    <w:p>
      <w:pPr>
        <w:sectPr>
          <w:pgSz w:w="11900" w:h="16838" w:orient="portrait"/>
          <w:cols w:equalWidth="0" w:num="1">
            <w:col w:w="9019"/>
          </w:cols>
          <w:pgMar w:left="1440" w:top="104" w:right="1440" w:bottom="1440" w:gutter="0" w:footer="0" w:header="0"/>
        </w:sectPr>
      </w:pPr>
    </w:p>
    <w:bookmarkStart w:id="45" w:name="page46"/>
    <w:bookmarkEnd w:id="45"/>
    <w:p>
      <w:pPr>
        <w:ind w:left="2120"/>
        <w:spacing w:after="0"/>
        <w:rPr>
          <w:sz w:val="20"/>
          <w:szCs w:val="20"/>
          <w:color w:val="auto"/>
        </w:rPr>
      </w:pPr>
      <w:r>
        <w:rPr>
          <w:rFonts w:ascii="Arial" w:cs="Arial" w:eastAsia="Arial" w:hAnsi="Arial"/>
          <w:sz w:val="20"/>
          <w:szCs w:val="20"/>
          <w:color w:val="auto"/>
        </w:rPr>
        <w:t>Morgan Stanley Senior Funding Inc.,</w:t>
      </w:r>
    </w:p>
    <w:p>
      <w:pPr>
        <w:ind w:left="2120"/>
        <w:spacing w:after="0"/>
        <w:rPr>
          <w:sz w:val="20"/>
          <w:szCs w:val="20"/>
          <w:color w:val="auto"/>
        </w:rPr>
      </w:pPr>
      <w:r>
        <w:rPr>
          <w:rFonts w:ascii="Arial" w:cs="Arial" w:eastAsia="Arial" w:hAnsi="Arial"/>
          <w:sz w:val="20"/>
          <w:szCs w:val="20"/>
          <w:color w:val="auto"/>
        </w:rPr>
        <w:t>as a Revolving Lender,</w:t>
      </w:r>
    </w:p>
    <w:p>
      <w:pPr>
        <w:spacing w:after="0" w:line="200" w:lineRule="exact"/>
        <w:rPr>
          <w:sz w:val="20"/>
          <w:szCs w:val="20"/>
          <w:color w:val="auto"/>
        </w:rPr>
      </w:pPr>
    </w:p>
    <w:p>
      <w:pPr>
        <w:spacing w:after="0" w:line="22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Tayo Lapite____________________</w:t>
      </w:r>
    </w:p>
    <w:p>
      <w:pPr>
        <w:ind w:left="2120"/>
        <w:spacing w:after="0" w:line="223" w:lineRule="auto"/>
        <w:rPr>
          <w:sz w:val="20"/>
          <w:szCs w:val="20"/>
          <w:color w:val="auto"/>
        </w:rPr>
      </w:pPr>
      <w:r>
        <w:rPr>
          <w:rFonts w:ascii="Arial" w:cs="Arial" w:eastAsia="Arial" w:hAnsi="Arial"/>
          <w:sz w:val="20"/>
          <w:szCs w:val="20"/>
          <w:color w:val="auto"/>
        </w:rPr>
        <w:t>Name: Tayo Lapite</w:t>
      </w:r>
    </w:p>
    <w:p>
      <w:pPr>
        <w:ind w:left="212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394"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Third Amendment to First Lien Credit Agreement</w:t>
      </w:r>
      <w:r>
        <w:rPr>
          <w:rFonts w:ascii="Arial" w:cs="Arial" w:eastAsia="Arial" w:hAnsi="Arial"/>
          <w:sz w:val="19"/>
          <w:szCs w:val="19"/>
          <w:color w:val="auto"/>
        </w:rPr>
        <w:t>]</w:t>
      </w:r>
    </w:p>
    <w:p>
      <w:pPr>
        <w:sectPr>
          <w:pgSz w:w="11900" w:h="16838" w:orient="portrait"/>
          <w:cols w:equalWidth="0" w:num="1">
            <w:col w:w="9019"/>
          </w:cols>
          <w:pgMar w:left="1440" w:top="104" w:right="1440" w:bottom="1440" w:gutter="0" w:footer="0" w:header="0"/>
        </w:sectPr>
      </w:pPr>
    </w:p>
    <w:bookmarkStart w:id="47" w:name="page48"/>
    <w:bookmarkEnd w:id="47"/>
    <w:p>
      <w:pPr>
        <w:ind w:left="2120"/>
        <w:spacing w:after="0"/>
        <w:rPr>
          <w:sz w:val="20"/>
          <w:szCs w:val="20"/>
          <w:color w:val="auto"/>
        </w:rPr>
      </w:pPr>
      <w:r>
        <w:rPr>
          <w:rFonts w:ascii="Arial" w:cs="Arial" w:eastAsia="Arial" w:hAnsi="Arial"/>
          <w:sz w:val="20"/>
          <w:szCs w:val="20"/>
          <w:b w:val="1"/>
          <w:bCs w:val="1"/>
          <w:color w:val="auto"/>
        </w:rPr>
        <w:t>KKR Corporate Lending (CA) LLC</w:t>
      </w:r>
      <w:r>
        <w:rPr>
          <w:rFonts w:ascii="Arial" w:cs="Arial" w:eastAsia="Arial" w:hAnsi="Arial"/>
          <w:sz w:val="20"/>
          <w:szCs w:val="20"/>
          <w:color w:val="auto"/>
        </w:rPr>
        <w:t>,</w:t>
      </w:r>
    </w:p>
    <w:p>
      <w:pPr>
        <w:ind w:left="2120"/>
        <w:spacing w:after="0"/>
        <w:rPr>
          <w:sz w:val="20"/>
          <w:szCs w:val="20"/>
          <w:color w:val="auto"/>
        </w:rPr>
      </w:pPr>
      <w:r>
        <w:rPr>
          <w:rFonts w:ascii="Arial" w:cs="Arial" w:eastAsia="Arial" w:hAnsi="Arial"/>
          <w:sz w:val="20"/>
          <w:szCs w:val="20"/>
          <w:color w:val="auto"/>
        </w:rPr>
        <w:t>as a Revolving Lender,</w:t>
      </w:r>
    </w:p>
    <w:p>
      <w:pPr>
        <w:spacing w:after="0" w:line="200" w:lineRule="exact"/>
        <w:rPr>
          <w:sz w:val="20"/>
          <w:szCs w:val="20"/>
          <w:color w:val="auto"/>
        </w:rPr>
      </w:pPr>
    </w:p>
    <w:p>
      <w:pPr>
        <w:spacing w:after="0" w:line="22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Knox____________________</w:t>
      </w:r>
    </w:p>
    <w:p>
      <w:pPr>
        <w:ind w:left="2120"/>
        <w:spacing w:after="0" w:line="223" w:lineRule="auto"/>
        <w:rPr>
          <w:sz w:val="20"/>
          <w:szCs w:val="20"/>
          <w:color w:val="auto"/>
        </w:rPr>
      </w:pPr>
      <w:r>
        <w:rPr>
          <w:rFonts w:ascii="Arial" w:cs="Arial" w:eastAsia="Arial" w:hAnsi="Arial"/>
          <w:sz w:val="20"/>
          <w:szCs w:val="20"/>
          <w:color w:val="auto"/>
        </w:rPr>
        <w:t>Name: John Knox</w:t>
      </w:r>
    </w:p>
    <w:p>
      <w:pPr>
        <w:ind w:left="2120"/>
        <w:spacing w:after="0"/>
        <w:rPr>
          <w:sz w:val="20"/>
          <w:szCs w:val="20"/>
          <w:color w:val="auto"/>
        </w:rPr>
      </w:pPr>
      <w:r>
        <w:rPr>
          <w:rFonts w:ascii="Arial" w:cs="Arial" w:eastAsia="Arial" w:hAnsi="Arial"/>
          <w:sz w:val="20"/>
          <w:szCs w:val="20"/>
          <w:color w:val="auto"/>
        </w:rPr>
        <w:t>Title: CFO</w:t>
      </w:r>
    </w:p>
    <w:p>
      <w:pPr>
        <w:sectPr>
          <w:pgSz w:w="11900" w:h="16838" w:orient="portrait"/>
          <w:cols w:equalWidth="0" w:num="1">
            <w:col w:w="9019"/>
          </w:cols>
          <w:pgMar w:left="1440" w:top="1394"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Third Amendment to First Lien Credit Agreement</w:t>
      </w:r>
      <w:r>
        <w:rPr>
          <w:rFonts w:ascii="Arial" w:cs="Arial" w:eastAsia="Arial" w:hAnsi="Arial"/>
          <w:sz w:val="19"/>
          <w:szCs w:val="19"/>
          <w:color w:val="auto"/>
        </w:rPr>
        <w:t>]</w:t>
      </w:r>
    </w:p>
    <w:p>
      <w:pPr>
        <w:sectPr>
          <w:pgSz w:w="11900" w:h="16838" w:orient="portrait"/>
          <w:cols w:equalWidth="0" w:num="1">
            <w:col w:w="9019"/>
          </w:cols>
          <w:pgMar w:left="1440" w:top="104" w:right="1440" w:bottom="1440" w:gutter="0" w:footer="0" w:header="0"/>
        </w:sectPr>
      </w:pPr>
    </w:p>
    <w:bookmarkStart w:id="49" w:name="page50"/>
    <w:bookmarkEnd w:id="49"/>
    <w:p>
      <w:pPr>
        <w:ind w:left="2120"/>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w:t>
      </w:r>
    </w:p>
    <w:p>
      <w:pPr>
        <w:ind w:left="2120"/>
        <w:spacing w:after="0"/>
        <w:rPr>
          <w:sz w:val="20"/>
          <w:szCs w:val="20"/>
          <w:color w:val="auto"/>
        </w:rPr>
      </w:pPr>
      <w:r>
        <w:rPr>
          <w:rFonts w:ascii="Arial" w:cs="Arial" w:eastAsia="Arial" w:hAnsi="Arial"/>
          <w:sz w:val="20"/>
          <w:szCs w:val="20"/>
          <w:color w:val="auto"/>
        </w:rPr>
        <w:t>as a Revolving Lender,</w:t>
      </w:r>
    </w:p>
    <w:p>
      <w:pPr>
        <w:spacing w:after="0" w:line="200" w:lineRule="exact"/>
        <w:rPr>
          <w:sz w:val="20"/>
          <w:szCs w:val="20"/>
          <w:color w:val="auto"/>
        </w:rPr>
      </w:pPr>
    </w:p>
    <w:p>
      <w:pPr>
        <w:spacing w:after="0" w:line="22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Christine Lathrop____________________</w:t>
      </w:r>
    </w:p>
    <w:p>
      <w:pPr>
        <w:ind w:left="2120"/>
        <w:spacing w:after="0" w:line="223" w:lineRule="auto"/>
        <w:rPr>
          <w:sz w:val="20"/>
          <w:szCs w:val="20"/>
          <w:color w:val="auto"/>
        </w:rPr>
      </w:pPr>
      <w:r>
        <w:rPr>
          <w:rFonts w:ascii="Arial" w:cs="Arial" w:eastAsia="Arial" w:hAnsi="Arial"/>
          <w:sz w:val="20"/>
          <w:szCs w:val="20"/>
          <w:color w:val="auto"/>
        </w:rPr>
        <w:t>Name: Christine Lathrop</w:t>
      </w:r>
    </w:p>
    <w:p>
      <w:pPr>
        <w:ind w:left="212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9019"/>
          </w:cols>
          <w:pgMar w:left="1440" w:top="1394" w:right="1440"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Third Amendment to First Lien Credit Agreement</w:t>
      </w:r>
      <w:r>
        <w:rPr>
          <w:rFonts w:ascii="Arial" w:cs="Arial" w:eastAsia="Arial" w:hAnsi="Arial"/>
          <w:sz w:val="19"/>
          <w:szCs w:val="19"/>
          <w:color w:val="auto"/>
        </w:rPr>
        <w:t>]</w:t>
      </w:r>
    </w:p>
    <w:p>
      <w:pPr>
        <w:sectPr>
          <w:pgSz w:w="11900" w:h="16838" w:orient="portrait"/>
          <w:cols w:equalWidth="0" w:num="1">
            <w:col w:w="9019"/>
          </w:cols>
          <w:pgMar w:left="1440" w:top="104" w:right="1440" w:bottom="1440" w:gutter="0" w:footer="0" w:header="0"/>
        </w:sectPr>
      </w:pPr>
    </w:p>
    <w:bookmarkStart w:id="51" w:name="page52"/>
    <w:bookmarkEnd w:id="51"/>
    <w:p>
      <w:pPr>
        <w:ind w:left="2120"/>
        <w:spacing w:after="0"/>
        <w:rPr>
          <w:sz w:val="20"/>
          <w:szCs w:val="20"/>
          <w:color w:val="auto"/>
        </w:rPr>
      </w:pPr>
      <w:r>
        <w:rPr>
          <w:rFonts w:ascii="Arial" w:cs="Arial" w:eastAsia="Arial" w:hAnsi="Arial"/>
          <w:sz w:val="20"/>
          <w:szCs w:val="20"/>
          <w:b w:val="1"/>
          <w:bCs w:val="1"/>
          <w:color w:val="auto"/>
        </w:rPr>
        <w:t>GOLDMAN SACHS BANK USA</w:t>
      </w:r>
      <w:r>
        <w:rPr>
          <w:rFonts w:ascii="Arial" w:cs="Arial" w:eastAsia="Arial" w:hAnsi="Arial"/>
          <w:sz w:val="20"/>
          <w:szCs w:val="20"/>
          <w:color w:val="auto"/>
        </w:rPr>
        <w:t>,</w:t>
      </w:r>
    </w:p>
    <w:p>
      <w:pPr>
        <w:ind w:left="2120"/>
        <w:spacing w:after="0"/>
        <w:rPr>
          <w:sz w:val="20"/>
          <w:szCs w:val="20"/>
          <w:color w:val="auto"/>
        </w:rPr>
      </w:pPr>
      <w:r>
        <w:rPr>
          <w:rFonts w:ascii="Arial" w:cs="Arial" w:eastAsia="Arial" w:hAnsi="Arial"/>
          <w:sz w:val="20"/>
          <w:szCs w:val="20"/>
          <w:color w:val="auto"/>
        </w:rPr>
        <w:t>as a Revolving Lender,</w:t>
      </w:r>
    </w:p>
    <w:p>
      <w:pPr>
        <w:spacing w:after="0" w:line="200" w:lineRule="exact"/>
        <w:rPr>
          <w:sz w:val="20"/>
          <w:szCs w:val="20"/>
          <w:color w:val="auto"/>
        </w:rPr>
      </w:pPr>
    </w:p>
    <w:p>
      <w:pPr>
        <w:spacing w:after="0" w:line="22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Keshia Leday____________________</w:t>
      </w:r>
    </w:p>
    <w:p>
      <w:pPr>
        <w:ind w:left="2120"/>
        <w:spacing w:after="0" w:line="223" w:lineRule="auto"/>
        <w:rPr>
          <w:sz w:val="20"/>
          <w:szCs w:val="20"/>
          <w:color w:val="auto"/>
        </w:rPr>
      </w:pPr>
      <w:r>
        <w:rPr>
          <w:rFonts w:ascii="Arial" w:cs="Arial" w:eastAsia="Arial" w:hAnsi="Arial"/>
          <w:sz w:val="20"/>
          <w:szCs w:val="20"/>
          <w:color w:val="auto"/>
        </w:rPr>
        <w:t>Name: Keshia Leday</w:t>
      </w:r>
    </w:p>
    <w:p>
      <w:pPr>
        <w:ind w:left="212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019"/>
          </w:cols>
          <w:pgMar w:left="1440" w:top="1394" w:right="1440"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Third Amendment to First Lien Credit Agreement</w:t>
      </w:r>
      <w:r>
        <w:rPr>
          <w:rFonts w:ascii="Arial" w:cs="Arial" w:eastAsia="Arial" w:hAnsi="Arial"/>
          <w:sz w:val="19"/>
          <w:szCs w:val="19"/>
          <w:color w:val="auto"/>
        </w:rPr>
        <w:t>]</w:t>
      </w:r>
    </w:p>
    <w:p>
      <w:pPr>
        <w:sectPr>
          <w:pgSz w:w="11900" w:h="16838" w:orient="portrait"/>
          <w:cols w:equalWidth="0" w:num="1">
            <w:col w:w="9019"/>
          </w:cols>
          <w:pgMar w:left="1440" w:top="104" w:right="1440" w:bottom="1440" w:gutter="0" w:footer="0" w:header="0"/>
        </w:sectPr>
      </w:pPr>
    </w:p>
    <w:bookmarkStart w:id="53" w:name="page54"/>
    <w:bookmarkEnd w:id="53"/>
    <w:p>
      <w:pPr>
        <w:ind w:left="2120"/>
        <w:spacing w:after="0"/>
        <w:rPr>
          <w:sz w:val="20"/>
          <w:szCs w:val="20"/>
          <w:color w:val="auto"/>
        </w:rPr>
      </w:pPr>
      <w:r>
        <w:rPr>
          <w:rFonts w:ascii="Arial" w:cs="Arial" w:eastAsia="Arial" w:hAnsi="Arial"/>
          <w:sz w:val="18"/>
          <w:szCs w:val="18"/>
          <w:b w:val="1"/>
          <w:bCs w:val="1"/>
          <w:color w:val="auto"/>
        </w:rPr>
        <w:t>Credit Suisse AG, Cayman Islands Branch</w:t>
      </w:r>
      <w:r>
        <w:rPr>
          <w:rFonts w:ascii="Arial" w:cs="Arial" w:eastAsia="Arial" w:hAnsi="Arial"/>
          <w:sz w:val="18"/>
          <w:szCs w:val="18"/>
          <w:color w:val="auto"/>
        </w:rPr>
        <w:t>,</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as a Revolving Lender,</w:t>
      </w:r>
    </w:p>
    <w:p>
      <w:pPr>
        <w:spacing w:after="0" w:line="200" w:lineRule="exact"/>
        <w:rPr>
          <w:sz w:val="20"/>
          <w:szCs w:val="20"/>
          <w:color w:val="auto"/>
        </w:rPr>
      </w:pPr>
    </w:p>
    <w:p>
      <w:pPr>
        <w:spacing w:after="0" w:line="229"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Komal Shah____________________</w:t>
      </w:r>
    </w:p>
    <w:p>
      <w:pPr>
        <w:ind w:left="2120"/>
        <w:spacing w:after="0" w:line="211" w:lineRule="auto"/>
        <w:rPr>
          <w:sz w:val="20"/>
          <w:szCs w:val="20"/>
          <w:color w:val="auto"/>
        </w:rPr>
      </w:pPr>
      <w:r>
        <w:rPr>
          <w:rFonts w:ascii="Arial" w:cs="Arial" w:eastAsia="Arial" w:hAnsi="Arial"/>
          <w:sz w:val="20"/>
          <w:szCs w:val="20"/>
          <w:color w:val="auto"/>
        </w:rPr>
        <w:t>Name: Komal Shah</w:t>
      </w:r>
    </w:p>
    <w:p>
      <w:pPr>
        <w:ind w:left="2120"/>
        <w:spacing w:after="0"/>
        <w:rPr>
          <w:sz w:val="20"/>
          <w:szCs w:val="20"/>
          <w:color w:val="auto"/>
        </w:rPr>
      </w:pPr>
      <w:r>
        <w:rPr>
          <w:rFonts w:ascii="Arial" w:cs="Arial" w:eastAsia="Arial" w:hAnsi="Arial"/>
          <w:sz w:val="20"/>
          <w:szCs w:val="20"/>
          <w:color w:val="auto"/>
        </w:rPr>
        <w:t>Title: Authorized Signatory</w:t>
      </w:r>
    </w:p>
    <w:p>
      <w:pPr>
        <w:spacing w:after="0" w:line="18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Wagner____________________</w:t>
      </w:r>
    </w:p>
    <w:p>
      <w:pPr>
        <w:ind w:left="2120"/>
        <w:spacing w:after="0" w:line="223" w:lineRule="auto"/>
        <w:rPr>
          <w:sz w:val="20"/>
          <w:szCs w:val="20"/>
          <w:color w:val="auto"/>
        </w:rPr>
      </w:pPr>
      <w:r>
        <w:rPr>
          <w:rFonts w:ascii="Arial" w:cs="Arial" w:eastAsia="Arial" w:hAnsi="Arial"/>
          <w:sz w:val="20"/>
          <w:szCs w:val="20"/>
          <w:color w:val="auto"/>
        </w:rPr>
        <w:t>Name: Michael Wagner</w:t>
      </w:r>
    </w:p>
    <w:p>
      <w:pPr>
        <w:ind w:left="212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019"/>
          </w:cols>
          <w:pgMar w:left="1440" w:top="139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Third Amendment to First Lien Credit Agreement</w:t>
      </w:r>
      <w:r>
        <w:rPr>
          <w:rFonts w:ascii="Arial" w:cs="Arial" w:eastAsia="Arial" w:hAnsi="Arial"/>
          <w:sz w:val="19"/>
          <w:szCs w:val="19"/>
          <w:color w:val="auto"/>
        </w:rPr>
        <w:t>]</w:t>
      </w:r>
    </w:p>
    <w:p>
      <w:pPr>
        <w:sectPr>
          <w:pgSz w:w="11900" w:h="16838" w:orient="portrait"/>
          <w:cols w:equalWidth="0" w:num="1">
            <w:col w:w="9019"/>
          </w:cols>
          <w:pgMar w:left="1440" w:top="1399" w:right="1440" w:bottom="0" w:gutter="0" w:footer="0" w:header="0"/>
          <w:type w:val="continuous"/>
        </w:sectPr>
      </w:pPr>
    </w:p>
    <w:bookmarkStart w:id="54" w:name="page55"/>
    <w:bookmarkEnd w:id="54"/>
    <w:p>
      <w:pPr>
        <w:ind w:left="2120"/>
        <w:spacing w:after="0"/>
        <w:rPr>
          <w:sz w:val="20"/>
          <w:szCs w:val="20"/>
          <w:color w:val="auto"/>
        </w:rPr>
      </w:pPr>
      <w:r>
        <w:rPr>
          <w:rFonts w:ascii="Arial" w:cs="Arial" w:eastAsia="Arial" w:hAnsi="Arial"/>
          <w:sz w:val="20"/>
          <w:szCs w:val="20"/>
          <w:b w:val="1"/>
          <w:bCs w:val="1"/>
          <w:color w:val="auto"/>
        </w:rPr>
        <w:t>CITIZEN BANK, N.A</w:t>
      </w:r>
      <w:r>
        <w:rPr>
          <w:rFonts w:ascii="Arial" w:cs="Arial" w:eastAsia="Arial" w:hAnsi="Arial"/>
          <w:sz w:val="20"/>
          <w:szCs w:val="20"/>
          <w:color w:val="auto"/>
        </w:rPr>
        <w:t>,</w:t>
      </w:r>
    </w:p>
    <w:p>
      <w:pPr>
        <w:ind w:left="2120"/>
        <w:spacing w:after="0"/>
        <w:rPr>
          <w:sz w:val="20"/>
          <w:szCs w:val="20"/>
          <w:color w:val="auto"/>
        </w:rPr>
      </w:pPr>
      <w:r>
        <w:rPr>
          <w:rFonts w:ascii="Arial" w:cs="Arial" w:eastAsia="Arial" w:hAnsi="Arial"/>
          <w:sz w:val="20"/>
          <w:szCs w:val="20"/>
          <w:color w:val="auto"/>
        </w:rPr>
        <w:t>as a Revolving Lender,</w:t>
      </w:r>
    </w:p>
    <w:p>
      <w:pPr>
        <w:spacing w:after="0" w:line="200" w:lineRule="exact"/>
        <w:rPr>
          <w:sz w:val="20"/>
          <w:szCs w:val="20"/>
          <w:color w:val="auto"/>
        </w:rPr>
      </w:pPr>
    </w:p>
    <w:p>
      <w:pPr>
        <w:spacing w:after="0" w:line="229"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Aman Patel____________________</w:t>
      </w:r>
    </w:p>
    <w:p>
      <w:pPr>
        <w:spacing w:after="0" w:line="7"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Name: Aman Patel</w:t>
      </w:r>
    </w:p>
    <w:p>
      <w:pPr>
        <w:ind w:left="212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1394" w:right="1440"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Third Amendment to First Lien Credit Agreement</w:t>
      </w:r>
      <w:r>
        <w:rPr>
          <w:rFonts w:ascii="Arial" w:cs="Arial" w:eastAsia="Arial" w:hAnsi="Arial"/>
          <w:sz w:val="19"/>
          <w:szCs w:val="19"/>
          <w:color w:val="auto"/>
        </w:rPr>
        <w:t>]</w:t>
      </w:r>
    </w:p>
    <w:p>
      <w:pPr>
        <w:sectPr>
          <w:pgSz w:w="11900" w:h="16838" w:orient="portrait"/>
          <w:cols w:equalWidth="0" w:num="1">
            <w:col w:w="9019"/>
          </w:cols>
          <w:pgMar w:left="1440" w:top="104" w:right="1440" w:bottom="1440" w:gutter="0" w:footer="0" w:header="0"/>
        </w:sectPr>
      </w:pPr>
    </w:p>
    <w:bookmarkStart w:id="56" w:name="page57"/>
    <w:bookmarkEnd w:id="56"/>
    <w:p>
      <w:pPr>
        <w:ind w:left="2120"/>
        <w:spacing w:after="0"/>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w:t>
      </w:r>
    </w:p>
    <w:p>
      <w:pPr>
        <w:ind w:left="2120"/>
        <w:spacing w:after="0"/>
        <w:rPr>
          <w:sz w:val="20"/>
          <w:szCs w:val="20"/>
          <w:color w:val="auto"/>
        </w:rPr>
      </w:pPr>
      <w:r>
        <w:rPr>
          <w:rFonts w:ascii="Arial" w:cs="Arial" w:eastAsia="Arial" w:hAnsi="Arial"/>
          <w:sz w:val="20"/>
          <w:szCs w:val="20"/>
          <w:color w:val="auto"/>
        </w:rPr>
        <w:t>as a Revolving Lender,</w:t>
      </w:r>
    </w:p>
    <w:p>
      <w:pPr>
        <w:spacing w:after="0" w:line="200" w:lineRule="exact"/>
        <w:rPr>
          <w:sz w:val="20"/>
          <w:szCs w:val="20"/>
          <w:color w:val="auto"/>
        </w:rPr>
      </w:pPr>
    </w:p>
    <w:p>
      <w:pPr>
        <w:spacing w:after="0" w:line="22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Kevin Ciok____________________</w:t>
      </w:r>
    </w:p>
    <w:p>
      <w:pPr>
        <w:ind w:left="2120"/>
        <w:spacing w:after="0" w:line="223" w:lineRule="auto"/>
        <w:rPr>
          <w:sz w:val="20"/>
          <w:szCs w:val="20"/>
          <w:color w:val="auto"/>
        </w:rPr>
      </w:pPr>
      <w:r>
        <w:rPr>
          <w:rFonts w:ascii="Arial" w:cs="Arial" w:eastAsia="Arial" w:hAnsi="Arial"/>
          <w:sz w:val="20"/>
          <w:szCs w:val="20"/>
          <w:color w:val="auto"/>
        </w:rPr>
        <w:t>Name: Kevin Ciok</w:t>
      </w:r>
    </w:p>
    <w:p>
      <w:pPr>
        <w:ind w:left="212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394" w:right="1440"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Third Amendment to First Lien Credit Agreement</w:t>
      </w:r>
      <w:r>
        <w:rPr>
          <w:rFonts w:ascii="Arial" w:cs="Arial" w:eastAsia="Arial" w:hAnsi="Arial"/>
          <w:sz w:val="19"/>
          <w:szCs w:val="19"/>
          <w:color w:val="auto"/>
        </w:rPr>
        <w:t>]</w:t>
      </w:r>
    </w:p>
    <w:p>
      <w:pPr>
        <w:sectPr>
          <w:pgSz w:w="11900" w:h="16838" w:orient="portrait"/>
          <w:cols w:equalWidth="0" w:num="1">
            <w:col w:w="9019"/>
          </w:cols>
          <w:pgMar w:left="1440" w:top="104" w:right="1440" w:bottom="1440" w:gutter="0" w:footer="0" w:header="0"/>
        </w:sectPr>
      </w:pPr>
    </w:p>
    <w:bookmarkStart w:id="58" w:name="page59"/>
    <w:bookmarkEnd w:id="58"/>
    <w:p>
      <w:pPr>
        <w:ind w:left="212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ind w:left="2120"/>
        <w:spacing w:after="0"/>
        <w:rPr>
          <w:sz w:val="20"/>
          <w:szCs w:val="20"/>
          <w:color w:val="auto"/>
        </w:rPr>
      </w:pPr>
      <w:r>
        <w:rPr>
          <w:rFonts w:ascii="Arial" w:cs="Arial" w:eastAsia="Arial" w:hAnsi="Arial"/>
          <w:sz w:val="20"/>
          <w:szCs w:val="20"/>
          <w:color w:val="auto"/>
        </w:rPr>
        <w:t>as a Revolving Lender,</w:t>
      </w:r>
    </w:p>
    <w:p>
      <w:pPr>
        <w:spacing w:after="0" w:line="200" w:lineRule="exact"/>
        <w:rPr>
          <w:sz w:val="20"/>
          <w:szCs w:val="20"/>
          <w:color w:val="auto"/>
        </w:rPr>
      </w:pPr>
    </w:p>
    <w:p>
      <w:pPr>
        <w:spacing w:after="0" w:line="21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Haley Heslip____________________</w:t>
      </w:r>
    </w:p>
    <w:p>
      <w:pPr>
        <w:ind w:left="2120"/>
        <w:spacing w:after="0" w:line="211" w:lineRule="auto"/>
        <w:rPr>
          <w:sz w:val="20"/>
          <w:szCs w:val="20"/>
          <w:color w:val="auto"/>
        </w:rPr>
      </w:pPr>
      <w:r>
        <w:rPr>
          <w:rFonts w:ascii="Arial" w:cs="Arial" w:eastAsia="Arial" w:hAnsi="Arial"/>
          <w:sz w:val="20"/>
          <w:szCs w:val="20"/>
          <w:color w:val="auto"/>
        </w:rPr>
        <w:t>Name: Haley Heslip</w:t>
      </w:r>
    </w:p>
    <w:p>
      <w:pPr>
        <w:ind w:left="21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Third Amendment to First Lien Credit Agreement</w:t>
      </w:r>
      <w:r>
        <w:rPr>
          <w:rFonts w:ascii="Arial" w:cs="Arial" w:eastAsia="Arial" w:hAnsi="Arial"/>
          <w:sz w:val="19"/>
          <w:szCs w:val="19"/>
          <w:color w:val="auto"/>
        </w:rPr>
        <w:t>]</w:t>
      </w:r>
    </w:p>
    <w:p>
      <w:pPr>
        <w:sectPr>
          <w:pgSz w:w="11900" w:h="16838" w:orient="portrait"/>
          <w:cols w:equalWidth="0" w:num="1">
            <w:col w:w="9019"/>
          </w:cols>
          <w:pgMar w:left="1440" w:top="1394" w:right="1440" w:bottom="1440" w:gutter="0" w:footer="0" w:header="0"/>
        </w:sectPr>
      </w:pPr>
    </w:p>
    <w:bookmarkStart w:id="59" w:name="page60"/>
    <w:bookmarkEnd w:id="59"/>
    <w:p>
      <w:pPr>
        <w:spacing w:after="0" w:line="203" w:lineRule="exact"/>
        <w:rPr>
          <w:sz w:val="20"/>
          <w:szCs w:val="20"/>
          <w:color w:val="auto"/>
        </w:rPr>
      </w:pPr>
    </w:p>
    <w:p>
      <w:pPr>
        <w:ind w:left="278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19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GOODRX, INC.</w:t>
      </w:r>
      <w:r>
        <w:rPr>
          <w:rFonts w:ascii="Arial" w:cs="Arial" w:eastAsia="Arial" w:hAnsi="Arial"/>
          <w:sz w:val="20"/>
          <w:szCs w:val="20"/>
          <w:color w:val="auto"/>
        </w:rPr>
        <w:t>,</w:t>
      </w:r>
    </w:p>
    <w:p>
      <w:pPr>
        <w:ind w:left="278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Karsten Voermann</w:t>
      </w:r>
      <w:r>
        <w:rPr>
          <w:rFonts w:ascii="Arial" w:cs="Arial" w:eastAsia="Arial" w:hAnsi="Arial"/>
          <w:sz w:val="16"/>
          <w:szCs w:val="16"/>
          <w:color w:val="auto"/>
        </w:rPr>
        <w:t>_________________</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Karsten Voermann</w:t>
      </w:r>
    </w:p>
    <w:p>
      <w:pPr>
        <w:ind w:left="278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Third Amendment to First Lien Credit Agreement</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type w:val="continuous"/>
        </w:sectPr>
      </w:pPr>
    </w:p>
    <w:bookmarkStart w:id="60" w:name="page61"/>
    <w:bookmarkEnd w:id="60"/>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AMENDED CREDIT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See attached</w:t>
      </w:r>
      <w:r>
        <w:rPr>
          <w:rFonts w:ascii="Arial" w:cs="Arial" w:eastAsia="Arial" w:hAnsi="Arial"/>
          <w:sz w:val="20"/>
          <w:szCs w:val="20"/>
          <w:color w:val="auto"/>
        </w:rPr>
        <w:t>.)</w:t>
      </w:r>
    </w:p>
    <w:p>
      <w:pPr>
        <w:sectPr>
          <w:pgSz w:w="11900" w:h="16838" w:orient="portrait"/>
          <w:cols w:equalWidth="0" w:num="1">
            <w:col w:w="9019"/>
          </w:cols>
          <w:pgMar w:left="1440" w:top="1399"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i w:val="1"/>
          <w:iCs w:val="1"/>
          <w:color w:val="FF0000"/>
          <w:strike w:val="1"/>
        </w:rPr>
        <w:t>Conformed Through the Second Amendment</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0000FF"/>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490855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516890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FIRST LIEN CREDIT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October 12, 2018,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6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GOODRX, INC.,</w:t>
      </w:r>
    </w:p>
    <w:p>
      <w:pPr>
        <w:ind w:left="4920"/>
        <w:spacing w:after="0"/>
        <w:rPr>
          <w:sz w:val="20"/>
          <w:szCs w:val="20"/>
          <w:color w:val="auto"/>
        </w:rPr>
      </w:pPr>
      <w:r>
        <w:rPr>
          <w:rFonts w:ascii="Arial" w:cs="Arial" w:eastAsia="Arial" w:hAnsi="Arial"/>
          <w:sz w:val="22"/>
          <w:szCs w:val="22"/>
          <w:color w:val="auto"/>
        </w:rPr>
        <w:t>as the Borrower,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GOODRX INTERMEDIATE HOLDINGS, LLC,</w:t>
      </w:r>
    </w:p>
    <w:p>
      <w:pPr>
        <w:jc w:val="center"/>
        <w:spacing w:after="0"/>
        <w:rPr>
          <w:sz w:val="20"/>
          <w:szCs w:val="20"/>
          <w:color w:val="auto"/>
        </w:rPr>
      </w:pPr>
      <w:r>
        <w:rPr>
          <w:rFonts w:ascii="Arial" w:cs="Arial" w:eastAsia="Arial" w:hAnsi="Arial"/>
          <w:sz w:val="22"/>
          <w:szCs w:val="22"/>
          <w:color w:val="auto"/>
        </w:rPr>
        <w:t>as Holdings,</w:t>
      </w:r>
    </w:p>
    <w:p>
      <w:pPr>
        <w:spacing w:after="0" w:line="18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The Lenders Party Hereto,</w:t>
      </w:r>
    </w:p>
    <w:p>
      <w:pPr>
        <w:spacing w:after="0" w:line="179"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and</w:t>
      </w:r>
    </w:p>
    <w:p>
      <w:pPr>
        <w:spacing w:after="0" w:line="160"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BARCLAYS BANK PLC,</w:t>
      </w:r>
    </w:p>
    <w:p>
      <w:pPr>
        <w:jc w:val="center"/>
        <w:spacing w:after="0"/>
        <w:rPr>
          <w:sz w:val="20"/>
          <w:szCs w:val="20"/>
          <w:color w:val="auto"/>
        </w:rPr>
      </w:pPr>
      <w:r>
        <w:rPr>
          <w:rFonts w:ascii="Arial" w:cs="Arial" w:eastAsia="Arial" w:hAnsi="Arial"/>
          <w:sz w:val="22"/>
          <w:szCs w:val="22"/>
          <w:color w:val="auto"/>
        </w:rPr>
        <w:t>as Administrative Agent and Collateral Agent</w:t>
      </w:r>
    </w:p>
    <w:p>
      <w:pPr>
        <w:spacing w:after="0" w:line="182"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_____________________________</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GOLDMAN SACHS BANK USA</w:t>
      </w:r>
    </w:p>
    <w:p>
      <w:pPr>
        <w:jc w:val="center"/>
        <w:spacing w:after="0" w:line="204" w:lineRule="auto"/>
        <w:rPr>
          <w:sz w:val="20"/>
          <w:szCs w:val="20"/>
          <w:color w:val="auto"/>
        </w:rPr>
      </w:pPr>
      <w:r>
        <w:rPr>
          <w:rFonts w:ascii="Arial" w:cs="Arial" w:eastAsia="Arial" w:hAnsi="Arial"/>
          <w:sz w:val="22"/>
          <w:szCs w:val="22"/>
          <w:color w:val="auto"/>
        </w:rPr>
        <w:t>BARCLAYS BANK PLC</w:t>
      </w:r>
    </w:p>
    <w:p>
      <w:pPr>
        <w:jc w:val="center"/>
        <w:spacing w:after="0" w:line="205" w:lineRule="auto"/>
        <w:rPr>
          <w:sz w:val="20"/>
          <w:szCs w:val="20"/>
          <w:color w:val="auto"/>
        </w:rPr>
      </w:pPr>
      <w:r>
        <w:rPr>
          <w:rFonts w:ascii="Arial" w:cs="Arial" w:eastAsia="Arial" w:hAnsi="Arial"/>
          <w:sz w:val="22"/>
          <w:szCs w:val="22"/>
          <w:color w:val="auto"/>
        </w:rPr>
        <w:t>MERRILL LYNCH, PIERCE, FENNER &amp; SMITH INCORPORATED</w:t>
      </w:r>
    </w:p>
    <w:p>
      <w:pPr>
        <w:jc w:val="center"/>
        <w:spacing w:after="0" w:line="205" w:lineRule="auto"/>
        <w:rPr>
          <w:sz w:val="20"/>
          <w:szCs w:val="20"/>
          <w:color w:val="auto"/>
        </w:rPr>
      </w:pPr>
      <w:r>
        <w:rPr>
          <w:rFonts w:ascii="Arial" w:cs="Arial" w:eastAsia="Arial" w:hAnsi="Arial"/>
          <w:sz w:val="22"/>
          <w:szCs w:val="22"/>
          <w:color w:val="auto"/>
        </w:rPr>
        <w:t>CITIZENS BANK, N.A.</w:t>
      </w:r>
    </w:p>
    <w:p>
      <w:pPr>
        <w:jc w:val="center"/>
        <w:spacing w:after="0" w:line="205" w:lineRule="auto"/>
        <w:rPr>
          <w:sz w:val="20"/>
          <w:szCs w:val="20"/>
          <w:color w:val="auto"/>
        </w:rPr>
      </w:pPr>
      <w:r>
        <w:rPr>
          <w:rFonts w:ascii="Arial" w:cs="Arial" w:eastAsia="Arial" w:hAnsi="Arial"/>
          <w:sz w:val="22"/>
          <w:szCs w:val="22"/>
          <w:color w:val="auto"/>
        </w:rPr>
        <w:t>CREDIT SUISSE LOAN FUNDING LLC</w:t>
      </w:r>
    </w:p>
    <w:p>
      <w:pPr>
        <w:jc w:val="center"/>
        <w:spacing w:after="0" w:line="205" w:lineRule="auto"/>
        <w:rPr>
          <w:sz w:val="20"/>
          <w:szCs w:val="20"/>
          <w:color w:val="auto"/>
        </w:rPr>
      </w:pPr>
      <w:r>
        <w:rPr>
          <w:rFonts w:ascii="Arial" w:cs="Arial" w:eastAsia="Arial" w:hAnsi="Arial"/>
          <w:sz w:val="22"/>
          <w:szCs w:val="22"/>
          <w:color w:val="auto"/>
        </w:rPr>
        <w:t>KKR CAPITAL MARKETS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SUNTRUST ROBINSON HUMPHREY,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Joint Lead Arrangers and Joint Lead Bookrunners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by</w:t>
      </w:r>
    </w:p>
    <w:p>
      <w:pPr>
        <w:spacing w:after="0" w:line="179" w:lineRule="exact"/>
        <w:rPr>
          <w:sz w:val="20"/>
          <w:szCs w:val="20"/>
          <w:color w:val="auto"/>
        </w:rPr>
      </w:pPr>
    </w:p>
    <w:p>
      <w:pPr>
        <w:jc w:val="center"/>
        <w:spacing w:after="0" w:line="223" w:lineRule="auto"/>
        <w:rPr>
          <w:sz w:val="20"/>
          <w:szCs w:val="20"/>
          <w:color w:val="auto"/>
        </w:rPr>
      </w:pPr>
      <w:r>
        <w:rPr>
          <w:rFonts w:ascii="Arial" w:cs="Arial" w:eastAsia="Arial" w:hAnsi="Arial"/>
          <w:sz w:val="22"/>
          <w:szCs w:val="22"/>
          <w:color w:val="auto"/>
        </w:rPr>
        <w:t xml:space="preserve">the First Incremental Credit Facility Amendment to First Lien Credit Agreement, dated as of November 1, 2019 </w:t>
      </w:r>
      <w:r>
        <w:rPr>
          <w:rFonts w:ascii="Arial" w:cs="Arial" w:eastAsia="Arial" w:hAnsi="Arial"/>
          <w:sz w:val="22"/>
          <w:szCs w:val="22"/>
          <w:color w:val="FF0000"/>
        </w:rPr>
        <w:t>and</w:t>
      </w:r>
      <w:r>
        <w:rPr>
          <w:rFonts w:ascii="Arial" w:cs="Arial" w:eastAsia="Arial" w:hAnsi="Arial"/>
          <w:sz w:val="22"/>
          <w:szCs w:val="22"/>
          <w:u w:val="single" w:color="auto"/>
          <w:color w:val="0000FF"/>
        </w:rPr>
        <w:t>,</w:t>
      </w:r>
      <w:r>
        <w:rPr>
          <w:rFonts w:ascii="Arial" w:cs="Arial" w:eastAsia="Arial" w:hAnsi="Arial"/>
          <w:sz w:val="22"/>
          <w:szCs w:val="22"/>
          <w:color w:val="auto"/>
        </w:rPr>
        <w:t xml:space="preserve"> the Second Incremental Credit Facility Amendment to First Lien Credit Agreement, dated as of May 12, 2020 </w:t>
      </w:r>
      <w:r>
        <w:rPr>
          <w:rFonts w:ascii="Arial" w:cs="Arial" w:eastAsia="Arial" w:hAnsi="Arial"/>
          <w:sz w:val="22"/>
          <w:szCs w:val="22"/>
          <w:u w:val="single" w:color="auto"/>
          <w:color w:val="0000FF"/>
        </w:rPr>
        <w:t>and the Third Amendment to</w:t>
      </w:r>
      <w:r>
        <w:rPr>
          <w:rFonts w:ascii="Arial" w:cs="Arial" w:eastAsia="Arial" w:hAnsi="Arial"/>
          <w:sz w:val="22"/>
          <w:szCs w:val="22"/>
          <w:color w:val="auto"/>
        </w:rPr>
        <w:t xml:space="preserve"> </w:t>
      </w:r>
      <w:r>
        <w:rPr>
          <w:rFonts w:ascii="Arial" w:cs="Arial" w:eastAsia="Arial" w:hAnsi="Arial"/>
          <w:sz w:val="22"/>
          <w:szCs w:val="22"/>
          <w:u w:val="single" w:color="auto"/>
          <w:color w:val="0000FF"/>
        </w:rPr>
        <w:t>First Lien Credit Agreement, dated as of June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6180455</wp:posOffset>
            </wp:positionH>
            <wp:positionV relativeFrom="paragraph">
              <wp:posOffset>-356235</wp:posOffset>
            </wp:positionV>
            <wp:extent cx="2324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287"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53"/>
        </w:trPr>
        <w:tc>
          <w:tcPr>
            <w:tcW w:w="1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40" w:type="dxa"/>
            <w:vAlign w:val="bottom"/>
            <w:gridSpan w:val="23"/>
          </w:tcPr>
          <w:p>
            <w:pPr>
              <w:ind w:left="80"/>
              <w:spacing w:after="0"/>
              <w:rPr>
                <w:sz w:val="20"/>
                <w:szCs w:val="20"/>
                <w:color w:val="auto"/>
              </w:rPr>
            </w:pPr>
            <w:r>
              <w:rPr>
                <w:rFonts w:ascii="Arial" w:cs="Arial" w:eastAsia="Arial" w:hAnsi="Arial"/>
                <w:sz w:val="22"/>
                <w:szCs w:val="22"/>
                <w:b w:val="1"/>
                <w:bCs w:val="1"/>
                <w:color w:val="auto"/>
              </w:rPr>
              <w:t>TABLE OF CONTENTS</w:t>
            </w:r>
          </w:p>
        </w:tc>
        <w:tc>
          <w:tcPr>
            <w:tcW w:w="0" w:type="dxa"/>
            <w:vAlign w:val="bottom"/>
          </w:tcPr>
          <w:p>
            <w:pPr>
              <w:spacing w:after="0"/>
              <w:rPr>
                <w:sz w:val="1"/>
                <w:szCs w:val="1"/>
                <w:color w:val="auto"/>
              </w:rPr>
            </w:pPr>
          </w:p>
        </w:tc>
      </w:tr>
      <w:tr>
        <w:trPr>
          <w:trHeight w:val="412"/>
        </w:trPr>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79"/>
              </w:rPr>
              <w:t>Page</w:t>
            </w:r>
          </w:p>
        </w:tc>
        <w:tc>
          <w:tcPr>
            <w:tcW w:w="0" w:type="dxa"/>
            <w:vAlign w:val="bottom"/>
          </w:tcPr>
          <w:p>
            <w:pPr>
              <w:spacing w:after="0"/>
              <w:rPr>
                <w:sz w:val="1"/>
                <w:szCs w:val="1"/>
                <w:color w:val="auto"/>
              </w:rPr>
            </w:pPr>
          </w:p>
        </w:tc>
      </w:tr>
      <w:tr>
        <w:trPr>
          <w:trHeight w:val="404"/>
        </w:trPr>
        <w:tc>
          <w:tcPr>
            <w:tcW w:w="3200" w:type="dxa"/>
            <w:vAlign w:val="bottom"/>
            <w:gridSpan w:val="3"/>
          </w:tcPr>
          <w:p>
            <w:pPr>
              <w:spacing w:after="0"/>
              <w:rPr>
                <w:sz w:val="20"/>
                <w:szCs w:val="20"/>
                <w:color w:val="auto"/>
              </w:rPr>
            </w:pPr>
            <w:r>
              <w:rPr>
                <w:rFonts w:ascii="Arial" w:cs="Arial" w:eastAsia="Arial" w:hAnsi="Arial"/>
                <w:sz w:val="22"/>
                <w:szCs w:val="22"/>
                <w:b w:val="1"/>
                <w:bCs w:val="1"/>
                <w:color w:val="auto"/>
              </w:rPr>
              <w:t>ARTICLE I Definitions  1</w:t>
            </w:r>
          </w:p>
        </w:tc>
        <w:tc>
          <w:tcPr>
            <w:tcW w:w="320" w:type="dxa"/>
            <w:vAlign w:val="bottom"/>
            <w:gridSpan w:val="2"/>
            <w:vMerge w:val="restart"/>
          </w:tcPr>
          <w:p>
            <w:pPr>
              <w:jc w:val="right"/>
              <w:spacing w:after="0"/>
              <w:rPr>
                <w:sz w:val="20"/>
                <w:szCs w:val="20"/>
                <w:color w:val="auto"/>
              </w:rPr>
            </w:pPr>
            <w:r>
              <w:rPr>
                <w:rFonts w:ascii="Arial" w:cs="Arial" w:eastAsia="Arial" w:hAnsi="Arial"/>
                <w:sz w:val="22"/>
                <w:szCs w:val="22"/>
                <w:color w:val="auto"/>
              </w:rPr>
              <w:t>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1.01</w:t>
            </w:r>
          </w:p>
        </w:tc>
        <w:tc>
          <w:tcPr>
            <w:tcW w:w="1380" w:type="dxa"/>
            <w:vAlign w:val="bottom"/>
            <w:gridSpan w:val="2"/>
          </w:tcPr>
          <w:p>
            <w:pPr>
              <w:ind w:left="100"/>
              <w:spacing w:after="0" w:line="243" w:lineRule="exact"/>
              <w:rPr>
                <w:sz w:val="20"/>
                <w:szCs w:val="20"/>
                <w:color w:val="auto"/>
              </w:rPr>
            </w:pPr>
            <w:r>
              <w:rPr>
                <w:rFonts w:ascii="Arial" w:cs="Arial" w:eastAsia="Arial" w:hAnsi="Arial"/>
                <w:sz w:val="22"/>
                <w:szCs w:val="22"/>
                <w:color w:val="auto"/>
                <w:w w:val="87"/>
              </w:rPr>
              <w:t>Defined Terms</w:t>
            </w:r>
          </w:p>
        </w:tc>
        <w:tc>
          <w:tcPr>
            <w:tcW w:w="32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820" w:type="dxa"/>
            <w:vAlign w:val="bottom"/>
          </w:tcPr>
          <w:p>
            <w:pPr>
              <w:ind w:left="660"/>
              <w:spacing w:after="0" w:line="224" w:lineRule="exact"/>
              <w:rPr>
                <w:sz w:val="20"/>
                <w:szCs w:val="20"/>
                <w:color w:val="auto"/>
              </w:rPr>
            </w:pPr>
            <w:r>
              <w:rPr>
                <w:rFonts w:ascii="Arial" w:cs="Arial" w:eastAsia="Arial" w:hAnsi="Arial"/>
                <w:sz w:val="22"/>
                <w:szCs w:val="22"/>
                <w:color w:val="auto"/>
                <w:w w:val="93"/>
              </w:rPr>
              <w:t>Section 1.02</w:t>
            </w:r>
          </w:p>
        </w:tc>
        <w:tc>
          <w:tcPr>
            <w:tcW w:w="3860" w:type="dxa"/>
            <w:vAlign w:val="bottom"/>
            <w:gridSpan w:val="29"/>
          </w:tcPr>
          <w:p>
            <w:pPr>
              <w:ind w:left="100"/>
              <w:spacing w:after="0" w:line="224" w:lineRule="exact"/>
              <w:rPr>
                <w:sz w:val="20"/>
                <w:szCs w:val="20"/>
                <w:color w:val="auto"/>
              </w:rPr>
            </w:pPr>
            <w:r>
              <w:rPr>
                <w:rFonts w:ascii="Arial" w:cs="Arial" w:eastAsia="Arial" w:hAnsi="Arial"/>
                <w:sz w:val="22"/>
                <w:szCs w:val="22"/>
                <w:color w:val="auto"/>
                <w:w w:val="92"/>
              </w:rPr>
              <w:t>Classification of Loans and Borrowings  7</w:t>
            </w:r>
          </w:p>
        </w:tc>
        <w:tc>
          <w:tcPr>
            <w:tcW w:w="120" w:type="dxa"/>
            <w:vAlign w:val="bottom"/>
          </w:tcPr>
          <w:p>
            <w:pPr>
              <w:jc w:val="right"/>
              <w:spacing w:after="0" w:line="224" w:lineRule="exact"/>
              <w:rPr>
                <w:sz w:val="20"/>
                <w:szCs w:val="20"/>
                <w:color w:val="auto"/>
              </w:rPr>
            </w:pPr>
            <w:r>
              <w:rPr>
                <w:rFonts w:ascii="Arial" w:cs="Arial" w:eastAsia="Arial" w:hAnsi="Arial"/>
                <w:sz w:val="22"/>
                <w:szCs w:val="22"/>
                <w:color w:val="FF0000"/>
                <w:strike w:val="1"/>
                <w:w w:val="81"/>
              </w:rPr>
              <w:t>5</w:t>
            </w:r>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19"/>
                <w:szCs w:val="19"/>
                <w:color w:val="0000FF"/>
                <w:w w:val="75"/>
              </w:rPr>
              <w:t>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1.03</w:t>
            </w:r>
          </w:p>
        </w:tc>
        <w:tc>
          <w:tcPr>
            <w:tcW w:w="1740" w:type="dxa"/>
            <w:vAlign w:val="bottom"/>
            <w:gridSpan w:val="5"/>
          </w:tcPr>
          <w:p>
            <w:pPr>
              <w:ind w:left="100"/>
              <w:spacing w:after="0" w:line="209" w:lineRule="exact"/>
              <w:rPr>
                <w:sz w:val="20"/>
                <w:szCs w:val="20"/>
                <w:color w:val="auto"/>
              </w:rPr>
            </w:pPr>
            <w:r>
              <w:rPr>
                <w:rFonts w:ascii="Arial" w:cs="Arial" w:eastAsia="Arial" w:hAnsi="Arial"/>
                <w:sz w:val="22"/>
                <w:szCs w:val="22"/>
                <w:color w:val="auto"/>
                <w:w w:val="99"/>
              </w:rPr>
              <w:t>Terms Generally</w:t>
            </w:r>
          </w:p>
        </w:tc>
        <w:tc>
          <w:tcPr>
            <w:tcW w:w="120" w:type="dxa"/>
            <w:vAlign w:val="bottom"/>
          </w:tcPr>
          <w:p>
            <w:pPr>
              <w:jc w:val="right"/>
              <w:spacing w:after="0" w:line="209" w:lineRule="exact"/>
              <w:rPr>
                <w:sz w:val="20"/>
                <w:szCs w:val="20"/>
                <w:color w:val="auto"/>
              </w:rPr>
            </w:pPr>
            <w:r>
              <w:rPr>
                <w:rFonts w:ascii="Arial" w:cs="Arial" w:eastAsia="Arial" w:hAnsi="Arial"/>
                <w:sz w:val="22"/>
                <w:szCs w:val="22"/>
                <w:color w:val="auto"/>
                <w:w w:val="81"/>
              </w:rPr>
              <w:t>7</w:t>
            </w:r>
          </w:p>
        </w:tc>
        <w:tc>
          <w:tcPr>
            <w:tcW w:w="100" w:type="dxa"/>
            <w:vAlign w:val="bottom"/>
            <w:gridSpan w:val="3"/>
          </w:tcPr>
          <w:p>
            <w:pPr>
              <w:jc w:val="right"/>
              <w:spacing w:after="0" w:line="210" w:lineRule="exact"/>
              <w:rPr>
                <w:sz w:val="20"/>
                <w:szCs w:val="20"/>
                <w:color w:val="auto"/>
              </w:rPr>
            </w:pPr>
            <w:r>
              <w:rPr>
                <w:rFonts w:ascii="Arial" w:cs="Arial" w:eastAsia="Arial" w:hAnsi="Arial"/>
                <w:sz w:val="19"/>
                <w:szCs w:val="19"/>
                <w:color w:val="FF0000"/>
                <w:strike w:val="1"/>
                <w:w w:val="75"/>
              </w:rPr>
              <w:t>5</w:t>
            </w:r>
          </w:p>
        </w:tc>
        <w:tc>
          <w:tcPr>
            <w:tcW w:w="200" w:type="dxa"/>
            <w:vAlign w:val="bottom"/>
            <w:tcBorders>
              <w:bottom w:val="single" w:sz="8" w:color="0000FF"/>
            </w:tcBorders>
          </w:tcPr>
          <w:p>
            <w:pPr>
              <w:spacing w:after="0" w:line="209" w:lineRule="exact"/>
              <w:rPr>
                <w:sz w:val="20"/>
                <w:szCs w:val="20"/>
                <w:color w:val="auto"/>
              </w:rPr>
            </w:pPr>
            <w:r>
              <w:rPr>
                <w:rFonts w:ascii="Arial" w:cs="Arial" w:eastAsia="Arial" w:hAnsi="Arial"/>
                <w:sz w:val="22"/>
                <w:szCs w:val="22"/>
                <w:color w:val="0000FF"/>
              </w:rPr>
              <w:t>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1.04</w:t>
            </w:r>
          </w:p>
        </w:tc>
        <w:tc>
          <w:tcPr>
            <w:tcW w:w="2480" w:type="dxa"/>
            <w:vAlign w:val="bottom"/>
            <w:gridSpan w:val="14"/>
          </w:tcPr>
          <w:p>
            <w:pPr>
              <w:ind w:left="100"/>
              <w:spacing w:after="0" w:line="223" w:lineRule="exact"/>
              <w:rPr>
                <w:sz w:val="20"/>
                <w:szCs w:val="20"/>
                <w:color w:val="auto"/>
              </w:rPr>
            </w:pPr>
            <w:r>
              <w:rPr>
                <w:rFonts w:ascii="Arial" w:cs="Arial" w:eastAsia="Arial" w:hAnsi="Arial"/>
                <w:sz w:val="22"/>
                <w:szCs w:val="22"/>
                <w:color w:val="auto"/>
                <w:w w:val="94"/>
              </w:rPr>
              <w:t>Accounting Terms; GAAP</w:t>
            </w:r>
          </w:p>
        </w:tc>
        <w:tc>
          <w:tcPr>
            <w:tcW w:w="240" w:type="dxa"/>
            <w:vAlign w:val="bottom"/>
            <w:gridSpan w:val="4"/>
          </w:tcPr>
          <w:p>
            <w:pPr>
              <w:jc w:val="right"/>
              <w:spacing w:after="0" w:line="223" w:lineRule="exact"/>
              <w:rPr>
                <w:sz w:val="20"/>
                <w:szCs w:val="20"/>
                <w:color w:val="auto"/>
              </w:rPr>
            </w:pPr>
            <w:r>
              <w:rPr>
                <w:rFonts w:ascii="Arial" w:cs="Arial" w:eastAsia="Arial" w:hAnsi="Arial"/>
                <w:sz w:val="22"/>
                <w:szCs w:val="22"/>
                <w:color w:val="auto"/>
              </w:rPr>
              <w:t>8</w:t>
            </w:r>
          </w:p>
        </w:tc>
        <w:tc>
          <w:tcPr>
            <w:tcW w:w="100" w:type="dxa"/>
            <w:vAlign w:val="bottom"/>
          </w:tcPr>
          <w:p>
            <w:pPr>
              <w:jc w:val="right"/>
              <w:spacing w:after="0"/>
              <w:rPr>
                <w:sz w:val="20"/>
                <w:szCs w:val="20"/>
                <w:color w:val="auto"/>
              </w:rPr>
            </w:pPr>
            <w:r>
              <w:rPr>
                <w:rFonts w:ascii="Arial" w:cs="Arial" w:eastAsia="Arial" w:hAnsi="Arial"/>
                <w:sz w:val="19"/>
                <w:szCs w:val="19"/>
                <w:color w:val="FF0000"/>
                <w:strike w:val="1"/>
                <w:w w:val="75"/>
              </w:rPr>
              <w:t>6</w:t>
            </w:r>
          </w:p>
        </w:tc>
        <w:tc>
          <w:tcPr>
            <w:tcW w:w="120" w:type="dxa"/>
            <w:vAlign w:val="bottom"/>
            <w:tcBorders>
              <w:bottom w:val="single" w:sz="8" w:color="3051F2"/>
            </w:tcBorders>
            <w:gridSpan w:val="2"/>
          </w:tcPr>
          <w:p>
            <w:pPr>
              <w:jc w:val="right"/>
              <w:spacing w:after="0" w:line="223" w:lineRule="exact"/>
              <w:rPr>
                <w:sz w:val="20"/>
                <w:szCs w:val="20"/>
                <w:color w:val="auto"/>
              </w:rPr>
            </w:pPr>
            <w:r>
              <w:rPr>
                <w:rFonts w:ascii="Arial" w:cs="Arial" w:eastAsia="Arial" w:hAnsi="Arial"/>
                <w:sz w:val="22"/>
                <w:szCs w:val="22"/>
                <w:color w:val="3051F2"/>
                <w:w w:val="81"/>
              </w:rPr>
              <w:t>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1.05</w:t>
            </w:r>
          </w:p>
        </w:tc>
        <w:tc>
          <w:tcPr>
            <w:tcW w:w="4040" w:type="dxa"/>
            <w:vAlign w:val="bottom"/>
            <w:gridSpan w:val="31"/>
          </w:tcPr>
          <w:p>
            <w:pPr>
              <w:ind w:left="100"/>
              <w:spacing w:after="0" w:line="223" w:lineRule="exact"/>
              <w:rPr>
                <w:sz w:val="20"/>
                <w:szCs w:val="20"/>
                <w:color w:val="auto"/>
              </w:rPr>
            </w:pPr>
            <w:r>
              <w:rPr>
                <w:rFonts w:ascii="Arial" w:cs="Arial" w:eastAsia="Arial" w:hAnsi="Arial"/>
                <w:sz w:val="22"/>
                <w:szCs w:val="22"/>
                <w:color w:val="auto"/>
                <w:w w:val="93"/>
              </w:rPr>
              <w:t>Pro Forma Calculations; Unrestricted Cash</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FF0000"/>
                <w:strike w:val="1"/>
                <w:w w:val="73"/>
              </w:rPr>
              <w:t>86</w:t>
            </w:r>
          </w:p>
        </w:tc>
        <w:tc>
          <w:tcPr>
            <w:tcW w:w="5180" w:type="dxa"/>
            <w:vAlign w:val="bottom"/>
            <w:gridSpan w:val="5"/>
          </w:tcPr>
          <w:p>
            <w:pPr>
              <w:jc w:val="right"/>
              <w:ind w:right="4852"/>
              <w:spacing w:after="0" w:line="223" w:lineRule="exact"/>
              <w:rPr>
                <w:sz w:val="20"/>
                <w:szCs w:val="20"/>
                <w:color w:val="auto"/>
              </w:rPr>
            </w:pPr>
            <w:r>
              <w:rPr>
                <w:rFonts w:ascii="Arial" w:cs="Arial" w:eastAsia="Arial" w:hAnsi="Arial"/>
                <w:sz w:val="22"/>
                <w:szCs w:val="22"/>
                <w:color w:val="3051F2"/>
                <w:w w:val="81"/>
              </w:rPr>
              <w:t>8</w:t>
            </w:r>
            <w:r>
              <w:rPr>
                <w:rFonts w:ascii="Arial" w:cs="Arial" w:eastAsia="Arial" w:hAnsi="Arial"/>
                <w:sz w:val="22"/>
                <w:szCs w:val="22"/>
                <w:color w:val="0000FF"/>
                <w:w w:val="81"/>
              </w:rPr>
              <w:t>0</w:t>
            </w:r>
          </w:p>
        </w:tc>
        <w:tc>
          <w:tcPr>
            <w:tcW w:w="0" w:type="dxa"/>
            <w:vAlign w:val="bottom"/>
          </w:tcPr>
          <w:p>
            <w:pPr>
              <w:spacing w:after="0"/>
              <w:rPr>
                <w:sz w:val="1"/>
                <w:szCs w:val="1"/>
                <w:color w:val="auto"/>
              </w:rPr>
            </w:pPr>
          </w:p>
        </w:tc>
      </w:tr>
      <w:tr>
        <w:trPr>
          <w:trHeight w:val="210"/>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1.06</w:t>
            </w:r>
          </w:p>
        </w:tc>
        <w:tc>
          <w:tcPr>
            <w:tcW w:w="2160" w:type="dxa"/>
            <w:vAlign w:val="bottom"/>
            <w:gridSpan w:val="10"/>
          </w:tcPr>
          <w:p>
            <w:pPr>
              <w:ind w:left="100"/>
              <w:spacing w:after="0" w:line="209" w:lineRule="exact"/>
              <w:rPr>
                <w:sz w:val="20"/>
                <w:szCs w:val="20"/>
                <w:color w:val="auto"/>
              </w:rPr>
            </w:pPr>
            <w:r>
              <w:rPr>
                <w:rFonts w:ascii="Arial" w:cs="Arial" w:eastAsia="Arial" w:hAnsi="Arial"/>
                <w:sz w:val="22"/>
                <w:szCs w:val="22"/>
                <w:color w:val="auto"/>
                <w:w w:val="98"/>
              </w:rPr>
              <w:t>Currency Translation</w:t>
            </w:r>
          </w:p>
        </w:tc>
        <w:tc>
          <w:tcPr>
            <w:tcW w:w="200" w:type="dxa"/>
            <w:vAlign w:val="bottom"/>
            <w:gridSpan w:val="3"/>
          </w:tcPr>
          <w:p>
            <w:pPr>
              <w:jc w:val="right"/>
              <w:spacing w:after="0" w:line="209" w:lineRule="exact"/>
              <w:rPr>
                <w:sz w:val="20"/>
                <w:szCs w:val="20"/>
                <w:color w:val="auto"/>
              </w:rPr>
            </w:pPr>
            <w:r>
              <w:rPr>
                <w:rFonts w:ascii="Arial" w:cs="Arial" w:eastAsia="Arial" w:hAnsi="Arial"/>
                <w:sz w:val="22"/>
                <w:szCs w:val="22"/>
                <w:color w:val="FF0000"/>
                <w:strike w:val="1"/>
                <w:w w:val="73"/>
              </w:rPr>
              <w:t>87</w:t>
            </w:r>
          </w:p>
        </w:tc>
        <w:tc>
          <w:tcPr>
            <w:tcW w:w="340" w:type="dxa"/>
            <w:vAlign w:val="bottom"/>
            <w:gridSpan w:val="4"/>
          </w:tcPr>
          <w:p>
            <w:pPr>
              <w:jc w:val="right"/>
              <w:ind w:right="120"/>
              <w:spacing w:after="0" w:line="209" w:lineRule="exact"/>
              <w:rPr>
                <w:sz w:val="20"/>
                <w:szCs w:val="20"/>
                <w:color w:val="auto"/>
              </w:rPr>
            </w:pPr>
            <w:r>
              <w:rPr>
                <w:rFonts w:ascii="Arial" w:cs="Arial" w:eastAsia="Arial" w:hAnsi="Arial"/>
                <w:sz w:val="22"/>
                <w:szCs w:val="22"/>
                <w:color w:val="3051F2"/>
                <w:w w:val="81"/>
              </w:rPr>
              <w:t>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5"/>
          </w:tcPr>
          <w:p>
            <w:pPr>
              <w:spacing w:after="0"/>
              <w:rPr>
                <w:sz w:val="18"/>
                <w:szCs w:val="18"/>
                <w:color w:val="auto"/>
              </w:rPr>
            </w:pPr>
          </w:p>
        </w:tc>
        <w:tc>
          <w:tcPr>
            <w:tcW w:w="120" w:type="dxa"/>
            <w:vAlign w:val="bottom"/>
            <w:tcBorders>
              <w:top w:val="single" w:sz="8" w:color="3051F2"/>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1.07</w:t>
            </w:r>
          </w:p>
        </w:tc>
        <w:tc>
          <w:tcPr>
            <w:tcW w:w="1160" w:type="dxa"/>
            <w:vAlign w:val="bottom"/>
          </w:tcPr>
          <w:p>
            <w:pPr>
              <w:ind w:left="100"/>
              <w:spacing w:after="0" w:line="223" w:lineRule="exact"/>
              <w:rPr>
                <w:sz w:val="20"/>
                <w:szCs w:val="20"/>
                <w:color w:val="auto"/>
              </w:rPr>
            </w:pPr>
            <w:r>
              <w:rPr>
                <w:rFonts w:ascii="Arial" w:cs="Arial" w:eastAsia="Arial" w:hAnsi="Arial"/>
                <w:sz w:val="22"/>
                <w:szCs w:val="22"/>
                <w:color w:val="auto"/>
              </w:rPr>
              <w:t>Rounding</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FF0000"/>
                <w:strike w:val="1"/>
                <w:w w:val="81"/>
              </w:rPr>
              <w:t>88</w:t>
            </w:r>
          </w:p>
        </w:tc>
        <w:tc>
          <w:tcPr>
            <w:tcW w:w="220" w:type="dxa"/>
            <w:vAlign w:val="bottom"/>
            <w:tcBorders>
              <w:bottom w:val="single" w:sz="8" w:color="3051F2"/>
            </w:tcBorders>
          </w:tcPr>
          <w:p>
            <w:pPr>
              <w:jc w:val="right"/>
              <w:spacing w:after="0" w:line="223" w:lineRule="exact"/>
              <w:rPr>
                <w:sz w:val="20"/>
                <w:szCs w:val="20"/>
                <w:color w:val="auto"/>
              </w:rPr>
            </w:pPr>
            <w:r>
              <w:rPr>
                <w:rFonts w:ascii="Arial" w:cs="Arial" w:eastAsia="Arial" w:hAnsi="Arial"/>
                <w:sz w:val="22"/>
                <w:szCs w:val="22"/>
                <w:color w:val="3051F2"/>
                <w:w w:val="81"/>
              </w:rPr>
              <w:t>81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3051F2"/>
            </w:tcBorders>
          </w:tcPr>
          <w:p>
            <w:pPr>
              <w:spacing w:after="0"/>
              <w:rPr>
                <w:sz w:val="19"/>
                <w:szCs w:val="19"/>
                <w:color w:val="auto"/>
              </w:rPr>
            </w:pPr>
          </w:p>
        </w:tc>
        <w:tc>
          <w:tcPr>
            <w:tcW w:w="100" w:type="dxa"/>
            <w:vAlign w:val="bottom"/>
            <w:tcBorders>
              <w:top w:val="single" w:sz="8" w:color="3051F2"/>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1.08</w:t>
            </w:r>
          </w:p>
        </w:tc>
        <w:tc>
          <w:tcPr>
            <w:tcW w:w="3380" w:type="dxa"/>
            <w:vAlign w:val="bottom"/>
            <w:gridSpan w:val="25"/>
          </w:tcPr>
          <w:p>
            <w:pPr>
              <w:ind w:left="100"/>
              <w:spacing w:after="0" w:line="223" w:lineRule="exact"/>
              <w:rPr>
                <w:sz w:val="20"/>
                <w:szCs w:val="20"/>
                <w:color w:val="auto"/>
              </w:rPr>
            </w:pPr>
            <w:r>
              <w:rPr>
                <w:rFonts w:ascii="Arial" w:cs="Arial" w:eastAsia="Arial" w:hAnsi="Arial"/>
                <w:sz w:val="22"/>
                <w:szCs w:val="22"/>
                <w:color w:val="auto"/>
                <w:w w:val="95"/>
              </w:rPr>
              <w:t>Timing of Payment or Performance</w:t>
            </w:r>
          </w:p>
        </w:tc>
        <w:tc>
          <w:tcPr>
            <w:tcW w:w="220" w:type="dxa"/>
            <w:vAlign w:val="bottom"/>
            <w:gridSpan w:val="2"/>
          </w:tcPr>
          <w:p>
            <w:pPr>
              <w:jc w:val="right"/>
              <w:spacing w:after="0" w:line="223" w:lineRule="exact"/>
              <w:rPr>
                <w:sz w:val="20"/>
                <w:szCs w:val="20"/>
                <w:color w:val="auto"/>
              </w:rPr>
            </w:pPr>
            <w:r>
              <w:rPr>
                <w:rFonts w:ascii="Arial" w:cs="Arial" w:eastAsia="Arial" w:hAnsi="Arial"/>
                <w:sz w:val="22"/>
                <w:szCs w:val="22"/>
                <w:color w:val="FF0000"/>
                <w:strike w:val="1"/>
                <w:w w:val="81"/>
              </w:rPr>
              <w:t>88</w:t>
            </w:r>
          </w:p>
        </w:tc>
        <w:tc>
          <w:tcPr>
            <w:tcW w:w="5820" w:type="dxa"/>
            <w:vAlign w:val="bottom"/>
            <w:gridSpan w:val="11"/>
          </w:tcPr>
          <w:p>
            <w:pPr>
              <w:jc w:val="right"/>
              <w:ind w:right="5512"/>
              <w:spacing w:after="0" w:line="223" w:lineRule="exact"/>
              <w:rPr>
                <w:sz w:val="20"/>
                <w:szCs w:val="20"/>
                <w:color w:val="auto"/>
              </w:rPr>
            </w:pPr>
            <w:r>
              <w:rPr>
                <w:rFonts w:ascii="Arial" w:cs="Arial" w:eastAsia="Arial" w:hAnsi="Arial"/>
                <w:sz w:val="22"/>
                <w:szCs w:val="22"/>
                <w:color w:val="0000FF"/>
                <w:w w:val="73"/>
              </w:rPr>
              <w:t>81</w:t>
            </w:r>
          </w:p>
        </w:tc>
        <w:tc>
          <w:tcPr>
            <w:tcW w:w="0" w:type="dxa"/>
            <w:vAlign w:val="bottom"/>
          </w:tcPr>
          <w:p>
            <w:pPr>
              <w:spacing w:after="0"/>
              <w:rPr>
                <w:sz w:val="1"/>
                <w:szCs w:val="1"/>
                <w:color w:val="auto"/>
              </w:rPr>
            </w:pPr>
          </w:p>
        </w:tc>
      </w:tr>
      <w:tr>
        <w:trPr>
          <w:trHeight w:val="209"/>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1.09</w:t>
            </w:r>
          </w:p>
        </w:tc>
        <w:tc>
          <w:tcPr>
            <w:tcW w:w="2480" w:type="dxa"/>
            <w:vAlign w:val="bottom"/>
            <w:gridSpan w:val="14"/>
          </w:tcPr>
          <w:p>
            <w:pPr>
              <w:ind w:left="100"/>
              <w:spacing w:after="0" w:line="209" w:lineRule="exact"/>
              <w:rPr>
                <w:sz w:val="20"/>
                <w:szCs w:val="20"/>
                <w:color w:val="auto"/>
              </w:rPr>
            </w:pPr>
            <w:r>
              <w:rPr>
                <w:rFonts w:ascii="Arial" w:cs="Arial" w:eastAsia="Arial" w:hAnsi="Arial"/>
                <w:sz w:val="22"/>
                <w:szCs w:val="22"/>
                <w:color w:val="auto"/>
                <w:w w:val="98"/>
              </w:rPr>
              <w:t>Letter of Credit Amounts</w:t>
            </w:r>
          </w:p>
        </w:tc>
        <w:tc>
          <w:tcPr>
            <w:tcW w:w="220" w:type="dxa"/>
            <w:vAlign w:val="bottom"/>
            <w:gridSpan w:val="3"/>
          </w:tcPr>
          <w:p>
            <w:pPr>
              <w:jc w:val="right"/>
              <w:spacing w:after="0" w:line="209" w:lineRule="exact"/>
              <w:rPr>
                <w:sz w:val="20"/>
                <w:szCs w:val="20"/>
                <w:color w:val="auto"/>
              </w:rPr>
            </w:pPr>
            <w:r>
              <w:rPr>
                <w:rFonts w:ascii="Arial" w:cs="Arial" w:eastAsia="Arial" w:hAnsi="Arial"/>
                <w:sz w:val="22"/>
                <w:szCs w:val="22"/>
                <w:color w:val="FF0000"/>
                <w:strike w:val="1"/>
                <w:w w:val="81"/>
              </w:rPr>
              <w:t>88</w:t>
            </w:r>
          </w:p>
        </w:tc>
        <w:tc>
          <w:tcPr>
            <w:tcW w:w="220" w:type="dxa"/>
            <w:vAlign w:val="bottom"/>
            <w:gridSpan w:val="3"/>
          </w:tcPr>
          <w:p>
            <w:pPr>
              <w:jc w:val="right"/>
              <w:spacing w:after="0" w:line="209" w:lineRule="exact"/>
              <w:rPr>
                <w:sz w:val="20"/>
                <w:szCs w:val="20"/>
                <w:color w:val="auto"/>
              </w:rPr>
            </w:pPr>
            <w:r>
              <w:rPr>
                <w:rFonts w:ascii="Arial" w:cs="Arial" w:eastAsia="Arial" w:hAnsi="Arial"/>
                <w:sz w:val="22"/>
                <w:szCs w:val="22"/>
                <w:color w:val="3051F2"/>
                <w:w w:val="81"/>
              </w:rPr>
              <w:t>8</w:t>
            </w:r>
            <w:r>
              <w:rPr>
                <w:rFonts w:ascii="Arial" w:cs="Arial" w:eastAsia="Arial" w:hAnsi="Arial"/>
                <w:sz w:val="22"/>
                <w:szCs w:val="22"/>
                <w:color w:val="0000FF"/>
                <w:w w:val="81"/>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1.10</w:t>
            </w:r>
          </w:p>
        </w:tc>
        <w:tc>
          <w:tcPr>
            <w:tcW w:w="1380" w:type="dxa"/>
            <w:vAlign w:val="bottom"/>
            <w:gridSpan w:val="2"/>
          </w:tcPr>
          <w:p>
            <w:pPr>
              <w:ind w:left="100"/>
              <w:spacing w:after="0" w:line="223" w:lineRule="exact"/>
              <w:rPr>
                <w:sz w:val="20"/>
                <w:szCs w:val="20"/>
                <w:color w:val="auto"/>
              </w:rPr>
            </w:pPr>
            <w:r>
              <w:rPr>
                <w:rFonts w:ascii="Arial" w:cs="Arial" w:eastAsia="Arial" w:hAnsi="Arial"/>
                <w:sz w:val="22"/>
                <w:szCs w:val="22"/>
                <w:color w:val="auto"/>
                <w:w w:val="99"/>
              </w:rPr>
              <w:t>Certifications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color w:val="FF0000"/>
                <w:strike w:val="1"/>
              </w:rPr>
              <w:t>88</w:t>
            </w:r>
          </w:p>
        </w:tc>
        <w:tc>
          <w:tcPr>
            <w:tcW w:w="2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color w:val="0000FF"/>
                <w:w w:val="81"/>
              </w:rPr>
              <w:t>82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3051F2"/>
            </w:tcBorders>
          </w:tcPr>
          <w:p>
            <w:pPr>
              <w:spacing w:after="0"/>
              <w:rPr>
                <w:sz w:val="19"/>
                <w:szCs w:val="19"/>
                <w:color w:val="auto"/>
              </w:rPr>
            </w:pPr>
          </w:p>
        </w:tc>
        <w:tc>
          <w:tcPr>
            <w:tcW w:w="100" w:type="dxa"/>
            <w:vAlign w:val="bottom"/>
            <w:tcBorders>
              <w:top w:val="single" w:sz="8" w:color="3051F2"/>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1.11</w:t>
            </w:r>
          </w:p>
        </w:tc>
        <w:tc>
          <w:tcPr>
            <w:tcW w:w="2480" w:type="dxa"/>
            <w:vAlign w:val="bottom"/>
            <w:gridSpan w:val="14"/>
          </w:tcPr>
          <w:p>
            <w:pPr>
              <w:ind w:left="80"/>
              <w:spacing w:after="0" w:line="223" w:lineRule="exact"/>
              <w:rPr>
                <w:sz w:val="20"/>
                <w:szCs w:val="20"/>
                <w:color w:val="auto"/>
              </w:rPr>
            </w:pPr>
            <w:r>
              <w:rPr>
                <w:rFonts w:ascii="Arial" w:cs="Arial" w:eastAsia="Arial" w:hAnsi="Arial"/>
                <w:sz w:val="22"/>
                <w:szCs w:val="22"/>
                <w:color w:val="auto"/>
                <w:w w:val="93"/>
              </w:rPr>
              <w:t>Compliance with Article VI</w:t>
            </w:r>
          </w:p>
        </w:tc>
        <w:tc>
          <w:tcPr>
            <w:tcW w:w="220" w:type="dxa"/>
            <w:vAlign w:val="bottom"/>
            <w:gridSpan w:val="3"/>
          </w:tcPr>
          <w:p>
            <w:pPr>
              <w:spacing w:after="0"/>
              <w:rPr>
                <w:sz w:val="19"/>
                <w:szCs w:val="19"/>
                <w:color w:val="auto"/>
              </w:rPr>
            </w:pPr>
          </w:p>
        </w:tc>
        <w:tc>
          <w:tcPr>
            <w:tcW w:w="220" w:type="dxa"/>
            <w:vAlign w:val="bottom"/>
            <w:gridSpan w:val="3"/>
          </w:tcPr>
          <w:p>
            <w:pPr>
              <w:jc w:val="right"/>
              <w:spacing w:after="0" w:line="223" w:lineRule="exact"/>
              <w:rPr>
                <w:sz w:val="20"/>
                <w:szCs w:val="20"/>
                <w:color w:val="auto"/>
              </w:rPr>
            </w:pPr>
            <w:r>
              <w:rPr>
                <w:rFonts w:ascii="Arial" w:cs="Arial" w:eastAsia="Arial" w:hAnsi="Arial"/>
                <w:sz w:val="22"/>
                <w:szCs w:val="22"/>
                <w:color w:val="FF0000"/>
                <w:strike w:val="1"/>
                <w:w w:val="81"/>
              </w:rPr>
              <w:t>88</w:t>
            </w:r>
          </w:p>
        </w:tc>
        <w:tc>
          <w:tcPr>
            <w:tcW w:w="260" w:type="dxa"/>
            <w:vAlign w:val="bottom"/>
            <w:gridSpan w:val="4"/>
          </w:tcPr>
          <w:p>
            <w:pPr>
              <w:jc w:val="right"/>
              <w:ind w:right="40"/>
              <w:spacing w:after="0" w:line="223" w:lineRule="exact"/>
              <w:rPr>
                <w:sz w:val="20"/>
                <w:szCs w:val="20"/>
                <w:color w:val="auto"/>
              </w:rPr>
            </w:pPr>
            <w:r>
              <w:rPr>
                <w:rFonts w:ascii="Arial" w:cs="Arial" w:eastAsia="Arial" w:hAnsi="Arial"/>
                <w:sz w:val="22"/>
                <w:szCs w:val="22"/>
                <w:color w:val="0000FF"/>
                <w:w w:val="81"/>
              </w:rPr>
              <w:t>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1.12</w:t>
            </w:r>
          </w:p>
        </w:tc>
        <w:tc>
          <w:tcPr>
            <w:tcW w:w="2920" w:type="dxa"/>
            <w:vAlign w:val="bottom"/>
            <w:gridSpan w:val="20"/>
          </w:tcPr>
          <w:p>
            <w:pPr>
              <w:ind w:left="100"/>
              <w:spacing w:after="0" w:line="209" w:lineRule="exact"/>
              <w:rPr>
                <w:sz w:val="20"/>
                <w:szCs w:val="20"/>
                <w:color w:val="auto"/>
              </w:rPr>
            </w:pPr>
            <w:r>
              <w:rPr>
                <w:rFonts w:ascii="Arial" w:cs="Arial" w:eastAsia="Arial" w:hAnsi="Arial"/>
                <w:sz w:val="22"/>
                <w:szCs w:val="22"/>
                <w:color w:val="auto"/>
                <w:w w:val="99"/>
              </w:rPr>
              <w:t>Limited Condition Acquisition</w:t>
            </w:r>
          </w:p>
        </w:tc>
        <w:tc>
          <w:tcPr>
            <w:tcW w:w="40" w:type="dxa"/>
            <w:vAlign w:val="bottom"/>
            <w:tcBorders>
              <w:top w:val="single" w:sz="8" w:color="0000FF"/>
            </w:tcBorders>
            <w:gridSpan w:val="2"/>
          </w:tcPr>
          <w:p>
            <w:pPr>
              <w:spacing w:after="0"/>
              <w:rPr>
                <w:sz w:val="18"/>
                <w:szCs w:val="18"/>
                <w:color w:val="auto"/>
              </w:rPr>
            </w:pPr>
          </w:p>
        </w:tc>
        <w:tc>
          <w:tcPr>
            <w:tcW w:w="180" w:type="dxa"/>
            <w:vAlign w:val="bottom"/>
            <w:tcBorders>
              <w:top w:val="single" w:sz="8" w:color="0000FF"/>
            </w:tcBorders>
          </w:tcPr>
          <w:p>
            <w:pPr>
              <w:jc w:val="right"/>
              <w:spacing w:after="0" w:line="210" w:lineRule="exact"/>
              <w:rPr>
                <w:sz w:val="20"/>
                <w:szCs w:val="20"/>
                <w:color w:val="auto"/>
              </w:rPr>
            </w:pPr>
            <w:r>
              <w:rPr>
                <w:rFonts w:ascii="Arial" w:cs="Arial" w:eastAsia="Arial" w:hAnsi="Arial"/>
                <w:sz w:val="19"/>
                <w:szCs w:val="19"/>
                <w:color w:val="FF0000"/>
                <w:strike w:val="1"/>
                <w:w w:val="75"/>
              </w:rPr>
              <w:t>88</w:t>
            </w:r>
          </w:p>
        </w:tc>
        <w:tc>
          <w:tcPr>
            <w:tcW w:w="40" w:type="dxa"/>
            <w:vAlign w:val="bottom"/>
          </w:tcPr>
          <w:p>
            <w:pPr>
              <w:spacing w:after="0"/>
              <w:rPr>
                <w:sz w:val="18"/>
                <w:szCs w:val="18"/>
                <w:color w:val="auto"/>
              </w:rPr>
            </w:pPr>
          </w:p>
        </w:tc>
        <w:tc>
          <w:tcPr>
            <w:tcW w:w="22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2"/>
                <w:szCs w:val="22"/>
                <w:color w:val="0000FF"/>
                <w:w w:val="81"/>
              </w:rPr>
              <w:t>82</w:t>
            </w:r>
          </w:p>
        </w:tc>
        <w:tc>
          <w:tcPr>
            <w:tcW w:w="602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1.13</w:t>
            </w:r>
          </w:p>
        </w:tc>
        <w:tc>
          <w:tcPr>
            <w:tcW w:w="1740" w:type="dxa"/>
            <w:vAlign w:val="bottom"/>
            <w:gridSpan w:val="5"/>
          </w:tcPr>
          <w:p>
            <w:pPr>
              <w:ind w:left="100"/>
              <w:spacing w:after="0" w:line="223" w:lineRule="exact"/>
              <w:rPr>
                <w:sz w:val="20"/>
                <w:szCs w:val="20"/>
                <w:color w:val="auto"/>
              </w:rPr>
            </w:pPr>
            <w:r>
              <w:rPr>
                <w:rFonts w:ascii="Arial" w:cs="Arial" w:eastAsia="Arial" w:hAnsi="Arial"/>
                <w:sz w:val="22"/>
                <w:szCs w:val="22"/>
                <w:color w:val="auto"/>
                <w:w w:val="86"/>
              </w:rPr>
              <w:t>Cashless Rollovers</w:t>
            </w:r>
          </w:p>
        </w:tc>
        <w:tc>
          <w:tcPr>
            <w:tcW w:w="200" w:type="dxa"/>
            <w:vAlign w:val="bottom"/>
            <w:gridSpan w:val="3"/>
          </w:tcPr>
          <w:p>
            <w:pPr>
              <w:spacing w:after="0"/>
              <w:rPr>
                <w:sz w:val="19"/>
                <w:szCs w:val="19"/>
                <w:color w:val="auto"/>
              </w:rPr>
            </w:pPr>
          </w:p>
        </w:tc>
        <w:tc>
          <w:tcPr>
            <w:tcW w:w="220" w:type="dxa"/>
            <w:vAlign w:val="bottom"/>
            <w:gridSpan w:val="2"/>
          </w:tcPr>
          <w:p>
            <w:pPr>
              <w:ind w:left="20"/>
              <w:spacing w:after="0" w:line="223" w:lineRule="exact"/>
              <w:rPr>
                <w:sz w:val="20"/>
                <w:szCs w:val="20"/>
                <w:color w:val="auto"/>
              </w:rPr>
            </w:pPr>
            <w:r>
              <w:rPr>
                <w:rFonts w:ascii="Arial" w:cs="Arial" w:eastAsia="Arial" w:hAnsi="Arial"/>
                <w:sz w:val="22"/>
                <w:szCs w:val="22"/>
                <w:color w:val="FF0000"/>
                <w:strike w:val="1"/>
              </w:rPr>
              <w:t>8</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w w:val="74"/>
              </w:rPr>
              <w:t>8</w:t>
            </w:r>
            <w:r>
              <w:rPr>
                <w:rFonts w:ascii="Arial" w:cs="Arial" w:eastAsia="Arial" w:hAnsi="Arial"/>
                <w:sz w:val="12"/>
                <w:szCs w:val="12"/>
                <w:color w:val="0000FF"/>
                <w:w w:val="74"/>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1.14</w:t>
            </w:r>
          </w:p>
        </w:tc>
        <w:tc>
          <w:tcPr>
            <w:tcW w:w="1740" w:type="dxa"/>
            <w:vAlign w:val="bottom"/>
            <w:gridSpan w:val="5"/>
          </w:tcPr>
          <w:p>
            <w:pPr>
              <w:ind w:left="100"/>
              <w:spacing w:after="0" w:line="223" w:lineRule="exact"/>
              <w:rPr>
                <w:sz w:val="20"/>
                <w:szCs w:val="20"/>
                <w:color w:val="auto"/>
              </w:rPr>
            </w:pPr>
            <w:r>
              <w:rPr>
                <w:rFonts w:ascii="Arial" w:cs="Arial" w:eastAsia="Arial" w:hAnsi="Arial"/>
                <w:sz w:val="22"/>
                <w:szCs w:val="22"/>
                <w:color w:val="auto"/>
              </w:rPr>
              <w:t>Division of LLCs</w:t>
            </w:r>
          </w:p>
        </w:tc>
        <w:tc>
          <w:tcPr>
            <w:tcW w:w="200" w:type="dxa"/>
            <w:vAlign w:val="bottom"/>
            <w:gridSpan w:val="3"/>
          </w:tcPr>
          <w:p>
            <w:pPr>
              <w:jc w:val="right"/>
              <w:spacing w:after="0" w:line="223" w:lineRule="exact"/>
              <w:rPr>
                <w:sz w:val="20"/>
                <w:szCs w:val="20"/>
                <w:color w:val="auto"/>
              </w:rPr>
            </w:pPr>
            <w:r>
              <w:rPr>
                <w:rFonts w:ascii="Arial" w:cs="Arial" w:eastAsia="Arial" w:hAnsi="Arial"/>
                <w:sz w:val="22"/>
                <w:szCs w:val="22"/>
                <w:color w:val="FF0000"/>
                <w:strike w:val="1"/>
              </w:rPr>
              <w:t>8</w:t>
            </w:r>
          </w:p>
        </w:tc>
        <w:tc>
          <w:tcPr>
            <w:tcW w:w="240" w:type="dxa"/>
            <w:vAlign w:val="bottom"/>
            <w:gridSpan w:val="3"/>
          </w:tcPr>
          <w:p>
            <w:pPr>
              <w:spacing w:after="0" w:line="223" w:lineRule="exact"/>
              <w:rPr>
                <w:sz w:val="20"/>
                <w:szCs w:val="20"/>
                <w:color w:val="auto"/>
              </w:rPr>
            </w:pPr>
            <w:r>
              <w:rPr>
                <w:rFonts w:ascii="Arial" w:cs="Arial" w:eastAsia="Arial" w:hAnsi="Arial"/>
                <w:sz w:val="22"/>
                <w:szCs w:val="22"/>
                <w:color w:val="auto"/>
                <w:w w:val="89"/>
              </w:rPr>
              <w:t>9</w:t>
            </w:r>
            <w:r>
              <w:rPr>
                <w:rFonts w:ascii="Arial" w:cs="Arial" w:eastAsia="Arial" w:hAnsi="Arial"/>
                <w:sz w:val="22"/>
                <w:szCs w:val="22"/>
                <w:color w:val="0000FF"/>
                <w:w w:val="89"/>
              </w:rPr>
              <w:t>3</w:t>
            </w:r>
          </w:p>
        </w:tc>
        <w:tc>
          <w:tcPr>
            <w:tcW w:w="1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55"/>
        </w:trPr>
        <w:tc>
          <w:tcPr>
            <w:tcW w:w="2560" w:type="dxa"/>
            <w:vAlign w:val="bottom"/>
            <w:gridSpan w:val="2"/>
            <w:vMerge w:val="restart"/>
          </w:tcPr>
          <w:p>
            <w:pPr>
              <w:jc w:val="center"/>
              <w:ind w:right="92"/>
              <w:spacing w:after="0"/>
              <w:rPr>
                <w:sz w:val="20"/>
                <w:szCs w:val="20"/>
                <w:color w:val="auto"/>
              </w:rPr>
            </w:pPr>
            <w:r>
              <w:rPr>
                <w:rFonts w:ascii="Arial" w:cs="Arial" w:eastAsia="Arial" w:hAnsi="Arial"/>
                <w:sz w:val="22"/>
                <w:szCs w:val="22"/>
                <w:b w:val="1"/>
                <w:bCs w:val="1"/>
                <w:color w:val="auto"/>
                <w:w w:val="97"/>
              </w:rPr>
              <w:t>ARTICLE II The Credits</w:t>
            </w:r>
          </w:p>
        </w:tc>
        <w:tc>
          <w:tcPr>
            <w:tcW w:w="120" w:type="dxa"/>
            <w:vAlign w:val="bottom"/>
            <w:vMerge w:val="restart"/>
          </w:tcPr>
          <w:p>
            <w:pPr>
              <w:jc w:val="right"/>
              <w:spacing w:after="0"/>
              <w:rPr>
                <w:sz w:val="20"/>
                <w:szCs w:val="20"/>
                <w:color w:val="auto"/>
              </w:rPr>
            </w:pPr>
            <w:r>
              <w:rPr>
                <w:rFonts w:ascii="Arial" w:cs="Arial" w:eastAsia="Arial" w:hAnsi="Arial"/>
                <w:sz w:val="22"/>
                <w:szCs w:val="22"/>
                <w:b w:val="1"/>
                <w:bCs w:val="1"/>
                <w:color w:val="auto"/>
                <w:w w:val="81"/>
              </w:rPr>
              <w:t>8</w:t>
            </w:r>
          </w:p>
        </w:tc>
        <w:tc>
          <w:tcPr>
            <w:tcW w:w="10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FF0000"/>
                <w:strike w:val="1"/>
                <w:w w:val="75"/>
              </w:rPr>
              <w:t>0</w:t>
            </w:r>
          </w:p>
        </w:tc>
        <w:tc>
          <w:tcPr>
            <w:tcW w:w="180" w:type="dxa"/>
            <w:vAlign w:val="bottom"/>
            <w:gridSpan w:val="3"/>
            <w:vMerge w:val="restart"/>
          </w:tcPr>
          <w:p>
            <w:pPr>
              <w:spacing w:after="0"/>
              <w:rPr>
                <w:sz w:val="20"/>
                <w:szCs w:val="20"/>
                <w:color w:val="auto"/>
              </w:rPr>
            </w:pPr>
            <w:r>
              <w:rPr>
                <w:rFonts w:ascii="Arial" w:cs="Arial" w:eastAsia="Arial" w:hAnsi="Arial"/>
                <w:sz w:val="22"/>
                <w:szCs w:val="22"/>
                <w:b w:val="1"/>
                <w:bCs w:val="1"/>
                <w:color w:val="3051F2"/>
              </w:rPr>
              <w:t>3</w:t>
            </w:r>
          </w:p>
        </w:tc>
        <w:tc>
          <w:tcPr>
            <w:tcW w:w="4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240" w:type="dxa"/>
            <w:vAlign w:val="bottom"/>
            <w:vMerge w:val="restart"/>
          </w:tcPr>
          <w:p>
            <w:pPr>
              <w:spacing w:after="0"/>
              <w:rPr>
                <w:sz w:val="4"/>
                <w:szCs w:val="4"/>
                <w:color w:val="auto"/>
              </w:rPr>
            </w:pPr>
          </w:p>
        </w:tc>
        <w:tc>
          <w:tcPr>
            <w:tcW w:w="5520" w:type="dxa"/>
            <w:vAlign w:val="bottom"/>
            <w:gridSpan w:val="59"/>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5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5520" w:type="dxa"/>
            <w:vAlign w:val="bottom"/>
            <w:gridSpan w:val="59"/>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820" w:type="dxa"/>
            <w:vAlign w:val="bottom"/>
          </w:tcPr>
          <w:p>
            <w:pPr>
              <w:jc w:val="center"/>
              <w:ind w:left="472"/>
              <w:spacing w:after="0" w:line="224" w:lineRule="exact"/>
              <w:rPr>
                <w:sz w:val="20"/>
                <w:szCs w:val="20"/>
                <w:color w:val="auto"/>
              </w:rPr>
            </w:pPr>
            <w:r>
              <w:rPr>
                <w:rFonts w:ascii="Arial" w:cs="Arial" w:eastAsia="Arial" w:hAnsi="Arial"/>
                <w:sz w:val="22"/>
                <w:szCs w:val="22"/>
                <w:color w:val="auto"/>
                <w:w w:val="88"/>
              </w:rPr>
              <w:t>Section 2.01</w:t>
            </w:r>
          </w:p>
        </w:tc>
        <w:tc>
          <w:tcPr>
            <w:tcW w:w="1640" w:type="dxa"/>
            <w:vAlign w:val="bottom"/>
            <w:gridSpan w:val="11"/>
          </w:tcPr>
          <w:p>
            <w:pPr>
              <w:ind w:left="100"/>
              <w:spacing w:after="0" w:line="224" w:lineRule="exact"/>
              <w:rPr>
                <w:sz w:val="20"/>
                <w:szCs w:val="20"/>
                <w:color w:val="auto"/>
              </w:rPr>
            </w:pPr>
            <w:r>
              <w:rPr>
                <w:rFonts w:ascii="Arial" w:cs="Arial" w:eastAsia="Arial" w:hAnsi="Arial"/>
                <w:sz w:val="22"/>
                <w:szCs w:val="22"/>
                <w:color w:val="auto"/>
                <w:w w:val="94"/>
              </w:rPr>
              <w:t>Commitments  8</w:t>
            </w:r>
          </w:p>
        </w:tc>
        <w:tc>
          <w:tcPr>
            <w:tcW w:w="120" w:type="dxa"/>
            <w:vAlign w:val="bottom"/>
          </w:tcPr>
          <w:p>
            <w:pPr>
              <w:jc w:val="right"/>
              <w:spacing w:after="0" w:line="224" w:lineRule="exact"/>
              <w:rPr>
                <w:sz w:val="20"/>
                <w:szCs w:val="20"/>
                <w:color w:val="auto"/>
              </w:rPr>
            </w:pPr>
            <w:r>
              <w:rPr>
                <w:rFonts w:ascii="Arial" w:cs="Arial" w:eastAsia="Arial" w:hAnsi="Arial"/>
                <w:sz w:val="22"/>
                <w:szCs w:val="22"/>
                <w:color w:val="FF0000"/>
                <w:strike w:val="1"/>
                <w:w w:val="81"/>
              </w:rPr>
              <w:t>0</w:t>
            </w:r>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19"/>
                <w:szCs w:val="19"/>
                <w:color w:val="0000FF"/>
                <w:w w:val="75"/>
              </w:rPr>
              <w:t>4</w:t>
            </w:r>
          </w:p>
        </w:tc>
        <w:tc>
          <w:tcPr>
            <w:tcW w:w="5300" w:type="dxa"/>
            <w:vAlign w:val="bottom"/>
            <w:gridSpan w:val="5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2.02</w:t>
            </w:r>
          </w:p>
        </w:tc>
        <w:tc>
          <w:tcPr>
            <w:tcW w:w="2140" w:type="dxa"/>
            <w:vAlign w:val="bottom"/>
            <w:gridSpan w:val="24"/>
          </w:tcPr>
          <w:p>
            <w:pPr>
              <w:ind w:left="100"/>
              <w:spacing w:after="0" w:line="223" w:lineRule="exact"/>
              <w:rPr>
                <w:sz w:val="20"/>
                <w:szCs w:val="20"/>
                <w:color w:val="auto"/>
              </w:rPr>
            </w:pPr>
            <w:r>
              <w:rPr>
                <w:rFonts w:ascii="Arial" w:cs="Arial" w:eastAsia="Arial" w:hAnsi="Arial"/>
                <w:sz w:val="22"/>
                <w:szCs w:val="22"/>
                <w:color w:val="auto"/>
                <w:w w:val="92"/>
              </w:rPr>
              <w:t>Loans and Borrowings</w:t>
            </w:r>
          </w:p>
        </w:tc>
        <w:tc>
          <w:tcPr>
            <w:tcW w:w="240" w:type="dxa"/>
            <w:vAlign w:val="bottom"/>
            <w:gridSpan w:val="8"/>
          </w:tcPr>
          <w:p>
            <w:pPr>
              <w:ind w:left="140"/>
              <w:spacing w:after="0"/>
              <w:rPr>
                <w:sz w:val="20"/>
                <w:szCs w:val="20"/>
                <w:color w:val="auto"/>
              </w:rPr>
            </w:pPr>
            <w:r>
              <w:rPr>
                <w:rFonts w:ascii="Arial" w:cs="Arial" w:eastAsia="Arial" w:hAnsi="Arial"/>
                <w:sz w:val="19"/>
                <w:szCs w:val="19"/>
                <w:color w:val="auto"/>
                <w:w w:val="75"/>
              </w:rPr>
              <w:t>8</w:t>
            </w:r>
          </w:p>
        </w:tc>
        <w:tc>
          <w:tcPr>
            <w:tcW w:w="120" w:type="dxa"/>
            <w:vAlign w:val="bottom"/>
            <w:gridSpan w:val="4"/>
          </w:tcPr>
          <w:p>
            <w:pPr>
              <w:jc w:val="right"/>
              <w:spacing w:after="0" w:line="223" w:lineRule="exact"/>
              <w:rPr>
                <w:sz w:val="20"/>
                <w:szCs w:val="20"/>
                <w:color w:val="auto"/>
              </w:rPr>
            </w:pPr>
            <w:r>
              <w:rPr>
                <w:rFonts w:ascii="Arial" w:cs="Arial" w:eastAsia="Arial" w:hAnsi="Arial"/>
                <w:sz w:val="22"/>
                <w:szCs w:val="22"/>
                <w:color w:val="FF0000"/>
                <w:strike w:val="1"/>
                <w:w w:val="81"/>
              </w:rPr>
              <w:t>0</w:t>
            </w:r>
          </w:p>
        </w:tc>
        <w:tc>
          <w:tcPr>
            <w:tcW w:w="160" w:type="dxa"/>
            <w:vAlign w:val="bottom"/>
            <w:gridSpan w:val="3"/>
          </w:tcPr>
          <w:p>
            <w:pPr>
              <w:jc w:val="right"/>
              <w:spacing w:after="0"/>
              <w:rPr>
                <w:sz w:val="20"/>
                <w:szCs w:val="20"/>
                <w:color w:val="auto"/>
              </w:rPr>
            </w:pPr>
            <w:r>
              <w:rPr>
                <w:rFonts w:ascii="Arial" w:cs="Arial" w:eastAsia="Arial" w:hAnsi="Arial"/>
                <w:sz w:val="19"/>
                <w:szCs w:val="19"/>
                <w:color w:val="3051F2"/>
                <w:w w:val="75"/>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Borders>
              <w:right w:val="single" w:sz="8" w:color="3051F2"/>
            </w:tcBorders>
            <w:gridSpan w:val="39"/>
          </w:tcPr>
          <w:p>
            <w:pPr>
              <w:spacing w:after="0" w:line="20" w:lineRule="exact"/>
              <w:rPr>
                <w:sz w:val="1"/>
                <w:szCs w:val="1"/>
                <w:color w:val="auto"/>
              </w:rPr>
            </w:pPr>
          </w:p>
        </w:tc>
        <w:tc>
          <w:tcPr>
            <w:tcW w:w="4560" w:type="dxa"/>
            <w:vAlign w:val="bottom"/>
            <w:gridSpan w:val="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2.03</w:t>
            </w:r>
          </w:p>
        </w:tc>
        <w:tc>
          <w:tcPr>
            <w:tcW w:w="2440" w:type="dxa"/>
            <w:vAlign w:val="bottom"/>
            <w:gridSpan w:val="34"/>
          </w:tcPr>
          <w:p>
            <w:pPr>
              <w:ind w:left="100"/>
              <w:spacing w:after="0" w:line="223" w:lineRule="exact"/>
              <w:rPr>
                <w:sz w:val="20"/>
                <w:szCs w:val="20"/>
                <w:color w:val="auto"/>
              </w:rPr>
            </w:pPr>
            <w:r>
              <w:rPr>
                <w:rFonts w:ascii="Arial" w:cs="Arial" w:eastAsia="Arial" w:hAnsi="Arial"/>
                <w:sz w:val="22"/>
                <w:szCs w:val="22"/>
                <w:color w:val="auto"/>
                <w:w w:val="96"/>
              </w:rPr>
              <w:t>Requests for Borrowings</w:t>
            </w:r>
          </w:p>
        </w:tc>
        <w:tc>
          <w:tcPr>
            <w:tcW w:w="160" w:type="dxa"/>
            <w:vAlign w:val="bottom"/>
            <w:gridSpan w:val="4"/>
          </w:tcPr>
          <w:p>
            <w:pPr>
              <w:jc w:val="right"/>
              <w:spacing w:after="0" w:line="223" w:lineRule="exact"/>
              <w:rPr>
                <w:sz w:val="20"/>
                <w:szCs w:val="20"/>
                <w:color w:val="auto"/>
              </w:rPr>
            </w:pPr>
            <w:r>
              <w:rPr>
                <w:rFonts w:ascii="Arial" w:cs="Arial" w:eastAsia="Arial" w:hAnsi="Arial"/>
                <w:sz w:val="22"/>
                <w:szCs w:val="22"/>
                <w:color w:val="auto"/>
                <w:w w:val="97"/>
              </w:rPr>
              <w:t>8</w:t>
            </w:r>
          </w:p>
        </w:tc>
        <w:tc>
          <w:tcPr>
            <w:tcW w:w="8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1</w:t>
            </w:r>
          </w:p>
        </w:tc>
        <w:tc>
          <w:tcPr>
            <w:tcW w:w="1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color w:val="0000FF"/>
                <w:w w:val="81"/>
              </w:rPr>
              <w:t>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2.04</w:t>
            </w:r>
          </w:p>
        </w:tc>
        <w:tc>
          <w:tcPr>
            <w:tcW w:w="1640" w:type="dxa"/>
            <w:vAlign w:val="bottom"/>
            <w:gridSpan w:val="11"/>
          </w:tcPr>
          <w:p>
            <w:pPr>
              <w:ind w:left="100"/>
              <w:spacing w:after="0" w:line="209" w:lineRule="exact"/>
              <w:rPr>
                <w:sz w:val="20"/>
                <w:szCs w:val="20"/>
                <w:color w:val="auto"/>
              </w:rPr>
            </w:pPr>
            <w:r>
              <w:rPr>
                <w:rFonts w:ascii="Arial" w:cs="Arial" w:eastAsia="Arial" w:hAnsi="Arial"/>
                <w:sz w:val="22"/>
                <w:szCs w:val="22"/>
                <w:color w:val="auto"/>
                <w:w w:val="94"/>
              </w:rPr>
              <w:t>Swingline Loans</w:t>
            </w:r>
          </w:p>
        </w:tc>
        <w:tc>
          <w:tcPr>
            <w:tcW w:w="120" w:type="dxa"/>
            <w:vAlign w:val="bottom"/>
          </w:tcPr>
          <w:p>
            <w:pPr>
              <w:spacing w:after="0"/>
              <w:rPr>
                <w:sz w:val="18"/>
                <w:szCs w:val="18"/>
                <w:color w:val="auto"/>
              </w:rPr>
            </w:pPr>
          </w:p>
        </w:tc>
        <w:tc>
          <w:tcPr>
            <w:tcW w:w="120" w:type="dxa"/>
            <w:vAlign w:val="bottom"/>
            <w:gridSpan w:val="3"/>
          </w:tcPr>
          <w:p>
            <w:pPr>
              <w:jc w:val="right"/>
              <w:spacing w:after="0" w:line="209" w:lineRule="exact"/>
              <w:rPr>
                <w:sz w:val="20"/>
                <w:szCs w:val="20"/>
                <w:color w:val="auto"/>
              </w:rPr>
            </w:pPr>
            <w:r>
              <w:rPr>
                <w:rFonts w:ascii="Arial" w:cs="Arial" w:eastAsia="Arial" w:hAnsi="Arial"/>
                <w:sz w:val="22"/>
                <w:szCs w:val="22"/>
                <w:color w:val="auto"/>
                <w:w w:val="81"/>
              </w:rPr>
              <w:t>8</w:t>
            </w:r>
          </w:p>
        </w:tc>
        <w:tc>
          <w:tcPr>
            <w:tcW w:w="100" w:type="dxa"/>
            <w:vAlign w:val="bottom"/>
            <w:gridSpan w:val="3"/>
          </w:tcPr>
          <w:p>
            <w:pPr>
              <w:jc w:val="right"/>
              <w:spacing w:after="0" w:line="210" w:lineRule="exact"/>
              <w:rPr>
                <w:sz w:val="20"/>
                <w:szCs w:val="20"/>
                <w:color w:val="auto"/>
              </w:rPr>
            </w:pPr>
            <w:r>
              <w:rPr>
                <w:rFonts w:ascii="Arial" w:cs="Arial" w:eastAsia="Arial" w:hAnsi="Arial"/>
                <w:sz w:val="19"/>
                <w:szCs w:val="19"/>
                <w:color w:val="FF0000"/>
                <w:strike w:val="1"/>
                <w:w w:val="75"/>
              </w:rPr>
              <w:t>2</w:t>
            </w:r>
          </w:p>
        </w:tc>
        <w:tc>
          <w:tcPr>
            <w:tcW w:w="140" w:type="dxa"/>
            <w:vAlign w:val="bottom"/>
            <w:tcBorders>
              <w:bottom w:val="single" w:sz="8" w:color="0000FF"/>
            </w:tcBorders>
            <w:gridSpan w:val="5"/>
          </w:tcPr>
          <w:p>
            <w:pPr>
              <w:spacing w:after="0" w:line="209" w:lineRule="exact"/>
              <w:rPr>
                <w:sz w:val="20"/>
                <w:szCs w:val="20"/>
                <w:color w:val="auto"/>
              </w:rPr>
            </w:pPr>
            <w:r>
              <w:rPr>
                <w:rFonts w:ascii="Arial" w:cs="Arial" w:eastAsia="Arial" w:hAnsi="Arial"/>
                <w:sz w:val="22"/>
                <w:szCs w:val="22"/>
                <w:color w:val="0000FF"/>
                <w:w w:val="97"/>
              </w:rPr>
              <w:t>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2.05</w:t>
            </w:r>
          </w:p>
        </w:tc>
        <w:tc>
          <w:tcPr>
            <w:tcW w:w="1640" w:type="dxa"/>
            <w:vAlign w:val="bottom"/>
            <w:gridSpan w:val="11"/>
          </w:tcPr>
          <w:p>
            <w:pPr>
              <w:ind w:left="100"/>
              <w:spacing w:after="0" w:line="223" w:lineRule="exact"/>
              <w:rPr>
                <w:sz w:val="20"/>
                <w:szCs w:val="20"/>
                <w:color w:val="auto"/>
              </w:rPr>
            </w:pPr>
            <w:r>
              <w:rPr>
                <w:rFonts w:ascii="Arial" w:cs="Arial" w:eastAsia="Arial" w:hAnsi="Arial"/>
                <w:sz w:val="22"/>
                <w:szCs w:val="22"/>
                <w:color w:val="auto"/>
                <w:w w:val="97"/>
              </w:rPr>
              <w:t>Letters of Credit</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w:t>
            </w:r>
          </w:p>
        </w:tc>
        <w:tc>
          <w:tcPr>
            <w:tcW w:w="120" w:type="dxa"/>
            <w:vAlign w:val="bottom"/>
            <w:gridSpan w:val="4"/>
          </w:tcPr>
          <w:p>
            <w:pPr>
              <w:jc w:val="right"/>
              <w:spacing w:after="0" w:line="223" w:lineRule="exact"/>
              <w:rPr>
                <w:sz w:val="20"/>
                <w:szCs w:val="20"/>
                <w:color w:val="auto"/>
              </w:rPr>
            </w:pPr>
            <w:r>
              <w:rPr>
                <w:rFonts w:ascii="Arial" w:cs="Arial" w:eastAsia="Arial" w:hAnsi="Arial"/>
                <w:sz w:val="22"/>
                <w:szCs w:val="22"/>
                <w:color w:val="FF0000"/>
                <w:strike w:val="1"/>
                <w:w w:val="81"/>
              </w:rPr>
              <w:t>3</w:t>
            </w:r>
          </w:p>
        </w:tc>
        <w:tc>
          <w:tcPr>
            <w:tcW w:w="120" w:type="dxa"/>
            <w:vAlign w:val="bottom"/>
            <w:gridSpan w:val="4"/>
          </w:tcPr>
          <w:p>
            <w:pPr>
              <w:jc w:val="right"/>
              <w:ind w:right="20"/>
              <w:spacing w:after="0"/>
              <w:rPr>
                <w:sz w:val="20"/>
                <w:szCs w:val="20"/>
                <w:color w:val="auto"/>
              </w:rPr>
            </w:pPr>
            <w:r>
              <w:rPr>
                <w:rFonts w:ascii="Arial" w:cs="Arial" w:eastAsia="Arial" w:hAnsi="Arial"/>
                <w:sz w:val="19"/>
                <w:szCs w:val="19"/>
                <w:color w:val="0000FF"/>
                <w:w w:val="75"/>
              </w:rPr>
              <w:t>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2.06</w:t>
            </w:r>
          </w:p>
        </w:tc>
        <w:tc>
          <w:tcPr>
            <w:tcW w:w="1960" w:type="dxa"/>
            <w:vAlign w:val="bottom"/>
            <w:gridSpan w:val="17"/>
          </w:tcPr>
          <w:p>
            <w:pPr>
              <w:ind w:left="100"/>
              <w:spacing w:after="0" w:line="209" w:lineRule="exact"/>
              <w:rPr>
                <w:sz w:val="20"/>
                <w:szCs w:val="20"/>
                <w:color w:val="auto"/>
              </w:rPr>
            </w:pPr>
            <w:r>
              <w:rPr>
                <w:rFonts w:ascii="Arial" w:cs="Arial" w:eastAsia="Arial" w:hAnsi="Arial"/>
                <w:sz w:val="22"/>
                <w:szCs w:val="22"/>
                <w:color w:val="auto"/>
                <w:w w:val="83"/>
              </w:rPr>
              <w:t>Funding of Borrowings</w:t>
            </w: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10"/>
          </w:tcPr>
          <w:p>
            <w:pPr>
              <w:jc w:val="right"/>
              <w:spacing w:after="0" w:line="209" w:lineRule="exact"/>
              <w:rPr>
                <w:sz w:val="20"/>
                <w:szCs w:val="20"/>
                <w:color w:val="auto"/>
              </w:rPr>
            </w:pPr>
            <w:r>
              <w:rPr>
                <w:rFonts w:ascii="Arial" w:cs="Arial" w:eastAsia="Arial" w:hAnsi="Arial"/>
                <w:sz w:val="22"/>
                <w:szCs w:val="22"/>
                <w:color w:val="auto"/>
              </w:rPr>
              <w:t>9</w:t>
            </w:r>
          </w:p>
        </w:tc>
        <w:tc>
          <w:tcPr>
            <w:tcW w:w="120" w:type="dxa"/>
            <w:vAlign w:val="bottom"/>
            <w:gridSpan w:val="3"/>
          </w:tcPr>
          <w:p>
            <w:pPr>
              <w:jc w:val="right"/>
              <w:spacing w:after="0" w:line="209" w:lineRule="exact"/>
              <w:rPr>
                <w:sz w:val="20"/>
                <w:szCs w:val="20"/>
                <w:color w:val="auto"/>
              </w:rPr>
            </w:pPr>
            <w:r>
              <w:rPr>
                <w:rFonts w:ascii="Arial" w:cs="Arial" w:eastAsia="Arial" w:hAnsi="Arial"/>
                <w:sz w:val="22"/>
                <w:szCs w:val="22"/>
                <w:color w:val="FF0000"/>
                <w:strike w:val="1"/>
                <w:w w:val="81"/>
              </w:rPr>
              <w:t>0</w:t>
            </w:r>
          </w:p>
        </w:tc>
        <w:tc>
          <w:tcPr>
            <w:tcW w:w="100" w:type="dxa"/>
            <w:vAlign w:val="bottom"/>
            <w:tcBorders>
              <w:bottom w:val="single" w:sz="8" w:color="0000FF"/>
            </w:tcBorders>
            <w:gridSpan w:val="2"/>
          </w:tcPr>
          <w:p>
            <w:pPr>
              <w:spacing w:after="0" w:line="210" w:lineRule="exact"/>
              <w:rPr>
                <w:sz w:val="20"/>
                <w:szCs w:val="20"/>
                <w:color w:val="auto"/>
              </w:rPr>
            </w:pPr>
            <w:r>
              <w:rPr>
                <w:rFonts w:ascii="Arial" w:cs="Arial" w:eastAsia="Arial" w:hAnsi="Arial"/>
                <w:sz w:val="19"/>
                <w:szCs w:val="19"/>
                <w:color w:val="0000FF"/>
                <w:w w:val="75"/>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2.07</w:t>
            </w:r>
          </w:p>
        </w:tc>
        <w:tc>
          <w:tcPr>
            <w:tcW w:w="1640" w:type="dxa"/>
            <w:vAlign w:val="bottom"/>
            <w:gridSpan w:val="11"/>
          </w:tcPr>
          <w:p>
            <w:pPr>
              <w:ind w:left="100"/>
              <w:spacing w:after="0" w:line="223" w:lineRule="exact"/>
              <w:rPr>
                <w:sz w:val="20"/>
                <w:szCs w:val="20"/>
                <w:color w:val="auto"/>
              </w:rPr>
            </w:pPr>
            <w:r>
              <w:rPr>
                <w:rFonts w:ascii="Arial" w:cs="Arial" w:eastAsia="Arial" w:hAnsi="Arial"/>
                <w:sz w:val="22"/>
                <w:szCs w:val="22"/>
                <w:color w:val="auto"/>
                <w:w w:val="90"/>
              </w:rPr>
              <w:t>Interest Elections</w:t>
            </w:r>
          </w:p>
        </w:tc>
        <w:tc>
          <w:tcPr>
            <w:tcW w:w="120" w:type="dxa"/>
            <w:vAlign w:val="bottom"/>
          </w:tcPr>
          <w:p>
            <w:pPr>
              <w:spacing w:after="0"/>
              <w:rPr>
                <w:sz w:val="19"/>
                <w:szCs w:val="19"/>
                <w:color w:val="auto"/>
              </w:rPr>
            </w:pPr>
          </w:p>
        </w:tc>
        <w:tc>
          <w:tcPr>
            <w:tcW w:w="160" w:type="dxa"/>
            <w:vAlign w:val="bottom"/>
            <w:gridSpan w:val="4"/>
          </w:tcPr>
          <w:p>
            <w:pPr>
              <w:jc w:val="right"/>
              <w:spacing w:after="0" w:line="223" w:lineRule="exact"/>
              <w:rPr>
                <w:sz w:val="20"/>
                <w:szCs w:val="20"/>
                <w:color w:val="auto"/>
              </w:rPr>
            </w:pPr>
            <w:r>
              <w:rPr>
                <w:rFonts w:ascii="Arial" w:cs="Arial" w:eastAsia="Arial" w:hAnsi="Arial"/>
                <w:sz w:val="22"/>
                <w:szCs w:val="22"/>
                <w:color w:val="auto"/>
              </w:rPr>
              <w:t>9</w:t>
            </w:r>
          </w:p>
        </w:tc>
        <w:tc>
          <w:tcPr>
            <w:tcW w:w="120" w:type="dxa"/>
            <w:vAlign w:val="bottom"/>
            <w:gridSpan w:val="3"/>
          </w:tcPr>
          <w:p>
            <w:pPr>
              <w:spacing w:after="0" w:line="223" w:lineRule="exact"/>
              <w:rPr>
                <w:sz w:val="20"/>
                <w:szCs w:val="20"/>
                <w:color w:val="auto"/>
              </w:rPr>
            </w:pPr>
            <w:r>
              <w:rPr>
                <w:rFonts w:ascii="Arial" w:cs="Arial" w:eastAsia="Arial" w:hAnsi="Arial"/>
                <w:sz w:val="22"/>
                <w:szCs w:val="22"/>
                <w:color w:val="FF0000"/>
                <w:strike w:val="1"/>
                <w:w w:val="81"/>
              </w:rPr>
              <w:t>1</w:t>
            </w:r>
          </w:p>
        </w:tc>
        <w:tc>
          <w:tcPr>
            <w:tcW w:w="100" w:type="dxa"/>
            <w:vAlign w:val="bottom"/>
            <w:tcBorders>
              <w:bottom w:val="single" w:sz="8" w:color="0000FF"/>
            </w:tcBorders>
            <w:gridSpan w:val="5"/>
          </w:tcPr>
          <w:p>
            <w:pPr>
              <w:jc w:val="right"/>
              <w:spacing w:after="0"/>
              <w:rPr>
                <w:sz w:val="20"/>
                <w:szCs w:val="20"/>
                <w:color w:val="auto"/>
              </w:rPr>
            </w:pPr>
            <w:r>
              <w:rPr>
                <w:rFonts w:ascii="Arial" w:cs="Arial" w:eastAsia="Arial" w:hAnsi="Arial"/>
                <w:sz w:val="19"/>
                <w:szCs w:val="19"/>
                <w:color w:val="0000FF"/>
                <w:w w:val="75"/>
              </w:rPr>
              <w:t>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2.08</w:t>
            </w:r>
          </w:p>
        </w:tc>
        <w:tc>
          <w:tcPr>
            <w:tcW w:w="4300" w:type="dxa"/>
            <w:vAlign w:val="bottom"/>
            <w:gridSpan w:val="55"/>
          </w:tcPr>
          <w:p>
            <w:pPr>
              <w:ind w:left="100"/>
              <w:spacing w:after="0" w:line="223" w:lineRule="exact"/>
              <w:rPr>
                <w:sz w:val="20"/>
                <w:szCs w:val="20"/>
                <w:color w:val="auto"/>
              </w:rPr>
            </w:pPr>
            <w:r>
              <w:rPr>
                <w:rFonts w:ascii="Arial" w:cs="Arial" w:eastAsia="Arial" w:hAnsi="Arial"/>
                <w:sz w:val="22"/>
                <w:szCs w:val="22"/>
                <w:color w:val="auto"/>
                <w:w w:val="91"/>
              </w:rPr>
              <w:t>Termination and Reduction of Commitments  9</w:t>
            </w:r>
          </w:p>
        </w:tc>
        <w:tc>
          <w:tcPr>
            <w:tcW w:w="100" w:type="dxa"/>
            <w:vAlign w:val="bottom"/>
          </w:tcPr>
          <w:p>
            <w:pPr>
              <w:jc w:val="right"/>
              <w:spacing w:after="0"/>
              <w:rPr>
                <w:sz w:val="20"/>
                <w:szCs w:val="20"/>
                <w:color w:val="auto"/>
              </w:rPr>
            </w:pPr>
            <w:r>
              <w:rPr>
                <w:rFonts w:ascii="Arial" w:cs="Arial" w:eastAsia="Arial" w:hAnsi="Arial"/>
                <w:sz w:val="19"/>
                <w:szCs w:val="19"/>
                <w:color w:val="FF0000"/>
                <w:strike w:val="1"/>
                <w:w w:val="75"/>
              </w:rPr>
              <w:t>2</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9"/>
                <w:szCs w:val="19"/>
                <w:color w:val="0000FF"/>
                <w:w w:val="75"/>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2.09</w:t>
            </w:r>
          </w:p>
        </w:tc>
        <w:tc>
          <w:tcPr>
            <w:tcW w:w="3840" w:type="dxa"/>
            <w:vAlign w:val="bottom"/>
            <w:gridSpan w:val="52"/>
          </w:tcPr>
          <w:p>
            <w:pPr>
              <w:ind w:left="100"/>
              <w:spacing w:after="0" w:line="209" w:lineRule="exact"/>
              <w:rPr>
                <w:sz w:val="20"/>
                <w:szCs w:val="20"/>
                <w:color w:val="auto"/>
              </w:rPr>
            </w:pPr>
            <w:r>
              <w:rPr>
                <w:rFonts w:ascii="Arial" w:cs="Arial" w:eastAsia="Arial" w:hAnsi="Arial"/>
                <w:sz w:val="22"/>
                <w:szCs w:val="22"/>
                <w:color w:val="auto"/>
                <w:w w:val="91"/>
              </w:rPr>
              <w:t>Repayment of Loans; Evidence of Debt  9</w:t>
            </w:r>
          </w:p>
        </w:tc>
        <w:tc>
          <w:tcPr>
            <w:tcW w:w="120" w:type="dxa"/>
            <w:vAlign w:val="bottom"/>
          </w:tcPr>
          <w:p>
            <w:pPr>
              <w:jc w:val="right"/>
              <w:spacing w:after="0" w:line="209" w:lineRule="exact"/>
              <w:rPr>
                <w:sz w:val="20"/>
                <w:szCs w:val="20"/>
                <w:color w:val="auto"/>
              </w:rPr>
            </w:pPr>
            <w:r>
              <w:rPr>
                <w:rFonts w:ascii="Arial" w:cs="Arial" w:eastAsia="Arial" w:hAnsi="Arial"/>
                <w:sz w:val="22"/>
                <w:szCs w:val="22"/>
                <w:color w:val="FF0000"/>
                <w:strike w:val="1"/>
                <w:w w:val="81"/>
              </w:rPr>
              <w:t>3</w:t>
            </w:r>
          </w:p>
        </w:tc>
        <w:tc>
          <w:tcPr>
            <w:tcW w:w="100" w:type="dxa"/>
            <w:vAlign w:val="bottom"/>
            <w:tcBorders>
              <w:bottom w:val="single" w:sz="8" w:color="0000FF"/>
            </w:tcBorders>
          </w:tcPr>
          <w:p>
            <w:pPr>
              <w:jc w:val="right"/>
              <w:spacing w:after="0" w:line="210" w:lineRule="exact"/>
              <w:rPr>
                <w:sz w:val="20"/>
                <w:szCs w:val="20"/>
                <w:color w:val="auto"/>
              </w:rPr>
            </w:pPr>
            <w:r>
              <w:rPr>
                <w:rFonts w:ascii="Arial" w:cs="Arial" w:eastAsia="Arial" w:hAnsi="Arial"/>
                <w:sz w:val="19"/>
                <w:szCs w:val="19"/>
                <w:color w:val="0000FF"/>
                <w:w w:val="75"/>
              </w:rPr>
              <w:t>6</w:t>
            </w:r>
          </w:p>
        </w:tc>
        <w:tc>
          <w:tcPr>
            <w:tcW w:w="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2.10</w:t>
            </w:r>
          </w:p>
        </w:tc>
        <w:tc>
          <w:tcPr>
            <w:tcW w:w="2680" w:type="dxa"/>
            <w:vAlign w:val="bottom"/>
            <w:gridSpan w:val="40"/>
          </w:tcPr>
          <w:p>
            <w:pPr>
              <w:ind w:left="100"/>
              <w:spacing w:after="0" w:line="223" w:lineRule="exact"/>
              <w:rPr>
                <w:sz w:val="20"/>
                <w:szCs w:val="20"/>
                <w:color w:val="auto"/>
              </w:rPr>
            </w:pPr>
            <w:r>
              <w:rPr>
                <w:rFonts w:ascii="Arial" w:cs="Arial" w:eastAsia="Arial" w:hAnsi="Arial"/>
                <w:sz w:val="22"/>
                <w:szCs w:val="22"/>
                <w:color w:val="auto"/>
                <w:w w:val="94"/>
              </w:rPr>
              <w:t>Amortization of Term Loans</w:t>
            </w:r>
          </w:p>
        </w:tc>
        <w:tc>
          <w:tcPr>
            <w:tcW w:w="200" w:type="dxa"/>
            <w:vAlign w:val="bottom"/>
            <w:gridSpan w:val="4"/>
          </w:tcPr>
          <w:p>
            <w:pPr>
              <w:jc w:val="right"/>
              <w:spacing w:after="0" w:line="223" w:lineRule="exact"/>
              <w:rPr>
                <w:sz w:val="20"/>
                <w:szCs w:val="20"/>
                <w:color w:val="auto"/>
              </w:rPr>
            </w:pPr>
            <w:r>
              <w:rPr>
                <w:rFonts w:ascii="Arial" w:cs="Arial" w:eastAsia="Arial" w:hAnsi="Arial"/>
                <w:sz w:val="22"/>
                <w:szCs w:val="22"/>
                <w:color w:val="auto"/>
              </w:rPr>
              <w:t>9</w:t>
            </w:r>
          </w:p>
        </w:tc>
        <w:tc>
          <w:tcPr>
            <w:tcW w:w="120" w:type="dxa"/>
            <w:vAlign w:val="bottom"/>
            <w:gridSpan w:val="3"/>
          </w:tcPr>
          <w:p>
            <w:pPr>
              <w:jc w:val="right"/>
              <w:spacing w:after="0" w:line="223" w:lineRule="exact"/>
              <w:rPr>
                <w:sz w:val="20"/>
                <w:szCs w:val="20"/>
                <w:color w:val="auto"/>
              </w:rPr>
            </w:pPr>
            <w:r>
              <w:rPr>
                <w:rFonts w:ascii="Arial" w:cs="Arial" w:eastAsia="Arial" w:hAnsi="Arial"/>
                <w:sz w:val="22"/>
                <w:szCs w:val="22"/>
                <w:color w:val="FF0000"/>
                <w:strike w:val="1"/>
                <w:w w:val="81"/>
              </w:rPr>
              <w:t>4</w:t>
            </w:r>
          </w:p>
        </w:tc>
        <w:tc>
          <w:tcPr>
            <w:tcW w:w="160" w:type="dxa"/>
            <w:vAlign w:val="bottom"/>
            <w:gridSpan w:val="4"/>
          </w:tcPr>
          <w:p>
            <w:pPr>
              <w:jc w:val="right"/>
              <w:ind w:right="60"/>
              <w:spacing w:after="0"/>
              <w:rPr>
                <w:sz w:val="20"/>
                <w:szCs w:val="20"/>
                <w:color w:val="auto"/>
              </w:rPr>
            </w:pPr>
            <w:r>
              <w:rPr>
                <w:rFonts w:ascii="Arial" w:cs="Arial" w:eastAsia="Arial" w:hAnsi="Arial"/>
                <w:sz w:val="19"/>
                <w:szCs w:val="19"/>
                <w:color w:val="0000FF"/>
                <w:w w:val="75"/>
              </w:rPr>
              <w:t>7</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52"/>
              <w:spacing w:after="0" w:line="223" w:lineRule="exact"/>
              <w:rPr>
                <w:sz w:val="20"/>
                <w:szCs w:val="20"/>
                <w:color w:val="auto"/>
              </w:rPr>
            </w:pPr>
            <w:r>
              <w:rPr>
                <w:rFonts w:ascii="Arial" w:cs="Arial" w:eastAsia="Arial" w:hAnsi="Arial"/>
                <w:sz w:val="22"/>
                <w:szCs w:val="22"/>
                <w:color w:val="auto"/>
                <w:w w:val="86"/>
              </w:rPr>
              <w:t>Section 2.11</w:t>
            </w:r>
          </w:p>
        </w:tc>
        <w:tc>
          <w:tcPr>
            <w:tcW w:w="2140" w:type="dxa"/>
            <w:vAlign w:val="bottom"/>
            <w:gridSpan w:val="24"/>
          </w:tcPr>
          <w:p>
            <w:pPr>
              <w:ind w:left="80"/>
              <w:spacing w:after="0" w:line="223" w:lineRule="exact"/>
              <w:rPr>
                <w:sz w:val="20"/>
                <w:szCs w:val="20"/>
                <w:color w:val="auto"/>
              </w:rPr>
            </w:pPr>
            <w:r>
              <w:rPr>
                <w:rFonts w:ascii="Arial" w:cs="Arial" w:eastAsia="Arial" w:hAnsi="Arial"/>
                <w:sz w:val="22"/>
                <w:szCs w:val="22"/>
                <w:color w:val="auto"/>
                <w:w w:val="97"/>
              </w:rPr>
              <w:t>Prepayment of Loans</w:t>
            </w:r>
          </w:p>
        </w:tc>
        <w:tc>
          <w:tcPr>
            <w:tcW w:w="120" w:type="dxa"/>
            <w:vAlign w:val="bottom"/>
            <w:gridSpan w:val="3"/>
          </w:tcPr>
          <w:p>
            <w:pPr>
              <w:jc w:val="right"/>
              <w:spacing w:after="0" w:line="223" w:lineRule="exact"/>
              <w:rPr>
                <w:sz w:val="20"/>
                <w:szCs w:val="20"/>
                <w:color w:val="auto"/>
              </w:rPr>
            </w:pPr>
            <w:r>
              <w:rPr>
                <w:rFonts w:ascii="Arial" w:cs="Arial" w:eastAsia="Arial" w:hAnsi="Arial"/>
                <w:sz w:val="22"/>
                <w:szCs w:val="22"/>
                <w:color w:val="auto"/>
                <w:w w:val="81"/>
              </w:rPr>
              <w:t>9</w:t>
            </w: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5</w:t>
            </w:r>
          </w:p>
        </w:tc>
        <w:tc>
          <w:tcPr>
            <w:tcW w:w="120" w:type="dxa"/>
            <w:vAlign w:val="bottom"/>
            <w:tcBorders>
              <w:bottom w:val="single" w:sz="8" w:color="0000FF"/>
            </w:tcBorders>
            <w:gridSpan w:val="4"/>
          </w:tcPr>
          <w:p>
            <w:pPr>
              <w:jc w:val="right"/>
              <w:spacing w:after="0" w:line="223" w:lineRule="exact"/>
              <w:rPr>
                <w:sz w:val="20"/>
                <w:szCs w:val="20"/>
                <w:color w:val="auto"/>
              </w:rPr>
            </w:pPr>
            <w:r>
              <w:rPr>
                <w:rFonts w:ascii="Arial" w:cs="Arial" w:eastAsia="Arial" w:hAnsi="Arial"/>
                <w:sz w:val="22"/>
                <w:szCs w:val="22"/>
                <w:color w:val="0000FF"/>
                <w:w w:val="81"/>
              </w:rPr>
              <w:t>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2.12</w:t>
            </w:r>
          </w:p>
        </w:tc>
        <w:tc>
          <w:tcPr>
            <w:tcW w:w="920" w:type="dxa"/>
            <w:vAlign w:val="bottom"/>
            <w:gridSpan w:val="3"/>
          </w:tcPr>
          <w:p>
            <w:pPr>
              <w:ind w:left="100"/>
              <w:spacing w:after="0" w:line="209" w:lineRule="exact"/>
              <w:rPr>
                <w:sz w:val="20"/>
                <w:szCs w:val="20"/>
                <w:color w:val="auto"/>
              </w:rPr>
            </w:pPr>
            <w:r>
              <w:rPr>
                <w:rFonts w:ascii="Arial" w:cs="Arial" w:eastAsia="Arial" w:hAnsi="Arial"/>
                <w:sz w:val="22"/>
                <w:szCs w:val="22"/>
                <w:color w:val="auto"/>
                <w:w w:val="93"/>
              </w:rPr>
              <w:t>Fees  10</w:t>
            </w:r>
          </w:p>
        </w:tc>
        <w:tc>
          <w:tcPr>
            <w:tcW w:w="120" w:type="dxa"/>
            <w:vAlign w:val="bottom"/>
            <w:gridSpan w:val="3"/>
          </w:tcPr>
          <w:p>
            <w:pPr>
              <w:jc w:val="right"/>
              <w:spacing w:after="0" w:line="209" w:lineRule="exact"/>
              <w:rPr>
                <w:sz w:val="20"/>
                <w:szCs w:val="20"/>
                <w:color w:val="auto"/>
              </w:rPr>
            </w:pPr>
            <w:r>
              <w:rPr>
                <w:rFonts w:ascii="Arial" w:cs="Arial" w:eastAsia="Arial" w:hAnsi="Arial"/>
                <w:sz w:val="22"/>
                <w:szCs w:val="22"/>
                <w:color w:val="FF0000"/>
                <w:strike w:val="1"/>
                <w:w w:val="81"/>
              </w:rPr>
              <w:t>0</w:t>
            </w:r>
          </w:p>
        </w:tc>
        <w:tc>
          <w:tcPr>
            <w:tcW w:w="100" w:type="dxa"/>
            <w:vAlign w:val="bottom"/>
            <w:tcBorders>
              <w:bottom w:val="single" w:sz="8" w:color="0000FF"/>
            </w:tcBorders>
          </w:tcPr>
          <w:p>
            <w:pPr>
              <w:spacing w:after="0" w:line="210" w:lineRule="exact"/>
              <w:rPr>
                <w:sz w:val="20"/>
                <w:szCs w:val="20"/>
                <w:color w:val="auto"/>
              </w:rPr>
            </w:pPr>
            <w:r>
              <w:rPr>
                <w:rFonts w:ascii="Arial" w:cs="Arial" w:eastAsia="Arial" w:hAnsi="Arial"/>
                <w:sz w:val="19"/>
                <w:szCs w:val="19"/>
                <w:color w:val="0000FF"/>
                <w:w w:val="75"/>
              </w:rPr>
              <w:t>2</w:t>
            </w:r>
          </w:p>
        </w:tc>
        <w:tc>
          <w:tcPr>
            <w:tcW w:w="6020" w:type="dxa"/>
            <w:vAlign w:val="bottom"/>
            <w:gridSpan w:val="6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2.13</w:t>
            </w:r>
          </w:p>
        </w:tc>
        <w:tc>
          <w:tcPr>
            <w:tcW w:w="740" w:type="dxa"/>
            <w:vAlign w:val="bottom"/>
          </w:tcPr>
          <w:p>
            <w:pPr>
              <w:ind w:left="100"/>
              <w:spacing w:after="0" w:line="223" w:lineRule="exact"/>
              <w:rPr>
                <w:sz w:val="20"/>
                <w:szCs w:val="20"/>
                <w:color w:val="auto"/>
              </w:rPr>
            </w:pPr>
            <w:r>
              <w:rPr>
                <w:rFonts w:ascii="Arial" w:cs="Arial" w:eastAsia="Arial" w:hAnsi="Arial"/>
                <w:sz w:val="22"/>
                <w:szCs w:val="22"/>
                <w:color w:val="auto"/>
                <w:w w:val="84"/>
              </w:rPr>
              <w:t>Interest</w:t>
            </w:r>
          </w:p>
        </w:tc>
        <w:tc>
          <w:tcPr>
            <w:tcW w:w="440" w:type="dxa"/>
            <w:vAlign w:val="bottom"/>
            <w:gridSpan w:val="7"/>
          </w:tcPr>
          <w:p>
            <w:pPr>
              <w:ind w:left="220"/>
              <w:spacing w:after="0" w:line="223" w:lineRule="exact"/>
              <w:rPr>
                <w:sz w:val="20"/>
                <w:szCs w:val="20"/>
                <w:color w:val="auto"/>
              </w:rPr>
            </w:pPr>
            <w:r>
              <w:rPr>
                <w:rFonts w:ascii="Arial" w:cs="Arial" w:eastAsia="Arial" w:hAnsi="Arial"/>
                <w:sz w:val="22"/>
                <w:szCs w:val="22"/>
                <w:color w:val="auto"/>
                <w:w w:val="81"/>
              </w:rPr>
              <w:t>10</w:t>
            </w:r>
          </w:p>
        </w:tc>
        <w:tc>
          <w:tcPr>
            <w:tcW w:w="100" w:type="dxa"/>
            <w:vAlign w:val="bottom"/>
          </w:tcPr>
          <w:p>
            <w:pPr>
              <w:jc w:val="right"/>
              <w:spacing w:after="0"/>
              <w:rPr>
                <w:sz w:val="20"/>
                <w:szCs w:val="20"/>
                <w:color w:val="auto"/>
              </w:rPr>
            </w:pPr>
            <w:r>
              <w:rPr>
                <w:rFonts w:ascii="Arial" w:cs="Arial" w:eastAsia="Arial" w:hAnsi="Arial"/>
                <w:sz w:val="19"/>
                <w:szCs w:val="19"/>
                <w:color w:val="FF0000"/>
                <w:strike w:val="1"/>
                <w:w w:val="75"/>
              </w:rPr>
              <w:t>1</w:t>
            </w:r>
          </w:p>
        </w:tc>
        <w:tc>
          <w:tcPr>
            <w:tcW w:w="1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color w:val="0000FF"/>
                <w:w w:val="81"/>
              </w:rPr>
              <w:t>3</w:t>
            </w:r>
          </w:p>
        </w:tc>
        <w:tc>
          <w:tcPr>
            <w:tcW w:w="5760" w:type="dxa"/>
            <w:vAlign w:val="bottom"/>
            <w:gridSpan w:val="6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2.14</w:t>
            </w:r>
          </w:p>
        </w:tc>
        <w:tc>
          <w:tcPr>
            <w:tcW w:w="2280" w:type="dxa"/>
            <w:vAlign w:val="bottom"/>
            <w:gridSpan w:val="28"/>
          </w:tcPr>
          <w:p>
            <w:pPr>
              <w:ind w:left="100"/>
              <w:spacing w:after="0" w:line="223" w:lineRule="exact"/>
              <w:rPr>
                <w:sz w:val="20"/>
                <w:szCs w:val="20"/>
                <w:color w:val="auto"/>
              </w:rPr>
            </w:pPr>
            <w:r>
              <w:rPr>
                <w:rFonts w:ascii="Arial" w:cs="Arial" w:eastAsia="Arial" w:hAnsi="Arial"/>
                <w:sz w:val="22"/>
                <w:szCs w:val="22"/>
                <w:color w:val="auto"/>
                <w:w w:val="88"/>
              </w:rPr>
              <w:t>Alternate Rate of Interest</w:t>
            </w:r>
          </w:p>
        </w:tc>
        <w:tc>
          <w:tcPr>
            <w:tcW w:w="4240" w:type="dxa"/>
            <w:vAlign w:val="bottom"/>
            <w:gridSpan w:val="39"/>
          </w:tcPr>
          <w:p>
            <w:pPr>
              <w:spacing w:after="0" w:line="223" w:lineRule="exact"/>
              <w:rPr>
                <w:sz w:val="20"/>
                <w:szCs w:val="20"/>
                <w:color w:val="auto"/>
              </w:rPr>
            </w:pPr>
            <w:r>
              <w:rPr>
                <w:rFonts w:ascii="Arial" w:cs="Arial" w:eastAsia="Arial" w:hAnsi="Arial"/>
                <w:sz w:val="22"/>
                <w:szCs w:val="22"/>
                <w:color w:val="008000"/>
                <w:strike w:val="1"/>
                <w:w w:val="90"/>
              </w:rPr>
              <w:t>; Discontinuation of Adjusted Eurocurrency Rate</w:t>
            </w:r>
          </w:p>
        </w:tc>
        <w:tc>
          <w:tcPr>
            <w:tcW w:w="420" w:type="dxa"/>
            <w:vAlign w:val="bottom"/>
          </w:tcPr>
          <w:p>
            <w:pPr>
              <w:jc w:val="right"/>
              <w:spacing w:after="0" w:line="223" w:lineRule="exact"/>
              <w:rPr>
                <w:sz w:val="20"/>
                <w:szCs w:val="20"/>
                <w:color w:val="auto"/>
              </w:rPr>
            </w:pPr>
            <w:r>
              <w:rPr>
                <w:rFonts w:ascii="Arial" w:cs="Arial" w:eastAsia="Arial" w:hAnsi="Arial"/>
                <w:sz w:val="22"/>
                <w:szCs w:val="22"/>
                <w:color w:val="auto"/>
              </w:rPr>
              <w:t>10</w:t>
            </w:r>
          </w:p>
        </w:tc>
        <w:tc>
          <w:tcPr>
            <w:tcW w:w="120" w:type="dxa"/>
            <w:vAlign w:val="bottom"/>
          </w:tcPr>
          <w:p>
            <w:pPr>
              <w:jc w:val="right"/>
              <w:spacing w:after="0" w:line="223" w:lineRule="exact"/>
              <w:rPr>
                <w:sz w:val="20"/>
                <w:szCs w:val="20"/>
                <w:color w:val="auto"/>
              </w:rPr>
            </w:pPr>
            <w:r>
              <w:rPr>
                <w:rFonts w:ascii="Arial" w:cs="Arial" w:eastAsia="Arial" w:hAnsi="Arial"/>
                <w:sz w:val="22"/>
                <w:szCs w:val="22"/>
                <w:color w:val="FF0000"/>
                <w:strike w:val="1"/>
                <w:w w:val="81"/>
              </w:rPr>
              <w:t>2</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9"/>
                <w:szCs w:val="19"/>
                <w:color w:val="0000FF"/>
                <w:w w:val="75"/>
              </w:rPr>
              <w:t>4</w:t>
            </w: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2.15</w:t>
            </w:r>
          </w:p>
        </w:tc>
        <w:tc>
          <w:tcPr>
            <w:tcW w:w="2440" w:type="dxa"/>
            <w:vAlign w:val="bottom"/>
            <w:gridSpan w:val="34"/>
          </w:tcPr>
          <w:p>
            <w:pPr>
              <w:ind w:left="100"/>
              <w:spacing w:after="0" w:line="209" w:lineRule="exact"/>
              <w:rPr>
                <w:sz w:val="20"/>
                <w:szCs w:val="20"/>
                <w:color w:val="auto"/>
              </w:rPr>
            </w:pPr>
            <w:r>
              <w:rPr>
                <w:rFonts w:ascii="Arial" w:cs="Arial" w:eastAsia="Arial" w:hAnsi="Arial"/>
                <w:sz w:val="22"/>
                <w:szCs w:val="22"/>
                <w:color w:val="auto"/>
                <w:w w:val="92"/>
              </w:rPr>
              <w:t>Increased Costs; Illegality</w:t>
            </w:r>
          </w:p>
        </w:tc>
        <w:tc>
          <w:tcPr>
            <w:tcW w:w="340" w:type="dxa"/>
            <w:vAlign w:val="bottom"/>
            <w:gridSpan w:val="7"/>
          </w:tcPr>
          <w:p>
            <w:pPr>
              <w:ind w:left="120"/>
              <w:spacing w:after="0" w:line="209" w:lineRule="exact"/>
              <w:rPr>
                <w:sz w:val="20"/>
                <w:szCs w:val="20"/>
                <w:color w:val="auto"/>
              </w:rPr>
            </w:pPr>
            <w:r>
              <w:rPr>
                <w:rFonts w:ascii="Arial" w:cs="Arial" w:eastAsia="Arial" w:hAnsi="Arial"/>
                <w:sz w:val="22"/>
                <w:szCs w:val="22"/>
                <w:color w:val="auto"/>
                <w:w w:val="81"/>
              </w:rPr>
              <w:t>10</w:t>
            </w:r>
          </w:p>
        </w:tc>
        <w:tc>
          <w:tcPr>
            <w:tcW w:w="120" w:type="dxa"/>
            <w:vAlign w:val="bottom"/>
            <w:gridSpan w:val="4"/>
          </w:tcPr>
          <w:p>
            <w:pPr>
              <w:jc w:val="right"/>
              <w:spacing w:after="0" w:line="209" w:lineRule="exact"/>
              <w:rPr>
                <w:sz w:val="20"/>
                <w:szCs w:val="20"/>
                <w:color w:val="auto"/>
              </w:rPr>
            </w:pPr>
            <w:r>
              <w:rPr>
                <w:rFonts w:ascii="Arial" w:cs="Arial" w:eastAsia="Arial" w:hAnsi="Arial"/>
                <w:sz w:val="22"/>
                <w:szCs w:val="22"/>
                <w:color w:val="FF0000"/>
                <w:strike w:val="1"/>
                <w:w w:val="81"/>
              </w:rPr>
              <w:t>4</w:t>
            </w:r>
          </w:p>
        </w:tc>
        <w:tc>
          <w:tcPr>
            <w:tcW w:w="100" w:type="dxa"/>
            <w:vAlign w:val="bottom"/>
            <w:tcBorders>
              <w:bottom w:val="single" w:sz="8" w:color="0000FF"/>
            </w:tcBorders>
            <w:gridSpan w:val="2"/>
          </w:tcPr>
          <w:p>
            <w:pPr>
              <w:jc w:val="right"/>
              <w:spacing w:after="0" w:line="210" w:lineRule="exact"/>
              <w:rPr>
                <w:sz w:val="20"/>
                <w:szCs w:val="20"/>
                <w:color w:val="auto"/>
              </w:rPr>
            </w:pPr>
            <w:r>
              <w:rPr>
                <w:rFonts w:ascii="Arial" w:cs="Arial" w:eastAsia="Arial" w:hAnsi="Arial"/>
                <w:sz w:val="19"/>
                <w:szCs w:val="19"/>
                <w:color w:val="0000FF"/>
                <w:w w:val="75"/>
              </w:rPr>
              <w:t>5</w:t>
            </w:r>
          </w:p>
        </w:tc>
        <w:tc>
          <w:tcPr>
            <w:tcW w:w="2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2.16</w:t>
            </w:r>
          </w:p>
        </w:tc>
        <w:tc>
          <w:tcPr>
            <w:tcW w:w="2440" w:type="dxa"/>
            <w:vAlign w:val="bottom"/>
            <w:gridSpan w:val="34"/>
          </w:tcPr>
          <w:p>
            <w:pPr>
              <w:ind w:left="100"/>
              <w:spacing w:after="0" w:line="223" w:lineRule="exact"/>
              <w:rPr>
                <w:sz w:val="20"/>
                <w:szCs w:val="20"/>
                <w:color w:val="auto"/>
              </w:rPr>
            </w:pPr>
            <w:r>
              <w:rPr>
                <w:rFonts w:ascii="Arial" w:cs="Arial" w:eastAsia="Arial" w:hAnsi="Arial"/>
                <w:sz w:val="22"/>
                <w:szCs w:val="22"/>
                <w:color w:val="auto"/>
                <w:w w:val="93"/>
              </w:rPr>
              <w:t>Break Funding Payments</w:t>
            </w:r>
          </w:p>
        </w:tc>
        <w:tc>
          <w:tcPr>
            <w:tcW w:w="160" w:type="dxa"/>
            <w:vAlign w:val="bottom"/>
            <w:gridSpan w:val="4"/>
          </w:tcPr>
          <w:p>
            <w:pPr>
              <w:jc w:val="right"/>
              <w:spacing w:after="0" w:line="223" w:lineRule="exact"/>
              <w:rPr>
                <w:sz w:val="20"/>
                <w:szCs w:val="20"/>
                <w:color w:val="auto"/>
              </w:rPr>
            </w:pPr>
            <w:r>
              <w:rPr>
                <w:rFonts w:ascii="Arial" w:cs="Arial" w:eastAsia="Arial" w:hAnsi="Arial"/>
                <w:sz w:val="22"/>
                <w:szCs w:val="22"/>
                <w:color w:val="auto"/>
              </w:rPr>
              <w:t>1</w:t>
            </w:r>
          </w:p>
        </w:tc>
        <w:tc>
          <w:tcPr>
            <w:tcW w:w="220" w:type="dxa"/>
            <w:vAlign w:val="bottom"/>
            <w:gridSpan w:val="5"/>
          </w:tcPr>
          <w:p>
            <w:pPr>
              <w:jc w:val="right"/>
              <w:spacing w:after="0" w:line="223" w:lineRule="exact"/>
              <w:rPr>
                <w:sz w:val="20"/>
                <w:szCs w:val="20"/>
                <w:color w:val="auto"/>
              </w:rPr>
            </w:pPr>
            <w:r>
              <w:rPr>
                <w:rFonts w:ascii="Arial" w:cs="Arial" w:eastAsia="Arial" w:hAnsi="Arial"/>
                <w:sz w:val="22"/>
                <w:szCs w:val="22"/>
                <w:color w:val="FF0000"/>
                <w:strike w:val="1"/>
                <w:w w:val="81"/>
              </w:rPr>
              <w:t>15</w:t>
            </w:r>
          </w:p>
        </w:tc>
        <w:tc>
          <w:tcPr>
            <w:tcW w:w="220" w:type="dxa"/>
            <w:vAlign w:val="bottom"/>
            <w:gridSpan w:val="6"/>
          </w:tcPr>
          <w:p>
            <w:pPr>
              <w:jc w:val="right"/>
              <w:ind w:right="20"/>
              <w:spacing w:after="0" w:line="223" w:lineRule="exact"/>
              <w:rPr>
                <w:sz w:val="20"/>
                <w:szCs w:val="20"/>
                <w:color w:val="auto"/>
              </w:rPr>
            </w:pPr>
            <w:r>
              <w:rPr>
                <w:rFonts w:ascii="Arial" w:cs="Arial" w:eastAsia="Arial" w:hAnsi="Arial"/>
                <w:sz w:val="22"/>
                <w:szCs w:val="22"/>
                <w:color w:val="0000FF"/>
                <w:w w:val="73"/>
              </w:rPr>
              <w:t>07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2.17</w:t>
            </w:r>
          </w:p>
        </w:tc>
        <w:tc>
          <w:tcPr>
            <w:tcW w:w="1140" w:type="dxa"/>
            <w:vAlign w:val="bottom"/>
            <w:gridSpan w:val="7"/>
          </w:tcPr>
          <w:p>
            <w:pPr>
              <w:ind w:left="100"/>
              <w:spacing w:after="0" w:line="223" w:lineRule="exact"/>
              <w:rPr>
                <w:sz w:val="20"/>
                <w:szCs w:val="20"/>
                <w:color w:val="auto"/>
              </w:rPr>
            </w:pPr>
            <w:r>
              <w:rPr>
                <w:rFonts w:ascii="Arial" w:cs="Arial" w:eastAsia="Arial" w:hAnsi="Arial"/>
                <w:sz w:val="22"/>
                <w:szCs w:val="22"/>
                <w:color w:val="auto"/>
                <w:w w:val="93"/>
              </w:rPr>
              <w:t>Taxes  1</w:t>
            </w:r>
            <w:r>
              <w:rPr>
                <w:rFonts w:ascii="Arial" w:cs="Arial" w:eastAsia="Arial" w:hAnsi="Arial"/>
                <w:sz w:val="22"/>
                <w:szCs w:val="22"/>
                <w:color w:val="0000FF"/>
                <w:w w:val="93"/>
              </w:rPr>
              <w:t>0</w:t>
            </w:r>
            <w:r>
              <w:rPr>
                <w:rFonts w:ascii="Arial" w:cs="Arial" w:eastAsia="Arial" w:hAnsi="Arial"/>
                <w:sz w:val="22"/>
                <w:szCs w:val="22"/>
                <w:color w:val="auto"/>
                <w:w w:val="93"/>
              </w:rPr>
              <w:t>7</w:t>
            </w:r>
          </w:p>
        </w:tc>
        <w:tc>
          <w:tcPr>
            <w:tcW w:w="1680" w:type="dxa"/>
            <w:vAlign w:val="bottom"/>
            <w:gridSpan w:val="36"/>
          </w:tcPr>
          <w:p>
            <w:pPr>
              <w:jc w:val="right"/>
              <w:ind w:right="1580"/>
              <w:spacing w:after="0"/>
              <w:rPr>
                <w:sz w:val="20"/>
                <w:szCs w:val="20"/>
                <w:color w:val="auto"/>
              </w:rPr>
            </w:pPr>
            <w:r>
              <w:rPr>
                <w:rFonts w:ascii="Arial" w:cs="Arial" w:eastAsia="Arial" w:hAnsi="Arial"/>
                <w:sz w:val="19"/>
                <w:szCs w:val="19"/>
                <w:color w:val="FF0000"/>
                <w:strike w:val="1"/>
                <w:w w:val="75"/>
              </w:rPr>
              <w:t>6</w:t>
            </w:r>
          </w:p>
        </w:tc>
        <w:tc>
          <w:tcPr>
            <w:tcW w:w="200" w:type="dxa"/>
            <w:vAlign w:val="bottom"/>
            <w:tcBorders>
              <w:top w:val="single" w:sz="8" w:color="0000FF"/>
            </w:tcBorders>
            <w:gridSpan w:val="5"/>
          </w:tcPr>
          <w:p>
            <w:pPr>
              <w:spacing w:after="0"/>
              <w:rPr>
                <w:sz w:val="19"/>
                <w:szCs w:val="19"/>
                <w:color w:val="auto"/>
              </w:rPr>
            </w:pPr>
          </w:p>
        </w:tc>
        <w:tc>
          <w:tcPr>
            <w:tcW w:w="414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2.18</w:t>
            </w:r>
          </w:p>
        </w:tc>
        <w:tc>
          <w:tcPr>
            <w:tcW w:w="920" w:type="dxa"/>
            <w:vAlign w:val="bottom"/>
            <w:gridSpan w:val="3"/>
          </w:tcPr>
          <w:p>
            <w:pPr>
              <w:ind w:left="100"/>
              <w:spacing w:after="0" w:line="209" w:lineRule="exact"/>
              <w:rPr>
                <w:sz w:val="20"/>
                <w:szCs w:val="20"/>
                <w:color w:val="auto"/>
              </w:rPr>
            </w:pPr>
            <w:r>
              <w:rPr>
                <w:rFonts w:ascii="Arial" w:cs="Arial" w:eastAsia="Arial" w:hAnsi="Arial"/>
                <w:sz w:val="22"/>
                <w:szCs w:val="22"/>
                <w:color w:val="auto"/>
                <w:w w:val="81"/>
              </w:rPr>
              <w:t>Payments</w:t>
            </w: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620" w:type="dxa"/>
            <w:vAlign w:val="bottom"/>
            <w:gridSpan w:val="59"/>
          </w:tcPr>
          <w:p>
            <w:pPr>
              <w:spacing w:after="0" w:line="209" w:lineRule="exact"/>
              <w:rPr>
                <w:sz w:val="20"/>
                <w:szCs w:val="20"/>
                <w:color w:val="auto"/>
              </w:rPr>
            </w:pPr>
            <w:r>
              <w:rPr>
                <w:rFonts w:ascii="Arial" w:cs="Arial" w:eastAsia="Arial" w:hAnsi="Arial"/>
                <w:sz w:val="22"/>
                <w:szCs w:val="22"/>
                <w:color w:val="auto"/>
                <w:w w:val="89"/>
              </w:rPr>
              <w:t>Generally; Pro Rata Treatment; Sharing of Setoffs  1</w:t>
            </w:r>
          </w:p>
        </w:tc>
        <w:tc>
          <w:tcPr>
            <w:tcW w:w="200" w:type="dxa"/>
            <w:vAlign w:val="bottom"/>
          </w:tcPr>
          <w:p>
            <w:pPr>
              <w:jc w:val="right"/>
              <w:spacing w:after="0" w:line="209" w:lineRule="exact"/>
              <w:rPr>
                <w:sz w:val="20"/>
                <w:szCs w:val="20"/>
                <w:color w:val="auto"/>
              </w:rPr>
            </w:pPr>
            <w:r>
              <w:rPr>
                <w:rFonts w:ascii="Arial" w:cs="Arial" w:eastAsia="Arial" w:hAnsi="Arial"/>
                <w:sz w:val="22"/>
                <w:szCs w:val="22"/>
                <w:color w:val="FF0000"/>
                <w:strike w:val="1"/>
                <w:w w:val="73"/>
              </w:rPr>
              <w:t>19</w:t>
            </w:r>
          </w:p>
        </w:tc>
        <w:tc>
          <w:tcPr>
            <w:tcW w:w="22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2"/>
                <w:szCs w:val="22"/>
                <w:color w:val="0000FF"/>
                <w:w w:val="81"/>
              </w:rPr>
              <w:t>10</w:t>
            </w:r>
          </w:p>
        </w:tc>
        <w:tc>
          <w:tcPr>
            <w:tcW w:w="11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2.19</w:t>
            </w:r>
          </w:p>
        </w:tc>
        <w:tc>
          <w:tcPr>
            <w:tcW w:w="4620" w:type="dxa"/>
            <w:vAlign w:val="bottom"/>
            <w:gridSpan w:val="58"/>
          </w:tcPr>
          <w:p>
            <w:pPr>
              <w:ind w:left="100"/>
              <w:spacing w:after="0" w:line="223" w:lineRule="exact"/>
              <w:rPr>
                <w:sz w:val="20"/>
                <w:szCs w:val="20"/>
                <w:color w:val="auto"/>
              </w:rPr>
            </w:pPr>
            <w:r>
              <w:rPr>
                <w:rFonts w:ascii="Arial" w:cs="Arial" w:eastAsia="Arial" w:hAnsi="Arial"/>
                <w:sz w:val="22"/>
                <w:szCs w:val="22"/>
                <w:color w:val="auto"/>
                <w:w w:val="92"/>
              </w:rPr>
              <w:t>Mitigation Obligations; Replacement of Lender  11</w:t>
            </w:r>
          </w:p>
        </w:tc>
        <w:tc>
          <w:tcPr>
            <w:tcW w:w="120" w:type="dxa"/>
            <w:vAlign w:val="bottom"/>
          </w:tcPr>
          <w:p>
            <w:pPr>
              <w:jc w:val="right"/>
              <w:spacing w:after="0" w:line="223" w:lineRule="exact"/>
              <w:rPr>
                <w:sz w:val="20"/>
                <w:szCs w:val="20"/>
                <w:color w:val="auto"/>
              </w:rPr>
            </w:pPr>
            <w:r>
              <w:rPr>
                <w:rFonts w:ascii="Arial" w:cs="Arial" w:eastAsia="Arial" w:hAnsi="Arial"/>
                <w:sz w:val="22"/>
                <w:szCs w:val="22"/>
                <w:color w:val="FF0000"/>
                <w:strike w:val="1"/>
                <w:w w:val="81"/>
              </w:rPr>
              <w:t>1</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9"/>
                <w:szCs w:val="19"/>
                <w:color w:val="0000FF"/>
                <w:w w:val="75"/>
              </w:rPr>
              <w:t>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2.20</w:t>
            </w:r>
          </w:p>
        </w:tc>
        <w:tc>
          <w:tcPr>
            <w:tcW w:w="1760" w:type="dxa"/>
            <w:vAlign w:val="bottom"/>
            <w:gridSpan w:val="12"/>
          </w:tcPr>
          <w:p>
            <w:pPr>
              <w:ind w:left="100"/>
              <w:spacing w:after="0" w:line="223" w:lineRule="exact"/>
              <w:rPr>
                <w:sz w:val="20"/>
                <w:szCs w:val="20"/>
                <w:color w:val="auto"/>
              </w:rPr>
            </w:pPr>
            <w:r>
              <w:rPr>
                <w:rFonts w:ascii="Arial" w:cs="Arial" w:eastAsia="Arial" w:hAnsi="Arial"/>
                <w:sz w:val="22"/>
                <w:szCs w:val="22"/>
                <w:color w:val="auto"/>
                <w:w w:val="90"/>
              </w:rPr>
              <w:t>Incremental Loans</w:t>
            </w:r>
          </w:p>
        </w:tc>
        <w:tc>
          <w:tcPr>
            <w:tcW w:w="380" w:type="dxa"/>
            <w:vAlign w:val="bottom"/>
            <w:gridSpan w:val="12"/>
          </w:tcPr>
          <w:p>
            <w:pPr>
              <w:ind w:left="160"/>
              <w:spacing w:after="0" w:line="223" w:lineRule="exact"/>
              <w:rPr>
                <w:sz w:val="20"/>
                <w:szCs w:val="20"/>
                <w:color w:val="auto"/>
              </w:rPr>
            </w:pPr>
            <w:r>
              <w:rPr>
                <w:rFonts w:ascii="Arial" w:cs="Arial" w:eastAsia="Arial" w:hAnsi="Arial"/>
                <w:sz w:val="22"/>
                <w:szCs w:val="22"/>
                <w:color w:val="auto"/>
                <w:w w:val="81"/>
              </w:rPr>
              <w:t>11</w:t>
            </w:r>
          </w:p>
        </w:tc>
        <w:tc>
          <w:tcPr>
            <w:tcW w:w="100" w:type="dxa"/>
            <w:vAlign w:val="bottom"/>
            <w:gridSpan w:val="2"/>
          </w:tcPr>
          <w:p>
            <w:pPr>
              <w:jc w:val="right"/>
              <w:spacing w:after="0"/>
              <w:rPr>
                <w:sz w:val="20"/>
                <w:szCs w:val="20"/>
                <w:color w:val="auto"/>
              </w:rPr>
            </w:pPr>
            <w:r>
              <w:rPr>
                <w:rFonts w:ascii="Arial" w:cs="Arial" w:eastAsia="Arial" w:hAnsi="Arial"/>
                <w:sz w:val="19"/>
                <w:szCs w:val="19"/>
                <w:color w:val="FF0000"/>
                <w:strike w:val="1"/>
                <w:w w:val="75"/>
              </w:rPr>
              <w:t>2</w:t>
            </w:r>
          </w:p>
        </w:tc>
        <w:tc>
          <w:tcPr>
            <w:tcW w:w="120" w:type="dxa"/>
            <w:vAlign w:val="bottom"/>
            <w:gridSpan w:val="5"/>
          </w:tcPr>
          <w:p>
            <w:pPr>
              <w:jc w:val="right"/>
              <w:ind w:right="20"/>
              <w:spacing w:after="0"/>
              <w:rPr>
                <w:sz w:val="20"/>
                <w:szCs w:val="20"/>
                <w:color w:val="auto"/>
              </w:rPr>
            </w:pPr>
            <w:r>
              <w:rPr>
                <w:rFonts w:ascii="Arial" w:cs="Arial" w:eastAsia="Arial" w:hAnsi="Arial"/>
                <w:sz w:val="19"/>
                <w:szCs w:val="19"/>
                <w:color w:val="0000FF"/>
                <w:w w:val="75"/>
              </w:rPr>
              <w:t>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2.21</w:t>
            </w:r>
          </w:p>
        </w:tc>
        <w:tc>
          <w:tcPr>
            <w:tcW w:w="2240" w:type="dxa"/>
            <w:vAlign w:val="bottom"/>
            <w:gridSpan w:val="26"/>
          </w:tcPr>
          <w:p>
            <w:pPr>
              <w:ind w:left="100"/>
              <w:spacing w:after="0" w:line="209" w:lineRule="exact"/>
              <w:rPr>
                <w:sz w:val="20"/>
                <w:szCs w:val="20"/>
                <w:color w:val="auto"/>
              </w:rPr>
            </w:pPr>
            <w:r>
              <w:rPr>
                <w:rFonts w:ascii="Arial" w:cs="Arial" w:eastAsia="Arial" w:hAnsi="Arial"/>
                <w:sz w:val="22"/>
                <w:szCs w:val="22"/>
                <w:color w:val="auto"/>
                <w:w w:val="84"/>
              </w:rPr>
              <w:t>Refinancing Amendments</w:t>
            </w: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5"/>
          </w:tcPr>
          <w:p>
            <w:pPr>
              <w:ind w:left="120"/>
              <w:spacing w:after="0" w:line="210" w:lineRule="exact"/>
              <w:rPr>
                <w:sz w:val="20"/>
                <w:szCs w:val="20"/>
                <w:color w:val="auto"/>
              </w:rPr>
            </w:pPr>
            <w:r>
              <w:rPr>
                <w:rFonts w:ascii="Arial" w:cs="Arial" w:eastAsia="Arial" w:hAnsi="Arial"/>
                <w:sz w:val="19"/>
                <w:szCs w:val="19"/>
                <w:color w:val="auto"/>
                <w:w w:val="75"/>
              </w:rPr>
              <w:t>1</w:t>
            </w:r>
          </w:p>
        </w:tc>
        <w:tc>
          <w:tcPr>
            <w:tcW w:w="220" w:type="dxa"/>
            <w:vAlign w:val="bottom"/>
            <w:gridSpan w:val="5"/>
          </w:tcPr>
          <w:p>
            <w:pPr>
              <w:jc w:val="right"/>
              <w:spacing w:after="0" w:line="209" w:lineRule="exact"/>
              <w:rPr>
                <w:sz w:val="20"/>
                <w:szCs w:val="20"/>
                <w:color w:val="auto"/>
              </w:rPr>
            </w:pPr>
            <w:r>
              <w:rPr>
                <w:rFonts w:ascii="Arial" w:cs="Arial" w:eastAsia="Arial" w:hAnsi="Arial"/>
                <w:sz w:val="22"/>
                <w:szCs w:val="22"/>
                <w:color w:val="FF0000"/>
                <w:strike w:val="1"/>
                <w:w w:val="81"/>
              </w:rPr>
              <w:t>26</w:t>
            </w:r>
          </w:p>
        </w:tc>
        <w:tc>
          <w:tcPr>
            <w:tcW w:w="220" w:type="dxa"/>
            <w:vAlign w:val="bottom"/>
            <w:tcBorders>
              <w:bottom w:val="single" w:sz="8" w:color="0000FF"/>
            </w:tcBorders>
            <w:gridSpan w:val="6"/>
          </w:tcPr>
          <w:p>
            <w:pPr>
              <w:jc w:val="right"/>
              <w:spacing w:after="0" w:line="209" w:lineRule="exact"/>
              <w:rPr>
                <w:sz w:val="20"/>
                <w:szCs w:val="20"/>
                <w:color w:val="auto"/>
              </w:rPr>
            </w:pPr>
            <w:r>
              <w:rPr>
                <w:rFonts w:ascii="Arial" w:cs="Arial" w:eastAsia="Arial" w:hAnsi="Arial"/>
                <w:sz w:val="22"/>
                <w:szCs w:val="22"/>
                <w:color w:val="0000FF"/>
                <w:w w:val="81"/>
              </w:rPr>
              <w:t>17</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2.22</w:t>
            </w:r>
          </w:p>
        </w:tc>
        <w:tc>
          <w:tcPr>
            <w:tcW w:w="1760" w:type="dxa"/>
            <w:vAlign w:val="bottom"/>
            <w:gridSpan w:val="12"/>
          </w:tcPr>
          <w:p>
            <w:pPr>
              <w:ind w:left="100"/>
              <w:spacing w:after="0" w:line="223" w:lineRule="exact"/>
              <w:rPr>
                <w:sz w:val="20"/>
                <w:szCs w:val="20"/>
                <w:color w:val="auto"/>
              </w:rPr>
            </w:pPr>
            <w:r>
              <w:rPr>
                <w:rFonts w:ascii="Arial" w:cs="Arial" w:eastAsia="Arial" w:hAnsi="Arial"/>
                <w:sz w:val="22"/>
                <w:szCs w:val="22"/>
                <w:color w:val="auto"/>
                <w:w w:val="88"/>
              </w:rPr>
              <w:t>Defaulting Lenders</w:t>
            </w:r>
          </w:p>
        </w:tc>
        <w:tc>
          <w:tcPr>
            <w:tcW w:w="540" w:type="dxa"/>
            <w:vAlign w:val="bottom"/>
            <w:gridSpan w:val="17"/>
          </w:tcPr>
          <w:p>
            <w:pPr>
              <w:ind w:left="220"/>
              <w:spacing w:after="0" w:line="223" w:lineRule="exact"/>
              <w:rPr>
                <w:sz w:val="20"/>
                <w:szCs w:val="20"/>
                <w:color w:val="auto"/>
              </w:rPr>
            </w:pPr>
            <w:r>
              <w:rPr>
                <w:rFonts w:ascii="Arial" w:cs="Arial" w:eastAsia="Arial" w:hAnsi="Arial"/>
                <w:sz w:val="22"/>
                <w:szCs w:val="22"/>
                <w:color w:val="auto"/>
                <w:w w:val="81"/>
              </w:rPr>
              <w:t>1</w:t>
            </w:r>
            <w:r>
              <w:rPr>
                <w:rFonts w:ascii="Arial" w:cs="Arial" w:eastAsia="Arial" w:hAnsi="Arial"/>
                <w:sz w:val="22"/>
                <w:szCs w:val="22"/>
                <w:color w:val="0000FF"/>
                <w:w w:val="81"/>
              </w:rPr>
              <w:t>1</w:t>
            </w:r>
            <w:r>
              <w:rPr>
                <w:rFonts w:ascii="Arial" w:cs="Arial" w:eastAsia="Arial" w:hAnsi="Arial"/>
                <w:sz w:val="22"/>
                <w:szCs w:val="22"/>
                <w:color w:val="auto"/>
                <w:w w:val="81"/>
              </w:rPr>
              <w:t>8</w:t>
            </w: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2.23</w:t>
            </w:r>
          </w:p>
        </w:tc>
        <w:tc>
          <w:tcPr>
            <w:tcW w:w="1640" w:type="dxa"/>
            <w:vAlign w:val="bottom"/>
            <w:gridSpan w:val="11"/>
          </w:tcPr>
          <w:p>
            <w:pPr>
              <w:ind w:left="100"/>
              <w:spacing w:after="0" w:line="223" w:lineRule="exact"/>
              <w:rPr>
                <w:sz w:val="20"/>
                <w:szCs w:val="20"/>
                <w:color w:val="auto"/>
              </w:rPr>
            </w:pPr>
            <w:r>
              <w:rPr>
                <w:rFonts w:ascii="Arial" w:cs="Arial" w:eastAsia="Arial" w:hAnsi="Arial"/>
                <w:sz w:val="22"/>
                <w:szCs w:val="22"/>
                <w:color w:val="auto"/>
              </w:rPr>
              <w:t>Cash Collateral</w:t>
            </w:r>
          </w:p>
        </w:tc>
        <w:tc>
          <w:tcPr>
            <w:tcW w:w="220" w:type="dxa"/>
            <w:vAlign w:val="bottom"/>
            <w:gridSpan w:val="3"/>
          </w:tcPr>
          <w:p>
            <w:pPr>
              <w:jc w:val="right"/>
              <w:spacing w:after="0" w:line="223" w:lineRule="exact"/>
              <w:rPr>
                <w:sz w:val="20"/>
                <w:szCs w:val="20"/>
                <w:color w:val="auto"/>
              </w:rPr>
            </w:pPr>
            <w:r>
              <w:rPr>
                <w:rFonts w:ascii="Arial" w:cs="Arial" w:eastAsia="Arial" w:hAnsi="Arial"/>
                <w:sz w:val="22"/>
                <w:szCs w:val="22"/>
                <w:color w:val="auto"/>
                <w:w w:val="81"/>
              </w:rPr>
              <w:t>12</w:t>
            </w:r>
          </w:p>
        </w:tc>
        <w:tc>
          <w:tcPr>
            <w:tcW w:w="120" w:type="dxa"/>
            <w:vAlign w:val="bottom"/>
            <w:gridSpan w:val="4"/>
          </w:tcPr>
          <w:p>
            <w:pPr>
              <w:jc w:val="right"/>
              <w:spacing w:after="0" w:line="223" w:lineRule="exact"/>
              <w:rPr>
                <w:sz w:val="20"/>
                <w:szCs w:val="20"/>
                <w:color w:val="auto"/>
              </w:rPr>
            </w:pPr>
            <w:r>
              <w:rPr>
                <w:rFonts w:ascii="Arial" w:cs="Arial" w:eastAsia="Arial" w:hAnsi="Arial"/>
                <w:sz w:val="22"/>
                <w:szCs w:val="22"/>
                <w:color w:val="FF0000"/>
                <w:strike w:val="1"/>
                <w:w w:val="81"/>
              </w:rPr>
              <w:t>0</w:t>
            </w:r>
          </w:p>
        </w:tc>
        <w:tc>
          <w:tcPr>
            <w:tcW w:w="100" w:type="dxa"/>
            <w:vAlign w:val="bottom"/>
            <w:tcBorders>
              <w:bottom w:val="single" w:sz="8" w:color="0000FF"/>
            </w:tcBorders>
            <w:gridSpan w:val="3"/>
          </w:tcPr>
          <w:p>
            <w:pPr>
              <w:spacing w:after="0"/>
              <w:rPr>
                <w:sz w:val="20"/>
                <w:szCs w:val="20"/>
                <w:color w:val="auto"/>
              </w:rPr>
            </w:pPr>
            <w:r>
              <w:rPr>
                <w:rFonts w:ascii="Arial" w:cs="Arial" w:eastAsia="Arial" w:hAnsi="Arial"/>
                <w:sz w:val="19"/>
                <w:szCs w:val="19"/>
                <w:color w:val="0000FF"/>
                <w:w w:val="75"/>
              </w:rPr>
              <w:t>0</w:t>
            </w:r>
          </w:p>
        </w:tc>
        <w:tc>
          <w:tcPr>
            <w:tcW w:w="2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2.24</w:t>
            </w:r>
          </w:p>
        </w:tc>
        <w:tc>
          <w:tcPr>
            <w:tcW w:w="5400" w:type="dxa"/>
            <w:vAlign w:val="bottom"/>
            <w:gridSpan w:val="61"/>
          </w:tcPr>
          <w:p>
            <w:pPr>
              <w:ind w:left="100"/>
              <w:spacing w:after="0" w:line="209" w:lineRule="exact"/>
              <w:rPr>
                <w:sz w:val="20"/>
                <w:szCs w:val="20"/>
                <w:color w:val="auto"/>
              </w:rPr>
            </w:pPr>
            <w:r>
              <w:rPr>
                <w:rFonts w:ascii="Arial" w:cs="Arial" w:eastAsia="Arial" w:hAnsi="Arial"/>
                <w:sz w:val="22"/>
                <w:szCs w:val="22"/>
                <w:color w:val="auto"/>
                <w:w w:val="91"/>
              </w:rPr>
              <w:t>Extensions of Term Loans and Revolving Commitments  12</w:t>
            </w:r>
          </w:p>
        </w:tc>
        <w:tc>
          <w:tcPr>
            <w:tcW w:w="100" w:type="dxa"/>
            <w:vAlign w:val="bottom"/>
          </w:tcPr>
          <w:p>
            <w:pPr>
              <w:jc w:val="right"/>
              <w:spacing w:after="0" w:line="210" w:lineRule="exact"/>
              <w:rPr>
                <w:sz w:val="20"/>
                <w:szCs w:val="20"/>
                <w:color w:val="auto"/>
              </w:rPr>
            </w:pPr>
            <w:r>
              <w:rPr>
                <w:rFonts w:ascii="Arial" w:cs="Arial" w:eastAsia="Arial" w:hAnsi="Arial"/>
                <w:sz w:val="19"/>
                <w:szCs w:val="19"/>
                <w:color w:val="FF0000"/>
                <w:strike w:val="1"/>
                <w:w w:val="75"/>
              </w:rPr>
              <w:t>1</w:t>
            </w:r>
          </w:p>
        </w:tc>
        <w:tc>
          <w:tcPr>
            <w:tcW w:w="100" w:type="dxa"/>
            <w:vAlign w:val="bottom"/>
            <w:tcBorders>
              <w:bottom w:val="single" w:sz="8" w:color="0000FF"/>
            </w:tcBorders>
          </w:tcPr>
          <w:p>
            <w:pPr>
              <w:jc w:val="right"/>
              <w:spacing w:after="0" w:line="210" w:lineRule="exact"/>
              <w:rPr>
                <w:sz w:val="20"/>
                <w:szCs w:val="20"/>
                <w:color w:val="auto"/>
              </w:rPr>
            </w:pPr>
            <w:r>
              <w:rPr>
                <w:rFonts w:ascii="Arial" w:cs="Arial" w:eastAsia="Arial" w:hAnsi="Arial"/>
                <w:sz w:val="19"/>
                <w:szCs w:val="19"/>
                <w:color w:val="0000FF"/>
                <w:w w:val="75"/>
              </w:rPr>
              <w:t>1</w:t>
            </w:r>
          </w:p>
        </w:tc>
        <w:tc>
          <w:tcPr>
            <w:tcW w:w="15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2.25</w:t>
            </w:r>
          </w:p>
        </w:tc>
        <w:tc>
          <w:tcPr>
            <w:tcW w:w="2680" w:type="dxa"/>
            <w:vAlign w:val="bottom"/>
            <w:gridSpan w:val="40"/>
          </w:tcPr>
          <w:p>
            <w:pPr>
              <w:ind w:left="100"/>
              <w:spacing w:after="0" w:line="223" w:lineRule="exact"/>
              <w:rPr>
                <w:sz w:val="20"/>
                <w:szCs w:val="20"/>
                <w:color w:val="auto"/>
              </w:rPr>
            </w:pPr>
            <w:r>
              <w:rPr>
                <w:rFonts w:ascii="Arial" w:cs="Arial" w:eastAsia="Arial" w:hAnsi="Arial"/>
                <w:sz w:val="22"/>
                <w:szCs w:val="22"/>
                <w:color w:val="auto"/>
                <w:w w:val="93"/>
              </w:rPr>
              <w:t>Term Loan Exchange Notes</w:t>
            </w:r>
          </w:p>
        </w:tc>
        <w:tc>
          <w:tcPr>
            <w:tcW w:w="260" w:type="dxa"/>
            <w:vAlign w:val="bottom"/>
            <w:gridSpan w:val="6"/>
          </w:tcPr>
          <w:p>
            <w:pPr>
              <w:jc w:val="right"/>
              <w:spacing w:after="0" w:line="223" w:lineRule="exact"/>
              <w:rPr>
                <w:sz w:val="20"/>
                <w:szCs w:val="20"/>
                <w:color w:val="auto"/>
              </w:rPr>
            </w:pPr>
            <w:r>
              <w:rPr>
                <w:rFonts w:ascii="Arial" w:cs="Arial" w:eastAsia="Arial" w:hAnsi="Arial"/>
                <w:sz w:val="22"/>
                <w:szCs w:val="22"/>
                <w:color w:val="auto"/>
                <w:w w:val="97"/>
              </w:rPr>
              <w:t>12</w:t>
            </w:r>
          </w:p>
        </w:tc>
        <w:tc>
          <w:tcPr>
            <w:tcW w:w="100" w:type="dxa"/>
            <w:vAlign w:val="bottom"/>
            <w:gridSpan w:val="3"/>
          </w:tcPr>
          <w:p>
            <w:pPr>
              <w:jc w:val="right"/>
              <w:spacing w:after="0"/>
              <w:rPr>
                <w:sz w:val="20"/>
                <w:szCs w:val="20"/>
                <w:color w:val="auto"/>
              </w:rPr>
            </w:pPr>
            <w:r>
              <w:rPr>
                <w:rFonts w:ascii="Arial" w:cs="Arial" w:eastAsia="Arial" w:hAnsi="Arial"/>
                <w:sz w:val="19"/>
                <w:szCs w:val="19"/>
                <w:color w:val="FF0000"/>
                <w:strike w:val="1"/>
                <w:w w:val="75"/>
              </w:rPr>
              <w:t>4</w:t>
            </w:r>
          </w:p>
        </w:tc>
        <w:tc>
          <w:tcPr>
            <w:tcW w:w="1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color w:val="0000FF"/>
                <w:w w:val="81"/>
              </w:rPr>
              <w:t>4</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47"/>
        </w:trPr>
        <w:tc>
          <w:tcPr>
            <w:tcW w:w="4480" w:type="dxa"/>
            <w:vAlign w:val="bottom"/>
            <w:gridSpan w:val="5"/>
            <w:vMerge w:val="restart"/>
          </w:tcPr>
          <w:p>
            <w:pPr>
              <w:jc w:val="right"/>
              <w:ind w:right="160"/>
              <w:spacing w:after="0"/>
              <w:rPr>
                <w:sz w:val="20"/>
                <w:szCs w:val="20"/>
                <w:color w:val="auto"/>
              </w:rPr>
            </w:pPr>
            <w:r>
              <w:rPr>
                <w:rFonts w:ascii="Arial" w:cs="Arial" w:eastAsia="Arial" w:hAnsi="Arial"/>
                <w:sz w:val="22"/>
                <w:szCs w:val="22"/>
                <w:b w:val="1"/>
                <w:bCs w:val="1"/>
                <w:color w:val="auto"/>
                <w:w w:val="92"/>
              </w:rPr>
              <w:t>ARTICLE III Representations and Warranties</w:t>
            </w:r>
          </w:p>
        </w:tc>
        <w:tc>
          <w:tcPr>
            <w:tcW w:w="16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auto"/>
              </w:rPr>
              <w:t>1</w:t>
            </w: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FF0000"/>
                <w:strike w:val="1"/>
                <w:w w:val="81"/>
              </w:rPr>
              <w:t>37</w:t>
            </w: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w w:val="81"/>
              </w:rPr>
              <w:t>26</w:t>
            </w:r>
          </w:p>
        </w:tc>
        <w:tc>
          <w:tcPr>
            <w:tcW w:w="140" w:type="dxa"/>
            <w:vAlign w:val="bottom"/>
            <w:vMerge w:val="restart"/>
          </w:tcPr>
          <w:p>
            <w:pPr>
              <w:spacing w:after="0"/>
              <w:rPr>
                <w:sz w:val="4"/>
                <w:szCs w:val="4"/>
                <w:color w:val="auto"/>
              </w:rPr>
            </w:pPr>
          </w:p>
        </w:tc>
        <w:tc>
          <w:tcPr>
            <w:tcW w:w="138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480" w:type="dxa"/>
            <w:vAlign w:val="bottom"/>
            <w:gridSpan w:val="5"/>
            <w:vMerge w:val="continue"/>
          </w:tcPr>
          <w:p>
            <w:pPr>
              <w:spacing w:after="0"/>
              <w:rPr>
                <w:sz w:val="17"/>
                <w:szCs w:val="17"/>
                <w:color w:val="auto"/>
              </w:rPr>
            </w:pPr>
          </w:p>
        </w:tc>
        <w:tc>
          <w:tcPr>
            <w:tcW w:w="160" w:type="dxa"/>
            <w:vAlign w:val="bottom"/>
            <w:gridSpan w:val="3"/>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220" w:type="dxa"/>
            <w:vAlign w:val="bottom"/>
            <w:tcBorders>
              <w:bottom w:val="single" w:sz="8" w:color="0000FF"/>
            </w:tcBorders>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ind w:left="660"/>
              <w:spacing w:after="0" w:line="195" w:lineRule="exact"/>
              <w:rPr>
                <w:sz w:val="20"/>
                <w:szCs w:val="20"/>
                <w:color w:val="auto"/>
              </w:rPr>
            </w:pPr>
            <w:r>
              <w:rPr>
                <w:rFonts w:ascii="Arial" w:cs="Arial" w:eastAsia="Arial" w:hAnsi="Arial"/>
                <w:sz w:val="22"/>
                <w:szCs w:val="22"/>
                <w:color w:val="auto"/>
                <w:w w:val="93"/>
              </w:rPr>
              <w:t>Section 3.01</w:t>
            </w:r>
          </w:p>
        </w:tc>
        <w:tc>
          <w:tcPr>
            <w:tcW w:w="2300" w:type="dxa"/>
            <w:vAlign w:val="bottom"/>
          </w:tcPr>
          <w:p>
            <w:pPr>
              <w:ind w:left="100"/>
              <w:spacing w:after="0" w:line="195" w:lineRule="exact"/>
              <w:rPr>
                <w:sz w:val="20"/>
                <w:szCs w:val="20"/>
                <w:color w:val="auto"/>
              </w:rPr>
            </w:pPr>
            <w:r>
              <w:rPr>
                <w:rFonts w:ascii="Arial" w:cs="Arial" w:eastAsia="Arial" w:hAnsi="Arial"/>
                <w:sz w:val="22"/>
                <w:szCs w:val="22"/>
                <w:color w:val="auto"/>
                <w:w w:val="92"/>
              </w:rPr>
              <w:t>Organization; Powers  1</w:t>
            </w:r>
          </w:p>
        </w:tc>
        <w:tc>
          <w:tcPr>
            <w:tcW w:w="200" w:type="dxa"/>
            <w:vAlign w:val="bottom"/>
          </w:tcPr>
          <w:p>
            <w:pPr>
              <w:jc w:val="right"/>
              <w:spacing w:after="0" w:line="195" w:lineRule="exact"/>
              <w:rPr>
                <w:sz w:val="20"/>
                <w:szCs w:val="20"/>
                <w:color w:val="auto"/>
              </w:rPr>
            </w:pPr>
            <w:r>
              <w:rPr>
                <w:rFonts w:ascii="Arial" w:cs="Arial" w:eastAsia="Arial" w:hAnsi="Arial"/>
                <w:sz w:val="22"/>
                <w:szCs w:val="22"/>
                <w:color w:val="FF0000"/>
                <w:strike w:val="1"/>
                <w:w w:val="73"/>
              </w:rPr>
              <w:t>37</w:t>
            </w:r>
          </w:p>
        </w:tc>
        <w:tc>
          <w:tcPr>
            <w:tcW w:w="220" w:type="dxa"/>
            <w:vAlign w:val="bottom"/>
            <w:tcBorders>
              <w:bottom w:val="single" w:sz="8" w:color="0000FF"/>
            </w:tcBorders>
            <w:gridSpan w:val="3"/>
          </w:tcPr>
          <w:p>
            <w:pPr>
              <w:jc w:val="right"/>
              <w:spacing w:after="0" w:line="195" w:lineRule="exact"/>
              <w:rPr>
                <w:sz w:val="20"/>
                <w:szCs w:val="20"/>
                <w:color w:val="auto"/>
              </w:rPr>
            </w:pPr>
            <w:r>
              <w:rPr>
                <w:rFonts w:ascii="Arial" w:cs="Arial" w:eastAsia="Arial" w:hAnsi="Arial"/>
                <w:sz w:val="22"/>
                <w:szCs w:val="22"/>
                <w:color w:val="0000FF"/>
                <w:w w:val="81"/>
              </w:rPr>
              <w:t>27</w:t>
            </w:r>
          </w:p>
        </w:tc>
        <w:tc>
          <w:tcPr>
            <w:tcW w:w="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3.02</w:t>
            </w:r>
          </w:p>
        </w:tc>
        <w:tc>
          <w:tcPr>
            <w:tcW w:w="2500" w:type="dxa"/>
            <w:vAlign w:val="bottom"/>
            <w:gridSpan w:val="2"/>
          </w:tcPr>
          <w:p>
            <w:pPr>
              <w:ind w:left="100"/>
              <w:spacing w:after="0" w:line="209" w:lineRule="exact"/>
              <w:rPr>
                <w:sz w:val="20"/>
                <w:szCs w:val="20"/>
                <w:color w:val="auto"/>
              </w:rPr>
            </w:pPr>
            <w:r>
              <w:rPr>
                <w:rFonts w:ascii="Arial" w:cs="Arial" w:eastAsia="Arial" w:hAnsi="Arial"/>
                <w:sz w:val="22"/>
                <w:szCs w:val="22"/>
                <w:color w:val="auto"/>
                <w:w w:val="87"/>
              </w:rPr>
              <w:t>Authorization; Enforceability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4"/>
          </w:tcPr>
          <w:p>
            <w:pPr>
              <w:jc w:val="right"/>
              <w:spacing w:after="0" w:line="209" w:lineRule="exact"/>
              <w:rPr>
                <w:sz w:val="20"/>
                <w:szCs w:val="20"/>
                <w:color w:val="auto"/>
              </w:rPr>
            </w:pPr>
            <w:r>
              <w:rPr>
                <w:rFonts w:ascii="Arial" w:cs="Arial" w:eastAsia="Arial" w:hAnsi="Arial"/>
                <w:sz w:val="22"/>
                <w:szCs w:val="22"/>
                <w:color w:val="auto"/>
              </w:rPr>
              <w:t>1</w:t>
            </w:r>
          </w:p>
        </w:tc>
        <w:tc>
          <w:tcPr>
            <w:tcW w:w="220" w:type="dxa"/>
            <w:vAlign w:val="bottom"/>
            <w:gridSpan w:val="2"/>
          </w:tcPr>
          <w:p>
            <w:pPr>
              <w:jc w:val="right"/>
              <w:spacing w:after="0" w:line="209" w:lineRule="exact"/>
              <w:rPr>
                <w:sz w:val="20"/>
                <w:szCs w:val="20"/>
                <w:color w:val="auto"/>
              </w:rPr>
            </w:pPr>
            <w:r>
              <w:rPr>
                <w:rFonts w:ascii="Arial" w:cs="Arial" w:eastAsia="Arial" w:hAnsi="Arial"/>
                <w:sz w:val="22"/>
                <w:szCs w:val="22"/>
                <w:color w:val="FF0000"/>
                <w:strike w:val="1"/>
                <w:w w:val="81"/>
              </w:rPr>
              <w:t>38</w:t>
            </w:r>
          </w:p>
        </w:tc>
        <w:tc>
          <w:tcPr>
            <w:tcW w:w="22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2"/>
                <w:szCs w:val="22"/>
                <w:color w:val="0000FF"/>
                <w:w w:val="81"/>
              </w:rPr>
              <w:t>27</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3.03</w:t>
            </w:r>
          </w:p>
        </w:tc>
        <w:tc>
          <w:tcPr>
            <w:tcW w:w="2760" w:type="dxa"/>
            <w:vAlign w:val="bottom"/>
            <w:gridSpan w:val="6"/>
          </w:tcPr>
          <w:p>
            <w:pPr>
              <w:ind w:left="100"/>
              <w:spacing w:after="0" w:line="223" w:lineRule="exact"/>
              <w:rPr>
                <w:sz w:val="20"/>
                <w:szCs w:val="20"/>
                <w:color w:val="auto"/>
              </w:rPr>
            </w:pPr>
            <w:r>
              <w:rPr>
                <w:rFonts w:ascii="Arial" w:cs="Arial" w:eastAsia="Arial" w:hAnsi="Arial"/>
                <w:sz w:val="22"/>
                <w:szCs w:val="22"/>
                <w:color w:val="auto"/>
                <w:w w:val="95"/>
              </w:rPr>
              <w:t>Approvals; No Conflicts  1</w:t>
            </w:r>
            <w:r>
              <w:rPr>
                <w:rFonts w:ascii="Arial" w:cs="Arial" w:eastAsia="Arial" w:hAnsi="Arial"/>
                <w:sz w:val="22"/>
                <w:szCs w:val="22"/>
                <w:color w:val="0000FF"/>
                <w:w w:val="95"/>
              </w:rPr>
              <w:t>2</w:t>
            </w:r>
            <w:r>
              <w:rPr>
                <w:rFonts w:ascii="Arial" w:cs="Arial" w:eastAsia="Arial" w:hAnsi="Arial"/>
                <w:sz w:val="22"/>
                <w:szCs w:val="22"/>
                <w:color w:val="auto"/>
                <w:w w:val="95"/>
              </w:rPr>
              <w:t>7</w:t>
            </w:r>
          </w:p>
        </w:tc>
        <w:tc>
          <w:tcPr>
            <w:tcW w:w="100" w:type="dxa"/>
            <w:vAlign w:val="bottom"/>
            <w:gridSpan w:val="2"/>
          </w:tcPr>
          <w:p>
            <w:pPr>
              <w:jc w:val="right"/>
              <w:spacing w:after="0"/>
              <w:rPr>
                <w:sz w:val="20"/>
                <w:szCs w:val="20"/>
                <w:color w:val="auto"/>
              </w:rPr>
            </w:pPr>
            <w:r>
              <w:rPr>
                <w:rFonts w:ascii="Arial" w:cs="Arial" w:eastAsia="Arial" w:hAnsi="Arial"/>
                <w:sz w:val="19"/>
                <w:szCs w:val="19"/>
                <w:color w:val="FF0000"/>
                <w:strike w:val="1"/>
                <w:w w:val="75"/>
              </w:rPr>
              <w:t>8</w:t>
            </w:r>
          </w:p>
        </w:tc>
        <w:tc>
          <w:tcPr>
            <w:tcW w:w="1920" w:type="dxa"/>
            <w:vAlign w:val="bottom"/>
            <w:gridSpan w:val="6"/>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3.04</w:t>
            </w:r>
          </w:p>
        </w:tc>
        <w:tc>
          <w:tcPr>
            <w:tcW w:w="5000" w:type="dxa"/>
            <w:vAlign w:val="bottom"/>
            <w:gridSpan w:val="16"/>
          </w:tcPr>
          <w:p>
            <w:pPr>
              <w:ind w:left="100"/>
              <w:spacing w:after="0" w:line="223" w:lineRule="exact"/>
              <w:rPr>
                <w:sz w:val="20"/>
                <w:szCs w:val="20"/>
                <w:color w:val="auto"/>
              </w:rPr>
            </w:pPr>
            <w:r>
              <w:rPr>
                <w:rFonts w:ascii="Arial" w:cs="Arial" w:eastAsia="Arial" w:hAnsi="Arial"/>
                <w:sz w:val="22"/>
                <w:szCs w:val="22"/>
                <w:color w:val="auto"/>
                <w:w w:val="91"/>
              </w:rPr>
              <w:t>Financial Condition; No Material Adverse Change  1</w:t>
            </w:r>
            <w:r>
              <w:rPr>
                <w:rFonts w:ascii="Arial" w:cs="Arial" w:eastAsia="Arial" w:hAnsi="Arial"/>
                <w:sz w:val="22"/>
                <w:szCs w:val="22"/>
                <w:color w:val="0000FF"/>
                <w:w w:val="91"/>
              </w:rPr>
              <w:t>2</w:t>
            </w:r>
            <w:r>
              <w:rPr>
                <w:rFonts w:ascii="Arial" w:cs="Arial" w:eastAsia="Arial" w:hAnsi="Arial"/>
                <w:sz w:val="22"/>
                <w:szCs w:val="22"/>
                <w:color w:val="auto"/>
                <w:w w:val="91"/>
              </w:rPr>
              <w:t>7</w:t>
            </w:r>
          </w:p>
        </w:tc>
        <w:tc>
          <w:tcPr>
            <w:tcW w:w="100" w:type="dxa"/>
            <w:vAlign w:val="bottom"/>
          </w:tcPr>
          <w:p>
            <w:pPr>
              <w:jc w:val="right"/>
              <w:spacing w:after="0"/>
              <w:rPr>
                <w:sz w:val="20"/>
                <w:szCs w:val="20"/>
                <w:color w:val="auto"/>
              </w:rPr>
            </w:pPr>
            <w:r>
              <w:rPr>
                <w:rFonts w:ascii="Arial" w:cs="Arial" w:eastAsia="Arial" w:hAnsi="Arial"/>
                <w:sz w:val="19"/>
                <w:szCs w:val="19"/>
                <w:color w:val="FF0000"/>
                <w:strike w:val="1"/>
                <w:w w:val="75"/>
              </w:rPr>
              <w:t>8</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rPr>
        <w:t>i</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70908019_5</w:t>
      </w:r>
    </w:p>
    <w:p>
      <w:pPr>
        <w:sectPr>
          <w:pgSz w:w="11900" w:h="16838" w:orient="portrait"/>
          <w:cols w:equalWidth="0" w:num="1">
            <w:col w:w="11240"/>
          </w:cols>
          <w:pgMar w:left="320" w:top="1372" w:right="339" w:bottom="1440" w:gutter="0" w:footer="0" w:header="0"/>
        </w:sectPr>
      </w:pPr>
    </w:p>
    <w:p>
      <w:pPr>
        <w:spacing w:after="0"/>
        <w:rPr>
          <w:sz w:val="20"/>
          <w:szCs w:val="20"/>
          <w:color w:val="auto"/>
        </w:rPr>
      </w:pPr>
      <w:r>
        <w:rPr>
          <w:rFonts w:ascii="Arial" w:cs="Arial" w:eastAsia="Arial" w:hAnsi="Arial"/>
          <w:sz w:val="10"/>
          <w:szCs w:val="10"/>
          <w:color w:val="FF0000"/>
          <w:strike w:val="1"/>
        </w:rPr>
        <w:t>#91301181v32</w:t>
      </w:r>
    </w:p>
    <w:p>
      <w:pPr>
        <w:sectPr>
          <w:pgSz w:w="11900" w:h="16838" w:orient="portrait"/>
          <w:cols w:equalWidth="0" w:num="1">
            <w:col w:w="11240"/>
          </w:cols>
          <w:pgMar w:left="320" w:top="1372" w:right="3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53"/>
        </w:trPr>
        <w:tc>
          <w:tcPr>
            <w:tcW w:w="1820" w:type="dxa"/>
            <w:vAlign w:val="bottom"/>
          </w:tcPr>
          <w:p>
            <w:pPr>
              <w:jc w:val="center"/>
              <w:ind w:left="472"/>
              <w:spacing w:after="0"/>
              <w:rPr>
                <w:sz w:val="20"/>
                <w:szCs w:val="20"/>
                <w:color w:val="auto"/>
              </w:rPr>
            </w:pPr>
            <w:r>
              <w:rPr>
                <w:rFonts w:ascii="Arial" w:cs="Arial" w:eastAsia="Arial" w:hAnsi="Arial"/>
                <w:sz w:val="22"/>
                <w:szCs w:val="22"/>
                <w:color w:val="auto"/>
                <w:w w:val="88"/>
              </w:rPr>
              <w:t>Section 3.05</w:t>
            </w:r>
          </w:p>
        </w:tc>
        <w:tc>
          <w:tcPr>
            <w:tcW w:w="1120" w:type="dxa"/>
            <w:vAlign w:val="bottom"/>
            <w:gridSpan w:val="6"/>
          </w:tcPr>
          <w:p>
            <w:pPr>
              <w:ind w:left="100"/>
              <w:spacing w:after="0"/>
              <w:rPr>
                <w:sz w:val="20"/>
                <w:szCs w:val="20"/>
                <w:color w:val="auto"/>
              </w:rPr>
            </w:pPr>
            <w:r>
              <w:rPr>
                <w:rFonts w:ascii="Arial" w:cs="Arial" w:eastAsia="Arial" w:hAnsi="Arial"/>
                <w:sz w:val="22"/>
                <w:szCs w:val="22"/>
                <w:color w:val="auto"/>
                <w:w w:val="99"/>
              </w:rPr>
              <w:t>Properties</w:t>
            </w:r>
          </w:p>
        </w:tc>
        <w:tc>
          <w:tcPr>
            <w:tcW w:w="180" w:type="dxa"/>
            <w:vAlign w:val="bottom"/>
            <w:gridSpan w:val="6"/>
          </w:tcPr>
          <w:p>
            <w:pPr>
              <w:jc w:val="right"/>
              <w:spacing w:after="0"/>
              <w:rPr>
                <w:sz w:val="20"/>
                <w:szCs w:val="20"/>
                <w:color w:val="auto"/>
              </w:rPr>
            </w:pPr>
            <w:r>
              <w:rPr>
                <w:rFonts w:ascii="Arial" w:cs="Arial" w:eastAsia="Arial" w:hAnsi="Arial"/>
                <w:sz w:val="22"/>
                <w:szCs w:val="22"/>
                <w:color w:val="auto"/>
              </w:rPr>
              <w:t>1</w:t>
            </w:r>
          </w:p>
        </w:tc>
        <w:tc>
          <w:tcPr>
            <w:tcW w:w="180" w:type="dxa"/>
            <w:vAlign w:val="bottom"/>
            <w:gridSpan w:val="4"/>
          </w:tcPr>
          <w:p>
            <w:pPr>
              <w:spacing w:after="0"/>
              <w:rPr>
                <w:sz w:val="20"/>
                <w:szCs w:val="20"/>
                <w:color w:val="auto"/>
              </w:rPr>
            </w:pPr>
            <w:r>
              <w:rPr>
                <w:rFonts w:ascii="Arial" w:cs="Arial" w:eastAsia="Arial" w:hAnsi="Arial"/>
                <w:sz w:val="17"/>
                <w:szCs w:val="17"/>
                <w:color w:val="FF0000"/>
                <w:strike w:val="1"/>
                <w:w w:val="73"/>
              </w:rPr>
              <w:t>39</w:t>
            </w:r>
          </w:p>
        </w:tc>
        <w:tc>
          <w:tcPr>
            <w:tcW w:w="240" w:type="dxa"/>
            <w:vAlign w:val="bottom"/>
            <w:tcBorders>
              <w:bottom w:val="single" w:sz="8" w:color="0000FF"/>
            </w:tcBorders>
            <w:gridSpan w:val="7"/>
          </w:tcPr>
          <w:p>
            <w:pPr>
              <w:jc w:val="right"/>
              <w:spacing w:after="0"/>
              <w:rPr>
                <w:sz w:val="20"/>
                <w:szCs w:val="20"/>
                <w:color w:val="auto"/>
              </w:rPr>
            </w:pPr>
            <w:r>
              <w:rPr>
                <w:rFonts w:ascii="Arial" w:cs="Arial" w:eastAsia="Arial" w:hAnsi="Arial"/>
                <w:sz w:val="22"/>
                <w:szCs w:val="22"/>
                <w:color w:val="0000FF"/>
                <w:w w:val="89"/>
              </w:rPr>
              <w:t>28</w:t>
            </w:r>
          </w:p>
        </w:tc>
        <w:tc>
          <w:tcPr>
            <w:tcW w:w="5120" w:type="dxa"/>
            <w:vAlign w:val="bottom"/>
            <w:gridSpan w:val="77"/>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3.06</w:t>
            </w:r>
          </w:p>
        </w:tc>
        <w:tc>
          <w:tcPr>
            <w:tcW w:w="3380" w:type="dxa"/>
            <w:vAlign w:val="bottom"/>
            <w:gridSpan w:val="71"/>
          </w:tcPr>
          <w:p>
            <w:pPr>
              <w:ind w:left="100"/>
              <w:spacing w:after="0" w:line="223" w:lineRule="exact"/>
              <w:rPr>
                <w:sz w:val="20"/>
                <w:szCs w:val="20"/>
                <w:color w:val="auto"/>
              </w:rPr>
            </w:pPr>
            <w:r>
              <w:rPr>
                <w:rFonts w:ascii="Arial" w:cs="Arial" w:eastAsia="Arial" w:hAnsi="Arial"/>
                <w:sz w:val="22"/>
                <w:szCs w:val="22"/>
                <w:color w:val="auto"/>
                <w:w w:val="91"/>
              </w:rPr>
              <w:t>Litigation and Environmental Matters</w:t>
            </w:r>
          </w:p>
        </w:tc>
        <w:tc>
          <w:tcPr>
            <w:tcW w:w="300" w:type="dxa"/>
            <w:vAlign w:val="bottom"/>
            <w:gridSpan w:val="4"/>
          </w:tcPr>
          <w:p>
            <w:pPr>
              <w:jc w:val="right"/>
              <w:spacing w:after="0" w:line="223" w:lineRule="exact"/>
              <w:rPr>
                <w:sz w:val="20"/>
                <w:szCs w:val="20"/>
                <w:color w:val="auto"/>
              </w:rPr>
            </w:pPr>
            <w:r>
              <w:rPr>
                <w:rFonts w:ascii="Arial" w:cs="Arial" w:eastAsia="Arial" w:hAnsi="Arial"/>
                <w:sz w:val="22"/>
                <w:szCs w:val="22"/>
                <w:color w:val="auto"/>
              </w:rPr>
              <w:t>1</w:t>
            </w:r>
          </w:p>
        </w:tc>
        <w:tc>
          <w:tcPr>
            <w:tcW w:w="220" w:type="dxa"/>
            <w:vAlign w:val="bottom"/>
            <w:gridSpan w:val="4"/>
          </w:tcPr>
          <w:p>
            <w:pPr>
              <w:jc w:val="right"/>
              <w:spacing w:after="0" w:line="223" w:lineRule="exact"/>
              <w:rPr>
                <w:sz w:val="20"/>
                <w:szCs w:val="20"/>
                <w:color w:val="auto"/>
              </w:rPr>
            </w:pPr>
            <w:r>
              <w:rPr>
                <w:rFonts w:ascii="Arial" w:cs="Arial" w:eastAsia="Arial" w:hAnsi="Arial"/>
                <w:sz w:val="22"/>
                <w:szCs w:val="22"/>
                <w:color w:val="FF0000"/>
                <w:strike w:val="1"/>
                <w:w w:val="81"/>
              </w:rPr>
              <w:t>39</w:t>
            </w:r>
          </w:p>
        </w:tc>
        <w:tc>
          <w:tcPr>
            <w:tcW w:w="220" w:type="dxa"/>
            <w:vAlign w:val="bottom"/>
            <w:tcBorders>
              <w:bottom w:val="single" w:sz="8" w:color="0000FF"/>
            </w:tcBorders>
            <w:gridSpan w:val="4"/>
          </w:tcPr>
          <w:p>
            <w:pPr>
              <w:jc w:val="right"/>
              <w:spacing w:after="0" w:line="223" w:lineRule="exact"/>
              <w:rPr>
                <w:sz w:val="20"/>
                <w:szCs w:val="20"/>
                <w:color w:val="auto"/>
              </w:rPr>
            </w:pPr>
            <w:r>
              <w:rPr>
                <w:rFonts w:ascii="Arial" w:cs="Arial" w:eastAsia="Arial" w:hAnsi="Arial"/>
                <w:sz w:val="22"/>
                <w:szCs w:val="22"/>
                <w:color w:val="0000FF"/>
                <w:w w:val="81"/>
              </w:rPr>
              <w:t>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3.07</w:t>
            </w:r>
          </w:p>
        </w:tc>
        <w:tc>
          <w:tcPr>
            <w:tcW w:w="2220" w:type="dxa"/>
            <w:vAlign w:val="bottom"/>
            <w:gridSpan w:val="39"/>
          </w:tcPr>
          <w:p>
            <w:pPr>
              <w:ind w:left="100"/>
              <w:spacing w:after="0" w:line="209" w:lineRule="exact"/>
              <w:rPr>
                <w:sz w:val="20"/>
                <w:szCs w:val="20"/>
                <w:color w:val="auto"/>
              </w:rPr>
            </w:pPr>
            <w:r>
              <w:rPr>
                <w:rFonts w:ascii="Arial" w:cs="Arial" w:eastAsia="Arial" w:hAnsi="Arial"/>
                <w:sz w:val="22"/>
                <w:szCs w:val="22"/>
                <w:color w:val="auto"/>
                <w:w w:val="95"/>
              </w:rPr>
              <w:t>Compliance with Laws</w:t>
            </w:r>
          </w:p>
        </w:tc>
        <w:tc>
          <w:tcPr>
            <w:tcW w:w="320" w:type="dxa"/>
            <w:vAlign w:val="bottom"/>
            <w:gridSpan w:val="7"/>
          </w:tcPr>
          <w:p>
            <w:pPr>
              <w:ind w:left="100"/>
              <w:spacing w:after="0" w:line="209" w:lineRule="exact"/>
              <w:rPr>
                <w:sz w:val="20"/>
                <w:szCs w:val="20"/>
                <w:color w:val="auto"/>
              </w:rPr>
            </w:pPr>
            <w:r>
              <w:rPr>
                <w:rFonts w:ascii="Arial" w:cs="Arial" w:eastAsia="Arial" w:hAnsi="Arial"/>
                <w:sz w:val="22"/>
                <w:szCs w:val="22"/>
                <w:color w:val="auto"/>
                <w:w w:val="81"/>
              </w:rPr>
              <w:t>12</w:t>
            </w:r>
          </w:p>
        </w:tc>
        <w:tc>
          <w:tcPr>
            <w:tcW w:w="140" w:type="dxa"/>
            <w:vAlign w:val="bottom"/>
            <w:gridSpan w:val="2"/>
          </w:tcPr>
          <w:p>
            <w:pPr>
              <w:jc w:val="center"/>
              <w:spacing w:after="0" w:line="209" w:lineRule="exact"/>
              <w:rPr>
                <w:sz w:val="20"/>
                <w:szCs w:val="20"/>
                <w:color w:val="auto"/>
              </w:rPr>
            </w:pPr>
            <w:r>
              <w:rPr>
                <w:rFonts w:ascii="Arial" w:cs="Arial" w:eastAsia="Arial" w:hAnsi="Arial"/>
                <w:sz w:val="22"/>
                <w:szCs w:val="22"/>
                <w:color w:val="FF0000"/>
                <w:strike w:val="1"/>
                <w:w w:val="81"/>
              </w:rPr>
              <w:t>0</w:t>
            </w:r>
          </w:p>
        </w:tc>
        <w:tc>
          <w:tcPr>
            <w:tcW w:w="4160" w:type="dxa"/>
            <w:vAlign w:val="bottom"/>
            <w:gridSpan w:val="52"/>
          </w:tcPr>
          <w:p>
            <w:pPr>
              <w:jc w:val="right"/>
              <w:ind w:right="4100"/>
              <w:spacing w:after="0"/>
              <w:rPr>
                <w:sz w:val="20"/>
                <w:szCs w:val="20"/>
                <w:color w:val="auto"/>
              </w:rPr>
            </w:pPr>
            <w:r>
              <w:rPr>
                <w:rFonts w:ascii="Arial" w:cs="Arial" w:eastAsia="Arial" w:hAnsi="Arial"/>
                <w:sz w:val="10"/>
                <w:szCs w:val="10"/>
                <w:color w:val="0000FF"/>
                <w:w w:val="71"/>
              </w:rPr>
              <w:t>9</w:t>
            </w: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3.08</w:t>
            </w:r>
          </w:p>
        </w:tc>
        <w:tc>
          <w:tcPr>
            <w:tcW w:w="2540" w:type="dxa"/>
            <w:vAlign w:val="bottom"/>
            <w:gridSpan w:val="46"/>
          </w:tcPr>
          <w:p>
            <w:pPr>
              <w:ind w:left="100"/>
              <w:spacing w:after="0" w:line="223" w:lineRule="exact"/>
              <w:rPr>
                <w:sz w:val="20"/>
                <w:szCs w:val="20"/>
                <w:color w:val="auto"/>
              </w:rPr>
            </w:pPr>
            <w:r>
              <w:rPr>
                <w:rFonts w:ascii="Arial" w:cs="Arial" w:eastAsia="Arial" w:hAnsi="Arial"/>
                <w:sz w:val="22"/>
                <w:szCs w:val="22"/>
                <w:color w:val="auto"/>
                <w:w w:val="87"/>
              </w:rPr>
              <w:t>Investment Company Status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8"/>
          </w:tcPr>
          <w:p>
            <w:pPr>
              <w:jc w:val="right"/>
              <w:spacing w:after="0" w:line="223" w:lineRule="exact"/>
              <w:rPr>
                <w:sz w:val="20"/>
                <w:szCs w:val="20"/>
                <w:color w:val="auto"/>
              </w:rPr>
            </w:pPr>
            <w:r>
              <w:rPr>
                <w:rFonts w:ascii="Arial" w:cs="Arial" w:eastAsia="Arial" w:hAnsi="Arial"/>
                <w:sz w:val="22"/>
                <w:szCs w:val="22"/>
                <w:color w:val="auto"/>
              </w:rPr>
              <w:t>12</w:t>
            </w:r>
          </w:p>
        </w:tc>
        <w:tc>
          <w:tcPr>
            <w:tcW w:w="120" w:type="dxa"/>
            <w:vAlign w:val="bottom"/>
            <w:gridSpan w:val="5"/>
          </w:tcPr>
          <w:p>
            <w:pPr>
              <w:spacing w:after="0" w:line="223" w:lineRule="exact"/>
              <w:rPr>
                <w:sz w:val="20"/>
                <w:szCs w:val="20"/>
                <w:color w:val="auto"/>
              </w:rPr>
            </w:pPr>
            <w:r>
              <w:rPr>
                <w:rFonts w:ascii="Arial" w:cs="Arial" w:eastAsia="Arial" w:hAnsi="Arial"/>
                <w:sz w:val="22"/>
                <w:szCs w:val="22"/>
                <w:color w:val="FF0000"/>
                <w:strike w:val="1"/>
                <w:w w:val="81"/>
              </w:rPr>
              <w:t>0</w:t>
            </w:r>
          </w:p>
        </w:tc>
        <w:tc>
          <w:tcPr>
            <w:tcW w:w="120" w:type="dxa"/>
            <w:vAlign w:val="bottom"/>
            <w:gridSpan w:val="4"/>
          </w:tcPr>
          <w:p>
            <w:pPr>
              <w:spacing w:after="0" w:line="223" w:lineRule="exact"/>
              <w:rPr>
                <w:sz w:val="20"/>
                <w:szCs w:val="20"/>
                <w:color w:val="auto"/>
              </w:rPr>
            </w:pPr>
            <w:r>
              <w:rPr>
                <w:rFonts w:ascii="Arial" w:cs="Arial" w:eastAsia="Arial" w:hAnsi="Arial"/>
                <w:sz w:val="22"/>
                <w:szCs w:val="22"/>
                <w:color w:val="0000FF"/>
                <w:w w:val="81"/>
              </w:rPr>
              <w:t>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3.09</w:t>
            </w:r>
          </w:p>
        </w:tc>
        <w:tc>
          <w:tcPr>
            <w:tcW w:w="720" w:type="dxa"/>
            <w:vAlign w:val="bottom"/>
          </w:tcPr>
          <w:p>
            <w:pPr>
              <w:ind w:left="100"/>
              <w:spacing w:after="0" w:line="223" w:lineRule="exact"/>
              <w:rPr>
                <w:sz w:val="20"/>
                <w:szCs w:val="20"/>
                <w:color w:val="auto"/>
              </w:rPr>
            </w:pPr>
            <w:r>
              <w:rPr>
                <w:rFonts w:ascii="Arial" w:cs="Arial" w:eastAsia="Arial" w:hAnsi="Arial"/>
                <w:sz w:val="22"/>
                <w:szCs w:val="22"/>
                <w:color w:val="auto"/>
              </w:rPr>
              <w:t>Taxes</w:t>
            </w:r>
          </w:p>
        </w:tc>
        <w:tc>
          <w:tcPr>
            <w:tcW w:w="300" w:type="dxa"/>
            <w:vAlign w:val="bottom"/>
            <w:gridSpan w:val="3"/>
          </w:tcPr>
          <w:p>
            <w:pPr>
              <w:jc w:val="right"/>
              <w:spacing w:after="0" w:line="223" w:lineRule="exact"/>
              <w:rPr>
                <w:sz w:val="20"/>
                <w:szCs w:val="20"/>
                <w:color w:val="auto"/>
              </w:rPr>
            </w:pPr>
            <w:r>
              <w:rPr>
                <w:rFonts w:ascii="Arial" w:cs="Arial" w:eastAsia="Arial" w:hAnsi="Arial"/>
                <w:sz w:val="22"/>
                <w:szCs w:val="22"/>
                <w:color w:val="auto"/>
              </w:rPr>
              <w:t>12</w:t>
            </w:r>
          </w:p>
        </w:tc>
        <w:tc>
          <w:tcPr>
            <w:tcW w:w="120" w:type="dxa"/>
            <w:vAlign w:val="bottom"/>
            <w:gridSpan w:val="3"/>
          </w:tcPr>
          <w:p>
            <w:pPr>
              <w:jc w:val="right"/>
              <w:spacing w:after="0" w:line="223" w:lineRule="exact"/>
              <w:rPr>
                <w:sz w:val="20"/>
                <w:szCs w:val="20"/>
                <w:color w:val="auto"/>
              </w:rPr>
            </w:pPr>
            <w:r>
              <w:rPr>
                <w:rFonts w:ascii="Arial" w:cs="Arial" w:eastAsia="Arial" w:hAnsi="Arial"/>
                <w:sz w:val="22"/>
                <w:szCs w:val="22"/>
                <w:color w:val="FF0000"/>
                <w:strike w:val="1"/>
                <w:w w:val="81"/>
              </w:rPr>
              <w:t>0</w:t>
            </w:r>
          </w:p>
        </w:tc>
        <w:tc>
          <w:tcPr>
            <w:tcW w:w="100" w:type="dxa"/>
            <w:vAlign w:val="bottom"/>
            <w:tcBorders>
              <w:bottom w:val="single" w:sz="8" w:color="0000FF"/>
            </w:tcBorders>
            <w:gridSpan w:val="3"/>
          </w:tcPr>
          <w:p>
            <w:pPr>
              <w:jc w:val="right"/>
              <w:spacing w:after="0"/>
              <w:rPr>
                <w:sz w:val="20"/>
                <w:szCs w:val="20"/>
                <w:color w:val="auto"/>
              </w:rPr>
            </w:pPr>
            <w:r>
              <w:rPr>
                <w:rFonts w:ascii="Arial" w:cs="Arial" w:eastAsia="Arial" w:hAnsi="Arial"/>
                <w:sz w:val="19"/>
                <w:szCs w:val="19"/>
                <w:color w:val="0000FF"/>
                <w:w w:val="75"/>
              </w:rPr>
              <w:t>9</w:t>
            </w:r>
          </w:p>
        </w:tc>
        <w:tc>
          <w:tcPr>
            <w:tcW w:w="1840" w:type="dxa"/>
            <w:vAlign w:val="bottom"/>
            <w:gridSpan w:val="51"/>
          </w:tcPr>
          <w:p>
            <w:pPr>
              <w:spacing w:after="0"/>
              <w:rPr>
                <w:sz w:val="19"/>
                <w:szCs w:val="19"/>
                <w:color w:val="auto"/>
              </w:rPr>
            </w:pPr>
          </w:p>
        </w:tc>
        <w:tc>
          <w:tcPr>
            <w:tcW w:w="100" w:type="dxa"/>
            <w:vAlign w:val="bottom"/>
            <w:tcBorders>
              <w:top w:val="single" w:sz="8" w:color="0000FF"/>
            </w:tcBorders>
            <w:gridSpan w:val="3"/>
          </w:tcPr>
          <w:p>
            <w:pPr>
              <w:spacing w:after="0"/>
              <w:rPr>
                <w:sz w:val="19"/>
                <w:szCs w:val="19"/>
                <w:color w:val="auto"/>
              </w:rPr>
            </w:pPr>
          </w:p>
        </w:tc>
        <w:tc>
          <w:tcPr>
            <w:tcW w:w="3660" w:type="dxa"/>
            <w:vAlign w:val="bottom"/>
            <w:gridSpan w:val="36"/>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3.10</w:t>
            </w:r>
          </w:p>
        </w:tc>
        <w:tc>
          <w:tcPr>
            <w:tcW w:w="720" w:type="dxa"/>
            <w:vAlign w:val="bottom"/>
          </w:tcPr>
          <w:p>
            <w:pPr>
              <w:ind w:left="100"/>
              <w:spacing w:after="0" w:line="209" w:lineRule="exact"/>
              <w:rPr>
                <w:sz w:val="20"/>
                <w:szCs w:val="20"/>
                <w:color w:val="auto"/>
              </w:rPr>
            </w:pPr>
            <w:r>
              <w:rPr>
                <w:rFonts w:ascii="Arial" w:cs="Arial" w:eastAsia="Arial" w:hAnsi="Arial"/>
                <w:sz w:val="22"/>
                <w:szCs w:val="22"/>
                <w:color w:val="auto"/>
                <w:w w:val="90"/>
              </w:rPr>
              <w:t>ERISA</w:t>
            </w:r>
          </w:p>
        </w:tc>
        <w:tc>
          <w:tcPr>
            <w:tcW w:w="420" w:type="dxa"/>
            <w:vAlign w:val="bottom"/>
            <w:gridSpan w:val="6"/>
          </w:tcPr>
          <w:p>
            <w:pPr>
              <w:jc w:val="right"/>
              <w:spacing w:after="0" w:line="209" w:lineRule="exact"/>
              <w:rPr>
                <w:sz w:val="20"/>
                <w:szCs w:val="20"/>
                <w:color w:val="auto"/>
              </w:rPr>
            </w:pPr>
            <w:r>
              <w:rPr>
                <w:rFonts w:ascii="Arial" w:cs="Arial" w:eastAsia="Arial" w:hAnsi="Arial"/>
                <w:sz w:val="22"/>
                <w:szCs w:val="22"/>
                <w:color w:val="auto"/>
              </w:rPr>
              <w:t>12</w:t>
            </w:r>
          </w:p>
        </w:tc>
        <w:tc>
          <w:tcPr>
            <w:tcW w:w="120" w:type="dxa"/>
            <w:vAlign w:val="bottom"/>
            <w:gridSpan w:val="4"/>
          </w:tcPr>
          <w:p>
            <w:pPr>
              <w:jc w:val="right"/>
              <w:ind w:right="20"/>
              <w:spacing w:after="0" w:line="210" w:lineRule="exact"/>
              <w:rPr>
                <w:sz w:val="20"/>
                <w:szCs w:val="20"/>
                <w:color w:val="auto"/>
              </w:rPr>
            </w:pPr>
            <w:r>
              <w:rPr>
                <w:rFonts w:ascii="Arial" w:cs="Arial" w:eastAsia="Arial" w:hAnsi="Arial"/>
                <w:sz w:val="19"/>
                <w:szCs w:val="19"/>
                <w:color w:val="FF0000"/>
                <w:strike w:val="1"/>
                <w:w w:val="75"/>
              </w:rPr>
              <w:t>0</w:t>
            </w:r>
          </w:p>
        </w:tc>
        <w:tc>
          <w:tcPr>
            <w:tcW w:w="100" w:type="dxa"/>
            <w:vAlign w:val="bottom"/>
            <w:tcBorders>
              <w:bottom w:val="single" w:sz="8" w:color="0000FF"/>
            </w:tcBorders>
            <w:gridSpan w:val="3"/>
          </w:tcPr>
          <w:p>
            <w:pPr>
              <w:jc w:val="right"/>
              <w:spacing w:after="0" w:line="210" w:lineRule="exact"/>
              <w:rPr>
                <w:sz w:val="20"/>
                <w:szCs w:val="20"/>
                <w:color w:val="auto"/>
              </w:rPr>
            </w:pPr>
            <w:r>
              <w:rPr>
                <w:rFonts w:ascii="Arial" w:cs="Arial" w:eastAsia="Arial" w:hAnsi="Arial"/>
                <w:sz w:val="19"/>
                <w:szCs w:val="19"/>
                <w:color w:val="0000FF"/>
                <w:w w:val="75"/>
              </w:rPr>
              <w:t>9</w:t>
            </w:r>
          </w:p>
        </w:tc>
        <w:tc>
          <w:tcPr>
            <w:tcW w:w="5480" w:type="dxa"/>
            <w:vAlign w:val="bottom"/>
            <w:gridSpan w:val="86"/>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52"/>
              <w:spacing w:after="0" w:line="223" w:lineRule="exact"/>
              <w:rPr>
                <w:sz w:val="20"/>
                <w:szCs w:val="20"/>
                <w:color w:val="auto"/>
              </w:rPr>
            </w:pPr>
            <w:r>
              <w:rPr>
                <w:rFonts w:ascii="Arial" w:cs="Arial" w:eastAsia="Arial" w:hAnsi="Arial"/>
                <w:sz w:val="22"/>
                <w:szCs w:val="22"/>
                <w:color w:val="auto"/>
                <w:w w:val="86"/>
              </w:rPr>
              <w:t>Section 3.11</w:t>
            </w:r>
          </w:p>
        </w:tc>
        <w:tc>
          <w:tcPr>
            <w:tcW w:w="1120" w:type="dxa"/>
            <w:vAlign w:val="bottom"/>
            <w:gridSpan w:val="6"/>
          </w:tcPr>
          <w:p>
            <w:pPr>
              <w:ind w:left="80"/>
              <w:spacing w:after="0" w:line="223" w:lineRule="exact"/>
              <w:rPr>
                <w:sz w:val="20"/>
                <w:szCs w:val="20"/>
                <w:color w:val="auto"/>
              </w:rPr>
            </w:pPr>
            <w:r>
              <w:rPr>
                <w:rFonts w:ascii="Arial" w:cs="Arial" w:eastAsia="Arial" w:hAnsi="Arial"/>
                <w:sz w:val="22"/>
                <w:szCs w:val="22"/>
                <w:color w:val="auto"/>
                <w:w w:val="99"/>
              </w:rPr>
              <w:t>Disclosure</w:t>
            </w:r>
          </w:p>
        </w:tc>
        <w:tc>
          <w:tcPr>
            <w:tcW w:w="360" w:type="dxa"/>
            <w:vAlign w:val="bottom"/>
            <w:gridSpan w:val="10"/>
          </w:tcPr>
          <w:p>
            <w:pPr>
              <w:jc w:val="right"/>
              <w:spacing w:after="0" w:line="223" w:lineRule="exact"/>
              <w:rPr>
                <w:sz w:val="20"/>
                <w:szCs w:val="20"/>
                <w:color w:val="auto"/>
              </w:rPr>
            </w:pPr>
            <w:r>
              <w:rPr>
                <w:rFonts w:ascii="Arial" w:cs="Arial" w:eastAsia="Arial" w:hAnsi="Arial"/>
                <w:sz w:val="22"/>
                <w:szCs w:val="22"/>
                <w:color w:val="auto"/>
              </w:rPr>
              <w:t>12</w:t>
            </w:r>
          </w:p>
        </w:tc>
        <w:tc>
          <w:tcPr>
            <w:tcW w:w="80" w:type="dxa"/>
            <w:vAlign w:val="bottom"/>
          </w:tcPr>
          <w:p>
            <w:pPr>
              <w:spacing w:after="0"/>
              <w:rPr>
                <w:sz w:val="20"/>
                <w:szCs w:val="20"/>
                <w:color w:val="auto"/>
              </w:rPr>
            </w:pPr>
            <w:r>
              <w:rPr>
                <w:rFonts w:ascii="Arial" w:cs="Arial" w:eastAsia="Arial" w:hAnsi="Arial"/>
                <w:sz w:val="15"/>
                <w:szCs w:val="15"/>
                <w:color w:val="FF0000"/>
                <w:strike w:val="1"/>
                <w:w w:val="71"/>
              </w:rPr>
              <w:t>1</w:t>
            </w:r>
          </w:p>
        </w:tc>
        <w:tc>
          <w:tcPr>
            <w:tcW w:w="100" w:type="dxa"/>
            <w:vAlign w:val="bottom"/>
            <w:tcBorders>
              <w:bottom w:val="single" w:sz="8" w:color="0000FF"/>
            </w:tcBorders>
            <w:gridSpan w:val="3"/>
          </w:tcPr>
          <w:p>
            <w:pPr>
              <w:spacing w:after="0"/>
              <w:rPr>
                <w:sz w:val="20"/>
                <w:szCs w:val="20"/>
                <w:color w:val="auto"/>
              </w:rPr>
            </w:pPr>
            <w:r>
              <w:rPr>
                <w:rFonts w:ascii="Arial" w:cs="Arial" w:eastAsia="Arial" w:hAnsi="Arial"/>
                <w:sz w:val="19"/>
                <w:szCs w:val="19"/>
                <w:color w:val="0000FF"/>
                <w:w w:val="75"/>
              </w:rPr>
              <w:t>9</w:t>
            </w:r>
          </w:p>
        </w:tc>
        <w:tc>
          <w:tcPr>
            <w:tcW w:w="5180" w:type="dxa"/>
            <w:vAlign w:val="bottom"/>
            <w:gridSpan w:val="8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3.12</w:t>
            </w:r>
          </w:p>
        </w:tc>
        <w:tc>
          <w:tcPr>
            <w:tcW w:w="1340" w:type="dxa"/>
            <w:vAlign w:val="bottom"/>
            <w:gridSpan w:val="13"/>
          </w:tcPr>
          <w:p>
            <w:pPr>
              <w:ind w:left="100"/>
              <w:spacing w:after="0" w:line="223" w:lineRule="exact"/>
              <w:rPr>
                <w:sz w:val="20"/>
                <w:szCs w:val="20"/>
                <w:color w:val="auto"/>
              </w:rPr>
            </w:pPr>
            <w:r>
              <w:rPr>
                <w:rFonts w:ascii="Arial" w:cs="Arial" w:eastAsia="Arial" w:hAnsi="Arial"/>
                <w:sz w:val="22"/>
                <w:szCs w:val="22"/>
                <w:color w:val="auto"/>
                <w:w w:val="89"/>
              </w:rPr>
              <w:t>Labor Matters</w:t>
            </w:r>
          </w:p>
        </w:tc>
        <w:tc>
          <w:tcPr>
            <w:tcW w:w="420" w:type="dxa"/>
            <w:vAlign w:val="bottom"/>
            <w:gridSpan w:val="12"/>
          </w:tcPr>
          <w:p>
            <w:pPr>
              <w:jc w:val="right"/>
              <w:spacing w:after="0" w:line="223" w:lineRule="exact"/>
              <w:rPr>
                <w:sz w:val="20"/>
                <w:szCs w:val="20"/>
                <w:color w:val="auto"/>
              </w:rPr>
            </w:pPr>
            <w:r>
              <w:rPr>
                <w:rFonts w:ascii="Arial" w:cs="Arial" w:eastAsia="Arial" w:hAnsi="Arial"/>
                <w:sz w:val="22"/>
                <w:szCs w:val="22"/>
                <w:color w:val="auto"/>
              </w:rPr>
              <w:t>13</w:t>
            </w:r>
          </w:p>
        </w:tc>
        <w:tc>
          <w:tcPr>
            <w:tcW w:w="100" w:type="dxa"/>
            <w:vAlign w:val="bottom"/>
            <w:gridSpan w:val="3"/>
          </w:tcPr>
          <w:p>
            <w:pPr>
              <w:jc w:val="right"/>
              <w:spacing w:after="0"/>
              <w:rPr>
                <w:sz w:val="20"/>
                <w:szCs w:val="20"/>
                <w:color w:val="auto"/>
              </w:rPr>
            </w:pPr>
            <w:r>
              <w:rPr>
                <w:rFonts w:ascii="Arial" w:cs="Arial" w:eastAsia="Arial" w:hAnsi="Arial"/>
                <w:sz w:val="19"/>
                <w:szCs w:val="19"/>
                <w:color w:val="FF0000"/>
                <w:strike w:val="1"/>
                <w:w w:val="75"/>
              </w:rPr>
              <w:t>1</w:t>
            </w:r>
          </w:p>
        </w:tc>
        <w:tc>
          <w:tcPr>
            <w:tcW w:w="120" w:type="dxa"/>
            <w:vAlign w:val="bottom"/>
            <w:tcBorders>
              <w:bottom w:val="single" w:sz="8" w:color="0000FF"/>
            </w:tcBorders>
            <w:gridSpan w:val="4"/>
          </w:tcPr>
          <w:p>
            <w:pPr>
              <w:jc w:val="right"/>
              <w:spacing w:after="0" w:line="223" w:lineRule="exact"/>
              <w:rPr>
                <w:sz w:val="20"/>
                <w:szCs w:val="20"/>
                <w:color w:val="auto"/>
              </w:rPr>
            </w:pPr>
            <w:r>
              <w:rPr>
                <w:rFonts w:ascii="Arial" w:cs="Arial" w:eastAsia="Arial" w:hAnsi="Arial"/>
                <w:sz w:val="22"/>
                <w:szCs w:val="22"/>
                <w:color w:val="0000FF"/>
                <w:w w:val="81"/>
              </w:rPr>
              <w:t>0</w:t>
            </w:r>
          </w:p>
        </w:tc>
        <w:tc>
          <w:tcPr>
            <w:tcW w:w="4860" w:type="dxa"/>
            <w:vAlign w:val="bottom"/>
            <w:gridSpan w:val="68"/>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3.13</w:t>
            </w:r>
          </w:p>
        </w:tc>
        <w:tc>
          <w:tcPr>
            <w:tcW w:w="2680" w:type="dxa"/>
            <w:vAlign w:val="bottom"/>
            <w:gridSpan w:val="48"/>
          </w:tcPr>
          <w:p>
            <w:pPr>
              <w:ind w:left="100"/>
              <w:spacing w:after="0" w:line="209" w:lineRule="exact"/>
              <w:rPr>
                <w:sz w:val="20"/>
                <w:szCs w:val="20"/>
                <w:color w:val="auto"/>
              </w:rPr>
            </w:pPr>
            <w:r>
              <w:rPr>
                <w:rFonts w:ascii="Arial" w:cs="Arial" w:eastAsia="Arial" w:hAnsi="Arial"/>
                <w:sz w:val="22"/>
                <w:szCs w:val="22"/>
                <w:color w:val="auto"/>
                <w:w w:val="89"/>
              </w:rPr>
              <w:t>Capitalization of Subsidiaries</w:t>
            </w:r>
          </w:p>
        </w:tc>
        <w:tc>
          <w:tcPr>
            <w:tcW w:w="400" w:type="dxa"/>
            <w:vAlign w:val="bottom"/>
            <w:gridSpan w:val="13"/>
          </w:tcPr>
          <w:p>
            <w:pPr>
              <w:jc w:val="right"/>
              <w:spacing w:after="0" w:line="209" w:lineRule="exact"/>
              <w:rPr>
                <w:sz w:val="20"/>
                <w:szCs w:val="20"/>
                <w:color w:val="auto"/>
              </w:rPr>
            </w:pPr>
            <w:r>
              <w:rPr>
                <w:rFonts w:ascii="Arial" w:cs="Arial" w:eastAsia="Arial" w:hAnsi="Arial"/>
                <w:sz w:val="22"/>
                <w:szCs w:val="22"/>
                <w:color w:val="auto"/>
              </w:rPr>
              <w:t>13</w:t>
            </w:r>
          </w:p>
        </w:tc>
        <w:tc>
          <w:tcPr>
            <w:tcW w:w="120" w:type="dxa"/>
            <w:vAlign w:val="bottom"/>
            <w:gridSpan w:val="4"/>
          </w:tcPr>
          <w:p>
            <w:pPr>
              <w:spacing w:after="0" w:line="209" w:lineRule="exact"/>
              <w:rPr>
                <w:sz w:val="20"/>
                <w:szCs w:val="20"/>
                <w:color w:val="auto"/>
              </w:rPr>
            </w:pPr>
            <w:r>
              <w:rPr>
                <w:rFonts w:ascii="Arial" w:cs="Arial" w:eastAsia="Arial" w:hAnsi="Arial"/>
                <w:sz w:val="22"/>
                <w:szCs w:val="22"/>
                <w:color w:val="FF0000"/>
                <w:strike w:val="1"/>
                <w:w w:val="81"/>
              </w:rPr>
              <w:t>1</w:t>
            </w:r>
          </w:p>
        </w:tc>
        <w:tc>
          <w:tcPr>
            <w:tcW w:w="120" w:type="dxa"/>
            <w:vAlign w:val="bottom"/>
            <w:gridSpan w:val="5"/>
          </w:tcPr>
          <w:p>
            <w:pPr>
              <w:jc w:val="right"/>
              <w:ind w:right="20"/>
              <w:spacing w:after="0" w:line="210" w:lineRule="exact"/>
              <w:rPr>
                <w:sz w:val="20"/>
                <w:szCs w:val="20"/>
                <w:color w:val="auto"/>
              </w:rPr>
            </w:pPr>
            <w:r>
              <w:rPr>
                <w:rFonts w:ascii="Arial" w:cs="Arial" w:eastAsia="Arial" w:hAnsi="Arial"/>
                <w:sz w:val="19"/>
                <w:szCs w:val="19"/>
                <w:color w:val="0000FF"/>
                <w:w w:val="75"/>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3.14</w:t>
            </w:r>
          </w:p>
        </w:tc>
        <w:tc>
          <w:tcPr>
            <w:tcW w:w="1120" w:type="dxa"/>
            <w:vAlign w:val="bottom"/>
            <w:gridSpan w:val="6"/>
          </w:tcPr>
          <w:p>
            <w:pPr>
              <w:ind w:left="100"/>
              <w:spacing w:after="0" w:line="223" w:lineRule="exact"/>
              <w:rPr>
                <w:sz w:val="20"/>
                <w:szCs w:val="20"/>
                <w:color w:val="auto"/>
              </w:rPr>
            </w:pPr>
            <w:r>
              <w:rPr>
                <w:rFonts w:ascii="Arial" w:cs="Arial" w:eastAsia="Arial" w:hAnsi="Arial"/>
                <w:sz w:val="22"/>
                <w:szCs w:val="22"/>
                <w:color w:val="auto"/>
              </w:rPr>
              <w:t>Solvency</w:t>
            </w:r>
          </w:p>
        </w:tc>
        <w:tc>
          <w:tcPr>
            <w:tcW w:w="220" w:type="dxa"/>
            <w:vAlign w:val="bottom"/>
            <w:gridSpan w:val="7"/>
          </w:tcPr>
          <w:p>
            <w:pPr>
              <w:spacing w:after="0" w:line="223" w:lineRule="exact"/>
              <w:rPr>
                <w:sz w:val="20"/>
                <w:szCs w:val="20"/>
                <w:color w:val="auto"/>
              </w:rPr>
            </w:pPr>
            <w:r>
              <w:rPr>
                <w:rFonts w:ascii="Arial" w:cs="Arial" w:eastAsia="Arial" w:hAnsi="Arial"/>
                <w:sz w:val="22"/>
                <w:szCs w:val="22"/>
                <w:color w:val="auto"/>
                <w:w w:val="81"/>
              </w:rPr>
              <w:t>13</w:t>
            </w:r>
          </w:p>
        </w:tc>
        <w:tc>
          <w:tcPr>
            <w:tcW w:w="140" w:type="dxa"/>
            <w:vAlign w:val="bottom"/>
            <w:gridSpan w:val="3"/>
          </w:tcPr>
          <w:p>
            <w:pPr>
              <w:jc w:val="right"/>
              <w:spacing w:after="0"/>
              <w:rPr>
                <w:sz w:val="20"/>
                <w:szCs w:val="20"/>
                <w:color w:val="auto"/>
              </w:rPr>
            </w:pPr>
            <w:r>
              <w:rPr>
                <w:rFonts w:ascii="Arial" w:cs="Arial" w:eastAsia="Arial" w:hAnsi="Arial"/>
                <w:sz w:val="19"/>
                <w:szCs w:val="19"/>
                <w:color w:val="FF0000"/>
                <w:strike w:val="1"/>
                <w:w w:val="75"/>
              </w:rPr>
              <w:t>1</w:t>
            </w:r>
          </w:p>
        </w:tc>
        <w:tc>
          <w:tcPr>
            <w:tcW w:w="1720" w:type="dxa"/>
            <w:vAlign w:val="bottom"/>
            <w:gridSpan w:val="49"/>
          </w:tcPr>
          <w:p>
            <w:pPr>
              <w:spacing w:after="0"/>
              <w:rPr>
                <w:sz w:val="20"/>
                <w:szCs w:val="20"/>
                <w:color w:val="auto"/>
              </w:rPr>
            </w:pPr>
            <w:r>
              <w:rPr>
                <w:rFonts w:ascii="Arial" w:cs="Arial" w:eastAsia="Arial" w:hAnsi="Arial"/>
                <w:sz w:val="15"/>
                <w:szCs w:val="15"/>
                <w:color w:val="0000FF"/>
                <w:w w:val="71"/>
              </w:rPr>
              <w:t>0</w:t>
            </w:r>
          </w:p>
        </w:tc>
        <w:tc>
          <w:tcPr>
            <w:tcW w:w="100" w:type="dxa"/>
            <w:vAlign w:val="bottom"/>
            <w:tcBorders>
              <w:top w:val="single" w:sz="8" w:color="0000FF"/>
            </w:tcBorders>
            <w:gridSpan w:val="4"/>
          </w:tcPr>
          <w:p>
            <w:pPr>
              <w:spacing w:after="0"/>
              <w:rPr>
                <w:sz w:val="19"/>
                <w:szCs w:val="19"/>
                <w:color w:val="auto"/>
              </w:rPr>
            </w:pPr>
          </w:p>
        </w:tc>
        <w:tc>
          <w:tcPr>
            <w:tcW w:w="3540" w:type="dxa"/>
            <w:vAlign w:val="bottom"/>
            <w:gridSpan w:val="31"/>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Borders>
              <w:right w:val="single" w:sz="8" w:color="0000FF"/>
            </w:tcBorders>
            <w:gridSpan w:val="17"/>
          </w:tcPr>
          <w:p>
            <w:pPr>
              <w:spacing w:after="0" w:line="20" w:lineRule="exact"/>
              <w:rPr>
                <w:sz w:val="1"/>
                <w:szCs w:val="1"/>
                <w:color w:val="auto"/>
              </w:rPr>
            </w:pPr>
          </w:p>
        </w:tc>
        <w:tc>
          <w:tcPr>
            <w:tcW w:w="5360" w:type="dxa"/>
            <w:vAlign w:val="bottom"/>
            <w:tcBorders>
              <w:left w:val="single" w:sz="8" w:color="0000FF"/>
            </w:tcBorders>
            <w:gridSpan w:val="8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3.15</w:t>
            </w:r>
          </w:p>
        </w:tc>
        <w:tc>
          <w:tcPr>
            <w:tcW w:w="2680" w:type="dxa"/>
            <w:vAlign w:val="bottom"/>
            <w:gridSpan w:val="48"/>
          </w:tcPr>
          <w:p>
            <w:pPr>
              <w:ind w:left="100"/>
              <w:spacing w:after="0" w:line="223" w:lineRule="exact"/>
              <w:rPr>
                <w:sz w:val="20"/>
                <w:szCs w:val="20"/>
                <w:color w:val="auto"/>
              </w:rPr>
            </w:pPr>
            <w:r>
              <w:rPr>
                <w:rFonts w:ascii="Arial" w:cs="Arial" w:eastAsia="Arial" w:hAnsi="Arial"/>
                <w:sz w:val="22"/>
                <w:szCs w:val="22"/>
                <w:color w:val="auto"/>
                <w:w w:val="89"/>
              </w:rPr>
              <w:t>Federal Reserve Regulations</w:t>
            </w:r>
          </w:p>
        </w:tc>
        <w:tc>
          <w:tcPr>
            <w:tcW w:w="340" w:type="dxa"/>
            <w:vAlign w:val="bottom"/>
            <w:gridSpan w:val="11"/>
          </w:tcPr>
          <w:p>
            <w:pPr>
              <w:jc w:val="right"/>
              <w:spacing w:after="0" w:line="223" w:lineRule="exact"/>
              <w:rPr>
                <w:sz w:val="20"/>
                <w:szCs w:val="20"/>
                <w:color w:val="auto"/>
              </w:rPr>
            </w:pPr>
            <w:r>
              <w:rPr>
                <w:rFonts w:ascii="Arial" w:cs="Arial" w:eastAsia="Arial" w:hAnsi="Arial"/>
                <w:sz w:val="22"/>
                <w:szCs w:val="22"/>
                <w:color w:val="auto"/>
              </w:rPr>
              <w:t>13</w:t>
            </w: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2</w:t>
            </w:r>
          </w:p>
        </w:tc>
        <w:tc>
          <w:tcPr>
            <w:tcW w:w="100" w:type="dxa"/>
            <w:vAlign w:val="bottom"/>
            <w:tcBorders>
              <w:bottom w:val="single" w:sz="8" w:color="0000FF"/>
            </w:tcBorders>
            <w:gridSpan w:val="3"/>
          </w:tcPr>
          <w:p>
            <w:pPr>
              <w:jc w:val="right"/>
              <w:spacing w:after="0"/>
              <w:rPr>
                <w:sz w:val="20"/>
                <w:szCs w:val="20"/>
                <w:color w:val="auto"/>
              </w:rPr>
            </w:pPr>
            <w:r>
              <w:rPr>
                <w:rFonts w:ascii="Arial" w:cs="Arial" w:eastAsia="Arial" w:hAnsi="Arial"/>
                <w:sz w:val="19"/>
                <w:szCs w:val="19"/>
                <w:color w:val="0000FF"/>
                <w:w w:val="75"/>
              </w:rPr>
              <w:t>0</w:t>
            </w:r>
          </w:p>
        </w:tc>
        <w:tc>
          <w:tcPr>
            <w:tcW w:w="20" w:type="dxa"/>
            <w:vAlign w:val="bottom"/>
            <w:tcBorders>
              <w:bottom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3.16</w:t>
            </w:r>
          </w:p>
        </w:tc>
        <w:tc>
          <w:tcPr>
            <w:tcW w:w="3120" w:type="dxa"/>
            <w:vAlign w:val="bottom"/>
            <w:gridSpan w:val="63"/>
          </w:tcPr>
          <w:p>
            <w:pPr>
              <w:ind w:left="100"/>
              <w:spacing w:after="0" w:line="209" w:lineRule="exact"/>
              <w:rPr>
                <w:sz w:val="20"/>
                <w:szCs w:val="20"/>
                <w:color w:val="auto"/>
              </w:rPr>
            </w:pPr>
            <w:r>
              <w:rPr>
                <w:rFonts w:ascii="Arial" w:cs="Arial" w:eastAsia="Arial" w:hAnsi="Arial"/>
                <w:sz w:val="22"/>
                <w:szCs w:val="22"/>
                <w:color w:val="auto"/>
                <w:w w:val="85"/>
              </w:rPr>
              <w:t>Senior Indebtedness; Subordination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3"/>
          </w:tcPr>
          <w:p>
            <w:pPr>
              <w:ind w:left="20"/>
              <w:spacing w:after="0" w:line="209" w:lineRule="exact"/>
              <w:rPr>
                <w:sz w:val="20"/>
                <w:szCs w:val="20"/>
                <w:color w:val="auto"/>
              </w:rPr>
            </w:pPr>
            <w:r>
              <w:rPr>
                <w:rFonts w:ascii="Arial" w:cs="Arial" w:eastAsia="Arial" w:hAnsi="Arial"/>
                <w:sz w:val="22"/>
                <w:szCs w:val="22"/>
                <w:color w:val="auto"/>
                <w:w w:val="81"/>
              </w:rPr>
              <w:t>13</w:t>
            </w:r>
          </w:p>
        </w:tc>
        <w:tc>
          <w:tcPr>
            <w:tcW w:w="100" w:type="dxa"/>
            <w:vAlign w:val="bottom"/>
            <w:gridSpan w:val="2"/>
          </w:tcPr>
          <w:p>
            <w:pPr>
              <w:jc w:val="center"/>
              <w:spacing w:after="0" w:line="209" w:lineRule="exact"/>
              <w:rPr>
                <w:sz w:val="20"/>
                <w:szCs w:val="20"/>
                <w:color w:val="auto"/>
              </w:rPr>
            </w:pPr>
            <w:r>
              <w:rPr>
                <w:rFonts w:ascii="Arial" w:cs="Arial" w:eastAsia="Arial" w:hAnsi="Arial"/>
                <w:sz w:val="22"/>
                <w:szCs w:val="22"/>
                <w:color w:val="FF0000"/>
                <w:strike w:val="1"/>
                <w:w w:val="81"/>
              </w:rPr>
              <w:t>2</w:t>
            </w:r>
          </w:p>
        </w:tc>
        <w:tc>
          <w:tcPr>
            <w:tcW w:w="180" w:type="dxa"/>
            <w:vAlign w:val="bottom"/>
            <w:gridSpan w:val="3"/>
          </w:tcPr>
          <w:p>
            <w:pPr>
              <w:jc w:val="right"/>
              <w:ind w:right="80"/>
              <w:spacing w:after="0" w:line="210" w:lineRule="exact"/>
              <w:rPr>
                <w:sz w:val="20"/>
                <w:szCs w:val="20"/>
                <w:color w:val="auto"/>
              </w:rPr>
            </w:pPr>
            <w:r>
              <w:rPr>
                <w:rFonts w:ascii="Arial" w:cs="Arial" w:eastAsia="Arial" w:hAnsi="Arial"/>
                <w:sz w:val="19"/>
                <w:szCs w:val="19"/>
                <w:color w:val="0000FF"/>
                <w:w w:val="75"/>
              </w:rPr>
              <w:t>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3.17</w:t>
            </w:r>
          </w:p>
        </w:tc>
        <w:tc>
          <w:tcPr>
            <w:tcW w:w="1700" w:type="dxa"/>
            <w:vAlign w:val="bottom"/>
            <w:gridSpan w:val="22"/>
          </w:tcPr>
          <w:p>
            <w:pPr>
              <w:ind w:left="100"/>
              <w:spacing w:after="0" w:line="223" w:lineRule="exact"/>
              <w:rPr>
                <w:sz w:val="20"/>
                <w:szCs w:val="20"/>
                <w:color w:val="auto"/>
              </w:rPr>
            </w:pPr>
            <w:r>
              <w:rPr>
                <w:rFonts w:ascii="Arial" w:cs="Arial" w:eastAsia="Arial" w:hAnsi="Arial"/>
                <w:sz w:val="22"/>
                <w:szCs w:val="22"/>
                <w:color w:val="auto"/>
                <w:w w:val="97"/>
              </w:rPr>
              <w:t>Use of Proceeds</w:t>
            </w:r>
          </w:p>
        </w:tc>
        <w:tc>
          <w:tcPr>
            <w:tcW w:w="240" w:type="dxa"/>
            <w:vAlign w:val="bottom"/>
            <w:gridSpan w:val="8"/>
          </w:tcPr>
          <w:p>
            <w:pPr>
              <w:jc w:val="center"/>
              <w:spacing w:after="0" w:line="223" w:lineRule="exact"/>
              <w:rPr>
                <w:sz w:val="20"/>
                <w:szCs w:val="20"/>
                <w:color w:val="auto"/>
              </w:rPr>
            </w:pPr>
            <w:r>
              <w:rPr>
                <w:rFonts w:ascii="Arial" w:cs="Arial" w:eastAsia="Arial" w:hAnsi="Arial"/>
                <w:sz w:val="22"/>
                <w:szCs w:val="22"/>
                <w:color w:val="auto"/>
                <w:w w:val="89"/>
              </w:rPr>
              <w:t>13</w:t>
            </w: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2</w:t>
            </w:r>
          </w:p>
        </w:tc>
        <w:tc>
          <w:tcPr>
            <w:tcW w:w="100" w:type="dxa"/>
            <w:vAlign w:val="bottom"/>
            <w:tcBorders>
              <w:bottom w:val="single" w:sz="8" w:color="0000FF"/>
            </w:tcBorders>
            <w:gridSpan w:val="3"/>
          </w:tcPr>
          <w:p>
            <w:pPr>
              <w:spacing w:after="0"/>
              <w:rPr>
                <w:sz w:val="20"/>
                <w:szCs w:val="20"/>
                <w:color w:val="auto"/>
              </w:rPr>
            </w:pPr>
            <w:r>
              <w:rPr>
                <w:rFonts w:ascii="Arial" w:cs="Arial" w:eastAsia="Arial" w:hAnsi="Arial"/>
                <w:sz w:val="19"/>
                <w:szCs w:val="19"/>
                <w:color w:val="0000FF"/>
                <w:w w:val="75"/>
              </w:rPr>
              <w:t>1</w:t>
            </w:r>
          </w:p>
        </w:tc>
        <w:tc>
          <w:tcPr>
            <w:tcW w:w="1580" w:type="dxa"/>
            <w:vAlign w:val="bottom"/>
            <w:gridSpan w:val="39"/>
          </w:tcPr>
          <w:p>
            <w:pPr>
              <w:spacing w:after="0"/>
              <w:rPr>
                <w:sz w:val="19"/>
                <w:szCs w:val="19"/>
                <w:color w:val="auto"/>
              </w:rPr>
            </w:pPr>
          </w:p>
        </w:tc>
        <w:tc>
          <w:tcPr>
            <w:tcW w:w="100" w:type="dxa"/>
            <w:vAlign w:val="bottom"/>
            <w:tcBorders>
              <w:top w:val="single" w:sz="8" w:color="0000FF"/>
            </w:tcBorders>
            <w:gridSpan w:val="2"/>
          </w:tcPr>
          <w:p>
            <w:pPr>
              <w:spacing w:after="0"/>
              <w:rPr>
                <w:sz w:val="19"/>
                <w:szCs w:val="19"/>
                <w:color w:val="auto"/>
              </w:rPr>
            </w:pPr>
          </w:p>
        </w:tc>
        <w:tc>
          <w:tcPr>
            <w:tcW w:w="302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3.18</w:t>
            </w:r>
          </w:p>
        </w:tc>
        <w:tc>
          <w:tcPr>
            <w:tcW w:w="1860" w:type="dxa"/>
            <w:vAlign w:val="bottom"/>
            <w:gridSpan w:val="28"/>
          </w:tcPr>
          <w:p>
            <w:pPr>
              <w:ind w:left="100"/>
              <w:spacing w:after="0" w:line="223" w:lineRule="exact"/>
              <w:rPr>
                <w:sz w:val="20"/>
                <w:szCs w:val="20"/>
                <w:color w:val="auto"/>
              </w:rPr>
            </w:pPr>
            <w:r>
              <w:rPr>
                <w:rFonts w:ascii="Arial" w:cs="Arial" w:eastAsia="Arial" w:hAnsi="Arial"/>
                <w:sz w:val="22"/>
                <w:szCs w:val="22"/>
                <w:color w:val="auto"/>
                <w:w w:val="88"/>
              </w:rPr>
              <w:t>Security Documents</w:t>
            </w:r>
          </w:p>
        </w:tc>
        <w:tc>
          <w:tcPr>
            <w:tcW w:w="420" w:type="dxa"/>
            <w:vAlign w:val="bottom"/>
            <w:gridSpan w:val="12"/>
          </w:tcPr>
          <w:p>
            <w:pPr>
              <w:jc w:val="right"/>
              <w:spacing w:after="0" w:line="223" w:lineRule="exact"/>
              <w:rPr>
                <w:sz w:val="20"/>
                <w:szCs w:val="20"/>
                <w:color w:val="auto"/>
              </w:rPr>
            </w:pPr>
            <w:r>
              <w:rPr>
                <w:rFonts w:ascii="Arial" w:cs="Arial" w:eastAsia="Arial" w:hAnsi="Arial"/>
                <w:sz w:val="22"/>
                <w:szCs w:val="22"/>
                <w:color w:val="auto"/>
              </w:rPr>
              <w:t>13</w:t>
            </w:r>
          </w:p>
        </w:tc>
        <w:tc>
          <w:tcPr>
            <w:tcW w:w="120" w:type="dxa"/>
            <w:vAlign w:val="bottom"/>
            <w:gridSpan w:val="3"/>
          </w:tcPr>
          <w:p>
            <w:pPr>
              <w:jc w:val="right"/>
              <w:spacing w:after="0" w:line="223" w:lineRule="exact"/>
              <w:rPr>
                <w:sz w:val="20"/>
                <w:szCs w:val="20"/>
                <w:color w:val="auto"/>
              </w:rPr>
            </w:pPr>
            <w:r>
              <w:rPr>
                <w:rFonts w:ascii="Arial" w:cs="Arial" w:eastAsia="Arial" w:hAnsi="Arial"/>
                <w:sz w:val="22"/>
                <w:szCs w:val="22"/>
                <w:color w:val="FF0000"/>
                <w:strike w:val="1"/>
                <w:w w:val="81"/>
              </w:rPr>
              <w:t>2</w:t>
            </w:r>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19"/>
                <w:szCs w:val="19"/>
                <w:color w:val="0000FF"/>
                <w:w w:val="75"/>
              </w:rPr>
              <w:t>1</w:t>
            </w:r>
          </w:p>
        </w:tc>
        <w:tc>
          <w:tcPr>
            <w:tcW w:w="4340" w:type="dxa"/>
            <w:vAlign w:val="bottom"/>
            <w:gridSpan w:val="55"/>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3.19</w:t>
            </w:r>
          </w:p>
        </w:tc>
        <w:tc>
          <w:tcPr>
            <w:tcW w:w="2400" w:type="dxa"/>
            <w:vAlign w:val="bottom"/>
            <w:gridSpan w:val="43"/>
          </w:tcPr>
          <w:p>
            <w:pPr>
              <w:ind w:left="100"/>
              <w:spacing w:after="0" w:line="209" w:lineRule="exact"/>
              <w:rPr>
                <w:sz w:val="20"/>
                <w:szCs w:val="20"/>
                <w:color w:val="auto"/>
              </w:rPr>
            </w:pPr>
            <w:r>
              <w:rPr>
                <w:rFonts w:ascii="Arial" w:cs="Arial" w:eastAsia="Arial" w:hAnsi="Arial"/>
                <w:sz w:val="22"/>
                <w:szCs w:val="22"/>
                <w:color w:val="auto"/>
                <w:w w:val="92"/>
              </w:rPr>
              <w:t>OFAC; FCPA; Patriot Act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3"/>
          </w:tcPr>
          <w:p>
            <w:pPr>
              <w:jc w:val="right"/>
              <w:spacing w:after="0" w:line="209" w:lineRule="exact"/>
              <w:rPr>
                <w:sz w:val="20"/>
                <w:szCs w:val="20"/>
                <w:color w:val="auto"/>
              </w:rPr>
            </w:pPr>
            <w:r>
              <w:rPr>
                <w:rFonts w:ascii="Arial" w:cs="Arial" w:eastAsia="Arial" w:hAnsi="Arial"/>
                <w:sz w:val="22"/>
                <w:szCs w:val="22"/>
                <w:color w:val="auto"/>
                <w:w w:val="81"/>
              </w:rPr>
              <w:t>13</w:t>
            </w:r>
          </w:p>
        </w:tc>
        <w:tc>
          <w:tcPr>
            <w:tcW w:w="120" w:type="dxa"/>
            <w:vAlign w:val="bottom"/>
            <w:gridSpan w:val="4"/>
          </w:tcPr>
          <w:p>
            <w:pPr>
              <w:jc w:val="right"/>
              <w:spacing w:after="0" w:line="209" w:lineRule="exact"/>
              <w:rPr>
                <w:sz w:val="20"/>
                <w:szCs w:val="20"/>
                <w:color w:val="auto"/>
              </w:rPr>
            </w:pPr>
            <w:r>
              <w:rPr>
                <w:rFonts w:ascii="Arial" w:cs="Arial" w:eastAsia="Arial" w:hAnsi="Arial"/>
                <w:sz w:val="22"/>
                <w:szCs w:val="22"/>
                <w:color w:val="FF0000"/>
                <w:strike w:val="1"/>
                <w:w w:val="81"/>
              </w:rPr>
              <w:t>3</w:t>
            </w:r>
          </w:p>
        </w:tc>
        <w:tc>
          <w:tcPr>
            <w:tcW w:w="120" w:type="dxa"/>
            <w:vAlign w:val="bottom"/>
            <w:gridSpan w:val="5"/>
          </w:tcPr>
          <w:p>
            <w:pPr>
              <w:jc w:val="right"/>
              <w:ind w:right="20"/>
              <w:spacing w:after="0" w:line="210" w:lineRule="exact"/>
              <w:rPr>
                <w:sz w:val="20"/>
                <w:szCs w:val="20"/>
                <w:color w:val="auto"/>
              </w:rPr>
            </w:pPr>
            <w:r>
              <w:rPr>
                <w:rFonts w:ascii="Arial" w:cs="Arial" w:eastAsia="Arial" w:hAnsi="Arial"/>
                <w:sz w:val="19"/>
                <w:szCs w:val="19"/>
                <w:color w:val="0000FF"/>
                <w:w w:val="75"/>
              </w:rPr>
              <w:t>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540" w:type="dxa"/>
            <w:vAlign w:val="bottom"/>
            <w:gridSpan w:val="2"/>
          </w:tcPr>
          <w:p>
            <w:pPr>
              <w:jc w:val="center"/>
              <w:ind w:right="92"/>
              <w:spacing w:after="0"/>
              <w:rPr>
                <w:sz w:val="20"/>
                <w:szCs w:val="20"/>
                <w:color w:val="auto"/>
              </w:rPr>
            </w:pPr>
            <w:r>
              <w:rPr>
                <w:rFonts w:ascii="Arial" w:cs="Arial" w:eastAsia="Arial" w:hAnsi="Arial"/>
                <w:sz w:val="22"/>
                <w:szCs w:val="22"/>
                <w:b w:val="1"/>
                <w:bCs w:val="1"/>
                <w:color w:val="auto"/>
                <w:w w:val="96"/>
              </w:rPr>
              <w:t>ARTICLE IV Conditions</w:t>
            </w:r>
          </w:p>
        </w:tc>
        <w:tc>
          <w:tcPr>
            <w:tcW w:w="220" w:type="dxa"/>
            <w:vAlign w:val="bottom"/>
          </w:tcPr>
          <w:p>
            <w:pPr>
              <w:jc w:val="right"/>
              <w:spacing w:after="0"/>
              <w:rPr>
                <w:sz w:val="20"/>
                <w:szCs w:val="20"/>
                <w:color w:val="auto"/>
              </w:rPr>
            </w:pPr>
            <w:r>
              <w:rPr>
                <w:rFonts w:ascii="Arial" w:cs="Arial" w:eastAsia="Arial" w:hAnsi="Arial"/>
                <w:sz w:val="22"/>
                <w:szCs w:val="22"/>
                <w:b w:val="1"/>
                <w:bCs w:val="1"/>
                <w:color w:val="auto"/>
                <w:w w:val="81"/>
              </w:rPr>
              <w:t>13</w:t>
            </w:r>
          </w:p>
        </w:tc>
        <w:tc>
          <w:tcPr>
            <w:tcW w:w="120" w:type="dxa"/>
            <w:vAlign w:val="bottom"/>
            <w:gridSpan w:val="3"/>
          </w:tcPr>
          <w:p>
            <w:pPr>
              <w:jc w:val="right"/>
              <w:spacing w:after="0"/>
              <w:rPr>
                <w:sz w:val="20"/>
                <w:szCs w:val="20"/>
                <w:color w:val="auto"/>
              </w:rPr>
            </w:pPr>
            <w:r>
              <w:rPr>
                <w:rFonts w:ascii="Arial" w:cs="Arial" w:eastAsia="Arial" w:hAnsi="Arial"/>
                <w:sz w:val="22"/>
                <w:szCs w:val="22"/>
                <w:b w:val="1"/>
                <w:bCs w:val="1"/>
                <w:color w:val="FF0000"/>
                <w:strike w:val="1"/>
                <w:w w:val="81"/>
              </w:rPr>
              <w:t>3</w:t>
            </w:r>
          </w:p>
        </w:tc>
        <w:tc>
          <w:tcPr>
            <w:tcW w:w="1820" w:type="dxa"/>
            <w:vAlign w:val="bottom"/>
            <w:gridSpan w:val="48"/>
          </w:tcPr>
          <w:p>
            <w:pPr>
              <w:jc w:val="right"/>
              <w:ind w:right="1612"/>
              <w:spacing w:after="0"/>
              <w:rPr>
                <w:sz w:val="20"/>
                <w:szCs w:val="20"/>
                <w:color w:val="auto"/>
              </w:rPr>
            </w:pPr>
            <w:r>
              <w:rPr>
                <w:rFonts w:ascii="Arial" w:cs="Arial" w:eastAsia="Arial" w:hAnsi="Arial"/>
                <w:sz w:val="19"/>
                <w:szCs w:val="19"/>
                <w:b w:val="1"/>
                <w:bCs w:val="1"/>
                <w:color w:val="0000FF"/>
                <w:w w:val="75"/>
              </w:rPr>
              <w:t>2</w:t>
            </w:r>
          </w:p>
        </w:tc>
        <w:tc>
          <w:tcPr>
            <w:tcW w:w="100" w:type="dxa"/>
            <w:vAlign w:val="bottom"/>
            <w:tcBorders>
              <w:top w:val="single" w:sz="8" w:color="0000FF"/>
            </w:tcBorders>
            <w:gridSpan w:val="4"/>
          </w:tcPr>
          <w:p>
            <w:pPr>
              <w:spacing w:after="0"/>
              <w:rPr>
                <w:sz w:val="24"/>
                <w:szCs w:val="24"/>
                <w:color w:val="auto"/>
              </w:rPr>
            </w:pPr>
          </w:p>
        </w:tc>
        <w:tc>
          <w:tcPr>
            <w:tcW w:w="3860" w:type="dxa"/>
            <w:vAlign w:val="bottom"/>
            <w:gridSpan w:val="4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tcPr>
          <w:p>
            <w:pPr>
              <w:jc w:val="center"/>
              <w:ind w:left="472"/>
              <w:spacing w:after="0" w:line="216" w:lineRule="exact"/>
              <w:rPr>
                <w:sz w:val="20"/>
                <w:szCs w:val="20"/>
                <w:color w:val="auto"/>
              </w:rPr>
            </w:pPr>
            <w:r>
              <w:rPr>
                <w:rFonts w:ascii="Arial" w:cs="Arial" w:eastAsia="Arial" w:hAnsi="Arial"/>
                <w:sz w:val="22"/>
                <w:szCs w:val="22"/>
                <w:color w:val="auto"/>
                <w:w w:val="88"/>
              </w:rPr>
              <w:t>Section 4.01</w:t>
            </w:r>
          </w:p>
        </w:tc>
        <w:tc>
          <w:tcPr>
            <w:tcW w:w="1340" w:type="dxa"/>
            <w:vAlign w:val="bottom"/>
            <w:gridSpan w:val="13"/>
          </w:tcPr>
          <w:p>
            <w:pPr>
              <w:spacing w:after="0" w:line="20" w:lineRule="exact"/>
              <w:rPr>
                <w:sz w:val="1"/>
                <w:szCs w:val="1"/>
                <w:color w:val="auto"/>
              </w:rPr>
            </w:pPr>
          </w:p>
        </w:tc>
        <w:tc>
          <w:tcPr>
            <w:tcW w:w="320" w:type="dxa"/>
            <w:vAlign w:val="bottom"/>
            <w:gridSpan w:val="7"/>
            <w:vMerge w:val="restart"/>
          </w:tcPr>
          <w:p>
            <w:pPr>
              <w:ind w:left="100"/>
              <w:spacing w:after="0" w:line="216" w:lineRule="exact"/>
              <w:rPr>
                <w:sz w:val="20"/>
                <w:szCs w:val="20"/>
                <w:color w:val="auto"/>
              </w:rPr>
            </w:pPr>
            <w:r>
              <w:rPr>
                <w:rFonts w:ascii="Arial" w:cs="Arial" w:eastAsia="Arial" w:hAnsi="Arial"/>
                <w:sz w:val="22"/>
                <w:szCs w:val="22"/>
                <w:color w:val="auto"/>
                <w:w w:val="81"/>
              </w:rPr>
              <w:t>13</w:t>
            </w:r>
          </w:p>
        </w:tc>
        <w:tc>
          <w:tcPr>
            <w:tcW w:w="100" w:type="dxa"/>
            <w:vAlign w:val="bottom"/>
            <w:gridSpan w:val="5"/>
            <w:vMerge w:val="restart"/>
          </w:tcPr>
          <w:p>
            <w:pPr>
              <w:jc w:val="right"/>
              <w:spacing w:after="0" w:line="216" w:lineRule="exact"/>
              <w:rPr>
                <w:sz w:val="20"/>
                <w:szCs w:val="20"/>
                <w:color w:val="auto"/>
              </w:rPr>
            </w:pPr>
            <w:r>
              <w:rPr>
                <w:rFonts w:ascii="Arial" w:cs="Arial" w:eastAsia="Arial" w:hAnsi="Arial"/>
                <w:sz w:val="19"/>
                <w:szCs w:val="19"/>
                <w:color w:val="FF0000"/>
                <w:strike w:val="1"/>
                <w:w w:val="75"/>
              </w:rPr>
              <w:t>3</w:t>
            </w:r>
          </w:p>
        </w:tc>
        <w:tc>
          <w:tcPr>
            <w:tcW w:w="120" w:type="dxa"/>
            <w:vAlign w:val="bottom"/>
            <w:gridSpan w:val="4"/>
            <w:vMerge w:val="restart"/>
          </w:tcPr>
          <w:p>
            <w:pPr>
              <w:jc w:val="center"/>
              <w:spacing w:after="0" w:line="216" w:lineRule="exact"/>
              <w:rPr>
                <w:sz w:val="20"/>
                <w:szCs w:val="20"/>
                <w:color w:val="auto"/>
              </w:rPr>
            </w:pPr>
            <w:r>
              <w:rPr>
                <w:rFonts w:ascii="Arial" w:cs="Arial" w:eastAsia="Arial" w:hAnsi="Arial"/>
                <w:sz w:val="22"/>
                <w:szCs w:val="22"/>
                <w:color w:val="0000FF"/>
                <w:w w:val="97"/>
              </w:rPr>
              <w:t>2</w:t>
            </w:r>
          </w:p>
        </w:tc>
        <w:tc>
          <w:tcPr>
            <w:tcW w:w="60" w:type="dxa"/>
            <w:vAlign w:val="bottom"/>
            <w:vMerge w:val="restart"/>
          </w:tcPr>
          <w:p>
            <w:pPr>
              <w:spacing w:after="0" w:line="20" w:lineRule="exact"/>
              <w:rPr>
                <w:sz w:val="1"/>
                <w:szCs w:val="1"/>
                <w:color w:val="auto"/>
              </w:rPr>
            </w:pPr>
          </w:p>
        </w:tc>
        <w:tc>
          <w:tcPr>
            <w:tcW w:w="4900" w:type="dxa"/>
            <w:vAlign w:val="bottom"/>
            <w:gridSpan w:val="7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820" w:type="dxa"/>
            <w:vAlign w:val="bottom"/>
            <w:vMerge w:val="continue"/>
          </w:tcPr>
          <w:p>
            <w:pPr>
              <w:spacing w:after="0"/>
              <w:rPr>
                <w:sz w:val="17"/>
                <w:szCs w:val="17"/>
                <w:color w:val="auto"/>
              </w:rPr>
            </w:pPr>
          </w:p>
        </w:tc>
        <w:tc>
          <w:tcPr>
            <w:tcW w:w="1340" w:type="dxa"/>
            <w:vAlign w:val="bottom"/>
            <w:gridSpan w:val="13"/>
          </w:tcPr>
          <w:p>
            <w:pPr>
              <w:ind w:left="100"/>
              <w:spacing w:after="0" w:line="195" w:lineRule="exact"/>
              <w:rPr>
                <w:sz w:val="20"/>
                <w:szCs w:val="20"/>
                <w:color w:val="auto"/>
              </w:rPr>
            </w:pPr>
            <w:r>
              <w:rPr>
                <w:rFonts w:ascii="Arial" w:cs="Arial" w:eastAsia="Arial" w:hAnsi="Arial"/>
                <w:sz w:val="22"/>
                <w:szCs w:val="22"/>
                <w:color w:val="auto"/>
                <w:w w:val="82"/>
              </w:rPr>
              <w:t>Closing Date</w:t>
            </w:r>
          </w:p>
        </w:tc>
        <w:tc>
          <w:tcPr>
            <w:tcW w:w="320" w:type="dxa"/>
            <w:vAlign w:val="bottom"/>
            <w:gridSpan w:val="7"/>
            <w:vMerge w:val="continue"/>
          </w:tcPr>
          <w:p>
            <w:pPr>
              <w:spacing w:after="0"/>
              <w:rPr>
                <w:sz w:val="17"/>
                <w:szCs w:val="17"/>
                <w:color w:val="auto"/>
              </w:rPr>
            </w:pPr>
          </w:p>
        </w:tc>
        <w:tc>
          <w:tcPr>
            <w:tcW w:w="100" w:type="dxa"/>
            <w:vAlign w:val="bottom"/>
            <w:gridSpan w:val="5"/>
            <w:vMerge w:val="continue"/>
          </w:tcPr>
          <w:p>
            <w:pPr>
              <w:spacing w:after="0"/>
              <w:rPr>
                <w:sz w:val="17"/>
                <w:szCs w:val="17"/>
                <w:color w:val="auto"/>
              </w:rPr>
            </w:pPr>
          </w:p>
        </w:tc>
        <w:tc>
          <w:tcPr>
            <w:tcW w:w="120" w:type="dxa"/>
            <w:vAlign w:val="bottom"/>
            <w:tcBorders>
              <w:bottom w:val="single" w:sz="8" w:color="0000FF"/>
            </w:tcBorders>
            <w:gridSpan w:val="4"/>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4900" w:type="dxa"/>
            <w:vAlign w:val="bottom"/>
            <w:gridSpan w:val="70"/>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4.02</w:t>
            </w:r>
          </w:p>
        </w:tc>
        <w:tc>
          <w:tcPr>
            <w:tcW w:w="1860" w:type="dxa"/>
            <w:vAlign w:val="bottom"/>
            <w:gridSpan w:val="28"/>
          </w:tcPr>
          <w:p>
            <w:pPr>
              <w:ind w:left="100"/>
              <w:spacing w:after="0" w:line="223" w:lineRule="exact"/>
              <w:rPr>
                <w:sz w:val="20"/>
                <w:szCs w:val="20"/>
                <w:color w:val="auto"/>
              </w:rPr>
            </w:pPr>
            <w:r>
              <w:rPr>
                <w:rFonts w:ascii="Arial" w:cs="Arial" w:eastAsia="Arial" w:hAnsi="Arial"/>
                <w:sz w:val="22"/>
                <w:szCs w:val="22"/>
                <w:color w:val="auto"/>
                <w:w w:val="89"/>
              </w:rPr>
              <w:t>Each Credit Event</w:t>
            </w:r>
          </w:p>
        </w:tc>
        <w:tc>
          <w:tcPr>
            <w:tcW w:w="140" w:type="dxa"/>
            <w:vAlign w:val="bottom"/>
            <w:gridSpan w:val="5"/>
          </w:tcPr>
          <w:p>
            <w:pPr>
              <w:jc w:val="right"/>
              <w:spacing w:after="0" w:line="223" w:lineRule="exact"/>
              <w:rPr>
                <w:sz w:val="20"/>
                <w:szCs w:val="20"/>
                <w:color w:val="auto"/>
              </w:rPr>
            </w:pPr>
            <w:r>
              <w:rPr>
                <w:rFonts w:ascii="Arial" w:cs="Arial" w:eastAsia="Arial" w:hAnsi="Arial"/>
                <w:sz w:val="22"/>
                <w:szCs w:val="22"/>
                <w:color w:val="auto"/>
                <w:w w:val="97"/>
              </w:rPr>
              <w:t>1</w:t>
            </w:r>
          </w:p>
        </w:tc>
        <w:tc>
          <w:tcPr>
            <w:tcW w:w="220" w:type="dxa"/>
            <w:vAlign w:val="bottom"/>
            <w:gridSpan w:val="6"/>
          </w:tcPr>
          <w:p>
            <w:pPr>
              <w:spacing w:after="0" w:line="223" w:lineRule="exact"/>
              <w:rPr>
                <w:sz w:val="20"/>
                <w:szCs w:val="20"/>
                <w:color w:val="auto"/>
              </w:rPr>
            </w:pPr>
            <w:r>
              <w:rPr>
                <w:rFonts w:ascii="Arial" w:cs="Arial" w:eastAsia="Arial" w:hAnsi="Arial"/>
                <w:sz w:val="22"/>
                <w:szCs w:val="22"/>
                <w:color w:val="FF0000"/>
                <w:strike w:val="1"/>
                <w:w w:val="81"/>
              </w:rPr>
              <w:t>46</w:t>
            </w:r>
          </w:p>
        </w:tc>
        <w:tc>
          <w:tcPr>
            <w:tcW w:w="220" w:type="dxa"/>
            <w:vAlign w:val="bottom"/>
            <w:tcBorders>
              <w:bottom w:val="single" w:sz="8" w:color="0000FF"/>
            </w:tcBorders>
            <w:gridSpan w:val="5"/>
          </w:tcPr>
          <w:p>
            <w:pPr>
              <w:jc w:val="right"/>
              <w:spacing w:after="0" w:line="223" w:lineRule="exact"/>
              <w:rPr>
                <w:sz w:val="20"/>
                <w:szCs w:val="20"/>
                <w:color w:val="auto"/>
              </w:rPr>
            </w:pPr>
            <w:r>
              <w:rPr>
                <w:rFonts w:ascii="Arial" w:cs="Arial" w:eastAsia="Arial" w:hAnsi="Arial"/>
                <w:sz w:val="22"/>
                <w:szCs w:val="22"/>
                <w:color w:val="0000FF"/>
                <w:w w:val="81"/>
              </w:rPr>
              <w:t>34</w:t>
            </w:r>
          </w:p>
        </w:tc>
        <w:tc>
          <w:tcPr>
            <w:tcW w:w="4400" w:type="dxa"/>
            <w:vAlign w:val="bottom"/>
            <w:gridSpan w:val="56"/>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520" w:type="dxa"/>
            <w:vAlign w:val="bottom"/>
            <w:gridSpan w:val="23"/>
          </w:tcPr>
          <w:p>
            <w:pPr>
              <w:spacing w:after="0"/>
              <w:rPr>
                <w:sz w:val="20"/>
                <w:szCs w:val="20"/>
                <w:color w:val="auto"/>
              </w:rPr>
            </w:pPr>
            <w:r>
              <w:rPr>
                <w:rFonts w:ascii="Arial" w:cs="Arial" w:eastAsia="Arial" w:hAnsi="Arial"/>
                <w:sz w:val="22"/>
                <w:szCs w:val="22"/>
                <w:b w:val="1"/>
                <w:bCs w:val="1"/>
                <w:color w:val="auto"/>
                <w:w w:val="98"/>
              </w:rPr>
              <w:t>ARTICLE V Affirmative Covenants</w:t>
            </w:r>
          </w:p>
        </w:tc>
        <w:tc>
          <w:tcPr>
            <w:tcW w:w="140" w:type="dxa"/>
            <w:vAlign w:val="bottom"/>
            <w:gridSpan w:val="5"/>
          </w:tcPr>
          <w:p>
            <w:pPr>
              <w:jc w:val="right"/>
              <w:spacing w:after="0"/>
              <w:rPr>
                <w:sz w:val="20"/>
                <w:szCs w:val="20"/>
                <w:color w:val="auto"/>
              </w:rPr>
            </w:pPr>
            <w:r>
              <w:rPr>
                <w:rFonts w:ascii="Arial" w:cs="Arial" w:eastAsia="Arial" w:hAnsi="Arial"/>
                <w:sz w:val="22"/>
                <w:szCs w:val="22"/>
                <w:b w:val="1"/>
                <w:bCs w:val="1"/>
                <w:color w:val="auto"/>
                <w:w w:val="97"/>
              </w:rPr>
              <w:t>1</w:t>
            </w:r>
          </w:p>
        </w:tc>
        <w:tc>
          <w:tcPr>
            <w:tcW w:w="220" w:type="dxa"/>
            <w:vAlign w:val="bottom"/>
            <w:gridSpan w:val="8"/>
          </w:tcPr>
          <w:p>
            <w:pPr>
              <w:jc w:val="right"/>
              <w:spacing w:after="0"/>
              <w:rPr>
                <w:sz w:val="20"/>
                <w:szCs w:val="20"/>
                <w:color w:val="auto"/>
              </w:rPr>
            </w:pPr>
            <w:r>
              <w:rPr>
                <w:rFonts w:ascii="Arial" w:cs="Arial" w:eastAsia="Arial" w:hAnsi="Arial"/>
                <w:sz w:val="22"/>
                <w:szCs w:val="22"/>
                <w:b w:val="1"/>
                <w:bCs w:val="1"/>
                <w:color w:val="FF0000"/>
                <w:strike w:val="1"/>
                <w:w w:val="81"/>
              </w:rPr>
              <w:t>47</w:t>
            </w:r>
          </w:p>
        </w:tc>
        <w:tc>
          <w:tcPr>
            <w:tcW w:w="220" w:type="dxa"/>
            <w:vAlign w:val="bottom"/>
            <w:tcBorders>
              <w:bottom w:val="single" w:sz="8" w:color="0000FF"/>
            </w:tcBorders>
            <w:gridSpan w:val="5"/>
          </w:tcPr>
          <w:p>
            <w:pPr>
              <w:spacing w:after="0"/>
              <w:rPr>
                <w:sz w:val="20"/>
                <w:szCs w:val="20"/>
                <w:color w:val="auto"/>
              </w:rPr>
            </w:pPr>
            <w:r>
              <w:rPr>
                <w:rFonts w:ascii="Arial" w:cs="Arial" w:eastAsia="Arial" w:hAnsi="Arial"/>
                <w:sz w:val="22"/>
                <w:szCs w:val="22"/>
                <w:b w:val="1"/>
                <w:bCs w:val="1"/>
                <w:color w:val="0000FF"/>
                <w:w w:val="81"/>
              </w:rPr>
              <w:t>35</w:t>
            </w:r>
          </w:p>
        </w:tc>
        <w:tc>
          <w:tcPr>
            <w:tcW w:w="4560" w:type="dxa"/>
            <w:vAlign w:val="bottom"/>
            <w:gridSpan w:val="6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jc w:val="center"/>
              <w:ind w:left="472"/>
              <w:spacing w:after="0" w:line="195" w:lineRule="exact"/>
              <w:rPr>
                <w:sz w:val="20"/>
                <w:szCs w:val="20"/>
                <w:color w:val="auto"/>
              </w:rPr>
            </w:pPr>
            <w:r>
              <w:rPr>
                <w:rFonts w:ascii="Arial" w:cs="Arial" w:eastAsia="Arial" w:hAnsi="Arial"/>
                <w:sz w:val="22"/>
                <w:szCs w:val="22"/>
                <w:color w:val="auto"/>
                <w:w w:val="88"/>
              </w:rPr>
              <w:t>Section 5.01</w:t>
            </w:r>
          </w:p>
        </w:tc>
        <w:tc>
          <w:tcPr>
            <w:tcW w:w="2280" w:type="dxa"/>
            <w:vAlign w:val="bottom"/>
            <w:gridSpan w:val="40"/>
          </w:tcPr>
          <w:p>
            <w:pPr>
              <w:ind w:left="100"/>
              <w:spacing w:after="0" w:line="195" w:lineRule="exact"/>
              <w:rPr>
                <w:sz w:val="20"/>
                <w:szCs w:val="20"/>
                <w:color w:val="auto"/>
              </w:rPr>
            </w:pPr>
            <w:r>
              <w:rPr>
                <w:rFonts w:ascii="Arial" w:cs="Arial" w:eastAsia="Arial" w:hAnsi="Arial"/>
                <w:sz w:val="22"/>
                <w:szCs w:val="22"/>
                <w:color w:val="auto"/>
                <w:w w:val="86"/>
              </w:rPr>
              <w:t>Financial Statements and</w:t>
            </w:r>
          </w:p>
        </w:tc>
        <w:tc>
          <w:tcPr>
            <w:tcW w:w="20" w:type="dxa"/>
            <w:vAlign w:val="bottom"/>
          </w:tcPr>
          <w:p>
            <w:pPr>
              <w:spacing w:after="0"/>
              <w:rPr>
                <w:sz w:val="17"/>
                <w:szCs w:val="17"/>
                <w:color w:val="auto"/>
              </w:rPr>
            </w:pPr>
          </w:p>
        </w:tc>
        <w:tc>
          <w:tcPr>
            <w:tcW w:w="1920" w:type="dxa"/>
            <w:vAlign w:val="bottom"/>
            <w:gridSpan w:val="44"/>
          </w:tcPr>
          <w:p>
            <w:pPr>
              <w:ind w:left="20"/>
              <w:spacing w:after="0" w:line="195" w:lineRule="exact"/>
              <w:rPr>
                <w:sz w:val="20"/>
                <w:szCs w:val="20"/>
                <w:color w:val="auto"/>
              </w:rPr>
            </w:pPr>
            <w:r>
              <w:rPr>
                <w:rFonts w:ascii="Arial" w:cs="Arial" w:eastAsia="Arial" w:hAnsi="Arial"/>
                <w:sz w:val="22"/>
                <w:szCs w:val="22"/>
                <w:color w:val="auto"/>
                <w:w w:val="96"/>
              </w:rPr>
              <w:t>Other Information  1</w:t>
            </w:r>
          </w:p>
        </w:tc>
        <w:tc>
          <w:tcPr>
            <w:tcW w:w="220" w:type="dxa"/>
            <w:vAlign w:val="bottom"/>
          </w:tcPr>
          <w:p>
            <w:pPr>
              <w:jc w:val="right"/>
              <w:spacing w:after="0" w:line="195" w:lineRule="exact"/>
              <w:rPr>
                <w:sz w:val="20"/>
                <w:szCs w:val="20"/>
                <w:color w:val="auto"/>
              </w:rPr>
            </w:pPr>
            <w:r>
              <w:rPr>
                <w:rFonts w:ascii="Arial" w:cs="Arial" w:eastAsia="Arial" w:hAnsi="Arial"/>
                <w:sz w:val="22"/>
                <w:szCs w:val="22"/>
                <w:color w:val="FF0000"/>
                <w:strike w:val="1"/>
                <w:w w:val="81"/>
              </w:rPr>
              <w:t>47</w:t>
            </w:r>
          </w:p>
        </w:tc>
        <w:tc>
          <w:tcPr>
            <w:tcW w:w="22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22"/>
                <w:szCs w:val="22"/>
                <w:color w:val="0000FF"/>
                <w:w w:val="81"/>
              </w:rPr>
              <w:t>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5.02</w:t>
            </w:r>
          </w:p>
        </w:tc>
        <w:tc>
          <w:tcPr>
            <w:tcW w:w="2540" w:type="dxa"/>
            <w:vAlign w:val="bottom"/>
            <w:gridSpan w:val="46"/>
          </w:tcPr>
          <w:p>
            <w:pPr>
              <w:ind w:left="100"/>
              <w:spacing w:after="0" w:line="223" w:lineRule="exact"/>
              <w:rPr>
                <w:sz w:val="20"/>
                <w:szCs w:val="20"/>
                <w:color w:val="auto"/>
              </w:rPr>
            </w:pPr>
            <w:r>
              <w:rPr>
                <w:rFonts w:ascii="Arial" w:cs="Arial" w:eastAsia="Arial" w:hAnsi="Arial"/>
                <w:sz w:val="22"/>
                <w:szCs w:val="22"/>
                <w:color w:val="auto"/>
                <w:w w:val="94"/>
              </w:rPr>
              <w:t>Notices of Material Events</w:t>
            </w:r>
          </w:p>
        </w:tc>
        <w:tc>
          <w:tcPr>
            <w:tcW w:w="300" w:type="dxa"/>
            <w:vAlign w:val="bottom"/>
            <w:gridSpan w:val="6"/>
          </w:tcPr>
          <w:p>
            <w:pPr>
              <w:jc w:val="right"/>
              <w:spacing w:after="0" w:line="223" w:lineRule="exact"/>
              <w:rPr>
                <w:sz w:val="20"/>
                <w:szCs w:val="20"/>
                <w:color w:val="auto"/>
              </w:rPr>
            </w:pPr>
            <w:r>
              <w:rPr>
                <w:rFonts w:ascii="Arial" w:cs="Arial" w:eastAsia="Arial" w:hAnsi="Arial"/>
                <w:sz w:val="22"/>
                <w:szCs w:val="22"/>
                <w:color w:val="auto"/>
              </w:rPr>
              <w:t>13</w:t>
            </w:r>
          </w:p>
        </w:tc>
        <w:tc>
          <w:tcPr>
            <w:tcW w:w="120" w:type="dxa"/>
            <w:vAlign w:val="bottom"/>
            <w:gridSpan w:val="4"/>
          </w:tcPr>
          <w:p>
            <w:pPr>
              <w:jc w:val="right"/>
              <w:spacing w:after="0" w:line="223" w:lineRule="exact"/>
              <w:rPr>
                <w:sz w:val="20"/>
                <w:szCs w:val="20"/>
                <w:color w:val="auto"/>
              </w:rPr>
            </w:pPr>
            <w:r>
              <w:rPr>
                <w:rFonts w:ascii="Arial" w:cs="Arial" w:eastAsia="Arial" w:hAnsi="Arial"/>
                <w:sz w:val="22"/>
                <w:szCs w:val="22"/>
                <w:color w:val="FF0000"/>
                <w:strike w:val="1"/>
                <w:w w:val="81"/>
              </w:rPr>
              <w:t>1</w:t>
            </w:r>
          </w:p>
        </w:tc>
        <w:tc>
          <w:tcPr>
            <w:tcW w:w="100" w:type="dxa"/>
            <w:vAlign w:val="bottom"/>
            <w:tcBorders>
              <w:bottom w:val="single" w:sz="8" w:color="0000FF"/>
            </w:tcBorders>
            <w:gridSpan w:val="4"/>
          </w:tcPr>
          <w:p>
            <w:pPr>
              <w:spacing w:after="0"/>
              <w:rPr>
                <w:sz w:val="20"/>
                <w:szCs w:val="20"/>
                <w:color w:val="auto"/>
              </w:rPr>
            </w:pPr>
            <w:r>
              <w:rPr>
                <w:rFonts w:ascii="Arial" w:cs="Arial" w:eastAsia="Arial" w:hAnsi="Arial"/>
                <w:sz w:val="19"/>
                <w:szCs w:val="19"/>
                <w:color w:val="0000FF"/>
                <w:w w:val="75"/>
              </w:rPr>
              <w:t>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5.03</w:t>
            </w:r>
          </w:p>
        </w:tc>
        <w:tc>
          <w:tcPr>
            <w:tcW w:w="2960" w:type="dxa"/>
            <w:vAlign w:val="bottom"/>
            <w:gridSpan w:val="56"/>
          </w:tcPr>
          <w:p>
            <w:pPr>
              <w:ind w:left="100"/>
              <w:spacing w:after="0" w:line="209" w:lineRule="exact"/>
              <w:rPr>
                <w:sz w:val="20"/>
                <w:szCs w:val="20"/>
                <w:color w:val="auto"/>
              </w:rPr>
            </w:pPr>
            <w:r>
              <w:rPr>
                <w:rFonts w:ascii="Arial" w:cs="Arial" w:eastAsia="Arial" w:hAnsi="Arial"/>
                <w:sz w:val="22"/>
                <w:szCs w:val="22"/>
                <w:color w:val="auto"/>
                <w:w w:val="91"/>
              </w:rPr>
              <w:t>Existence; Conduct of Business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8"/>
          </w:tcPr>
          <w:p>
            <w:pPr>
              <w:jc w:val="right"/>
              <w:spacing w:after="0" w:line="209" w:lineRule="exact"/>
              <w:rPr>
                <w:sz w:val="20"/>
                <w:szCs w:val="20"/>
                <w:color w:val="auto"/>
              </w:rPr>
            </w:pPr>
            <w:r>
              <w:rPr>
                <w:rFonts w:ascii="Arial" w:cs="Arial" w:eastAsia="Arial" w:hAnsi="Arial"/>
                <w:sz w:val="22"/>
                <w:szCs w:val="22"/>
                <w:color w:val="auto"/>
                <w:w w:val="73"/>
              </w:rPr>
              <w:t>13</w:t>
            </w:r>
          </w:p>
        </w:tc>
        <w:tc>
          <w:tcPr>
            <w:tcW w:w="120" w:type="dxa"/>
            <w:vAlign w:val="bottom"/>
            <w:gridSpan w:val="3"/>
          </w:tcPr>
          <w:p>
            <w:pPr>
              <w:jc w:val="right"/>
              <w:spacing w:after="0" w:line="209" w:lineRule="exact"/>
              <w:rPr>
                <w:sz w:val="20"/>
                <w:szCs w:val="20"/>
                <w:color w:val="auto"/>
              </w:rPr>
            </w:pPr>
            <w:r>
              <w:rPr>
                <w:rFonts w:ascii="Arial" w:cs="Arial" w:eastAsia="Arial" w:hAnsi="Arial"/>
                <w:sz w:val="22"/>
                <w:szCs w:val="22"/>
                <w:color w:val="FF0000"/>
                <w:strike w:val="1"/>
                <w:w w:val="81"/>
              </w:rPr>
              <w:t>2</w:t>
            </w:r>
          </w:p>
        </w:tc>
        <w:tc>
          <w:tcPr>
            <w:tcW w:w="100" w:type="dxa"/>
            <w:vAlign w:val="bottom"/>
            <w:tcBorders>
              <w:bottom w:val="single" w:sz="8" w:color="0000FF"/>
            </w:tcBorders>
          </w:tcPr>
          <w:p>
            <w:pPr>
              <w:spacing w:after="0" w:line="210" w:lineRule="exact"/>
              <w:rPr>
                <w:sz w:val="20"/>
                <w:szCs w:val="20"/>
                <w:color w:val="auto"/>
              </w:rPr>
            </w:pPr>
            <w:r>
              <w:rPr>
                <w:rFonts w:ascii="Arial" w:cs="Arial" w:eastAsia="Arial" w:hAnsi="Arial"/>
                <w:sz w:val="19"/>
                <w:szCs w:val="19"/>
                <w:color w:val="0000FF"/>
                <w:w w:val="75"/>
              </w:rPr>
              <w:t>9</w:t>
            </w:r>
          </w:p>
        </w:tc>
        <w:tc>
          <w:tcPr>
            <w:tcW w:w="60" w:type="dxa"/>
            <w:vAlign w:val="bottom"/>
          </w:tcPr>
          <w:p>
            <w:pPr>
              <w:spacing w:after="0"/>
              <w:rPr>
                <w:sz w:val="18"/>
                <w:szCs w:val="18"/>
                <w:color w:val="auto"/>
              </w:rPr>
            </w:pPr>
          </w:p>
        </w:tc>
        <w:tc>
          <w:tcPr>
            <w:tcW w:w="220" w:type="dxa"/>
            <w:vAlign w:val="bottom"/>
            <w:gridSpan w:val="4"/>
          </w:tcPr>
          <w:p>
            <w:pPr>
              <w:spacing w:after="0"/>
              <w:rPr>
                <w:sz w:val="18"/>
                <w:szCs w:val="18"/>
                <w:color w:val="auto"/>
              </w:rPr>
            </w:pPr>
          </w:p>
        </w:tc>
        <w:tc>
          <w:tcPr>
            <w:tcW w:w="18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58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5.04</w:t>
            </w:r>
          </w:p>
        </w:tc>
        <w:tc>
          <w:tcPr>
            <w:tcW w:w="1860" w:type="dxa"/>
            <w:vAlign w:val="bottom"/>
            <w:gridSpan w:val="28"/>
          </w:tcPr>
          <w:p>
            <w:pPr>
              <w:ind w:left="100"/>
              <w:spacing w:after="0" w:line="223" w:lineRule="exact"/>
              <w:rPr>
                <w:sz w:val="20"/>
                <w:szCs w:val="20"/>
                <w:color w:val="auto"/>
              </w:rPr>
            </w:pPr>
            <w:r>
              <w:rPr>
                <w:rFonts w:ascii="Arial" w:cs="Arial" w:eastAsia="Arial" w:hAnsi="Arial"/>
                <w:sz w:val="22"/>
                <w:szCs w:val="22"/>
                <w:color w:val="auto"/>
                <w:w w:val="89"/>
              </w:rPr>
              <w:t>Payment of Taxes</w:t>
            </w:r>
          </w:p>
        </w:tc>
        <w:tc>
          <w:tcPr>
            <w:tcW w:w="200" w:type="dxa"/>
            <w:vAlign w:val="bottom"/>
            <w:gridSpan w:val="7"/>
          </w:tcPr>
          <w:p>
            <w:pPr>
              <w:jc w:val="right"/>
              <w:spacing w:after="0" w:line="223" w:lineRule="exact"/>
              <w:rPr>
                <w:sz w:val="20"/>
                <w:szCs w:val="20"/>
                <w:color w:val="auto"/>
              </w:rPr>
            </w:pPr>
            <w:r>
              <w:rPr>
                <w:rFonts w:ascii="Arial" w:cs="Arial" w:eastAsia="Arial" w:hAnsi="Arial"/>
                <w:sz w:val="22"/>
                <w:szCs w:val="22"/>
                <w:color w:val="auto"/>
                <w:w w:val="73"/>
              </w:rPr>
              <w:t>14</w:t>
            </w:r>
          </w:p>
        </w:tc>
        <w:tc>
          <w:tcPr>
            <w:tcW w:w="120" w:type="dxa"/>
            <w:vAlign w:val="bottom"/>
            <w:gridSpan w:val="3"/>
          </w:tcPr>
          <w:p>
            <w:pPr>
              <w:spacing w:after="0" w:line="223" w:lineRule="exact"/>
              <w:rPr>
                <w:sz w:val="20"/>
                <w:szCs w:val="20"/>
                <w:color w:val="auto"/>
              </w:rPr>
            </w:pPr>
            <w:r>
              <w:rPr>
                <w:rFonts w:ascii="Arial" w:cs="Arial" w:eastAsia="Arial" w:hAnsi="Arial"/>
                <w:sz w:val="22"/>
                <w:szCs w:val="22"/>
                <w:color w:val="FF0000"/>
                <w:strike w:val="1"/>
                <w:w w:val="81"/>
              </w:rPr>
              <w:t>2</w:t>
            </w:r>
          </w:p>
        </w:tc>
        <w:tc>
          <w:tcPr>
            <w:tcW w:w="120" w:type="dxa"/>
            <w:vAlign w:val="bottom"/>
            <w:tcBorders>
              <w:bottom w:val="single" w:sz="8" w:color="0000FF"/>
            </w:tcBorders>
            <w:gridSpan w:val="3"/>
          </w:tcPr>
          <w:p>
            <w:pPr>
              <w:jc w:val="right"/>
              <w:spacing w:after="0"/>
              <w:rPr>
                <w:sz w:val="20"/>
                <w:szCs w:val="20"/>
                <w:color w:val="auto"/>
              </w:rPr>
            </w:pPr>
            <w:r>
              <w:rPr>
                <w:rFonts w:ascii="Arial" w:cs="Arial" w:eastAsia="Arial" w:hAnsi="Arial"/>
                <w:sz w:val="19"/>
                <w:szCs w:val="19"/>
                <w:color w:val="0000FF"/>
                <w:w w:val="75"/>
              </w:rPr>
              <w:t>0</w:t>
            </w:r>
          </w:p>
        </w:tc>
        <w:tc>
          <w:tcPr>
            <w:tcW w:w="4540" w:type="dxa"/>
            <w:vAlign w:val="bottom"/>
            <w:gridSpan w:val="5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5.05</w:t>
            </w:r>
          </w:p>
        </w:tc>
        <w:tc>
          <w:tcPr>
            <w:tcW w:w="2540" w:type="dxa"/>
            <w:vAlign w:val="bottom"/>
            <w:gridSpan w:val="46"/>
          </w:tcPr>
          <w:p>
            <w:pPr>
              <w:ind w:left="100"/>
              <w:spacing w:after="0" w:line="223" w:lineRule="exact"/>
              <w:rPr>
                <w:sz w:val="20"/>
                <w:szCs w:val="20"/>
                <w:color w:val="auto"/>
              </w:rPr>
            </w:pPr>
            <w:r>
              <w:rPr>
                <w:rFonts w:ascii="Arial" w:cs="Arial" w:eastAsia="Arial" w:hAnsi="Arial"/>
                <w:sz w:val="22"/>
                <w:szCs w:val="22"/>
                <w:color w:val="auto"/>
                <w:w w:val="94"/>
              </w:rPr>
              <w:t>Maintenance of Properties</w:t>
            </w:r>
          </w:p>
        </w:tc>
        <w:tc>
          <w:tcPr>
            <w:tcW w:w="260" w:type="dxa"/>
            <w:vAlign w:val="bottom"/>
            <w:gridSpan w:val="5"/>
          </w:tcPr>
          <w:p>
            <w:pPr>
              <w:jc w:val="right"/>
              <w:spacing w:after="0" w:line="223" w:lineRule="exact"/>
              <w:rPr>
                <w:sz w:val="20"/>
                <w:szCs w:val="20"/>
                <w:color w:val="auto"/>
              </w:rPr>
            </w:pPr>
            <w:r>
              <w:rPr>
                <w:rFonts w:ascii="Arial" w:cs="Arial" w:eastAsia="Arial" w:hAnsi="Arial"/>
                <w:sz w:val="22"/>
                <w:szCs w:val="22"/>
                <w:color w:val="auto"/>
                <w:w w:val="97"/>
              </w:rPr>
              <w:t>14</w:t>
            </w:r>
          </w:p>
        </w:tc>
        <w:tc>
          <w:tcPr>
            <w:tcW w:w="120" w:type="dxa"/>
            <w:vAlign w:val="bottom"/>
            <w:gridSpan w:val="3"/>
          </w:tcPr>
          <w:p>
            <w:pPr>
              <w:jc w:val="right"/>
              <w:spacing w:after="0" w:line="223" w:lineRule="exact"/>
              <w:rPr>
                <w:sz w:val="20"/>
                <w:szCs w:val="20"/>
                <w:color w:val="auto"/>
              </w:rPr>
            </w:pPr>
            <w:r>
              <w:rPr>
                <w:rFonts w:ascii="Arial" w:cs="Arial" w:eastAsia="Arial" w:hAnsi="Arial"/>
                <w:sz w:val="22"/>
                <w:szCs w:val="22"/>
                <w:color w:val="FF0000"/>
                <w:strike w:val="1"/>
                <w:w w:val="81"/>
              </w:rPr>
              <w:t>2</w:t>
            </w:r>
          </w:p>
        </w:tc>
        <w:tc>
          <w:tcPr>
            <w:tcW w:w="100" w:type="dxa"/>
            <w:vAlign w:val="bottom"/>
            <w:tcBorders>
              <w:bottom w:val="single" w:sz="8" w:color="0000FF"/>
            </w:tcBorders>
            <w:gridSpan w:val="5"/>
          </w:tcPr>
          <w:p>
            <w:pPr>
              <w:jc w:val="right"/>
              <w:spacing w:after="0"/>
              <w:rPr>
                <w:sz w:val="20"/>
                <w:szCs w:val="20"/>
                <w:color w:val="auto"/>
              </w:rPr>
            </w:pPr>
            <w:r>
              <w:rPr>
                <w:rFonts w:ascii="Arial" w:cs="Arial" w:eastAsia="Arial" w:hAnsi="Arial"/>
                <w:sz w:val="19"/>
                <w:szCs w:val="19"/>
                <w:color w:val="0000FF"/>
                <w:w w:val="75"/>
              </w:rPr>
              <w:t>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5.06</w:t>
            </w:r>
          </w:p>
        </w:tc>
        <w:tc>
          <w:tcPr>
            <w:tcW w:w="1120" w:type="dxa"/>
            <w:vAlign w:val="bottom"/>
            <w:gridSpan w:val="6"/>
          </w:tcPr>
          <w:p>
            <w:pPr>
              <w:ind w:left="100"/>
              <w:spacing w:after="0" w:line="209" w:lineRule="exact"/>
              <w:rPr>
                <w:sz w:val="20"/>
                <w:szCs w:val="20"/>
                <w:color w:val="auto"/>
              </w:rPr>
            </w:pPr>
            <w:r>
              <w:rPr>
                <w:rFonts w:ascii="Arial" w:cs="Arial" w:eastAsia="Arial" w:hAnsi="Arial"/>
                <w:sz w:val="22"/>
                <w:szCs w:val="22"/>
                <w:color w:val="auto"/>
              </w:rPr>
              <w:t>Insurance</w:t>
            </w:r>
          </w:p>
        </w:tc>
        <w:tc>
          <w:tcPr>
            <w:tcW w:w="240" w:type="dxa"/>
            <w:vAlign w:val="bottom"/>
            <w:gridSpan w:val="8"/>
          </w:tcPr>
          <w:p>
            <w:pPr>
              <w:jc w:val="right"/>
              <w:spacing w:after="0" w:line="209" w:lineRule="exact"/>
              <w:rPr>
                <w:sz w:val="20"/>
                <w:szCs w:val="20"/>
                <w:color w:val="auto"/>
              </w:rPr>
            </w:pPr>
            <w:r>
              <w:rPr>
                <w:rFonts w:ascii="Arial" w:cs="Arial" w:eastAsia="Arial" w:hAnsi="Arial"/>
                <w:sz w:val="22"/>
                <w:szCs w:val="22"/>
                <w:color w:val="auto"/>
                <w:w w:val="89"/>
              </w:rPr>
              <w:t>14</w:t>
            </w:r>
          </w:p>
        </w:tc>
        <w:tc>
          <w:tcPr>
            <w:tcW w:w="120" w:type="dxa"/>
            <w:vAlign w:val="bottom"/>
            <w:gridSpan w:val="2"/>
          </w:tcPr>
          <w:p>
            <w:pPr>
              <w:jc w:val="right"/>
              <w:spacing w:after="0" w:line="209" w:lineRule="exact"/>
              <w:rPr>
                <w:sz w:val="20"/>
                <w:szCs w:val="20"/>
                <w:color w:val="auto"/>
              </w:rPr>
            </w:pPr>
            <w:r>
              <w:rPr>
                <w:rFonts w:ascii="Arial" w:cs="Arial" w:eastAsia="Arial" w:hAnsi="Arial"/>
                <w:sz w:val="22"/>
                <w:szCs w:val="22"/>
                <w:color w:val="FF0000"/>
                <w:strike w:val="1"/>
                <w:w w:val="81"/>
              </w:rPr>
              <w:t>2</w:t>
            </w:r>
          </w:p>
        </w:tc>
        <w:tc>
          <w:tcPr>
            <w:tcW w:w="100" w:type="dxa"/>
            <w:vAlign w:val="bottom"/>
            <w:tcBorders>
              <w:bottom w:val="single" w:sz="8" w:color="0000FF"/>
            </w:tcBorders>
            <w:gridSpan w:val="2"/>
          </w:tcPr>
          <w:p>
            <w:pPr>
              <w:spacing w:after="0" w:line="210" w:lineRule="exact"/>
              <w:rPr>
                <w:sz w:val="20"/>
                <w:szCs w:val="20"/>
                <w:color w:val="auto"/>
              </w:rPr>
            </w:pPr>
            <w:r>
              <w:rPr>
                <w:rFonts w:ascii="Arial" w:cs="Arial" w:eastAsia="Arial" w:hAnsi="Arial"/>
                <w:sz w:val="19"/>
                <w:szCs w:val="19"/>
                <w:color w:val="0000FF"/>
                <w:w w:val="75"/>
              </w:rPr>
              <w:t>0</w:t>
            </w:r>
          </w:p>
        </w:tc>
        <w:tc>
          <w:tcPr>
            <w:tcW w:w="5260" w:type="dxa"/>
            <w:vAlign w:val="bottom"/>
            <w:gridSpan w:val="8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5.07</w:t>
            </w:r>
          </w:p>
        </w:tc>
        <w:tc>
          <w:tcPr>
            <w:tcW w:w="4740" w:type="dxa"/>
            <w:vAlign w:val="bottom"/>
            <w:gridSpan w:val="88"/>
          </w:tcPr>
          <w:p>
            <w:pPr>
              <w:ind w:left="100"/>
              <w:spacing w:after="0" w:line="223" w:lineRule="exact"/>
              <w:rPr>
                <w:sz w:val="20"/>
                <w:szCs w:val="20"/>
                <w:color w:val="auto"/>
              </w:rPr>
            </w:pPr>
            <w:r>
              <w:rPr>
                <w:rFonts w:ascii="Arial" w:cs="Arial" w:eastAsia="Arial" w:hAnsi="Arial"/>
                <w:sz w:val="22"/>
                <w:szCs w:val="22"/>
                <w:color w:val="auto"/>
                <w:w w:val="90"/>
              </w:rPr>
              <w:t>Books and Records; Inspection and Audit Rights  14</w:t>
            </w:r>
          </w:p>
        </w:tc>
        <w:tc>
          <w:tcPr>
            <w:tcW w:w="100" w:type="dxa"/>
            <w:vAlign w:val="bottom"/>
          </w:tcPr>
          <w:p>
            <w:pPr>
              <w:jc w:val="right"/>
              <w:spacing w:after="0"/>
              <w:rPr>
                <w:sz w:val="20"/>
                <w:szCs w:val="20"/>
                <w:color w:val="auto"/>
              </w:rPr>
            </w:pPr>
            <w:r>
              <w:rPr>
                <w:rFonts w:ascii="Arial" w:cs="Arial" w:eastAsia="Arial" w:hAnsi="Arial"/>
                <w:sz w:val="19"/>
                <w:szCs w:val="19"/>
                <w:color w:val="FF0000"/>
                <w:strike w:val="1"/>
                <w:w w:val="75"/>
              </w:rPr>
              <w:t>3</w:t>
            </w:r>
          </w:p>
        </w:tc>
        <w:tc>
          <w:tcPr>
            <w:tcW w:w="1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color w:val="0000FF"/>
                <w:w w:val="81"/>
              </w:rPr>
              <w:t>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5.08</w:t>
            </w:r>
          </w:p>
        </w:tc>
        <w:tc>
          <w:tcPr>
            <w:tcW w:w="2220" w:type="dxa"/>
            <w:vAlign w:val="bottom"/>
            <w:gridSpan w:val="39"/>
          </w:tcPr>
          <w:p>
            <w:pPr>
              <w:ind w:left="100"/>
              <w:spacing w:after="0" w:line="223" w:lineRule="exact"/>
              <w:rPr>
                <w:sz w:val="20"/>
                <w:szCs w:val="20"/>
                <w:color w:val="auto"/>
              </w:rPr>
            </w:pPr>
            <w:r>
              <w:rPr>
                <w:rFonts w:ascii="Arial" w:cs="Arial" w:eastAsia="Arial" w:hAnsi="Arial"/>
                <w:sz w:val="22"/>
                <w:szCs w:val="22"/>
                <w:color w:val="auto"/>
                <w:w w:val="95"/>
              </w:rPr>
              <w:t>Compliance with Laws</w:t>
            </w:r>
          </w:p>
        </w:tc>
        <w:tc>
          <w:tcPr>
            <w:tcW w:w="320" w:type="dxa"/>
            <w:vAlign w:val="bottom"/>
            <w:gridSpan w:val="7"/>
          </w:tcPr>
          <w:p>
            <w:pPr>
              <w:ind w:left="100"/>
              <w:spacing w:after="0" w:line="223" w:lineRule="exact"/>
              <w:rPr>
                <w:sz w:val="20"/>
                <w:szCs w:val="20"/>
                <w:color w:val="auto"/>
              </w:rPr>
            </w:pPr>
            <w:r>
              <w:rPr>
                <w:rFonts w:ascii="Arial" w:cs="Arial" w:eastAsia="Arial" w:hAnsi="Arial"/>
                <w:sz w:val="22"/>
                <w:szCs w:val="22"/>
                <w:color w:val="auto"/>
                <w:w w:val="81"/>
              </w:rPr>
              <w:t>14</w:t>
            </w:r>
          </w:p>
        </w:tc>
        <w:tc>
          <w:tcPr>
            <w:tcW w:w="140" w:type="dxa"/>
            <w:vAlign w:val="bottom"/>
            <w:gridSpan w:val="2"/>
          </w:tcPr>
          <w:p>
            <w:pPr>
              <w:jc w:val="center"/>
              <w:spacing w:after="0" w:line="223" w:lineRule="exact"/>
              <w:rPr>
                <w:sz w:val="20"/>
                <w:szCs w:val="20"/>
                <w:color w:val="auto"/>
              </w:rPr>
            </w:pPr>
            <w:r>
              <w:rPr>
                <w:rFonts w:ascii="Arial" w:cs="Arial" w:eastAsia="Arial" w:hAnsi="Arial"/>
                <w:sz w:val="22"/>
                <w:szCs w:val="22"/>
                <w:color w:val="FF0000"/>
                <w:strike w:val="1"/>
                <w:w w:val="81"/>
              </w:rPr>
              <w:t>3</w:t>
            </w:r>
          </w:p>
        </w:tc>
        <w:tc>
          <w:tcPr>
            <w:tcW w:w="4160" w:type="dxa"/>
            <w:vAlign w:val="bottom"/>
            <w:gridSpan w:val="52"/>
          </w:tcPr>
          <w:p>
            <w:pPr>
              <w:jc w:val="right"/>
              <w:ind w:right="4100"/>
              <w:spacing w:after="0"/>
              <w:rPr>
                <w:sz w:val="20"/>
                <w:szCs w:val="20"/>
                <w:color w:val="auto"/>
              </w:rPr>
            </w:pPr>
            <w:r>
              <w:rPr>
                <w:rFonts w:ascii="Arial" w:cs="Arial" w:eastAsia="Arial" w:hAnsi="Arial"/>
                <w:sz w:val="10"/>
                <w:szCs w:val="10"/>
                <w:color w:val="0000FF"/>
                <w:w w:val="71"/>
              </w:rPr>
              <w:t>1</w:t>
            </w: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5.09</w:t>
            </w:r>
          </w:p>
        </w:tc>
        <w:tc>
          <w:tcPr>
            <w:tcW w:w="1700" w:type="dxa"/>
            <w:vAlign w:val="bottom"/>
            <w:gridSpan w:val="22"/>
          </w:tcPr>
          <w:p>
            <w:pPr>
              <w:ind w:left="100"/>
              <w:spacing w:after="0" w:line="209" w:lineRule="exact"/>
              <w:rPr>
                <w:sz w:val="20"/>
                <w:szCs w:val="20"/>
                <w:color w:val="auto"/>
              </w:rPr>
            </w:pPr>
            <w:r>
              <w:rPr>
                <w:rFonts w:ascii="Arial" w:cs="Arial" w:eastAsia="Arial" w:hAnsi="Arial"/>
                <w:sz w:val="22"/>
                <w:szCs w:val="22"/>
                <w:color w:val="auto"/>
                <w:w w:val="97"/>
              </w:rPr>
              <w:t>Use of Proceeds</w:t>
            </w:r>
          </w:p>
        </w:tc>
        <w:tc>
          <w:tcPr>
            <w:tcW w:w="240" w:type="dxa"/>
            <w:vAlign w:val="bottom"/>
            <w:gridSpan w:val="8"/>
          </w:tcPr>
          <w:p>
            <w:pPr>
              <w:jc w:val="center"/>
              <w:spacing w:after="0" w:line="209" w:lineRule="exact"/>
              <w:rPr>
                <w:sz w:val="20"/>
                <w:szCs w:val="20"/>
                <w:color w:val="auto"/>
              </w:rPr>
            </w:pPr>
            <w:r>
              <w:rPr>
                <w:rFonts w:ascii="Arial" w:cs="Arial" w:eastAsia="Arial" w:hAnsi="Arial"/>
                <w:sz w:val="22"/>
                <w:szCs w:val="22"/>
                <w:color w:val="auto"/>
                <w:w w:val="89"/>
              </w:rPr>
              <w:t>14</w:t>
            </w:r>
          </w:p>
        </w:tc>
        <w:tc>
          <w:tcPr>
            <w:tcW w:w="100" w:type="dxa"/>
            <w:vAlign w:val="bottom"/>
            <w:gridSpan w:val="4"/>
          </w:tcPr>
          <w:p>
            <w:pPr>
              <w:spacing w:after="0" w:line="210" w:lineRule="exact"/>
              <w:rPr>
                <w:sz w:val="20"/>
                <w:szCs w:val="20"/>
                <w:color w:val="auto"/>
              </w:rPr>
            </w:pPr>
            <w:r>
              <w:rPr>
                <w:rFonts w:ascii="Arial" w:cs="Arial" w:eastAsia="Arial" w:hAnsi="Arial"/>
                <w:sz w:val="19"/>
                <w:szCs w:val="19"/>
                <w:color w:val="FF0000"/>
                <w:strike w:val="1"/>
                <w:w w:val="75"/>
              </w:rPr>
              <w:t>4</w:t>
            </w:r>
          </w:p>
        </w:tc>
        <w:tc>
          <w:tcPr>
            <w:tcW w:w="100" w:type="dxa"/>
            <w:vAlign w:val="bottom"/>
            <w:tcBorders>
              <w:bottom w:val="single" w:sz="8" w:color="0000FF"/>
            </w:tcBorders>
            <w:gridSpan w:val="3"/>
          </w:tcPr>
          <w:p>
            <w:pPr>
              <w:spacing w:after="0" w:line="210" w:lineRule="exact"/>
              <w:rPr>
                <w:sz w:val="20"/>
                <w:szCs w:val="20"/>
                <w:color w:val="auto"/>
              </w:rPr>
            </w:pPr>
            <w:r>
              <w:rPr>
                <w:rFonts w:ascii="Arial" w:cs="Arial" w:eastAsia="Arial" w:hAnsi="Arial"/>
                <w:sz w:val="19"/>
                <w:szCs w:val="19"/>
                <w:color w:val="0000FF"/>
                <w:w w:val="75"/>
              </w:rPr>
              <w:t>1</w:t>
            </w:r>
          </w:p>
        </w:tc>
        <w:tc>
          <w:tcPr>
            <w:tcW w:w="4700" w:type="dxa"/>
            <w:vAlign w:val="bottom"/>
            <w:gridSpan w:val="6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5.10</w:t>
            </w:r>
          </w:p>
        </w:tc>
        <w:tc>
          <w:tcPr>
            <w:tcW w:w="6220" w:type="dxa"/>
            <w:vAlign w:val="bottom"/>
            <w:gridSpan w:val="94"/>
          </w:tcPr>
          <w:p>
            <w:pPr>
              <w:ind w:left="100"/>
              <w:spacing w:after="0" w:line="223" w:lineRule="exact"/>
              <w:rPr>
                <w:sz w:val="20"/>
                <w:szCs w:val="20"/>
                <w:color w:val="auto"/>
              </w:rPr>
            </w:pPr>
            <w:r>
              <w:rPr>
                <w:rFonts w:ascii="Arial" w:cs="Arial" w:eastAsia="Arial" w:hAnsi="Arial"/>
                <w:sz w:val="22"/>
                <w:szCs w:val="22"/>
                <w:color w:val="auto"/>
                <w:w w:val="89"/>
              </w:rPr>
              <w:t>Execution of Guaranty and Security Documents after the Closing Date</w:t>
            </w:r>
          </w:p>
        </w:tc>
        <w:tc>
          <w:tcPr>
            <w:tcW w:w="400" w:type="dxa"/>
            <w:vAlign w:val="bottom"/>
            <w:gridSpan w:val="3"/>
          </w:tcPr>
          <w:p>
            <w:pPr>
              <w:jc w:val="right"/>
              <w:spacing w:after="0" w:line="223" w:lineRule="exact"/>
              <w:rPr>
                <w:sz w:val="20"/>
                <w:szCs w:val="20"/>
                <w:color w:val="auto"/>
              </w:rPr>
            </w:pPr>
            <w:r>
              <w:rPr>
                <w:rFonts w:ascii="Arial" w:cs="Arial" w:eastAsia="Arial" w:hAnsi="Arial"/>
                <w:sz w:val="22"/>
                <w:szCs w:val="22"/>
                <w:color w:val="auto"/>
              </w:rPr>
              <w:t>14</w:t>
            </w:r>
          </w:p>
        </w:tc>
        <w:tc>
          <w:tcPr>
            <w:tcW w:w="120" w:type="dxa"/>
            <w:vAlign w:val="bottom"/>
          </w:tcPr>
          <w:p>
            <w:pPr>
              <w:jc w:val="right"/>
              <w:spacing w:after="0" w:line="223" w:lineRule="exact"/>
              <w:rPr>
                <w:sz w:val="20"/>
                <w:szCs w:val="20"/>
                <w:color w:val="auto"/>
              </w:rPr>
            </w:pPr>
            <w:r>
              <w:rPr>
                <w:rFonts w:ascii="Arial" w:cs="Arial" w:eastAsia="Arial" w:hAnsi="Arial"/>
                <w:sz w:val="22"/>
                <w:szCs w:val="22"/>
                <w:color w:val="FF0000"/>
                <w:strike w:val="1"/>
                <w:w w:val="81"/>
              </w:rPr>
              <w:t>4</w:t>
            </w:r>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19"/>
                <w:szCs w:val="19"/>
                <w:color w:val="0000FF"/>
                <w:w w:val="75"/>
              </w:rPr>
              <w:t>2</w:t>
            </w:r>
          </w:p>
        </w:tc>
        <w:tc>
          <w:tcPr>
            <w:tcW w:w="0" w:type="dxa"/>
            <w:vAlign w:val="bottom"/>
          </w:tcPr>
          <w:p>
            <w:pPr>
              <w:spacing w:after="0"/>
              <w:rPr>
                <w:sz w:val="1"/>
                <w:szCs w:val="1"/>
                <w:color w:val="auto"/>
              </w:rPr>
            </w:pPr>
          </w:p>
        </w:tc>
      </w:tr>
      <w:tr>
        <w:trPr>
          <w:trHeight w:val="223"/>
        </w:trPr>
        <w:tc>
          <w:tcPr>
            <w:tcW w:w="1820" w:type="dxa"/>
            <w:vAlign w:val="bottom"/>
          </w:tcPr>
          <w:p>
            <w:pPr>
              <w:jc w:val="center"/>
              <w:ind w:left="452"/>
              <w:spacing w:after="0" w:line="223" w:lineRule="exact"/>
              <w:rPr>
                <w:sz w:val="20"/>
                <w:szCs w:val="20"/>
                <w:color w:val="auto"/>
              </w:rPr>
            </w:pPr>
            <w:r>
              <w:rPr>
                <w:rFonts w:ascii="Arial" w:cs="Arial" w:eastAsia="Arial" w:hAnsi="Arial"/>
                <w:sz w:val="22"/>
                <w:szCs w:val="22"/>
                <w:color w:val="auto"/>
                <w:w w:val="86"/>
              </w:rPr>
              <w:t>Section 5.11</w:t>
            </w:r>
          </w:p>
        </w:tc>
        <w:tc>
          <w:tcPr>
            <w:tcW w:w="1860" w:type="dxa"/>
            <w:vAlign w:val="bottom"/>
            <w:gridSpan w:val="28"/>
          </w:tcPr>
          <w:p>
            <w:pPr>
              <w:ind w:left="80"/>
              <w:spacing w:after="0" w:line="223" w:lineRule="exact"/>
              <w:rPr>
                <w:sz w:val="20"/>
                <w:szCs w:val="20"/>
                <w:color w:val="auto"/>
              </w:rPr>
            </w:pPr>
            <w:r>
              <w:rPr>
                <w:rFonts w:ascii="Arial" w:cs="Arial" w:eastAsia="Arial" w:hAnsi="Arial"/>
                <w:sz w:val="22"/>
                <w:szCs w:val="22"/>
                <w:color w:val="auto"/>
                <w:w w:val="91"/>
              </w:rPr>
              <w:t>Further Assurances</w:t>
            </w:r>
          </w:p>
        </w:tc>
        <w:tc>
          <w:tcPr>
            <w:tcW w:w="220" w:type="dxa"/>
            <w:vAlign w:val="bottom"/>
            <w:gridSpan w:val="8"/>
          </w:tcPr>
          <w:p>
            <w:pPr>
              <w:ind w:left="100"/>
              <w:spacing w:after="0" w:line="223" w:lineRule="exact"/>
              <w:rPr>
                <w:sz w:val="20"/>
                <w:szCs w:val="20"/>
                <w:color w:val="auto"/>
              </w:rPr>
            </w:pPr>
            <w:r>
              <w:rPr>
                <w:rFonts w:ascii="Arial" w:cs="Arial" w:eastAsia="Arial" w:hAnsi="Arial"/>
                <w:sz w:val="22"/>
                <w:szCs w:val="22"/>
                <w:color w:val="auto"/>
                <w:w w:val="81"/>
              </w:rPr>
              <w:t>1</w:t>
            </w:r>
          </w:p>
        </w:tc>
        <w:tc>
          <w:tcPr>
            <w:tcW w:w="220" w:type="dxa"/>
            <w:vAlign w:val="bottom"/>
            <w:gridSpan w:val="5"/>
          </w:tcPr>
          <w:p>
            <w:pPr>
              <w:jc w:val="right"/>
              <w:spacing w:after="0" w:line="223" w:lineRule="exact"/>
              <w:rPr>
                <w:sz w:val="20"/>
                <w:szCs w:val="20"/>
                <w:color w:val="auto"/>
              </w:rPr>
            </w:pPr>
            <w:r>
              <w:rPr>
                <w:rFonts w:ascii="Arial" w:cs="Arial" w:eastAsia="Arial" w:hAnsi="Arial"/>
                <w:sz w:val="22"/>
                <w:szCs w:val="22"/>
                <w:color w:val="FF0000"/>
                <w:strike w:val="1"/>
                <w:w w:val="73"/>
              </w:rPr>
              <w:t>57</w:t>
            </w:r>
          </w:p>
        </w:tc>
        <w:tc>
          <w:tcPr>
            <w:tcW w:w="200" w:type="dxa"/>
            <w:vAlign w:val="bottom"/>
            <w:tcBorders>
              <w:bottom w:val="single" w:sz="8" w:color="0000FF"/>
            </w:tcBorders>
            <w:gridSpan w:val="4"/>
          </w:tcPr>
          <w:p>
            <w:pPr>
              <w:jc w:val="right"/>
              <w:spacing w:after="0" w:line="223" w:lineRule="exact"/>
              <w:rPr>
                <w:sz w:val="20"/>
                <w:szCs w:val="20"/>
                <w:color w:val="auto"/>
              </w:rPr>
            </w:pPr>
            <w:r>
              <w:rPr>
                <w:rFonts w:ascii="Arial" w:cs="Arial" w:eastAsia="Arial" w:hAnsi="Arial"/>
                <w:sz w:val="22"/>
                <w:szCs w:val="22"/>
                <w:color w:val="0000FF"/>
                <w:w w:val="73"/>
              </w:rPr>
              <w:t>44</w:t>
            </w:r>
          </w:p>
        </w:tc>
        <w:tc>
          <w:tcPr>
            <w:tcW w:w="4340" w:type="dxa"/>
            <w:vAlign w:val="bottom"/>
            <w:gridSpan w:val="55"/>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5.12</w:t>
            </w:r>
          </w:p>
        </w:tc>
        <w:tc>
          <w:tcPr>
            <w:tcW w:w="2300" w:type="dxa"/>
            <w:vAlign w:val="bottom"/>
            <w:gridSpan w:val="41"/>
          </w:tcPr>
          <w:p>
            <w:pPr>
              <w:ind w:left="100"/>
              <w:spacing w:after="0" w:line="209" w:lineRule="exact"/>
              <w:rPr>
                <w:sz w:val="20"/>
                <w:szCs w:val="20"/>
                <w:color w:val="auto"/>
              </w:rPr>
            </w:pPr>
            <w:r>
              <w:rPr>
                <w:rFonts w:ascii="Arial" w:cs="Arial" w:eastAsia="Arial" w:hAnsi="Arial"/>
                <w:sz w:val="22"/>
                <w:szCs w:val="22"/>
                <w:color w:val="auto"/>
                <w:w w:val="81"/>
              </w:rPr>
              <w:t>Designation of Subsidiaries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3"/>
          </w:tcPr>
          <w:p>
            <w:pPr>
              <w:jc w:val="right"/>
              <w:spacing w:after="0" w:line="209" w:lineRule="exact"/>
              <w:rPr>
                <w:sz w:val="20"/>
                <w:szCs w:val="20"/>
                <w:color w:val="auto"/>
              </w:rPr>
            </w:pPr>
            <w:r>
              <w:rPr>
                <w:rFonts w:ascii="Arial" w:cs="Arial" w:eastAsia="Arial" w:hAnsi="Arial"/>
                <w:sz w:val="22"/>
                <w:szCs w:val="22"/>
                <w:color w:val="auto"/>
                <w:w w:val="81"/>
              </w:rPr>
              <w:t>1</w:t>
            </w:r>
          </w:p>
        </w:tc>
        <w:tc>
          <w:tcPr>
            <w:tcW w:w="220" w:type="dxa"/>
            <w:vAlign w:val="bottom"/>
            <w:gridSpan w:val="8"/>
          </w:tcPr>
          <w:p>
            <w:pPr>
              <w:jc w:val="right"/>
              <w:spacing w:after="0" w:line="209" w:lineRule="exact"/>
              <w:rPr>
                <w:sz w:val="20"/>
                <w:szCs w:val="20"/>
                <w:color w:val="auto"/>
              </w:rPr>
            </w:pPr>
            <w:r>
              <w:rPr>
                <w:rFonts w:ascii="Arial" w:cs="Arial" w:eastAsia="Arial" w:hAnsi="Arial"/>
                <w:sz w:val="22"/>
                <w:szCs w:val="22"/>
                <w:color w:val="FF0000"/>
                <w:strike w:val="1"/>
                <w:w w:val="81"/>
              </w:rPr>
              <w:t>58</w:t>
            </w:r>
          </w:p>
        </w:tc>
        <w:tc>
          <w:tcPr>
            <w:tcW w:w="220" w:type="dxa"/>
            <w:vAlign w:val="bottom"/>
            <w:gridSpan w:val="8"/>
          </w:tcPr>
          <w:p>
            <w:pPr>
              <w:spacing w:after="0" w:line="209" w:lineRule="exact"/>
              <w:rPr>
                <w:sz w:val="20"/>
                <w:szCs w:val="20"/>
                <w:color w:val="auto"/>
              </w:rPr>
            </w:pPr>
            <w:r>
              <w:rPr>
                <w:rFonts w:ascii="Arial" w:cs="Arial" w:eastAsia="Arial" w:hAnsi="Arial"/>
                <w:sz w:val="22"/>
                <w:szCs w:val="22"/>
                <w:color w:val="0000FF"/>
                <w:w w:val="81"/>
              </w:rPr>
              <w:t>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5.13</w:t>
            </w:r>
          </w:p>
        </w:tc>
        <w:tc>
          <w:tcPr>
            <w:tcW w:w="1340" w:type="dxa"/>
            <w:vAlign w:val="bottom"/>
            <w:gridSpan w:val="13"/>
          </w:tcPr>
          <w:p>
            <w:pPr>
              <w:ind w:left="100"/>
              <w:spacing w:after="0" w:line="223" w:lineRule="exact"/>
              <w:rPr>
                <w:sz w:val="20"/>
                <w:szCs w:val="20"/>
                <w:color w:val="auto"/>
              </w:rPr>
            </w:pPr>
            <w:r>
              <w:rPr>
                <w:rFonts w:ascii="Arial" w:cs="Arial" w:eastAsia="Arial" w:hAnsi="Arial"/>
                <w:sz w:val="22"/>
                <w:szCs w:val="22"/>
                <w:color w:val="auto"/>
                <w:w w:val="98"/>
              </w:rPr>
              <w:t>Lender Calls</w:t>
            </w:r>
          </w:p>
        </w:tc>
        <w:tc>
          <w:tcPr>
            <w:tcW w:w="140" w:type="dxa"/>
            <w:vAlign w:val="bottom"/>
            <w:gridSpan w:val="3"/>
          </w:tcPr>
          <w:p>
            <w:pPr>
              <w:ind w:left="80"/>
              <w:spacing w:after="0"/>
              <w:rPr>
                <w:sz w:val="20"/>
                <w:szCs w:val="20"/>
                <w:color w:val="auto"/>
              </w:rPr>
            </w:pPr>
            <w:r>
              <w:rPr>
                <w:rFonts w:ascii="Arial" w:cs="Arial" w:eastAsia="Arial" w:hAnsi="Arial"/>
                <w:sz w:val="5"/>
                <w:szCs w:val="5"/>
                <w:color w:val="auto"/>
                <w:w w:val="70"/>
              </w:rPr>
              <w:t>1</w:t>
            </w:r>
          </w:p>
        </w:tc>
        <w:tc>
          <w:tcPr>
            <w:tcW w:w="260" w:type="dxa"/>
            <w:vAlign w:val="bottom"/>
            <w:gridSpan w:val="8"/>
          </w:tcPr>
          <w:p>
            <w:pPr>
              <w:jc w:val="center"/>
              <w:spacing w:after="0" w:line="223" w:lineRule="exact"/>
              <w:rPr>
                <w:sz w:val="20"/>
                <w:szCs w:val="20"/>
                <w:color w:val="auto"/>
              </w:rPr>
            </w:pPr>
            <w:r>
              <w:rPr>
                <w:rFonts w:ascii="Arial" w:cs="Arial" w:eastAsia="Arial" w:hAnsi="Arial"/>
                <w:sz w:val="22"/>
                <w:szCs w:val="22"/>
                <w:color w:val="FF0000"/>
                <w:strike w:val="1"/>
                <w:w w:val="89"/>
              </w:rPr>
              <w:t>59</w:t>
            </w:r>
          </w:p>
        </w:tc>
        <w:tc>
          <w:tcPr>
            <w:tcW w:w="220" w:type="dxa"/>
            <w:vAlign w:val="bottom"/>
            <w:tcBorders>
              <w:bottom w:val="single" w:sz="8" w:color="0000FF"/>
            </w:tcBorders>
            <w:gridSpan w:val="7"/>
          </w:tcPr>
          <w:p>
            <w:pPr>
              <w:jc w:val="right"/>
              <w:spacing w:after="0" w:line="223" w:lineRule="exact"/>
              <w:rPr>
                <w:sz w:val="20"/>
                <w:szCs w:val="20"/>
                <w:color w:val="auto"/>
              </w:rPr>
            </w:pPr>
            <w:r>
              <w:rPr>
                <w:rFonts w:ascii="Arial" w:cs="Arial" w:eastAsia="Arial" w:hAnsi="Arial"/>
                <w:sz w:val="22"/>
                <w:szCs w:val="22"/>
                <w:color w:val="0000FF"/>
                <w:w w:val="81"/>
              </w:rPr>
              <w:t>46</w:t>
            </w:r>
          </w:p>
        </w:tc>
        <w:tc>
          <w:tcPr>
            <w:tcW w:w="1040" w:type="dxa"/>
            <w:vAlign w:val="bottom"/>
            <w:gridSpan w:val="27"/>
          </w:tcPr>
          <w:p>
            <w:pPr>
              <w:spacing w:after="0"/>
              <w:rPr>
                <w:sz w:val="19"/>
                <w:szCs w:val="19"/>
                <w:color w:val="auto"/>
              </w:rPr>
            </w:pPr>
          </w:p>
        </w:tc>
        <w:tc>
          <w:tcPr>
            <w:tcW w:w="240" w:type="dxa"/>
            <w:vAlign w:val="bottom"/>
            <w:tcBorders>
              <w:top w:val="single" w:sz="8" w:color="0000FF"/>
            </w:tcBorders>
            <w:gridSpan w:val="9"/>
          </w:tcPr>
          <w:p>
            <w:pPr>
              <w:spacing w:after="0"/>
              <w:rPr>
                <w:sz w:val="19"/>
                <w:szCs w:val="19"/>
                <w:color w:val="auto"/>
              </w:rPr>
            </w:pPr>
          </w:p>
        </w:tc>
        <w:tc>
          <w:tcPr>
            <w:tcW w:w="3600" w:type="dxa"/>
            <w:vAlign w:val="bottom"/>
            <w:gridSpan w:val="3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5.14</w:t>
            </w:r>
          </w:p>
        </w:tc>
        <w:tc>
          <w:tcPr>
            <w:tcW w:w="2220" w:type="dxa"/>
            <w:vAlign w:val="bottom"/>
            <w:gridSpan w:val="39"/>
          </w:tcPr>
          <w:p>
            <w:pPr>
              <w:ind w:left="100"/>
              <w:spacing w:after="0" w:line="223" w:lineRule="exact"/>
              <w:rPr>
                <w:sz w:val="20"/>
                <w:szCs w:val="20"/>
                <w:color w:val="auto"/>
              </w:rPr>
            </w:pPr>
            <w:r>
              <w:rPr>
                <w:rFonts w:ascii="Arial" w:cs="Arial" w:eastAsia="Arial" w:hAnsi="Arial"/>
                <w:sz w:val="22"/>
                <w:szCs w:val="22"/>
                <w:color w:val="auto"/>
                <w:w w:val="88"/>
              </w:rPr>
              <w:t>Post-Closing Covenants</w:t>
            </w:r>
          </w:p>
        </w:tc>
        <w:tc>
          <w:tcPr>
            <w:tcW w:w="280" w:type="dxa"/>
            <w:vAlign w:val="bottom"/>
            <w:gridSpan w:val="6"/>
          </w:tcPr>
          <w:p>
            <w:pPr>
              <w:jc w:val="right"/>
              <w:spacing w:after="0" w:line="223" w:lineRule="exact"/>
              <w:rPr>
                <w:sz w:val="20"/>
                <w:szCs w:val="20"/>
                <w:color w:val="auto"/>
              </w:rPr>
            </w:pPr>
            <w:r>
              <w:rPr>
                <w:rFonts w:ascii="Arial" w:cs="Arial" w:eastAsia="Arial" w:hAnsi="Arial"/>
                <w:sz w:val="22"/>
                <w:szCs w:val="22"/>
                <w:color w:val="auto"/>
              </w:rPr>
              <w:t>1</w:t>
            </w:r>
          </w:p>
        </w:tc>
        <w:tc>
          <w:tcPr>
            <w:tcW w:w="180" w:type="dxa"/>
            <w:vAlign w:val="bottom"/>
            <w:gridSpan w:val="3"/>
          </w:tcPr>
          <w:p>
            <w:pPr>
              <w:jc w:val="center"/>
              <w:spacing w:after="0" w:line="223" w:lineRule="exact"/>
              <w:rPr>
                <w:sz w:val="20"/>
                <w:szCs w:val="20"/>
                <w:color w:val="auto"/>
              </w:rPr>
            </w:pPr>
            <w:r>
              <w:rPr>
                <w:rFonts w:ascii="Arial" w:cs="Arial" w:eastAsia="Arial" w:hAnsi="Arial"/>
                <w:sz w:val="22"/>
                <w:szCs w:val="22"/>
                <w:color w:val="FF0000"/>
                <w:strike w:val="1"/>
                <w:w w:val="89"/>
              </w:rPr>
              <w:t>59</w:t>
            </w:r>
          </w:p>
        </w:tc>
        <w:tc>
          <w:tcPr>
            <w:tcW w:w="260" w:type="dxa"/>
            <w:vAlign w:val="bottom"/>
            <w:tcBorders>
              <w:bottom w:val="single" w:sz="8" w:color="0000FF"/>
            </w:tcBorders>
            <w:gridSpan w:val="7"/>
          </w:tcPr>
          <w:p>
            <w:pPr>
              <w:jc w:val="right"/>
              <w:spacing w:after="0" w:line="223" w:lineRule="exact"/>
              <w:rPr>
                <w:sz w:val="20"/>
                <w:szCs w:val="20"/>
                <w:color w:val="auto"/>
              </w:rPr>
            </w:pPr>
            <w:r>
              <w:rPr>
                <w:rFonts w:ascii="Arial" w:cs="Arial" w:eastAsia="Arial" w:hAnsi="Arial"/>
                <w:sz w:val="22"/>
                <w:szCs w:val="22"/>
                <w:color w:val="0000FF"/>
                <w:w w:val="97"/>
              </w:rPr>
              <w:t>46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5.15</w:t>
            </w:r>
          </w:p>
        </w:tc>
        <w:tc>
          <w:tcPr>
            <w:tcW w:w="2940" w:type="dxa"/>
            <w:vAlign w:val="bottom"/>
            <w:gridSpan w:val="55"/>
          </w:tcPr>
          <w:p>
            <w:pPr>
              <w:ind w:left="100"/>
              <w:spacing w:after="0" w:line="209" w:lineRule="exact"/>
              <w:rPr>
                <w:sz w:val="20"/>
                <w:szCs w:val="20"/>
                <w:color w:val="auto"/>
              </w:rPr>
            </w:pPr>
            <w:r>
              <w:rPr>
                <w:rFonts w:ascii="Arial" w:cs="Arial" w:eastAsia="Arial" w:hAnsi="Arial"/>
                <w:sz w:val="22"/>
                <w:szCs w:val="22"/>
                <w:color w:val="auto"/>
                <w:w w:val="89"/>
              </w:rPr>
              <w:t>Sanctions; Anti-Corruption Laws</w:t>
            </w: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gridSpan w:val="35"/>
          </w:tcPr>
          <w:p>
            <w:pPr>
              <w:spacing w:after="0" w:line="209" w:lineRule="exact"/>
              <w:rPr>
                <w:sz w:val="20"/>
                <w:szCs w:val="20"/>
                <w:color w:val="auto"/>
              </w:rPr>
            </w:pPr>
            <w:r>
              <w:rPr>
                <w:rFonts w:ascii="Arial" w:cs="Arial" w:eastAsia="Arial" w:hAnsi="Arial"/>
                <w:sz w:val="22"/>
                <w:szCs w:val="22"/>
                <w:color w:val="auto"/>
                <w:w w:val="97"/>
              </w:rPr>
              <w:t>and Anti-Money Laundering Laws</w:t>
            </w:r>
          </w:p>
        </w:tc>
        <w:tc>
          <w:tcPr>
            <w:tcW w:w="120" w:type="dxa"/>
            <w:vAlign w:val="bottom"/>
          </w:tcPr>
          <w:p>
            <w:pPr>
              <w:jc w:val="right"/>
              <w:spacing w:after="0" w:line="209" w:lineRule="exact"/>
              <w:rPr>
                <w:sz w:val="20"/>
                <w:szCs w:val="20"/>
                <w:color w:val="auto"/>
              </w:rPr>
            </w:pPr>
            <w:r>
              <w:rPr>
                <w:rFonts w:ascii="Arial" w:cs="Arial" w:eastAsia="Arial" w:hAnsi="Arial"/>
                <w:sz w:val="22"/>
                <w:szCs w:val="22"/>
                <w:color w:val="auto"/>
                <w:w w:val="81"/>
              </w:rPr>
              <w:t>1</w:t>
            </w:r>
          </w:p>
        </w:tc>
        <w:tc>
          <w:tcPr>
            <w:tcW w:w="220" w:type="dxa"/>
            <w:vAlign w:val="bottom"/>
          </w:tcPr>
          <w:p>
            <w:pPr>
              <w:jc w:val="right"/>
              <w:spacing w:after="0" w:line="209" w:lineRule="exact"/>
              <w:rPr>
                <w:sz w:val="20"/>
                <w:szCs w:val="20"/>
                <w:color w:val="auto"/>
              </w:rPr>
            </w:pPr>
            <w:r>
              <w:rPr>
                <w:rFonts w:ascii="Arial" w:cs="Arial" w:eastAsia="Arial" w:hAnsi="Arial"/>
                <w:sz w:val="22"/>
                <w:szCs w:val="22"/>
                <w:color w:val="FF0000"/>
                <w:strike w:val="1"/>
                <w:w w:val="81"/>
              </w:rPr>
              <w:t>59</w:t>
            </w:r>
          </w:p>
        </w:tc>
        <w:tc>
          <w:tcPr>
            <w:tcW w:w="280" w:type="dxa"/>
            <w:vAlign w:val="bottom"/>
            <w:gridSpan w:val="4"/>
          </w:tcPr>
          <w:p>
            <w:pPr>
              <w:jc w:val="right"/>
              <w:ind w:right="80"/>
              <w:spacing w:after="0" w:line="209" w:lineRule="exact"/>
              <w:rPr>
                <w:sz w:val="20"/>
                <w:szCs w:val="20"/>
                <w:color w:val="auto"/>
              </w:rPr>
            </w:pPr>
            <w:r>
              <w:rPr>
                <w:rFonts w:ascii="Arial" w:cs="Arial" w:eastAsia="Arial" w:hAnsi="Arial"/>
                <w:sz w:val="22"/>
                <w:szCs w:val="22"/>
                <w:color w:val="0000FF"/>
                <w:w w:val="73"/>
              </w:rPr>
              <w:t>46</w:t>
            </w:r>
          </w:p>
        </w:tc>
        <w:tc>
          <w:tcPr>
            <w:tcW w:w="0" w:type="dxa"/>
            <w:vAlign w:val="bottom"/>
          </w:tcPr>
          <w:p>
            <w:pPr>
              <w:spacing w:after="0"/>
              <w:rPr>
                <w:sz w:val="1"/>
                <w:szCs w:val="1"/>
                <w:color w:val="auto"/>
              </w:rPr>
            </w:pPr>
          </w:p>
        </w:tc>
      </w:tr>
      <w:tr>
        <w:trPr>
          <w:trHeight w:val="439"/>
        </w:trPr>
        <w:tc>
          <w:tcPr>
            <w:tcW w:w="3160" w:type="dxa"/>
            <w:vAlign w:val="bottom"/>
            <w:gridSpan w:val="14"/>
          </w:tcPr>
          <w:p>
            <w:pPr>
              <w:spacing w:after="0"/>
              <w:rPr>
                <w:sz w:val="20"/>
                <w:szCs w:val="20"/>
                <w:color w:val="auto"/>
              </w:rPr>
            </w:pPr>
            <w:r>
              <w:rPr>
                <w:rFonts w:ascii="Arial" w:cs="Arial" w:eastAsia="Arial" w:hAnsi="Arial"/>
                <w:sz w:val="22"/>
                <w:szCs w:val="22"/>
                <w:b w:val="1"/>
                <w:bCs w:val="1"/>
                <w:color w:val="auto"/>
                <w:w w:val="92"/>
              </w:rPr>
              <w:t>ARTICLE VI Negative Covenants</w:t>
            </w:r>
          </w:p>
        </w:tc>
        <w:tc>
          <w:tcPr>
            <w:tcW w:w="440" w:type="dxa"/>
            <w:vAlign w:val="bottom"/>
            <w:gridSpan w:val="13"/>
          </w:tcPr>
          <w:p>
            <w:pPr>
              <w:ind w:left="220"/>
              <w:spacing w:after="0"/>
              <w:rPr>
                <w:sz w:val="20"/>
                <w:szCs w:val="20"/>
                <w:color w:val="auto"/>
              </w:rPr>
            </w:pPr>
            <w:r>
              <w:rPr>
                <w:rFonts w:ascii="Arial" w:cs="Arial" w:eastAsia="Arial" w:hAnsi="Arial"/>
                <w:sz w:val="22"/>
                <w:szCs w:val="22"/>
                <w:b w:val="1"/>
                <w:bCs w:val="1"/>
                <w:color w:val="auto"/>
                <w:w w:val="81"/>
              </w:rPr>
              <w:t>14</w:t>
            </w:r>
          </w:p>
        </w:tc>
        <w:tc>
          <w:tcPr>
            <w:tcW w:w="100" w:type="dxa"/>
            <w:vAlign w:val="bottom"/>
            <w:gridSpan w:val="3"/>
          </w:tcPr>
          <w:p>
            <w:pPr>
              <w:jc w:val="center"/>
              <w:spacing w:after="0"/>
              <w:rPr>
                <w:sz w:val="20"/>
                <w:szCs w:val="20"/>
                <w:color w:val="auto"/>
              </w:rPr>
            </w:pPr>
            <w:r>
              <w:rPr>
                <w:rFonts w:ascii="Arial" w:cs="Arial" w:eastAsia="Arial" w:hAnsi="Arial"/>
                <w:sz w:val="22"/>
                <w:szCs w:val="22"/>
                <w:b w:val="1"/>
                <w:bCs w:val="1"/>
                <w:color w:val="FF0000"/>
                <w:strike w:val="1"/>
                <w:w w:val="81"/>
              </w:rPr>
              <w:t>0</w:t>
            </w:r>
          </w:p>
        </w:tc>
        <w:tc>
          <w:tcPr>
            <w:tcW w:w="4680" w:type="dxa"/>
            <w:vAlign w:val="bottom"/>
            <w:gridSpan w:val="67"/>
          </w:tcPr>
          <w:p>
            <w:pPr>
              <w:jc w:val="right"/>
              <w:ind w:right="4472"/>
              <w:spacing w:after="0"/>
              <w:rPr>
                <w:sz w:val="20"/>
                <w:szCs w:val="20"/>
                <w:color w:val="auto"/>
              </w:rPr>
            </w:pPr>
            <w:r>
              <w:rPr>
                <w:rFonts w:ascii="Arial" w:cs="Arial" w:eastAsia="Arial" w:hAnsi="Arial"/>
                <w:sz w:val="19"/>
                <w:szCs w:val="19"/>
                <w:b w:val="1"/>
                <w:bCs w:val="1"/>
                <w:color w:val="0000FF"/>
                <w:w w:val="75"/>
              </w:rPr>
              <w:t>6</w:t>
            </w:r>
          </w:p>
        </w:tc>
        <w:tc>
          <w:tcPr>
            <w:tcW w:w="200" w:type="dxa"/>
            <w:vAlign w:val="bottom"/>
            <w:tcBorders>
              <w:top w:val="single" w:sz="8" w:color="0000FF"/>
            </w:tcBorders>
            <w:gridSpan w:val="3"/>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jc w:val="center"/>
              <w:ind w:left="472"/>
              <w:spacing w:after="0" w:line="195" w:lineRule="exact"/>
              <w:rPr>
                <w:sz w:val="20"/>
                <w:szCs w:val="20"/>
                <w:color w:val="auto"/>
              </w:rPr>
            </w:pPr>
            <w:r>
              <w:rPr>
                <w:rFonts w:ascii="Arial" w:cs="Arial" w:eastAsia="Arial" w:hAnsi="Arial"/>
                <w:sz w:val="22"/>
                <w:szCs w:val="22"/>
                <w:color w:val="auto"/>
                <w:w w:val="88"/>
              </w:rPr>
              <w:t>Section 6.01</w:t>
            </w:r>
          </w:p>
        </w:tc>
        <w:tc>
          <w:tcPr>
            <w:tcW w:w="1880" w:type="dxa"/>
            <w:vAlign w:val="bottom"/>
            <w:gridSpan w:val="29"/>
          </w:tcPr>
          <w:p>
            <w:pPr>
              <w:ind w:left="100"/>
              <w:spacing w:after="0" w:line="195" w:lineRule="exact"/>
              <w:rPr>
                <w:sz w:val="20"/>
                <w:szCs w:val="20"/>
                <w:color w:val="auto"/>
              </w:rPr>
            </w:pPr>
            <w:r>
              <w:rPr>
                <w:rFonts w:ascii="Arial" w:cs="Arial" w:eastAsia="Arial" w:hAnsi="Arial"/>
                <w:sz w:val="22"/>
                <w:szCs w:val="22"/>
                <w:color w:val="auto"/>
                <w:w w:val="81"/>
              </w:rPr>
              <w:t>Indebtedness; Certain</w:t>
            </w: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gridSpan w:val="47"/>
          </w:tcPr>
          <w:p>
            <w:pPr>
              <w:ind w:left="20"/>
              <w:spacing w:after="0" w:line="195" w:lineRule="exact"/>
              <w:rPr>
                <w:sz w:val="20"/>
                <w:szCs w:val="20"/>
                <w:color w:val="auto"/>
              </w:rPr>
            </w:pPr>
            <w:r>
              <w:rPr>
                <w:rFonts w:ascii="Arial" w:cs="Arial" w:eastAsia="Arial" w:hAnsi="Arial"/>
                <w:sz w:val="22"/>
                <w:szCs w:val="22"/>
                <w:color w:val="auto"/>
                <w:w w:val="94"/>
              </w:rPr>
              <w:t>Equity Securities  14</w:t>
            </w:r>
          </w:p>
        </w:tc>
        <w:tc>
          <w:tcPr>
            <w:tcW w:w="100" w:type="dxa"/>
            <w:vAlign w:val="bottom"/>
            <w:gridSpan w:val="2"/>
          </w:tcPr>
          <w:p>
            <w:pPr>
              <w:jc w:val="right"/>
              <w:spacing w:after="0" w:line="196" w:lineRule="exact"/>
              <w:rPr>
                <w:sz w:val="20"/>
                <w:szCs w:val="20"/>
                <w:color w:val="auto"/>
              </w:rPr>
            </w:pPr>
            <w:r>
              <w:rPr>
                <w:rFonts w:ascii="Arial" w:cs="Arial" w:eastAsia="Arial" w:hAnsi="Arial"/>
                <w:sz w:val="19"/>
                <w:szCs w:val="19"/>
                <w:color w:val="FF0000"/>
                <w:strike w:val="1"/>
                <w:w w:val="75"/>
              </w:rPr>
              <w:t>0</w:t>
            </w:r>
          </w:p>
        </w:tc>
        <w:tc>
          <w:tcPr>
            <w:tcW w:w="12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22"/>
                <w:szCs w:val="22"/>
                <w:color w:val="0000FF"/>
                <w:w w:val="81"/>
              </w:rPr>
              <w:t>7</w:t>
            </w:r>
          </w:p>
        </w:tc>
        <w:tc>
          <w:tcPr>
            <w:tcW w:w="120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6.02</w:t>
            </w:r>
          </w:p>
        </w:tc>
        <w:tc>
          <w:tcPr>
            <w:tcW w:w="720" w:type="dxa"/>
            <w:vAlign w:val="bottom"/>
          </w:tcPr>
          <w:p>
            <w:pPr>
              <w:ind w:left="100"/>
              <w:spacing w:after="0" w:line="223" w:lineRule="exact"/>
              <w:rPr>
                <w:sz w:val="20"/>
                <w:szCs w:val="20"/>
                <w:color w:val="auto"/>
              </w:rPr>
            </w:pPr>
            <w:r>
              <w:rPr>
                <w:rFonts w:ascii="Arial" w:cs="Arial" w:eastAsia="Arial" w:hAnsi="Arial"/>
                <w:sz w:val="22"/>
                <w:szCs w:val="22"/>
                <w:color w:val="auto"/>
              </w:rPr>
              <w:t>Liens</w:t>
            </w:r>
          </w:p>
        </w:tc>
        <w:tc>
          <w:tcPr>
            <w:tcW w:w="2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15</w:t>
            </w:r>
          </w:p>
        </w:tc>
        <w:tc>
          <w:tcPr>
            <w:tcW w:w="120" w:type="dxa"/>
            <w:vAlign w:val="bottom"/>
            <w:gridSpan w:val="3"/>
          </w:tcPr>
          <w:p>
            <w:pPr>
              <w:jc w:val="right"/>
              <w:spacing w:after="0" w:line="223" w:lineRule="exact"/>
              <w:rPr>
                <w:sz w:val="20"/>
                <w:szCs w:val="20"/>
                <w:color w:val="auto"/>
              </w:rPr>
            </w:pPr>
            <w:r>
              <w:rPr>
                <w:rFonts w:ascii="Arial" w:cs="Arial" w:eastAsia="Arial" w:hAnsi="Arial"/>
                <w:sz w:val="22"/>
                <w:szCs w:val="22"/>
                <w:color w:val="FF0000"/>
                <w:strike w:val="1"/>
                <w:w w:val="81"/>
              </w:rPr>
              <w:t>5</w:t>
            </w:r>
          </w:p>
        </w:tc>
        <w:tc>
          <w:tcPr>
            <w:tcW w:w="5720" w:type="dxa"/>
            <w:vAlign w:val="bottom"/>
            <w:gridSpan w:val="94"/>
          </w:tcPr>
          <w:p>
            <w:pPr>
              <w:spacing w:after="0" w:line="223" w:lineRule="exact"/>
              <w:rPr>
                <w:sz w:val="20"/>
                <w:szCs w:val="20"/>
                <w:color w:val="auto"/>
              </w:rPr>
            </w:pPr>
            <w:r>
              <w:rPr>
                <w:rFonts w:ascii="Arial" w:cs="Arial" w:eastAsia="Arial" w:hAnsi="Arial"/>
                <w:sz w:val="22"/>
                <w:szCs w:val="22"/>
                <w:color w:val="0000FF"/>
                <w:w w:val="81"/>
              </w:rPr>
              <w:t>1</w:t>
            </w: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6.03</w:t>
            </w:r>
          </w:p>
        </w:tc>
        <w:tc>
          <w:tcPr>
            <w:tcW w:w="1120" w:type="dxa"/>
            <w:vAlign w:val="bottom"/>
            <w:gridSpan w:val="6"/>
          </w:tcPr>
          <w:p>
            <w:pPr>
              <w:ind w:left="100"/>
              <w:spacing w:after="0" w:line="209" w:lineRule="exact"/>
              <w:rPr>
                <w:sz w:val="20"/>
                <w:szCs w:val="20"/>
                <w:color w:val="auto"/>
              </w:rPr>
            </w:pPr>
            <w:r>
              <w:rPr>
                <w:rFonts w:ascii="Arial" w:cs="Arial" w:eastAsia="Arial" w:hAnsi="Arial"/>
                <w:sz w:val="22"/>
                <w:szCs w:val="22"/>
                <w:color w:val="auto"/>
                <w:w w:val="77"/>
              </w:rPr>
              <w:t>Fundamental</w:t>
            </w:r>
          </w:p>
        </w:tc>
        <w:tc>
          <w:tcPr>
            <w:tcW w:w="100" w:type="dxa"/>
            <w:vAlign w:val="bottom"/>
            <w:tcBorders>
              <w:top w:val="single" w:sz="8" w:color="0000FF"/>
            </w:tcBorders>
            <w:gridSpan w:val="3"/>
          </w:tcPr>
          <w:p>
            <w:pPr>
              <w:spacing w:after="0"/>
              <w:rPr>
                <w:sz w:val="18"/>
                <w:szCs w:val="18"/>
                <w:color w:val="auto"/>
              </w:rPr>
            </w:pPr>
          </w:p>
        </w:tc>
        <w:tc>
          <w:tcPr>
            <w:tcW w:w="1000" w:type="dxa"/>
            <w:vAlign w:val="bottom"/>
            <w:gridSpan w:val="30"/>
          </w:tcPr>
          <w:p>
            <w:pPr>
              <w:jc w:val="center"/>
              <w:ind w:right="43"/>
              <w:spacing w:after="0" w:line="209" w:lineRule="exact"/>
              <w:rPr>
                <w:sz w:val="20"/>
                <w:szCs w:val="20"/>
                <w:color w:val="auto"/>
              </w:rPr>
            </w:pPr>
            <w:r>
              <w:rPr>
                <w:rFonts w:ascii="Arial" w:cs="Arial" w:eastAsia="Arial" w:hAnsi="Arial"/>
                <w:sz w:val="22"/>
                <w:szCs w:val="22"/>
                <w:color w:val="auto"/>
                <w:w w:val="83"/>
              </w:rPr>
              <w:t>Changes</w:t>
            </w:r>
          </w:p>
        </w:tc>
        <w:tc>
          <w:tcPr>
            <w:tcW w:w="120" w:type="dxa"/>
            <w:vAlign w:val="bottom"/>
            <w:gridSpan w:val="3"/>
          </w:tcPr>
          <w:p>
            <w:pPr>
              <w:jc w:val="right"/>
              <w:spacing w:after="0" w:line="209" w:lineRule="exact"/>
              <w:rPr>
                <w:sz w:val="20"/>
                <w:szCs w:val="20"/>
                <w:color w:val="auto"/>
              </w:rPr>
            </w:pPr>
            <w:r>
              <w:rPr>
                <w:rFonts w:ascii="Arial" w:cs="Arial" w:eastAsia="Arial" w:hAnsi="Arial"/>
                <w:sz w:val="22"/>
                <w:szCs w:val="22"/>
                <w:color w:val="auto"/>
                <w:w w:val="81"/>
              </w:rPr>
              <w:t>1</w:t>
            </w:r>
          </w:p>
        </w:tc>
        <w:tc>
          <w:tcPr>
            <w:tcW w:w="220" w:type="dxa"/>
            <w:vAlign w:val="bottom"/>
            <w:gridSpan w:val="5"/>
          </w:tcPr>
          <w:p>
            <w:pPr>
              <w:spacing w:after="0" w:line="209" w:lineRule="exact"/>
              <w:rPr>
                <w:sz w:val="20"/>
                <w:szCs w:val="20"/>
                <w:color w:val="auto"/>
              </w:rPr>
            </w:pPr>
            <w:r>
              <w:rPr>
                <w:rFonts w:ascii="Arial" w:cs="Arial" w:eastAsia="Arial" w:hAnsi="Arial"/>
                <w:sz w:val="22"/>
                <w:szCs w:val="22"/>
                <w:color w:val="FF0000"/>
                <w:strike w:val="1"/>
                <w:w w:val="81"/>
              </w:rPr>
              <w:t>69</w:t>
            </w:r>
          </w:p>
        </w:tc>
        <w:tc>
          <w:tcPr>
            <w:tcW w:w="4280" w:type="dxa"/>
            <w:vAlign w:val="bottom"/>
            <w:gridSpan w:val="53"/>
          </w:tcPr>
          <w:p>
            <w:pPr>
              <w:jc w:val="right"/>
              <w:ind w:right="4060"/>
              <w:spacing w:after="0" w:line="209" w:lineRule="exact"/>
              <w:rPr>
                <w:sz w:val="20"/>
                <w:szCs w:val="20"/>
                <w:color w:val="auto"/>
              </w:rPr>
            </w:pPr>
            <w:r>
              <w:rPr>
                <w:rFonts w:ascii="Arial" w:cs="Arial" w:eastAsia="Arial" w:hAnsi="Arial"/>
                <w:sz w:val="22"/>
                <w:szCs w:val="22"/>
                <w:color w:val="0000FF"/>
                <w:w w:val="81"/>
              </w:rPr>
              <w:t>55</w:t>
            </w: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6.04</w:t>
            </w:r>
          </w:p>
        </w:tc>
        <w:tc>
          <w:tcPr>
            <w:tcW w:w="1340" w:type="dxa"/>
            <w:vAlign w:val="bottom"/>
            <w:gridSpan w:val="13"/>
          </w:tcPr>
          <w:p>
            <w:pPr>
              <w:ind w:left="100"/>
              <w:spacing w:after="0" w:line="223" w:lineRule="exact"/>
              <w:rPr>
                <w:sz w:val="20"/>
                <w:szCs w:val="20"/>
                <w:color w:val="auto"/>
              </w:rPr>
            </w:pPr>
            <w:r>
              <w:rPr>
                <w:rFonts w:ascii="Arial" w:cs="Arial" w:eastAsia="Arial" w:hAnsi="Arial"/>
                <w:sz w:val="22"/>
                <w:szCs w:val="22"/>
                <w:color w:val="auto"/>
              </w:rPr>
              <w:t>Investments</w:t>
            </w:r>
          </w:p>
        </w:tc>
        <w:tc>
          <w:tcPr>
            <w:tcW w:w="240" w:type="dxa"/>
            <w:vAlign w:val="bottom"/>
            <w:gridSpan w:val="5"/>
          </w:tcPr>
          <w:p>
            <w:pPr>
              <w:jc w:val="right"/>
              <w:spacing w:after="0" w:line="223" w:lineRule="exact"/>
              <w:rPr>
                <w:sz w:val="20"/>
                <w:szCs w:val="20"/>
                <w:color w:val="auto"/>
              </w:rPr>
            </w:pPr>
            <w:r>
              <w:rPr>
                <w:rFonts w:ascii="Arial" w:cs="Arial" w:eastAsia="Arial" w:hAnsi="Arial"/>
                <w:sz w:val="22"/>
                <w:szCs w:val="22"/>
                <w:color w:val="auto"/>
                <w:w w:val="89"/>
              </w:rPr>
              <w:t>15</w:t>
            </w:r>
          </w:p>
        </w:tc>
        <w:tc>
          <w:tcPr>
            <w:tcW w:w="100" w:type="dxa"/>
            <w:vAlign w:val="bottom"/>
            <w:gridSpan w:val="3"/>
          </w:tcPr>
          <w:p>
            <w:pPr>
              <w:jc w:val="center"/>
              <w:spacing w:after="0" w:line="223" w:lineRule="exact"/>
              <w:rPr>
                <w:sz w:val="20"/>
                <w:szCs w:val="20"/>
                <w:color w:val="auto"/>
              </w:rPr>
            </w:pPr>
            <w:r>
              <w:rPr>
                <w:rFonts w:ascii="Arial" w:cs="Arial" w:eastAsia="Arial" w:hAnsi="Arial"/>
                <w:sz w:val="22"/>
                <w:szCs w:val="22"/>
                <w:color w:val="FF0000"/>
                <w:strike w:val="1"/>
                <w:w w:val="81"/>
              </w:rPr>
              <w:t>1</w:t>
            </w:r>
          </w:p>
        </w:tc>
        <w:tc>
          <w:tcPr>
            <w:tcW w:w="100" w:type="dxa"/>
            <w:vAlign w:val="bottom"/>
            <w:tcBorders>
              <w:bottom w:val="single" w:sz="8" w:color="0000FF"/>
            </w:tcBorders>
            <w:gridSpan w:val="5"/>
          </w:tcPr>
          <w:p>
            <w:pPr>
              <w:jc w:val="right"/>
              <w:spacing w:after="0"/>
              <w:rPr>
                <w:sz w:val="20"/>
                <w:szCs w:val="20"/>
                <w:color w:val="auto"/>
              </w:rPr>
            </w:pPr>
            <w:r>
              <w:rPr>
                <w:rFonts w:ascii="Arial" w:cs="Arial" w:eastAsia="Arial" w:hAnsi="Arial"/>
                <w:sz w:val="19"/>
                <w:szCs w:val="19"/>
                <w:color w:val="0000FF"/>
                <w:w w:val="75"/>
              </w:rPr>
              <w:t>7</w:t>
            </w:r>
          </w:p>
        </w:tc>
        <w:tc>
          <w:tcPr>
            <w:tcW w:w="780" w:type="dxa"/>
            <w:vAlign w:val="bottom"/>
            <w:gridSpan w:val="21"/>
          </w:tcPr>
          <w:p>
            <w:pPr>
              <w:spacing w:after="0"/>
              <w:rPr>
                <w:sz w:val="19"/>
                <w:szCs w:val="19"/>
                <w:color w:val="auto"/>
              </w:rPr>
            </w:pPr>
          </w:p>
        </w:tc>
        <w:tc>
          <w:tcPr>
            <w:tcW w:w="220" w:type="dxa"/>
            <w:vAlign w:val="bottom"/>
            <w:tcBorders>
              <w:top w:val="single" w:sz="8" w:color="0000FF"/>
            </w:tcBorders>
            <w:gridSpan w:val="3"/>
          </w:tcPr>
          <w:p>
            <w:pPr>
              <w:spacing w:after="0"/>
              <w:rPr>
                <w:sz w:val="19"/>
                <w:szCs w:val="19"/>
                <w:color w:val="auto"/>
              </w:rPr>
            </w:pPr>
          </w:p>
        </w:tc>
        <w:tc>
          <w:tcPr>
            <w:tcW w:w="4060" w:type="dxa"/>
            <w:vAlign w:val="bottom"/>
            <w:gridSpan w:val="5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6.05</w:t>
            </w:r>
          </w:p>
        </w:tc>
        <w:tc>
          <w:tcPr>
            <w:tcW w:w="1120" w:type="dxa"/>
            <w:vAlign w:val="bottom"/>
            <w:gridSpan w:val="6"/>
          </w:tcPr>
          <w:p>
            <w:pPr>
              <w:ind w:left="100"/>
              <w:spacing w:after="0" w:line="223" w:lineRule="exact"/>
              <w:rPr>
                <w:sz w:val="20"/>
                <w:szCs w:val="20"/>
                <w:color w:val="auto"/>
              </w:rPr>
            </w:pPr>
            <w:r>
              <w:rPr>
                <w:rFonts w:ascii="Arial" w:cs="Arial" w:eastAsia="Arial" w:hAnsi="Arial"/>
                <w:sz w:val="22"/>
                <w:szCs w:val="22"/>
                <w:color w:val="auto"/>
                <w:w w:val="86"/>
              </w:rPr>
              <w:t>Asset Sales</w:t>
            </w:r>
          </w:p>
        </w:tc>
        <w:tc>
          <w:tcPr>
            <w:tcW w:w="280" w:type="dxa"/>
            <w:vAlign w:val="bottom"/>
            <w:gridSpan w:val="9"/>
          </w:tcPr>
          <w:p>
            <w:pPr>
              <w:ind w:left="180"/>
              <w:spacing w:after="0"/>
              <w:rPr>
                <w:sz w:val="20"/>
                <w:szCs w:val="20"/>
                <w:color w:val="auto"/>
              </w:rPr>
            </w:pPr>
            <w:r>
              <w:rPr>
                <w:rFonts w:ascii="Arial" w:cs="Arial" w:eastAsia="Arial" w:hAnsi="Arial"/>
                <w:sz w:val="19"/>
                <w:szCs w:val="19"/>
                <w:color w:val="auto"/>
                <w:w w:val="75"/>
              </w:rPr>
              <w:t>1</w:t>
            </w:r>
          </w:p>
        </w:tc>
        <w:tc>
          <w:tcPr>
            <w:tcW w:w="220" w:type="dxa"/>
            <w:vAlign w:val="bottom"/>
            <w:gridSpan w:val="4"/>
          </w:tcPr>
          <w:p>
            <w:pPr>
              <w:spacing w:after="0" w:line="223" w:lineRule="exact"/>
              <w:rPr>
                <w:sz w:val="20"/>
                <w:szCs w:val="20"/>
                <w:color w:val="auto"/>
              </w:rPr>
            </w:pPr>
            <w:r>
              <w:rPr>
                <w:rFonts w:ascii="Arial" w:cs="Arial" w:eastAsia="Arial" w:hAnsi="Arial"/>
                <w:sz w:val="22"/>
                <w:szCs w:val="22"/>
                <w:color w:val="FF0000"/>
                <w:strike w:val="1"/>
                <w:w w:val="81"/>
              </w:rPr>
              <w:t>76</w:t>
            </w:r>
          </w:p>
        </w:tc>
        <w:tc>
          <w:tcPr>
            <w:tcW w:w="220" w:type="dxa"/>
            <w:vAlign w:val="bottom"/>
            <w:tcBorders>
              <w:bottom w:val="single" w:sz="8" w:color="0000FF"/>
            </w:tcBorders>
            <w:gridSpan w:val="8"/>
          </w:tcPr>
          <w:p>
            <w:pPr>
              <w:jc w:val="right"/>
              <w:spacing w:after="0" w:line="223" w:lineRule="exact"/>
              <w:rPr>
                <w:sz w:val="20"/>
                <w:szCs w:val="20"/>
                <w:color w:val="auto"/>
              </w:rPr>
            </w:pPr>
            <w:r>
              <w:rPr>
                <w:rFonts w:ascii="Arial" w:cs="Arial" w:eastAsia="Arial" w:hAnsi="Arial"/>
                <w:sz w:val="22"/>
                <w:szCs w:val="22"/>
                <w:color w:val="0000FF"/>
                <w:w w:val="81"/>
              </w:rPr>
              <w:t>61</w:t>
            </w:r>
          </w:p>
        </w:tc>
        <w:tc>
          <w:tcPr>
            <w:tcW w:w="5000" w:type="dxa"/>
            <w:vAlign w:val="bottom"/>
            <w:gridSpan w:val="73"/>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6.06</w:t>
            </w:r>
          </w:p>
        </w:tc>
        <w:tc>
          <w:tcPr>
            <w:tcW w:w="1840" w:type="dxa"/>
            <w:vAlign w:val="bottom"/>
            <w:gridSpan w:val="27"/>
          </w:tcPr>
          <w:p>
            <w:pPr>
              <w:ind w:left="100"/>
              <w:spacing w:after="0" w:line="209" w:lineRule="exact"/>
              <w:rPr>
                <w:sz w:val="20"/>
                <w:szCs w:val="20"/>
                <w:color w:val="auto"/>
              </w:rPr>
            </w:pPr>
            <w:r>
              <w:rPr>
                <w:rFonts w:ascii="Arial" w:cs="Arial" w:eastAsia="Arial" w:hAnsi="Arial"/>
                <w:sz w:val="22"/>
                <w:szCs w:val="22"/>
                <w:color w:val="auto"/>
                <w:w w:val="82"/>
              </w:rPr>
              <w:t>Restricted Payments;</w:t>
            </w:r>
          </w:p>
        </w:tc>
        <w:tc>
          <w:tcPr>
            <w:tcW w:w="3520" w:type="dxa"/>
            <w:vAlign w:val="bottom"/>
            <w:gridSpan w:val="64"/>
          </w:tcPr>
          <w:p>
            <w:pPr>
              <w:jc w:val="center"/>
              <w:ind w:left="32"/>
              <w:spacing w:after="0" w:line="209" w:lineRule="exact"/>
              <w:rPr>
                <w:sz w:val="20"/>
                <w:szCs w:val="20"/>
                <w:color w:val="auto"/>
              </w:rPr>
            </w:pPr>
            <w:r>
              <w:rPr>
                <w:rFonts w:ascii="Arial" w:cs="Arial" w:eastAsia="Arial" w:hAnsi="Arial"/>
                <w:sz w:val="22"/>
                <w:szCs w:val="22"/>
                <w:color w:val="auto"/>
                <w:w w:val="90"/>
              </w:rPr>
              <w:t>Certain Payments of Indebtedness  16</w:t>
            </w:r>
          </w:p>
        </w:tc>
        <w:tc>
          <w:tcPr>
            <w:tcW w:w="100" w:type="dxa"/>
            <w:vAlign w:val="bottom"/>
          </w:tcPr>
          <w:p>
            <w:pPr>
              <w:jc w:val="right"/>
              <w:spacing w:after="0" w:line="210" w:lineRule="exact"/>
              <w:rPr>
                <w:sz w:val="20"/>
                <w:szCs w:val="20"/>
                <w:color w:val="auto"/>
              </w:rPr>
            </w:pPr>
            <w:r>
              <w:rPr>
                <w:rFonts w:ascii="Arial" w:cs="Arial" w:eastAsia="Arial" w:hAnsi="Arial"/>
                <w:sz w:val="19"/>
                <w:szCs w:val="19"/>
                <w:color w:val="FF0000"/>
                <w:strike w:val="1"/>
                <w:w w:val="75"/>
              </w:rPr>
              <w:t>0</w:t>
            </w:r>
          </w:p>
        </w:tc>
        <w:tc>
          <w:tcPr>
            <w:tcW w:w="12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2"/>
                <w:szCs w:val="22"/>
                <w:color w:val="0000FF"/>
                <w:w w:val="81"/>
              </w:rPr>
              <w:t>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6.07</w:t>
            </w:r>
          </w:p>
        </w:tc>
        <w:tc>
          <w:tcPr>
            <w:tcW w:w="2540" w:type="dxa"/>
            <w:vAlign w:val="bottom"/>
            <w:gridSpan w:val="46"/>
          </w:tcPr>
          <w:p>
            <w:pPr>
              <w:ind w:left="100"/>
              <w:spacing w:after="0" w:line="223" w:lineRule="exact"/>
              <w:rPr>
                <w:sz w:val="20"/>
                <w:szCs w:val="20"/>
                <w:color w:val="auto"/>
              </w:rPr>
            </w:pPr>
            <w:r>
              <w:rPr>
                <w:rFonts w:ascii="Arial" w:cs="Arial" w:eastAsia="Arial" w:hAnsi="Arial"/>
                <w:sz w:val="22"/>
                <w:szCs w:val="22"/>
                <w:color w:val="auto"/>
                <w:w w:val="92"/>
              </w:rPr>
              <w:t>Transactions with Affiliates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3"/>
          </w:tcPr>
          <w:p>
            <w:pPr>
              <w:jc w:val="right"/>
              <w:spacing w:after="0" w:line="223" w:lineRule="exact"/>
              <w:rPr>
                <w:sz w:val="20"/>
                <w:szCs w:val="20"/>
                <w:color w:val="auto"/>
              </w:rPr>
            </w:pPr>
            <w:r>
              <w:rPr>
                <w:rFonts w:ascii="Arial" w:cs="Arial" w:eastAsia="Arial" w:hAnsi="Arial"/>
                <w:sz w:val="22"/>
                <w:szCs w:val="22"/>
                <w:color w:val="auto"/>
                <w:w w:val="81"/>
              </w:rPr>
              <w:t>1</w:t>
            </w:r>
          </w:p>
        </w:tc>
        <w:tc>
          <w:tcPr>
            <w:tcW w:w="220" w:type="dxa"/>
            <w:vAlign w:val="bottom"/>
            <w:gridSpan w:val="8"/>
          </w:tcPr>
          <w:p>
            <w:pPr>
              <w:jc w:val="right"/>
              <w:spacing w:after="0" w:line="223" w:lineRule="exact"/>
              <w:rPr>
                <w:sz w:val="20"/>
                <w:szCs w:val="20"/>
                <w:color w:val="auto"/>
              </w:rPr>
            </w:pPr>
            <w:r>
              <w:rPr>
                <w:rFonts w:ascii="Arial" w:cs="Arial" w:eastAsia="Arial" w:hAnsi="Arial"/>
                <w:sz w:val="22"/>
                <w:szCs w:val="22"/>
                <w:color w:val="FF0000"/>
                <w:strike w:val="1"/>
                <w:w w:val="81"/>
              </w:rPr>
              <w:t>85</w:t>
            </w:r>
          </w:p>
        </w:tc>
        <w:tc>
          <w:tcPr>
            <w:tcW w:w="240" w:type="dxa"/>
            <w:vAlign w:val="bottom"/>
            <w:gridSpan w:val="9"/>
          </w:tcPr>
          <w:p>
            <w:pPr>
              <w:spacing w:after="0" w:line="223" w:lineRule="exact"/>
              <w:rPr>
                <w:sz w:val="20"/>
                <w:szCs w:val="20"/>
                <w:color w:val="auto"/>
              </w:rPr>
            </w:pPr>
            <w:r>
              <w:rPr>
                <w:rFonts w:ascii="Arial" w:cs="Arial" w:eastAsia="Arial" w:hAnsi="Arial"/>
                <w:sz w:val="22"/>
                <w:szCs w:val="22"/>
                <w:color w:val="0000FF"/>
                <w:w w:val="89"/>
              </w:rPr>
              <w:t>69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6.08</w:t>
            </w:r>
          </w:p>
        </w:tc>
        <w:tc>
          <w:tcPr>
            <w:tcW w:w="2220" w:type="dxa"/>
            <w:vAlign w:val="bottom"/>
            <w:gridSpan w:val="39"/>
          </w:tcPr>
          <w:p>
            <w:pPr>
              <w:ind w:left="100"/>
              <w:spacing w:after="0" w:line="223" w:lineRule="exact"/>
              <w:rPr>
                <w:sz w:val="20"/>
                <w:szCs w:val="20"/>
                <w:color w:val="auto"/>
              </w:rPr>
            </w:pPr>
            <w:r>
              <w:rPr>
                <w:rFonts w:ascii="Arial" w:cs="Arial" w:eastAsia="Arial" w:hAnsi="Arial"/>
                <w:sz w:val="22"/>
                <w:szCs w:val="22"/>
                <w:color w:val="auto"/>
                <w:w w:val="92"/>
              </w:rPr>
              <w:t>Restrictive Agreements</w:t>
            </w:r>
          </w:p>
        </w:tc>
        <w:tc>
          <w:tcPr>
            <w:tcW w:w="220" w:type="dxa"/>
            <w:vAlign w:val="bottom"/>
            <w:gridSpan w:val="5"/>
          </w:tcPr>
          <w:p>
            <w:pPr>
              <w:jc w:val="right"/>
              <w:spacing w:after="0" w:line="223" w:lineRule="exact"/>
              <w:rPr>
                <w:sz w:val="20"/>
                <w:szCs w:val="20"/>
                <w:color w:val="auto"/>
              </w:rPr>
            </w:pPr>
            <w:r>
              <w:rPr>
                <w:rFonts w:ascii="Arial" w:cs="Arial" w:eastAsia="Arial" w:hAnsi="Arial"/>
                <w:sz w:val="22"/>
                <w:szCs w:val="22"/>
                <w:color w:val="auto"/>
              </w:rPr>
              <w:t>1</w:t>
            </w:r>
          </w:p>
        </w:tc>
        <w:tc>
          <w:tcPr>
            <w:tcW w:w="240" w:type="dxa"/>
            <w:vAlign w:val="bottom"/>
            <w:gridSpan w:val="4"/>
          </w:tcPr>
          <w:p>
            <w:pPr>
              <w:jc w:val="right"/>
              <w:spacing w:after="0" w:line="223" w:lineRule="exact"/>
              <w:rPr>
                <w:sz w:val="20"/>
                <w:szCs w:val="20"/>
                <w:color w:val="auto"/>
              </w:rPr>
            </w:pPr>
            <w:r>
              <w:rPr>
                <w:rFonts w:ascii="Arial" w:cs="Arial" w:eastAsia="Arial" w:hAnsi="Arial"/>
                <w:sz w:val="22"/>
                <w:szCs w:val="22"/>
                <w:color w:val="FF0000"/>
                <w:strike w:val="1"/>
                <w:w w:val="81"/>
              </w:rPr>
              <w:t>87</w:t>
            </w:r>
          </w:p>
        </w:tc>
        <w:tc>
          <w:tcPr>
            <w:tcW w:w="200" w:type="dxa"/>
            <w:vAlign w:val="bottom"/>
            <w:tcBorders>
              <w:bottom w:val="single" w:sz="8" w:color="0000FF"/>
            </w:tcBorders>
            <w:gridSpan w:val="5"/>
          </w:tcPr>
          <w:p>
            <w:pPr>
              <w:jc w:val="right"/>
              <w:spacing w:after="0" w:line="223" w:lineRule="exact"/>
              <w:rPr>
                <w:sz w:val="20"/>
                <w:szCs w:val="20"/>
                <w:color w:val="auto"/>
              </w:rPr>
            </w:pPr>
            <w:r>
              <w:rPr>
                <w:rFonts w:ascii="Arial" w:cs="Arial" w:eastAsia="Arial" w:hAnsi="Arial"/>
                <w:sz w:val="22"/>
                <w:szCs w:val="22"/>
                <w:color w:val="0000FF"/>
                <w:w w:val="73"/>
              </w:rPr>
              <w:t>71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6.09</w:t>
            </w:r>
          </w:p>
        </w:tc>
        <w:tc>
          <w:tcPr>
            <w:tcW w:w="3380" w:type="dxa"/>
            <w:vAlign w:val="bottom"/>
            <w:gridSpan w:val="71"/>
          </w:tcPr>
          <w:p>
            <w:pPr>
              <w:ind w:left="100"/>
              <w:spacing w:after="0" w:line="209" w:lineRule="exact"/>
              <w:rPr>
                <w:sz w:val="20"/>
                <w:szCs w:val="20"/>
                <w:color w:val="auto"/>
              </w:rPr>
            </w:pPr>
            <w:r>
              <w:rPr>
                <w:rFonts w:ascii="Arial" w:cs="Arial" w:eastAsia="Arial" w:hAnsi="Arial"/>
                <w:sz w:val="22"/>
                <w:szCs w:val="22"/>
                <w:color w:val="auto"/>
                <w:w w:val="94"/>
              </w:rPr>
              <w:t>Amendment of Material Documents</w:t>
            </w:r>
          </w:p>
        </w:tc>
        <w:tc>
          <w:tcPr>
            <w:tcW w:w="160" w:type="dxa"/>
            <w:vAlign w:val="bottom"/>
            <w:gridSpan w:val="2"/>
          </w:tcPr>
          <w:p>
            <w:pPr>
              <w:jc w:val="right"/>
              <w:spacing w:after="0" w:line="209" w:lineRule="exact"/>
              <w:rPr>
                <w:sz w:val="20"/>
                <w:szCs w:val="20"/>
                <w:color w:val="auto"/>
              </w:rPr>
            </w:pPr>
            <w:r>
              <w:rPr>
                <w:rFonts w:ascii="Arial" w:cs="Arial" w:eastAsia="Arial" w:hAnsi="Arial"/>
                <w:sz w:val="22"/>
                <w:szCs w:val="22"/>
                <w:color w:val="auto"/>
              </w:rPr>
              <w:t>1</w:t>
            </w:r>
          </w:p>
        </w:tc>
        <w:tc>
          <w:tcPr>
            <w:tcW w:w="220" w:type="dxa"/>
            <w:vAlign w:val="bottom"/>
            <w:gridSpan w:val="4"/>
          </w:tcPr>
          <w:p>
            <w:pPr>
              <w:jc w:val="center"/>
              <w:spacing w:after="0" w:line="209" w:lineRule="exact"/>
              <w:rPr>
                <w:sz w:val="20"/>
                <w:szCs w:val="20"/>
                <w:color w:val="auto"/>
              </w:rPr>
            </w:pPr>
            <w:r>
              <w:rPr>
                <w:rFonts w:ascii="Arial" w:cs="Arial" w:eastAsia="Arial" w:hAnsi="Arial"/>
                <w:sz w:val="22"/>
                <w:szCs w:val="22"/>
                <w:color w:val="FF0000"/>
                <w:strike w:val="1"/>
                <w:w w:val="89"/>
              </w:rPr>
              <w:t>88</w:t>
            </w:r>
          </w:p>
        </w:tc>
        <w:tc>
          <w:tcPr>
            <w:tcW w:w="280" w:type="dxa"/>
            <w:vAlign w:val="bottom"/>
            <w:gridSpan w:val="5"/>
          </w:tcPr>
          <w:p>
            <w:pPr>
              <w:jc w:val="right"/>
              <w:ind w:right="60"/>
              <w:spacing w:after="0" w:line="209" w:lineRule="exact"/>
              <w:rPr>
                <w:sz w:val="20"/>
                <w:szCs w:val="20"/>
                <w:color w:val="auto"/>
              </w:rPr>
            </w:pPr>
            <w:r>
              <w:rPr>
                <w:rFonts w:ascii="Arial" w:cs="Arial" w:eastAsia="Arial" w:hAnsi="Arial"/>
                <w:sz w:val="22"/>
                <w:szCs w:val="22"/>
                <w:color w:val="0000FF"/>
                <w:w w:val="81"/>
              </w:rPr>
              <w:t>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6.10</w:t>
            </w:r>
          </w:p>
        </w:tc>
        <w:tc>
          <w:tcPr>
            <w:tcW w:w="2680" w:type="dxa"/>
            <w:vAlign w:val="bottom"/>
            <w:gridSpan w:val="48"/>
          </w:tcPr>
          <w:p>
            <w:pPr>
              <w:ind w:left="100"/>
              <w:spacing w:after="0" w:line="223" w:lineRule="exact"/>
              <w:rPr>
                <w:sz w:val="20"/>
                <w:szCs w:val="20"/>
                <w:color w:val="auto"/>
              </w:rPr>
            </w:pPr>
            <w:r>
              <w:rPr>
                <w:rFonts w:ascii="Arial" w:cs="Arial" w:eastAsia="Arial" w:hAnsi="Arial"/>
                <w:sz w:val="22"/>
                <w:szCs w:val="22"/>
                <w:color w:val="auto"/>
                <w:w w:val="86"/>
              </w:rPr>
              <w:t>Change in Nature of Business</w:t>
            </w:r>
          </w:p>
        </w:tc>
        <w:tc>
          <w:tcPr>
            <w:tcW w:w="320" w:type="dxa"/>
            <w:vAlign w:val="bottom"/>
            <w:gridSpan w:val="10"/>
          </w:tcPr>
          <w:p>
            <w:pPr>
              <w:jc w:val="right"/>
              <w:spacing w:after="0" w:line="223" w:lineRule="exact"/>
              <w:rPr>
                <w:sz w:val="20"/>
                <w:szCs w:val="20"/>
                <w:color w:val="auto"/>
              </w:rPr>
            </w:pPr>
            <w:r>
              <w:rPr>
                <w:rFonts w:ascii="Arial" w:cs="Arial" w:eastAsia="Arial" w:hAnsi="Arial"/>
                <w:sz w:val="22"/>
                <w:szCs w:val="22"/>
                <w:color w:val="auto"/>
              </w:rPr>
              <w:t>1</w:t>
            </w:r>
          </w:p>
        </w:tc>
        <w:tc>
          <w:tcPr>
            <w:tcW w:w="100" w:type="dxa"/>
            <w:vAlign w:val="bottom"/>
            <w:gridSpan w:val="4"/>
          </w:tcPr>
          <w:p>
            <w:pPr>
              <w:spacing w:after="0"/>
              <w:rPr>
                <w:sz w:val="20"/>
                <w:szCs w:val="20"/>
                <w:color w:val="auto"/>
              </w:rPr>
            </w:pPr>
            <w:r>
              <w:rPr>
                <w:rFonts w:ascii="Arial" w:cs="Arial" w:eastAsia="Arial" w:hAnsi="Arial"/>
                <w:sz w:val="19"/>
                <w:szCs w:val="19"/>
                <w:color w:val="FF0000"/>
                <w:strike w:val="1"/>
                <w:w w:val="75"/>
              </w:rPr>
              <w:t>8</w:t>
            </w:r>
          </w:p>
        </w:tc>
        <w:tc>
          <w:tcPr>
            <w:tcW w:w="220" w:type="dxa"/>
            <w:vAlign w:val="bottom"/>
            <w:gridSpan w:val="8"/>
          </w:tcPr>
          <w:p>
            <w:pPr>
              <w:jc w:val="right"/>
              <w:spacing w:after="0" w:line="223" w:lineRule="exact"/>
              <w:rPr>
                <w:sz w:val="20"/>
                <w:szCs w:val="20"/>
                <w:color w:val="auto"/>
              </w:rPr>
            </w:pPr>
            <w:r>
              <w:rPr>
                <w:rFonts w:ascii="Arial" w:cs="Arial" w:eastAsia="Arial" w:hAnsi="Arial"/>
                <w:sz w:val="22"/>
                <w:szCs w:val="22"/>
                <w:color w:val="auto"/>
                <w:w w:val="81"/>
              </w:rPr>
              <w:t>7</w:t>
            </w:r>
            <w:r>
              <w:rPr>
                <w:rFonts w:ascii="Arial" w:cs="Arial" w:eastAsia="Arial" w:hAnsi="Arial"/>
                <w:sz w:val="22"/>
                <w:szCs w:val="22"/>
                <w:color w:val="3051F2"/>
                <w:w w:val="81"/>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jc w:val="center"/>
              <w:ind w:left="452"/>
              <w:spacing w:after="0" w:line="223" w:lineRule="exact"/>
              <w:rPr>
                <w:sz w:val="20"/>
                <w:szCs w:val="20"/>
                <w:color w:val="auto"/>
              </w:rPr>
            </w:pPr>
            <w:r>
              <w:rPr>
                <w:rFonts w:ascii="Arial" w:cs="Arial" w:eastAsia="Arial" w:hAnsi="Arial"/>
                <w:sz w:val="22"/>
                <w:szCs w:val="22"/>
                <w:color w:val="auto"/>
                <w:w w:val="86"/>
              </w:rPr>
              <w:t>Section 6.11</w:t>
            </w:r>
          </w:p>
        </w:tc>
        <w:tc>
          <w:tcPr>
            <w:tcW w:w="2680" w:type="dxa"/>
            <w:vAlign w:val="bottom"/>
            <w:gridSpan w:val="48"/>
          </w:tcPr>
          <w:p>
            <w:pPr>
              <w:ind w:left="80"/>
              <w:spacing w:after="0" w:line="223" w:lineRule="exact"/>
              <w:rPr>
                <w:sz w:val="20"/>
                <w:szCs w:val="20"/>
                <w:color w:val="auto"/>
              </w:rPr>
            </w:pPr>
            <w:r>
              <w:rPr>
                <w:rFonts w:ascii="Arial" w:cs="Arial" w:eastAsia="Arial" w:hAnsi="Arial"/>
                <w:sz w:val="22"/>
                <w:szCs w:val="22"/>
                <w:color w:val="auto"/>
                <w:w w:val="89"/>
              </w:rPr>
              <w:t>First Lien Net Leverage Ratio</w:t>
            </w:r>
          </w:p>
        </w:tc>
        <w:tc>
          <w:tcPr>
            <w:tcW w:w="320" w:type="dxa"/>
            <w:vAlign w:val="bottom"/>
            <w:gridSpan w:val="10"/>
          </w:tcPr>
          <w:p>
            <w:pPr>
              <w:jc w:val="right"/>
              <w:spacing w:after="0" w:line="223" w:lineRule="exact"/>
              <w:rPr>
                <w:sz w:val="20"/>
                <w:szCs w:val="20"/>
                <w:color w:val="auto"/>
              </w:rPr>
            </w:pPr>
            <w:r>
              <w:rPr>
                <w:rFonts w:ascii="Arial" w:cs="Arial" w:eastAsia="Arial" w:hAnsi="Arial"/>
                <w:sz w:val="22"/>
                <w:szCs w:val="22"/>
                <w:color w:val="auto"/>
              </w:rPr>
              <w:t>1</w:t>
            </w:r>
          </w:p>
        </w:tc>
        <w:tc>
          <w:tcPr>
            <w:tcW w:w="120" w:type="dxa"/>
            <w:vAlign w:val="bottom"/>
            <w:gridSpan w:val="5"/>
          </w:tcPr>
          <w:p>
            <w:pPr>
              <w:spacing w:after="0" w:line="223" w:lineRule="exact"/>
              <w:rPr>
                <w:sz w:val="20"/>
                <w:szCs w:val="20"/>
                <w:color w:val="auto"/>
              </w:rPr>
            </w:pPr>
            <w:r>
              <w:rPr>
                <w:rFonts w:ascii="Arial" w:cs="Arial" w:eastAsia="Arial" w:hAnsi="Arial"/>
                <w:sz w:val="22"/>
                <w:szCs w:val="22"/>
                <w:color w:val="FF0000"/>
                <w:strike w:val="1"/>
                <w:w w:val="81"/>
              </w:rPr>
              <w:t>8</w:t>
            </w:r>
          </w:p>
        </w:tc>
        <w:tc>
          <w:tcPr>
            <w:tcW w:w="200" w:type="dxa"/>
            <w:vAlign w:val="bottom"/>
            <w:gridSpan w:val="7"/>
          </w:tcPr>
          <w:p>
            <w:pPr>
              <w:jc w:val="right"/>
              <w:spacing w:after="0" w:line="223" w:lineRule="exact"/>
              <w:rPr>
                <w:sz w:val="20"/>
                <w:szCs w:val="20"/>
                <w:color w:val="auto"/>
              </w:rPr>
            </w:pPr>
            <w:r>
              <w:rPr>
                <w:rFonts w:ascii="Arial" w:cs="Arial" w:eastAsia="Arial" w:hAnsi="Arial"/>
                <w:sz w:val="22"/>
                <w:szCs w:val="22"/>
                <w:color w:val="auto"/>
                <w:w w:val="73"/>
              </w:rPr>
              <w:t>7</w:t>
            </w:r>
            <w:r>
              <w:rPr>
                <w:rFonts w:ascii="Arial" w:cs="Arial" w:eastAsia="Arial" w:hAnsi="Arial"/>
                <w:sz w:val="22"/>
                <w:szCs w:val="22"/>
                <w:color w:val="3051F2"/>
                <w:w w:val="73"/>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jc w:val="center"/>
              <w:ind w:left="472"/>
              <w:spacing w:after="0" w:line="209" w:lineRule="exact"/>
              <w:rPr>
                <w:sz w:val="20"/>
                <w:szCs w:val="20"/>
                <w:color w:val="auto"/>
              </w:rPr>
            </w:pPr>
            <w:r>
              <w:rPr>
                <w:rFonts w:ascii="Arial" w:cs="Arial" w:eastAsia="Arial" w:hAnsi="Arial"/>
                <w:sz w:val="22"/>
                <w:szCs w:val="22"/>
                <w:color w:val="auto"/>
                <w:w w:val="88"/>
              </w:rPr>
              <w:t>Section 6.12</w:t>
            </w:r>
          </w:p>
        </w:tc>
        <w:tc>
          <w:tcPr>
            <w:tcW w:w="1360" w:type="dxa"/>
            <w:vAlign w:val="bottom"/>
            <w:gridSpan w:val="14"/>
          </w:tcPr>
          <w:p>
            <w:pPr>
              <w:ind w:left="100"/>
              <w:spacing w:after="0" w:line="209" w:lineRule="exact"/>
              <w:rPr>
                <w:sz w:val="20"/>
                <w:szCs w:val="20"/>
                <w:color w:val="auto"/>
              </w:rPr>
            </w:pPr>
            <w:r>
              <w:rPr>
                <w:rFonts w:ascii="Arial" w:cs="Arial" w:eastAsia="Arial" w:hAnsi="Arial"/>
                <w:sz w:val="22"/>
                <w:szCs w:val="22"/>
                <w:color w:val="auto"/>
                <w:w w:val="94"/>
              </w:rPr>
              <w:t>[Reserved]  1</w:t>
            </w:r>
          </w:p>
        </w:tc>
        <w:tc>
          <w:tcPr>
            <w:tcW w:w="120" w:type="dxa"/>
            <w:vAlign w:val="bottom"/>
            <w:gridSpan w:val="2"/>
          </w:tcPr>
          <w:p>
            <w:pPr>
              <w:jc w:val="right"/>
              <w:spacing w:after="0" w:line="209" w:lineRule="exact"/>
              <w:rPr>
                <w:sz w:val="20"/>
                <w:szCs w:val="20"/>
                <w:color w:val="auto"/>
              </w:rPr>
            </w:pPr>
            <w:r>
              <w:rPr>
                <w:rFonts w:ascii="Arial" w:cs="Arial" w:eastAsia="Arial" w:hAnsi="Arial"/>
                <w:sz w:val="22"/>
                <w:szCs w:val="22"/>
                <w:color w:val="FF0000"/>
                <w:strike w:val="1"/>
                <w:w w:val="81"/>
              </w:rPr>
              <w:t>8</w:t>
            </w:r>
          </w:p>
        </w:tc>
        <w:tc>
          <w:tcPr>
            <w:tcW w:w="1740" w:type="dxa"/>
            <w:vAlign w:val="bottom"/>
            <w:gridSpan w:val="50"/>
          </w:tcPr>
          <w:p>
            <w:pPr>
              <w:spacing w:after="0" w:line="209" w:lineRule="exact"/>
              <w:rPr>
                <w:sz w:val="20"/>
                <w:szCs w:val="20"/>
                <w:color w:val="auto"/>
              </w:rPr>
            </w:pPr>
            <w:r>
              <w:rPr>
                <w:rFonts w:ascii="Arial" w:cs="Arial" w:eastAsia="Arial" w:hAnsi="Arial"/>
                <w:sz w:val="22"/>
                <w:szCs w:val="22"/>
                <w:color w:val="auto"/>
                <w:w w:val="81"/>
              </w:rPr>
              <w:t>7</w:t>
            </w:r>
            <w:r>
              <w:rPr>
                <w:rFonts w:ascii="Arial" w:cs="Arial" w:eastAsia="Arial" w:hAnsi="Arial"/>
                <w:sz w:val="22"/>
                <w:szCs w:val="22"/>
                <w:color w:val="3051F2"/>
                <w:w w:val="81"/>
              </w:rPr>
              <w:t>3</w:t>
            </w:r>
          </w:p>
        </w:tc>
        <w:tc>
          <w:tcPr>
            <w:tcW w:w="100" w:type="dxa"/>
            <w:vAlign w:val="bottom"/>
            <w:tcBorders>
              <w:top w:val="single" w:sz="8" w:color="3051F2"/>
            </w:tcBorders>
            <w:gridSpan w:val="4"/>
          </w:tcPr>
          <w:p>
            <w:pPr>
              <w:spacing w:after="0"/>
              <w:rPr>
                <w:sz w:val="18"/>
                <w:szCs w:val="18"/>
                <w:color w:val="auto"/>
              </w:rPr>
            </w:pPr>
          </w:p>
        </w:tc>
        <w:tc>
          <w:tcPr>
            <w:tcW w:w="3520" w:type="dxa"/>
            <w:vAlign w:val="bottom"/>
            <w:gridSpan w:val="3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10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jc w:val="center"/>
              <w:ind w:left="472"/>
              <w:spacing w:after="0" w:line="223" w:lineRule="exact"/>
              <w:rPr>
                <w:sz w:val="20"/>
                <w:szCs w:val="20"/>
                <w:color w:val="auto"/>
              </w:rPr>
            </w:pPr>
            <w:r>
              <w:rPr>
                <w:rFonts w:ascii="Arial" w:cs="Arial" w:eastAsia="Arial" w:hAnsi="Arial"/>
                <w:sz w:val="22"/>
                <w:szCs w:val="22"/>
                <w:color w:val="auto"/>
                <w:w w:val="88"/>
              </w:rPr>
              <w:t>Section 6.13</w:t>
            </w:r>
          </w:p>
        </w:tc>
        <w:tc>
          <w:tcPr>
            <w:tcW w:w="2220" w:type="dxa"/>
            <w:vAlign w:val="bottom"/>
            <w:gridSpan w:val="39"/>
          </w:tcPr>
          <w:p>
            <w:pPr>
              <w:ind w:left="100"/>
              <w:spacing w:after="0" w:line="223" w:lineRule="exact"/>
              <w:rPr>
                <w:sz w:val="20"/>
                <w:szCs w:val="20"/>
                <w:color w:val="auto"/>
              </w:rPr>
            </w:pPr>
            <w:r>
              <w:rPr>
                <w:rFonts w:ascii="Arial" w:cs="Arial" w:eastAsia="Arial" w:hAnsi="Arial"/>
                <w:sz w:val="22"/>
                <w:szCs w:val="22"/>
                <w:color w:val="auto"/>
                <w:w w:val="92"/>
              </w:rPr>
              <w:t>Changes in Fiscal Year</w:t>
            </w:r>
          </w:p>
        </w:tc>
        <w:tc>
          <w:tcPr>
            <w:tcW w:w="180" w:type="dxa"/>
            <w:vAlign w:val="bottom"/>
            <w:gridSpan w:val="4"/>
          </w:tcPr>
          <w:p>
            <w:pPr>
              <w:jc w:val="right"/>
              <w:spacing w:after="0" w:line="223" w:lineRule="exact"/>
              <w:rPr>
                <w:sz w:val="20"/>
                <w:szCs w:val="20"/>
                <w:color w:val="auto"/>
              </w:rPr>
            </w:pPr>
            <w:r>
              <w:rPr>
                <w:rFonts w:ascii="Arial" w:cs="Arial" w:eastAsia="Arial" w:hAnsi="Arial"/>
                <w:sz w:val="22"/>
                <w:szCs w:val="22"/>
                <w:color w:val="auto"/>
              </w:rPr>
              <w:t>1</w:t>
            </w:r>
          </w:p>
        </w:tc>
        <w:tc>
          <w:tcPr>
            <w:tcW w:w="100" w:type="dxa"/>
            <w:vAlign w:val="bottom"/>
            <w:gridSpan w:val="2"/>
          </w:tcPr>
          <w:p>
            <w:pPr>
              <w:jc w:val="right"/>
              <w:spacing w:after="0"/>
              <w:rPr>
                <w:sz w:val="20"/>
                <w:szCs w:val="20"/>
                <w:color w:val="auto"/>
              </w:rPr>
            </w:pPr>
            <w:r>
              <w:rPr>
                <w:rFonts w:ascii="Arial" w:cs="Arial" w:eastAsia="Arial" w:hAnsi="Arial"/>
                <w:sz w:val="19"/>
                <w:szCs w:val="19"/>
                <w:color w:val="FF0000"/>
                <w:strike w:val="1"/>
                <w:w w:val="75"/>
              </w:rPr>
              <w:t>8</w:t>
            </w:r>
          </w:p>
        </w:tc>
        <w:tc>
          <w:tcPr>
            <w:tcW w:w="4340" w:type="dxa"/>
            <w:vAlign w:val="bottom"/>
            <w:gridSpan w:val="55"/>
          </w:tcPr>
          <w:p>
            <w:pPr>
              <w:jc w:val="center"/>
              <w:ind w:right="4120"/>
              <w:spacing w:after="0" w:line="223" w:lineRule="exact"/>
              <w:rPr>
                <w:sz w:val="20"/>
                <w:szCs w:val="20"/>
                <w:color w:val="auto"/>
              </w:rPr>
            </w:pPr>
            <w:r>
              <w:rPr>
                <w:rFonts w:ascii="Arial" w:cs="Arial" w:eastAsia="Arial" w:hAnsi="Arial"/>
                <w:sz w:val="22"/>
                <w:szCs w:val="22"/>
                <w:color w:val="auto"/>
                <w:w w:val="89"/>
              </w:rPr>
              <w:t>7</w:t>
            </w:r>
            <w:r>
              <w:rPr>
                <w:rFonts w:ascii="Arial" w:cs="Arial" w:eastAsia="Arial" w:hAnsi="Arial"/>
                <w:sz w:val="22"/>
                <w:szCs w:val="22"/>
                <w:color w:val="3051F2"/>
                <w:w w:val="89"/>
              </w:rPr>
              <w:t>3</w:t>
            </w:r>
          </w:p>
        </w:tc>
        <w:tc>
          <w:tcPr>
            <w:tcW w:w="0" w:type="dxa"/>
            <w:vAlign w:val="bottom"/>
          </w:tcPr>
          <w:p>
            <w:pPr>
              <w:spacing w:after="0"/>
              <w:rPr>
                <w:sz w:val="1"/>
                <w:szCs w:val="1"/>
                <w:color w:val="auto"/>
              </w:rPr>
            </w:pPr>
          </w:p>
        </w:tc>
      </w:tr>
      <w:tr>
        <w:trPr>
          <w:trHeight w:val="20"/>
        </w:trPr>
        <w:tc>
          <w:tcPr>
            <w:tcW w:w="4500" w:type="dxa"/>
            <w:vAlign w:val="bottom"/>
            <w:tcBorders>
              <w:right w:val="single" w:sz="8" w:color="3051F2"/>
            </w:tcBorders>
            <w:gridSpan w:val="49"/>
          </w:tcPr>
          <w:p>
            <w:pPr>
              <w:spacing w:after="0" w:line="20" w:lineRule="exact"/>
              <w:rPr>
                <w:sz w:val="1"/>
                <w:szCs w:val="1"/>
                <w:color w:val="auto"/>
              </w:rPr>
            </w:pPr>
          </w:p>
        </w:tc>
        <w:tc>
          <w:tcPr>
            <w:tcW w:w="4160" w:type="dxa"/>
            <w:vAlign w:val="bottom"/>
            <w:tcBorders>
              <w:left w:val="single" w:sz="8" w:color="3051F2"/>
            </w:tcBorders>
            <w:gridSpan w:val="5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39"/>
          </w:cols>
          <w:pgMar w:left="320" w:top="1372"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0"/>
          <w:szCs w:val="10"/>
          <w:color w:val="FF0000"/>
          <w:strike w:val="1"/>
        </w:rPr>
        <w:t>#91301181v32</w:t>
      </w:r>
    </w:p>
    <w:p>
      <w:pPr>
        <w:sectPr>
          <w:pgSz w:w="11900" w:h="16838" w:orient="portrait"/>
          <w:cols w:equalWidth="0" w:num="1">
            <w:col w:w="10139"/>
          </w:cols>
          <w:pgMar w:left="320" w:top="1372" w:right="1440"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53"/>
        </w:trPr>
        <w:tc>
          <w:tcPr>
            <w:tcW w:w="1820" w:type="dxa"/>
            <w:vAlign w:val="bottom"/>
          </w:tcPr>
          <w:p>
            <w:pPr>
              <w:ind w:left="660"/>
              <w:spacing w:after="0"/>
              <w:rPr>
                <w:sz w:val="20"/>
                <w:szCs w:val="20"/>
                <w:color w:val="auto"/>
              </w:rPr>
            </w:pPr>
            <w:r>
              <w:rPr>
                <w:rFonts w:ascii="Arial" w:cs="Arial" w:eastAsia="Arial" w:hAnsi="Arial"/>
                <w:sz w:val="22"/>
                <w:szCs w:val="22"/>
                <w:color w:val="auto"/>
                <w:w w:val="93"/>
              </w:rPr>
              <w:t>Section 6.14</w:t>
            </w:r>
          </w:p>
        </w:tc>
        <w:tc>
          <w:tcPr>
            <w:tcW w:w="1220" w:type="dxa"/>
            <w:vAlign w:val="bottom"/>
            <w:gridSpan w:val="4"/>
          </w:tcPr>
          <w:p>
            <w:pPr>
              <w:ind w:left="100"/>
              <w:spacing w:after="0"/>
              <w:rPr>
                <w:sz w:val="20"/>
                <w:szCs w:val="20"/>
                <w:color w:val="auto"/>
              </w:rPr>
            </w:pPr>
            <w:r>
              <w:rPr>
                <w:rFonts w:ascii="Arial" w:cs="Arial" w:eastAsia="Arial" w:hAnsi="Arial"/>
                <w:sz w:val="22"/>
                <w:szCs w:val="22"/>
                <w:color w:val="auto"/>
                <w:w w:val="99"/>
              </w:rPr>
              <w:t>Holdings  1</w:t>
            </w:r>
          </w:p>
        </w:tc>
        <w:tc>
          <w:tcPr>
            <w:tcW w:w="100" w:type="dxa"/>
            <w:vAlign w:val="bottom"/>
            <w:gridSpan w:val="3"/>
          </w:tcPr>
          <w:p>
            <w:pPr>
              <w:jc w:val="right"/>
              <w:spacing w:after="0"/>
              <w:rPr>
                <w:sz w:val="20"/>
                <w:szCs w:val="20"/>
                <w:color w:val="auto"/>
              </w:rPr>
            </w:pPr>
            <w:r>
              <w:rPr>
                <w:rFonts w:ascii="Arial" w:cs="Arial" w:eastAsia="Arial" w:hAnsi="Arial"/>
                <w:sz w:val="19"/>
                <w:szCs w:val="19"/>
                <w:color w:val="FF0000"/>
                <w:strike w:val="1"/>
                <w:w w:val="75"/>
              </w:rPr>
              <w:t>8</w:t>
            </w:r>
          </w:p>
        </w:tc>
        <w:tc>
          <w:tcPr>
            <w:tcW w:w="6120" w:type="dxa"/>
            <w:vAlign w:val="bottom"/>
            <w:gridSpan w:val="85"/>
          </w:tcPr>
          <w:p>
            <w:pPr>
              <w:jc w:val="right"/>
              <w:ind w:right="5792"/>
              <w:spacing w:after="0"/>
              <w:rPr>
                <w:sz w:val="20"/>
                <w:szCs w:val="20"/>
                <w:color w:val="auto"/>
              </w:rPr>
            </w:pPr>
            <w:r>
              <w:rPr>
                <w:rFonts w:ascii="Arial" w:cs="Arial" w:eastAsia="Arial" w:hAnsi="Arial"/>
                <w:sz w:val="22"/>
                <w:szCs w:val="22"/>
                <w:color w:val="auto"/>
                <w:w w:val="81"/>
              </w:rPr>
              <w:t>7</w:t>
            </w:r>
            <w:r>
              <w:rPr>
                <w:rFonts w:ascii="Arial" w:cs="Arial" w:eastAsia="Arial" w:hAnsi="Arial"/>
                <w:sz w:val="22"/>
                <w:szCs w:val="22"/>
                <w:color w:val="3051F2"/>
                <w:w w:val="81"/>
              </w:rPr>
              <w:t>3</w:t>
            </w:r>
          </w:p>
        </w:tc>
        <w:tc>
          <w:tcPr>
            <w:tcW w:w="0" w:type="dxa"/>
            <w:vAlign w:val="bottom"/>
          </w:tcPr>
          <w:p>
            <w:pPr>
              <w:spacing w:after="0"/>
              <w:rPr>
                <w:sz w:val="1"/>
                <w:szCs w:val="1"/>
                <w:color w:val="auto"/>
              </w:rPr>
            </w:pPr>
          </w:p>
        </w:tc>
      </w:tr>
      <w:tr>
        <w:trPr>
          <w:trHeight w:val="20"/>
        </w:trPr>
        <w:tc>
          <w:tcPr>
            <w:tcW w:w="3300" w:type="dxa"/>
            <w:vAlign w:val="bottom"/>
            <w:tcBorders>
              <w:right w:val="single" w:sz="8" w:color="3051F2"/>
            </w:tcBorders>
            <w:gridSpan w:val="11"/>
          </w:tcPr>
          <w:p>
            <w:pPr>
              <w:spacing w:after="0" w:line="20" w:lineRule="exact"/>
              <w:rPr>
                <w:sz w:val="1"/>
                <w:szCs w:val="1"/>
                <w:color w:val="auto"/>
              </w:rPr>
            </w:pPr>
          </w:p>
        </w:tc>
        <w:tc>
          <w:tcPr>
            <w:tcW w:w="5960" w:type="dxa"/>
            <w:vAlign w:val="bottom"/>
            <w:tcBorders>
              <w:left w:val="single" w:sz="8" w:color="3051F2"/>
            </w:tcBorders>
            <w:gridSpan w:val="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140" w:type="dxa"/>
            <w:vAlign w:val="bottom"/>
            <w:gridSpan w:val="8"/>
          </w:tcPr>
          <w:p>
            <w:pPr>
              <w:spacing w:after="0"/>
              <w:rPr>
                <w:sz w:val="20"/>
                <w:szCs w:val="20"/>
                <w:color w:val="auto"/>
              </w:rPr>
            </w:pPr>
            <w:r>
              <w:rPr>
                <w:rFonts w:ascii="Arial" w:cs="Arial" w:eastAsia="Arial" w:hAnsi="Arial"/>
                <w:sz w:val="22"/>
                <w:szCs w:val="22"/>
                <w:b w:val="1"/>
                <w:bCs w:val="1"/>
                <w:color w:val="auto"/>
                <w:w w:val="99"/>
              </w:rPr>
              <w:t>ARTICLE VII Events of Default</w:t>
            </w:r>
          </w:p>
        </w:tc>
        <w:tc>
          <w:tcPr>
            <w:tcW w:w="300" w:type="dxa"/>
            <w:vAlign w:val="bottom"/>
            <w:gridSpan w:val="6"/>
          </w:tcPr>
          <w:p>
            <w:pPr>
              <w:jc w:val="right"/>
              <w:spacing w:after="0"/>
              <w:rPr>
                <w:sz w:val="20"/>
                <w:szCs w:val="20"/>
                <w:color w:val="auto"/>
              </w:rPr>
            </w:pPr>
            <w:r>
              <w:rPr>
                <w:rFonts w:ascii="Arial" w:cs="Arial" w:eastAsia="Arial" w:hAnsi="Arial"/>
                <w:sz w:val="22"/>
                <w:szCs w:val="22"/>
                <w:b w:val="1"/>
                <w:bCs w:val="1"/>
                <w:color w:val="auto"/>
              </w:rPr>
              <w:t>17</w:t>
            </w:r>
          </w:p>
        </w:tc>
        <w:tc>
          <w:tcPr>
            <w:tcW w:w="100" w:type="dxa"/>
            <w:vAlign w:val="bottom"/>
            <w:gridSpan w:val="2"/>
          </w:tcPr>
          <w:p>
            <w:pPr>
              <w:jc w:val="right"/>
              <w:spacing w:after="0"/>
              <w:rPr>
                <w:sz w:val="20"/>
                <w:szCs w:val="20"/>
                <w:color w:val="auto"/>
              </w:rPr>
            </w:pPr>
            <w:r>
              <w:rPr>
                <w:rFonts w:ascii="Arial" w:cs="Arial" w:eastAsia="Arial" w:hAnsi="Arial"/>
                <w:sz w:val="19"/>
                <w:szCs w:val="19"/>
                <w:b w:val="1"/>
                <w:bCs w:val="1"/>
                <w:color w:val="FF0000"/>
                <w:strike w:val="1"/>
                <w:w w:val="75"/>
              </w:rPr>
              <w:t>1</w:t>
            </w:r>
          </w:p>
        </w:tc>
        <w:tc>
          <w:tcPr>
            <w:tcW w:w="5720" w:type="dxa"/>
            <w:vAlign w:val="bottom"/>
            <w:gridSpan w:val="77"/>
          </w:tcPr>
          <w:p>
            <w:pPr>
              <w:spacing w:after="0"/>
              <w:rPr>
                <w:sz w:val="20"/>
                <w:szCs w:val="20"/>
                <w:color w:val="auto"/>
              </w:rPr>
            </w:pPr>
            <w:r>
              <w:rPr>
                <w:rFonts w:ascii="Arial" w:cs="Arial" w:eastAsia="Arial" w:hAnsi="Arial"/>
                <w:sz w:val="22"/>
                <w:szCs w:val="22"/>
                <w:b w:val="1"/>
                <w:bCs w:val="1"/>
                <w:color w:val="0000FF"/>
              </w:rPr>
              <w:t>5</w:t>
            </w:r>
          </w:p>
        </w:tc>
        <w:tc>
          <w:tcPr>
            <w:tcW w:w="0" w:type="dxa"/>
            <w:vAlign w:val="bottom"/>
          </w:tcPr>
          <w:p>
            <w:pPr>
              <w:spacing w:after="0"/>
              <w:rPr>
                <w:sz w:val="1"/>
                <w:szCs w:val="1"/>
                <w:color w:val="auto"/>
              </w:rPr>
            </w:pPr>
          </w:p>
        </w:tc>
      </w:tr>
      <w:tr>
        <w:trPr>
          <w:trHeight w:val="196"/>
        </w:trPr>
        <w:tc>
          <w:tcPr>
            <w:tcW w:w="1820" w:type="dxa"/>
            <w:vAlign w:val="bottom"/>
          </w:tcPr>
          <w:p>
            <w:pPr>
              <w:ind w:left="660"/>
              <w:spacing w:after="0" w:line="195" w:lineRule="exact"/>
              <w:rPr>
                <w:sz w:val="20"/>
                <w:szCs w:val="20"/>
                <w:color w:val="auto"/>
              </w:rPr>
            </w:pPr>
            <w:r>
              <w:rPr>
                <w:rFonts w:ascii="Arial" w:cs="Arial" w:eastAsia="Arial" w:hAnsi="Arial"/>
                <w:sz w:val="22"/>
                <w:szCs w:val="22"/>
                <w:color w:val="auto"/>
                <w:w w:val="93"/>
              </w:rPr>
              <w:t>Section 7.01</w:t>
            </w:r>
          </w:p>
        </w:tc>
        <w:tc>
          <w:tcPr>
            <w:tcW w:w="1720" w:type="dxa"/>
            <w:vAlign w:val="bottom"/>
            <w:gridSpan w:val="15"/>
          </w:tcPr>
          <w:p>
            <w:pPr>
              <w:ind w:left="100"/>
              <w:spacing w:after="0" w:line="195" w:lineRule="exact"/>
              <w:rPr>
                <w:sz w:val="20"/>
                <w:szCs w:val="20"/>
                <w:color w:val="auto"/>
              </w:rPr>
            </w:pPr>
            <w:r>
              <w:rPr>
                <w:rFonts w:ascii="Arial" w:cs="Arial" w:eastAsia="Arial" w:hAnsi="Arial"/>
                <w:sz w:val="22"/>
                <w:szCs w:val="22"/>
                <w:color w:val="auto"/>
                <w:w w:val="89"/>
              </w:rPr>
              <w:t>Events of Default</w:t>
            </w:r>
          </w:p>
        </w:tc>
        <w:tc>
          <w:tcPr>
            <w:tcW w:w="140" w:type="dxa"/>
            <w:vAlign w:val="bottom"/>
            <w:tcBorders>
              <w:top w:val="single" w:sz="8" w:color="0000FF"/>
            </w:tcBorders>
            <w:gridSpan w:val="2"/>
          </w:tcPr>
          <w:p>
            <w:pPr>
              <w:spacing w:after="0"/>
              <w:rPr>
                <w:sz w:val="17"/>
                <w:szCs w:val="17"/>
                <w:color w:val="auto"/>
              </w:rPr>
            </w:pPr>
          </w:p>
        </w:tc>
        <w:tc>
          <w:tcPr>
            <w:tcW w:w="200" w:type="dxa"/>
            <w:vAlign w:val="bottom"/>
            <w:gridSpan w:val="7"/>
          </w:tcPr>
          <w:p>
            <w:pPr>
              <w:jc w:val="right"/>
              <w:spacing w:after="0" w:line="195" w:lineRule="exact"/>
              <w:rPr>
                <w:sz w:val="20"/>
                <w:szCs w:val="20"/>
                <w:color w:val="auto"/>
              </w:rPr>
            </w:pPr>
            <w:r>
              <w:rPr>
                <w:rFonts w:ascii="Arial" w:cs="Arial" w:eastAsia="Arial" w:hAnsi="Arial"/>
                <w:sz w:val="22"/>
                <w:szCs w:val="22"/>
                <w:color w:val="auto"/>
                <w:w w:val="73"/>
              </w:rPr>
              <w:t>17</w:t>
            </w:r>
          </w:p>
        </w:tc>
        <w:tc>
          <w:tcPr>
            <w:tcW w:w="100" w:type="dxa"/>
            <w:vAlign w:val="bottom"/>
            <w:gridSpan w:val="3"/>
          </w:tcPr>
          <w:p>
            <w:pPr>
              <w:spacing w:after="0" w:line="196" w:lineRule="exact"/>
              <w:rPr>
                <w:sz w:val="20"/>
                <w:szCs w:val="20"/>
                <w:color w:val="auto"/>
              </w:rPr>
            </w:pPr>
            <w:r>
              <w:rPr>
                <w:rFonts w:ascii="Arial" w:cs="Arial" w:eastAsia="Arial" w:hAnsi="Arial"/>
                <w:sz w:val="19"/>
                <w:szCs w:val="19"/>
                <w:color w:val="FF0000"/>
                <w:strike w:val="1"/>
                <w:w w:val="75"/>
              </w:rPr>
              <w:t>1</w:t>
            </w:r>
          </w:p>
        </w:tc>
        <w:tc>
          <w:tcPr>
            <w:tcW w:w="120" w:type="dxa"/>
            <w:vAlign w:val="bottom"/>
            <w:tcBorders>
              <w:bottom w:val="single" w:sz="8" w:color="0000FF"/>
            </w:tcBorders>
            <w:gridSpan w:val="4"/>
          </w:tcPr>
          <w:p>
            <w:pPr>
              <w:jc w:val="right"/>
              <w:ind w:right="20"/>
              <w:spacing w:after="0" w:line="196" w:lineRule="exact"/>
              <w:rPr>
                <w:sz w:val="20"/>
                <w:szCs w:val="20"/>
                <w:color w:val="auto"/>
              </w:rPr>
            </w:pPr>
            <w:r>
              <w:rPr>
                <w:rFonts w:ascii="Arial" w:cs="Arial" w:eastAsia="Arial" w:hAnsi="Arial"/>
                <w:sz w:val="19"/>
                <w:szCs w:val="19"/>
                <w:color w:val="0000FF"/>
                <w:w w:val="75"/>
              </w:rPr>
              <w:t>5</w:t>
            </w:r>
          </w:p>
        </w:tc>
        <w:tc>
          <w:tcPr>
            <w:tcW w:w="5160" w:type="dxa"/>
            <w:vAlign w:val="bottom"/>
            <w:gridSpan w:val="61"/>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7.02</w:t>
            </w:r>
          </w:p>
        </w:tc>
        <w:tc>
          <w:tcPr>
            <w:tcW w:w="1260" w:type="dxa"/>
            <w:vAlign w:val="bottom"/>
            <w:gridSpan w:val="5"/>
          </w:tcPr>
          <w:p>
            <w:pPr>
              <w:ind w:left="100"/>
              <w:spacing w:after="0" w:line="209" w:lineRule="exact"/>
              <w:rPr>
                <w:sz w:val="20"/>
                <w:szCs w:val="20"/>
                <w:color w:val="auto"/>
              </w:rPr>
            </w:pPr>
            <w:r>
              <w:rPr>
                <w:rFonts w:ascii="Arial" w:cs="Arial" w:eastAsia="Arial" w:hAnsi="Arial"/>
                <w:sz w:val="22"/>
                <w:szCs w:val="22"/>
                <w:color w:val="auto"/>
              </w:rPr>
              <w:t>[Reserved]</w:t>
            </w:r>
          </w:p>
        </w:tc>
        <w:tc>
          <w:tcPr>
            <w:tcW w:w="320" w:type="dxa"/>
            <w:vAlign w:val="bottom"/>
            <w:gridSpan w:val="7"/>
          </w:tcPr>
          <w:p>
            <w:pPr>
              <w:spacing w:after="0" w:line="209" w:lineRule="exact"/>
              <w:rPr>
                <w:sz w:val="20"/>
                <w:szCs w:val="20"/>
                <w:color w:val="auto"/>
              </w:rPr>
            </w:pPr>
            <w:r>
              <w:rPr>
                <w:rFonts w:ascii="Arial" w:cs="Arial" w:eastAsia="Arial" w:hAnsi="Arial"/>
                <w:sz w:val="22"/>
                <w:szCs w:val="22"/>
                <w:color w:val="FF0000"/>
                <w:strike w:val="1"/>
                <w:w w:val="81"/>
              </w:rPr>
              <w:t>195</w:t>
            </w:r>
          </w:p>
        </w:tc>
        <w:tc>
          <w:tcPr>
            <w:tcW w:w="340" w:type="dxa"/>
            <w:vAlign w:val="bottom"/>
            <w:tcBorders>
              <w:bottom w:val="single" w:sz="8" w:color="0000FF"/>
            </w:tcBorders>
            <w:gridSpan w:val="7"/>
          </w:tcPr>
          <w:p>
            <w:pPr>
              <w:jc w:val="right"/>
              <w:ind w:right="20"/>
              <w:spacing w:after="0" w:line="209" w:lineRule="exact"/>
              <w:rPr>
                <w:sz w:val="20"/>
                <w:szCs w:val="20"/>
                <w:color w:val="auto"/>
              </w:rPr>
            </w:pPr>
            <w:r>
              <w:rPr>
                <w:rFonts w:ascii="Arial" w:cs="Arial" w:eastAsia="Arial" w:hAnsi="Arial"/>
                <w:sz w:val="22"/>
                <w:szCs w:val="22"/>
                <w:color w:val="0000FF"/>
                <w:w w:val="81"/>
              </w:rPr>
              <w:t>178</w:t>
            </w:r>
          </w:p>
        </w:tc>
        <w:tc>
          <w:tcPr>
            <w:tcW w:w="5520" w:type="dxa"/>
            <w:vAlign w:val="bottom"/>
            <w:gridSpan w:val="7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7.03</w:t>
            </w:r>
          </w:p>
        </w:tc>
        <w:tc>
          <w:tcPr>
            <w:tcW w:w="2340" w:type="dxa"/>
            <w:vAlign w:val="bottom"/>
            <w:gridSpan w:val="33"/>
          </w:tcPr>
          <w:p>
            <w:pPr>
              <w:ind w:left="100"/>
              <w:spacing w:after="0" w:line="223" w:lineRule="exact"/>
              <w:rPr>
                <w:sz w:val="20"/>
                <w:szCs w:val="20"/>
                <w:color w:val="auto"/>
              </w:rPr>
            </w:pPr>
            <w:r>
              <w:rPr>
                <w:rFonts w:ascii="Arial" w:cs="Arial" w:eastAsia="Arial" w:hAnsi="Arial"/>
                <w:sz w:val="22"/>
                <w:szCs w:val="22"/>
                <w:color w:val="auto"/>
                <w:w w:val="96"/>
              </w:rPr>
              <w:t>Application of Proceeds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6"/>
          </w:tcPr>
          <w:p>
            <w:pPr>
              <w:jc w:val="right"/>
              <w:spacing w:after="0" w:line="223" w:lineRule="exact"/>
              <w:rPr>
                <w:sz w:val="20"/>
                <w:szCs w:val="20"/>
                <w:color w:val="auto"/>
              </w:rPr>
            </w:pPr>
            <w:r>
              <w:rPr>
                <w:rFonts w:ascii="Arial" w:cs="Arial" w:eastAsia="Arial" w:hAnsi="Arial"/>
                <w:sz w:val="22"/>
                <w:szCs w:val="22"/>
                <w:color w:val="FF0000"/>
                <w:strike w:val="1"/>
                <w:w w:val="76"/>
              </w:rPr>
              <w:t>195</w:t>
            </w:r>
          </w:p>
        </w:tc>
        <w:tc>
          <w:tcPr>
            <w:tcW w:w="340" w:type="dxa"/>
            <w:vAlign w:val="bottom"/>
            <w:gridSpan w:val="8"/>
          </w:tcPr>
          <w:p>
            <w:pPr>
              <w:jc w:val="right"/>
              <w:ind w:right="20"/>
              <w:spacing w:after="0" w:line="223" w:lineRule="exact"/>
              <w:rPr>
                <w:sz w:val="20"/>
                <w:szCs w:val="20"/>
                <w:color w:val="auto"/>
              </w:rPr>
            </w:pPr>
            <w:r>
              <w:rPr>
                <w:rFonts w:ascii="Arial" w:cs="Arial" w:eastAsia="Arial" w:hAnsi="Arial"/>
                <w:sz w:val="22"/>
                <w:szCs w:val="22"/>
                <w:color w:val="0000FF"/>
                <w:w w:val="81"/>
              </w:rPr>
              <w:t>178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7.04</w:t>
            </w:r>
          </w:p>
        </w:tc>
        <w:tc>
          <w:tcPr>
            <w:tcW w:w="1480" w:type="dxa"/>
            <w:vAlign w:val="bottom"/>
            <w:gridSpan w:val="10"/>
          </w:tcPr>
          <w:p>
            <w:pPr>
              <w:ind w:left="100"/>
              <w:spacing w:after="0" w:line="223" w:lineRule="exact"/>
              <w:rPr>
                <w:sz w:val="20"/>
                <w:szCs w:val="20"/>
                <w:color w:val="auto"/>
              </w:rPr>
            </w:pPr>
            <w:r>
              <w:rPr>
                <w:rFonts w:ascii="Arial" w:cs="Arial" w:eastAsia="Arial" w:hAnsi="Arial"/>
                <w:sz w:val="22"/>
                <w:szCs w:val="22"/>
                <w:color w:val="auto"/>
                <w:w w:val="92"/>
              </w:rPr>
              <w:t>Right to Cure</w:t>
            </w:r>
          </w:p>
        </w:tc>
        <w:tc>
          <w:tcPr>
            <w:tcW w:w="360" w:type="dxa"/>
            <w:vAlign w:val="bottom"/>
            <w:gridSpan w:val="6"/>
          </w:tcPr>
          <w:p>
            <w:pPr>
              <w:spacing w:after="0" w:line="223" w:lineRule="exact"/>
              <w:rPr>
                <w:sz w:val="20"/>
                <w:szCs w:val="20"/>
                <w:color w:val="auto"/>
              </w:rPr>
            </w:pPr>
            <w:r>
              <w:rPr>
                <w:rFonts w:ascii="Arial" w:cs="Arial" w:eastAsia="Arial" w:hAnsi="Arial"/>
                <w:sz w:val="22"/>
                <w:szCs w:val="22"/>
                <w:color w:val="0000FF"/>
                <w:w w:val="87"/>
              </w:rPr>
              <w:t>18</w:t>
            </w:r>
            <w:r>
              <w:rPr>
                <w:rFonts w:ascii="Arial" w:cs="Arial" w:eastAsia="Arial" w:hAnsi="Arial"/>
                <w:sz w:val="22"/>
                <w:szCs w:val="22"/>
                <w:color w:val="000000"/>
                <w:w w:val="87"/>
              </w:rPr>
              <w:t>0</w:t>
            </w:r>
          </w:p>
        </w:tc>
        <w:tc>
          <w:tcPr>
            <w:tcW w:w="880" w:type="dxa"/>
            <w:vAlign w:val="bottom"/>
            <w:gridSpan w:val="25"/>
          </w:tcPr>
          <w:p>
            <w:pPr>
              <w:spacing w:after="0" w:line="223" w:lineRule="exact"/>
              <w:rPr>
                <w:sz w:val="20"/>
                <w:szCs w:val="20"/>
                <w:color w:val="auto"/>
              </w:rPr>
            </w:pPr>
            <w:r>
              <w:rPr>
                <w:rFonts w:ascii="Arial" w:cs="Arial" w:eastAsia="Arial" w:hAnsi="Arial"/>
                <w:sz w:val="22"/>
                <w:szCs w:val="22"/>
                <w:color w:val="FF0000"/>
                <w:strike w:val="1"/>
                <w:w w:val="73"/>
              </w:rPr>
              <w:t>96</w:t>
            </w:r>
          </w:p>
        </w:tc>
        <w:tc>
          <w:tcPr>
            <w:tcW w:w="320" w:type="dxa"/>
            <w:vAlign w:val="bottom"/>
            <w:tcBorders>
              <w:top w:val="single" w:sz="8" w:color="0000FF"/>
            </w:tcBorders>
            <w:gridSpan w:val="7"/>
          </w:tcPr>
          <w:p>
            <w:pPr>
              <w:spacing w:after="0"/>
              <w:rPr>
                <w:sz w:val="19"/>
                <w:szCs w:val="19"/>
                <w:color w:val="auto"/>
              </w:rPr>
            </w:pPr>
          </w:p>
        </w:tc>
        <w:tc>
          <w:tcPr>
            <w:tcW w:w="4400" w:type="dxa"/>
            <w:vAlign w:val="bottom"/>
            <w:gridSpan w:val="4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gridSpan w:val="11"/>
          </w:tcPr>
          <w:p>
            <w:pPr>
              <w:spacing w:after="0" w:line="20" w:lineRule="exact"/>
              <w:rPr>
                <w:sz w:val="1"/>
                <w:szCs w:val="1"/>
                <w:color w:val="auto"/>
              </w:rPr>
            </w:pPr>
          </w:p>
        </w:tc>
        <w:tc>
          <w:tcPr>
            <w:tcW w:w="2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5740" w:type="dxa"/>
            <w:vAlign w:val="bottom"/>
            <w:gridSpan w:val="7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880" w:type="dxa"/>
            <w:vAlign w:val="bottom"/>
            <w:gridSpan w:val="67"/>
          </w:tcPr>
          <w:p>
            <w:pPr>
              <w:spacing w:after="0"/>
              <w:rPr>
                <w:sz w:val="20"/>
                <w:szCs w:val="20"/>
                <w:color w:val="auto"/>
              </w:rPr>
            </w:pPr>
            <w:r>
              <w:rPr>
                <w:rFonts w:ascii="Arial" w:cs="Arial" w:eastAsia="Arial" w:hAnsi="Arial"/>
                <w:sz w:val="22"/>
                <w:szCs w:val="22"/>
                <w:b w:val="1"/>
                <w:bCs w:val="1"/>
                <w:color w:val="auto"/>
                <w:w w:val="93"/>
              </w:rPr>
              <w:t>ARTICLE VIII The Administrative Agent and Collateral Agent</w:t>
            </w:r>
          </w:p>
        </w:tc>
        <w:tc>
          <w:tcPr>
            <w:tcW w:w="10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22"/>
                <w:szCs w:val="22"/>
                <w:b w:val="1"/>
                <w:bCs w:val="1"/>
                <w:color w:val="FF0000"/>
                <w:strike w:val="1"/>
              </w:rPr>
              <w:t>197</w:t>
            </w:r>
          </w:p>
        </w:tc>
        <w:tc>
          <w:tcPr>
            <w:tcW w:w="500" w:type="dxa"/>
            <w:vAlign w:val="bottom"/>
            <w:gridSpan w:val="2"/>
          </w:tcPr>
          <w:p>
            <w:pPr>
              <w:jc w:val="right"/>
              <w:ind w:right="180"/>
              <w:spacing w:after="0"/>
              <w:rPr>
                <w:sz w:val="20"/>
                <w:szCs w:val="20"/>
                <w:color w:val="auto"/>
              </w:rPr>
            </w:pPr>
            <w:r>
              <w:rPr>
                <w:rFonts w:ascii="Arial" w:cs="Arial" w:eastAsia="Arial" w:hAnsi="Arial"/>
                <w:sz w:val="22"/>
                <w:szCs w:val="22"/>
                <w:b w:val="1"/>
                <w:bCs w:val="1"/>
                <w:color w:val="0000FF"/>
                <w:w w:val="81"/>
              </w:rPr>
              <w:t>181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ind w:left="660"/>
              <w:spacing w:after="0" w:line="195" w:lineRule="exact"/>
              <w:rPr>
                <w:sz w:val="20"/>
                <w:szCs w:val="20"/>
                <w:color w:val="auto"/>
              </w:rPr>
            </w:pPr>
            <w:r>
              <w:rPr>
                <w:rFonts w:ascii="Arial" w:cs="Arial" w:eastAsia="Arial" w:hAnsi="Arial"/>
                <w:sz w:val="22"/>
                <w:szCs w:val="22"/>
                <w:color w:val="auto"/>
                <w:w w:val="93"/>
              </w:rPr>
              <w:t>Section 8.01</w:t>
            </w:r>
          </w:p>
        </w:tc>
        <w:tc>
          <w:tcPr>
            <w:tcW w:w="2340" w:type="dxa"/>
            <w:vAlign w:val="bottom"/>
            <w:gridSpan w:val="33"/>
          </w:tcPr>
          <w:p>
            <w:pPr>
              <w:ind w:left="100"/>
              <w:spacing w:after="0" w:line="195" w:lineRule="exact"/>
              <w:rPr>
                <w:sz w:val="20"/>
                <w:szCs w:val="20"/>
                <w:color w:val="auto"/>
              </w:rPr>
            </w:pPr>
            <w:r>
              <w:rPr>
                <w:rFonts w:ascii="Arial" w:cs="Arial" w:eastAsia="Arial" w:hAnsi="Arial"/>
                <w:sz w:val="22"/>
                <w:szCs w:val="22"/>
                <w:color w:val="auto"/>
                <w:w w:val="99"/>
              </w:rPr>
              <w:t>Appointment of Agents</w:t>
            </w:r>
          </w:p>
        </w:tc>
        <w:tc>
          <w:tcPr>
            <w:tcW w:w="340" w:type="dxa"/>
            <w:vAlign w:val="bottom"/>
            <w:gridSpan w:val="6"/>
          </w:tcPr>
          <w:p>
            <w:pPr>
              <w:spacing w:after="0" w:line="195" w:lineRule="exact"/>
              <w:rPr>
                <w:sz w:val="20"/>
                <w:szCs w:val="20"/>
                <w:color w:val="auto"/>
              </w:rPr>
            </w:pPr>
            <w:r>
              <w:rPr>
                <w:rFonts w:ascii="Arial" w:cs="Arial" w:eastAsia="Arial" w:hAnsi="Arial"/>
                <w:sz w:val="22"/>
                <w:szCs w:val="22"/>
                <w:color w:val="FF0000"/>
                <w:strike w:val="1"/>
                <w:w w:val="87"/>
              </w:rPr>
              <w:t>197</w:t>
            </w:r>
          </w:p>
        </w:tc>
        <w:tc>
          <w:tcPr>
            <w:tcW w:w="320" w:type="dxa"/>
            <w:vAlign w:val="bottom"/>
            <w:tcBorders>
              <w:bottom w:val="single" w:sz="8" w:color="0000FF"/>
            </w:tcBorders>
            <w:gridSpan w:val="8"/>
          </w:tcPr>
          <w:p>
            <w:pPr>
              <w:spacing w:after="0" w:line="195" w:lineRule="exact"/>
              <w:rPr>
                <w:sz w:val="20"/>
                <w:szCs w:val="20"/>
                <w:color w:val="auto"/>
              </w:rPr>
            </w:pPr>
            <w:r>
              <w:rPr>
                <w:rFonts w:ascii="Arial" w:cs="Arial" w:eastAsia="Arial" w:hAnsi="Arial"/>
                <w:sz w:val="22"/>
                <w:szCs w:val="22"/>
                <w:color w:val="0000FF"/>
                <w:w w:val="81"/>
              </w:rPr>
              <w:t>181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8.02</w:t>
            </w:r>
          </w:p>
        </w:tc>
        <w:tc>
          <w:tcPr>
            <w:tcW w:w="1720" w:type="dxa"/>
            <w:vAlign w:val="bottom"/>
            <w:gridSpan w:val="15"/>
          </w:tcPr>
          <w:p>
            <w:pPr>
              <w:ind w:left="100"/>
              <w:spacing w:after="0" w:line="223" w:lineRule="exact"/>
              <w:rPr>
                <w:sz w:val="20"/>
                <w:szCs w:val="20"/>
                <w:color w:val="auto"/>
              </w:rPr>
            </w:pPr>
            <w:r>
              <w:rPr>
                <w:rFonts w:ascii="Arial" w:cs="Arial" w:eastAsia="Arial" w:hAnsi="Arial"/>
                <w:sz w:val="22"/>
                <w:szCs w:val="22"/>
                <w:color w:val="auto"/>
                <w:w w:val="92"/>
              </w:rPr>
              <w:t>Rights of Lender</w:t>
            </w:r>
          </w:p>
        </w:tc>
        <w:tc>
          <w:tcPr>
            <w:tcW w:w="420" w:type="dxa"/>
            <w:vAlign w:val="bottom"/>
            <w:gridSpan w:val="11"/>
          </w:tcPr>
          <w:p>
            <w:pPr>
              <w:jc w:val="right"/>
              <w:spacing w:after="0" w:line="223" w:lineRule="exact"/>
              <w:rPr>
                <w:sz w:val="20"/>
                <w:szCs w:val="20"/>
                <w:color w:val="auto"/>
              </w:rPr>
            </w:pPr>
            <w:r>
              <w:rPr>
                <w:rFonts w:ascii="Arial" w:cs="Arial" w:eastAsia="Arial" w:hAnsi="Arial"/>
                <w:sz w:val="22"/>
                <w:szCs w:val="22"/>
                <w:color w:val="FF0000"/>
                <w:strike w:val="1"/>
                <w:w w:val="97"/>
              </w:rPr>
              <w:t>198</w:t>
            </w:r>
          </w:p>
        </w:tc>
        <w:tc>
          <w:tcPr>
            <w:tcW w:w="5300" w:type="dxa"/>
            <w:vAlign w:val="bottom"/>
            <w:gridSpan w:val="66"/>
          </w:tcPr>
          <w:p>
            <w:pPr>
              <w:jc w:val="right"/>
              <w:ind w:right="4912"/>
              <w:spacing w:after="0" w:line="223" w:lineRule="exact"/>
              <w:rPr>
                <w:sz w:val="20"/>
                <w:szCs w:val="20"/>
                <w:color w:val="auto"/>
              </w:rPr>
            </w:pPr>
            <w:r>
              <w:rPr>
                <w:rFonts w:ascii="Arial" w:cs="Arial" w:eastAsia="Arial" w:hAnsi="Arial"/>
                <w:sz w:val="22"/>
                <w:szCs w:val="22"/>
                <w:color w:val="0000FF"/>
                <w:w w:val="70"/>
              </w:rPr>
              <w:t>181</w:t>
            </w:r>
          </w:p>
        </w:tc>
        <w:tc>
          <w:tcPr>
            <w:tcW w:w="0" w:type="dxa"/>
            <w:vAlign w:val="bottom"/>
          </w:tcPr>
          <w:p>
            <w:pPr>
              <w:spacing w:after="0"/>
              <w:rPr>
                <w:sz w:val="1"/>
                <w:szCs w:val="1"/>
                <w:color w:val="auto"/>
              </w:rPr>
            </w:pPr>
          </w:p>
        </w:tc>
      </w:tr>
      <w:tr>
        <w:trPr>
          <w:trHeight w:val="20"/>
        </w:trPr>
        <w:tc>
          <w:tcPr>
            <w:tcW w:w="3960" w:type="dxa"/>
            <w:vAlign w:val="bottom"/>
            <w:tcBorders>
              <w:right w:val="single" w:sz="8" w:color="0000FF"/>
            </w:tcBorders>
            <w:gridSpan w:val="27"/>
          </w:tcPr>
          <w:p>
            <w:pPr>
              <w:spacing w:after="0" w:line="20" w:lineRule="exact"/>
              <w:rPr>
                <w:sz w:val="1"/>
                <w:szCs w:val="1"/>
                <w:color w:val="auto"/>
              </w:rPr>
            </w:pPr>
          </w:p>
        </w:tc>
        <w:tc>
          <w:tcPr>
            <w:tcW w:w="280" w:type="dxa"/>
            <w:vAlign w:val="bottom"/>
            <w:tcBorders>
              <w:right w:val="single" w:sz="8" w:color="0000FF"/>
            </w:tcBorders>
            <w:gridSpan w:val="9"/>
            <w:shd w:val="clear" w:color="auto" w:fill="0000FF"/>
          </w:tcPr>
          <w:p>
            <w:pPr>
              <w:spacing w:after="0" w:line="20" w:lineRule="exact"/>
              <w:rPr>
                <w:sz w:val="1"/>
                <w:szCs w:val="1"/>
                <w:color w:val="auto"/>
              </w:rPr>
            </w:pPr>
          </w:p>
        </w:tc>
        <w:tc>
          <w:tcPr>
            <w:tcW w:w="5020" w:type="dxa"/>
            <w:vAlign w:val="bottom"/>
            <w:gridSpan w:val="5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8.03</w:t>
            </w:r>
          </w:p>
        </w:tc>
        <w:tc>
          <w:tcPr>
            <w:tcW w:w="2340" w:type="dxa"/>
            <w:vAlign w:val="bottom"/>
            <w:gridSpan w:val="33"/>
          </w:tcPr>
          <w:p>
            <w:pPr>
              <w:ind w:left="100"/>
              <w:spacing w:after="0" w:line="223" w:lineRule="exact"/>
              <w:rPr>
                <w:sz w:val="20"/>
                <w:szCs w:val="20"/>
                <w:color w:val="auto"/>
              </w:rPr>
            </w:pPr>
            <w:r>
              <w:rPr>
                <w:rFonts w:ascii="Arial" w:cs="Arial" w:eastAsia="Arial" w:hAnsi="Arial"/>
                <w:sz w:val="22"/>
                <w:szCs w:val="22"/>
                <w:color w:val="auto"/>
                <w:w w:val="99"/>
              </w:rPr>
              <w:t>Exculpatory Provisions</w:t>
            </w:r>
          </w:p>
        </w:tc>
        <w:tc>
          <w:tcPr>
            <w:tcW w:w="320" w:type="dxa"/>
            <w:vAlign w:val="bottom"/>
            <w:gridSpan w:val="5"/>
          </w:tcPr>
          <w:p>
            <w:pPr>
              <w:spacing w:after="0" w:line="223" w:lineRule="exact"/>
              <w:rPr>
                <w:sz w:val="20"/>
                <w:szCs w:val="20"/>
                <w:color w:val="auto"/>
              </w:rPr>
            </w:pPr>
            <w:r>
              <w:rPr>
                <w:rFonts w:ascii="Arial" w:cs="Arial" w:eastAsia="Arial" w:hAnsi="Arial"/>
                <w:sz w:val="22"/>
                <w:szCs w:val="22"/>
                <w:color w:val="FF0000"/>
                <w:strike w:val="1"/>
                <w:w w:val="81"/>
              </w:rPr>
              <w:t>198</w:t>
            </w:r>
          </w:p>
        </w:tc>
        <w:tc>
          <w:tcPr>
            <w:tcW w:w="320" w:type="dxa"/>
            <w:vAlign w:val="bottom"/>
            <w:tcBorders>
              <w:bottom w:val="single" w:sz="8" w:color="0000FF"/>
            </w:tcBorders>
            <w:gridSpan w:val="8"/>
          </w:tcPr>
          <w:p>
            <w:pPr>
              <w:spacing w:after="0" w:line="223" w:lineRule="exact"/>
              <w:rPr>
                <w:sz w:val="20"/>
                <w:szCs w:val="20"/>
                <w:color w:val="auto"/>
              </w:rPr>
            </w:pPr>
            <w:r>
              <w:rPr>
                <w:rFonts w:ascii="Arial" w:cs="Arial" w:eastAsia="Arial" w:hAnsi="Arial"/>
                <w:sz w:val="22"/>
                <w:szCs w:val="22"/>
                <w:color w:val="0000FF"/>
                <w:w w:val="81"/>
              </w:rPr>
              <w:t>182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8.04</w:t>
            </w:r>
          </w:p>
        </w:tc>
        <w:tc>
          <w:tcPr>
            <w:tcW w:w="2980" w:type="dxa"/>
            <w:vAlign w:val="bottom"/>
            <w:gridSpan w:val="46"/>
          </w:tcPr>
          <w:p>
            <w:pPr>
              <w:ind w:left="100"/>
              <w:spacing w:after="0" w:line="209" w:lineRule="exact"/>
              <w:rPr>
                <w:sz w:val="20"/>
                <w:szCs w:val="20"/>
                <w:color w:val="auto"/>
              </w:rPr>
            </w:pPr>
            <w:r>
              <w:rPr>
                <w:rFonts w:ascii="Arial" w:cs="Arial" w:eastAsia="Arial" w:hAnsi="Arial"/>
                <w:sz w:val="22"/>
                <w:szCs w:val="22"/>
                <w:color w:val="auto"/>
                <w:w w:val="88"/>
              </w:rPr>
              <w:t>Reliance by Administrative Agent</w:t>
            </w:r>
          </w:p>
        </w:tc>
        <w:tc>
          <w:tcPr>
            <w:tcW w:w="80" w:type="dxa"/>
            <w:vAlign w:val="bottom"/>
            <w:gridSpan w:val="3"/>
          </w:tcPr>
          <w:p>
            <w:pPr>
              <w:spacing w:after="0"/>
              <w:rPr>
                <w:sz w:val="18"/>
                <w:szCs w:val="18"/>
                <w:color w:val="auto"/>
              </w:rPr>
            </w:pPr>
          </w:p>
        </w:tc>
        <w:tc>
          <w:tcPr>
            <w:tcW w:w="2020" w:type="dxa"/>
            <w:vAlign w:val="bottom"/>
            <w:gridSpan w:val="25"/>
          </w:tcPr>
          <w:p>
            <w:pPr>
              <w:ind w:left="20"/>
              <w:spacing w:after="0" w:line="209" w:lineRule="exact"/>
              <w:rPr>
                <w:sz w:val="20"/>
                <w:szCs w:val="20"/>
                <w:color w:val="auto"/>
              </w:rPr>
            </w:pPr>
            <w:r>
              <w:rPr>
                <w:rFonts w:ascii="Arial" w:cs="Arial" w:eastAsia="Arial" w:hAnsi="Arial"/>
                <w:sz w:val="22"/>
                <w:szCs w:val="22"/>
                <w:color w:val="auto"/>
                <w:w w:val="99"/>
              </w:rPr>
              <w:t>and Collateral Agent</w:t>
            </w:r>
          </w:p>
        </w:tc>
        <w:tc>
          <w:tcPr>
            <w:tcW w:w="340" w:type="dxa"/>
            <w:vAlign w:val="bottom"/>
          </w:tcPr>
          <w:p>
            <w:pPr>
              <w:jc w:val="right"/>
              <w:spacing w:after="0" w:line="209" w:lineRule="exact"/>
              <w:rPr>
                <w:sz w:val="20"/>
                <w:szCs w:val="20"/>
                <w:color w:val="auto"/>
              </w:rPr>
            </w:pPr>
            <w:r>
              <w:rPr>
                <w:rFonts w:ascii="Arial" w:cs="Arial" w:eastAsia="Arial" w:hAnsi="Arial"/>
                <w:sz w:val="22"/>
                <w:szCs w:val="22"/>
                <w:color w:val="FF0000"/>
                <w:strike w:val="1"/>
                <w:w w:val="87"/>
              </w:rPr>
              <w:t>199</w:t>
            </w:r>
          </w:p>
        </w:tc>
        <w:tc>
          <w:tcPr>
            <w:tcW w:w="32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2"/>
                <w:szCs w:val="22"/>
                <w:color w:val="0000FF"/>
                <w:w w:val="81"/>
              </w:rPr>
              <w:t>182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8.05</w:t>
            </w:r>
          </w:p>
        </w:tc>
        <w:tc>
          <w:tcPr>
            <w:tcW w:w="2140" w:type="dxa"/>
            <w:vAlign w:val="bottom"/>
            <w:gridSpan w:val="26"/>
          </w:tcPr>
          <w:p>
            <w:pPr>
              <w:ind w:left="100"/>
              <w:spacing w:after="0" w:line="223" w:lineRule="exact"/>
              <w:rPr>
                <w:sz w:val="20"/>
                <w:szCs w:val="20"/>
                <w:color w:val="auto"/>
              </w:rPr>
            </w:pPr>
            <w:r>
              <w:rPr>
                <w:rFonts w:ascii="Arial" w:cs="Arial" w:eastAsia="Arial" w:hAnsi="Arial"/>
                <w:sz w:val="22"/>
                <w:szCs w:val="22"/>
                <w:color w:val="auto"/>
              </w:rPr>
              <w:t>Delegation of Duties</w:t>
            </w:r>
          </w:p>
        </w:tc>
        <w:tc>
          <w:tcPr>
            <w:tcW w:w="180" w:type="dxa"/>
            <w:vAlign w:val="bottom"/>
            <w:gridSpan w:val="6"/>
          </w:tcPr>
          <w:p>
            <w:pPr>
              <w:jc w:val="right"/>
              <w:spacing w:after="0"/>
              <w:rPr>
                <w:sz w:val="20"/>
                <w:szCs w:val="20"/>
                <w:color w:val="auto"/>
              </w:rPr>
            </w:pPr>
            <w:r>
              <w:rPr>
                <w:rFonts w:ascii="Arial" w:cs="Arial" w:eastAsia="Arial" w:hAnsi="Arial"/>
                <w:sz w:val="19"/>
                <w:szCs w:val="19"/>
                <w:color w:val="auto"/>
                <w:w w:val="75"/>
              </w:rPr>
              <w:t>18</w:t>
            </w:r>
          </w:p>
        </w:tc>
        <w:tc>
          <w:tcPr>
            <w:tcW w:w="160" w:type="dxa"/>
            <w:vAlign w:val="bottom"/>
            <w:gridSpan w:val="4"/>
          </w:tcPr>
          <w:p>
            <w:pPr>
              <w:jc w:val="right"/>
              <w:spacing w:after="0" w:line="223" w:lineRule="exact"/>
              <w:rPr>
                <w:sz w:val="20"/>
                <w:szCs w:val="20"/>
                <w:color w:val="auto"/>
              </w:rPr>
            </w:pPr>
            <w:r>
              <w:rPr>
                <w:rFonts w:ascii="Arial" w:cs="Arial" w:eastAsia="Arial" w:hAnsi="Arial"/>
                <w:sz w:val="22"/>
                <w:szCs w:val="22"/>
                <w:color w:val="FF0000"/>
                <w:strike w:val="1"/>
                <w:w w:val="81"/>
              </w:rPr>
              <w:t>0</w:t>
            </w:r>
          </w:p>
        </w:tc>
        <w:tc>
          <w:tcPr>
            <w:tcW w:w="4960" w:type="dxa"/>
            <w:vAlign w:val="bottom"/>
            <w:gridSpan w:val="56"/>
          </w:tcPr>
          <w:p>
            <w:pPr>
              <w:jc w:val="right"/>
              <w:ind w:right="4792"/>
              <w:spacing w:after="0"/>
              <w:rPr>
                <w:sz w:val="20"/>
                <w:szCs w:val="20"/>
                <w:color w:val="auto"/>
              </w:rPr>
            </w:pPr>
            <w:r>
              <w:rPr>
                <w:rFonts w:ascii="Arial" w:cs="Arial" w:eastAsia="Arial" w:hAnsi="Arial"/>
                <w:sz w:val="10"/>
                <w:szCs w:val="10"/>
                <w:color w:val="0000FF"/>
                <w:w w:val="71"/>
              </w:rPr>
              <w:t>3</w:t>
            </w:r>
          </w:p>
        </w:tc>
        <w:tc>
          <w:tcPr>
            <w:tcW w:w="0" w:type="dxa"/>
            <w:vAlign w:val="bottom"/>
          </w:tcPr>
          <w:p>
            <w:pPr>
              <w:spacing w:after="0"/>
              <w:rPr>
                <w:sz w:val="1"/>
                <w:szCs w:val="1"/>
                <w:color w:val="auto"/>
              </w:rPr>
            </w:pPr>
          </w:p>
        </w:tc>
      </w:tr>
      <w:tr>
        <w:trPr>
          <w:trHeight w:val="20"/>
        </w:trPr>
        <w:tc>
          <w:tcPr>
            <w:tcW w:w="4300" w:type="dxa"/>
            <w:vAlign w:val="bottom"/>
            <w:tcBorders>
              <w:right w:val="single" w:sz="8" w:color="0000FF"/>
            </w:tcBorders>
            <w:gridSpan w:val="37"/>
          </w:tcPr>
          <w:p>
            <w:pPr>
              <w:spacing w:after="0" w:line="20" w:lineRule="exact"/>
              <w:rPr>
                <w:sz w:val="1"/>
                <w:szCs w:val="1"/>
                <w:color w:val="auto"/>
              </w:rPr>
            </w:pPr>
          </w:p>
        </w:tc>
        <w:tc>
          <w:tcPr>
            <w:tcW w:w="4960" w:type="dxa"/>
            <w:vAlign w:val="bottom"/>
            <w:tcBorders>
              <w:left w:val="single" w:sz="8" w:color="0000FF"/>
            </w:tcBorders>
            <w:gridSpan w:val="5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8.06</w:t>
            </w:r>
          </w:p>
        </w:tc>
        <w:tc>
          <w:tcPr>
            <w:tcW w:w="7220" w:type="dxa"/>
            <w:vAlign w:val="bottom"/>
            <w:gridSpan w:val="90"/>
          </w:tcPr>
          <w:p>
            <w:pPr>
              <w:ind w:left="100"/>
              <w:spacing w:after="0" w:line="223" w:lineRule="exact"/>
              <w:rPr>
                <w:sz w:val="20"/>
                <w:szCs w:val="20"/>
                <w:color w:val="auto"/>
              </w:rPr>
            </w:pPr>
            <w:r>
              <w:rPr>
                <w:rFonts w:ascii="Arial" w:cs="Arial" w:eastAsia="Arial" w:hAnsi="Arial"/>
                <w:sz w:val="22"/>
                <w:szCs w:val="22"/>
                <w:color w:val="auto"/>
                <w:w w:val="90"/>
              </w:rPr>
              <w:t>Resignation of Agents; Successor, Administrative Agent and Collateral Agent  18</w:t>
            </w:r>
          </w:p>
        </w:tc>
        <w:tc>
          <w:tcPr>
            <w:tcW w:w="100" w:type="dxa"/>
            <w:vAlign w:val="bottom"/>
          </w:tcPr>
          <w:p>
            <w:pPr>
              <w:jc w:val="right"/>
              <w:spacing w:after="0"/>
              <w:rPr>
                <w:sz w:val="20"/>
                <w:szCs w:val="20"/>
                <w:color w:val="auto"/>
              </w:rPr>
            </w:pPr>
            <w:r>
              <w:rPr>
                <w:rFonts w:ascii="Arial" w:cs="Arial" w:eastAsia="Arial" w:hAnsi="Arial"/>
                <w:sz w:val="19"/>
                <w:szCs w:val="19"/>
                <w:color w:val="FF0000"/>
                <w:strike w:val="1"/>
                <w:w w:val="75"/>
              </w:rPr>
              <w:t>0</w:t>
            </w:r>
          </w:p>
        </w:tc>
        <w:tc>
          <w:tcPr>
            <w:tcW w:w="1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color w:val="0000FF"/>
                <w:w w:val="81"/>
              </w:rPr>
              <w:t>3</w:t>
            </w:r>
          </w:p>
        </w:tc>
        <w:tc>
          <w:tcPr>
            <w:tcW w:w="0" w:type="dxa"/>
            <w:vAlign w:val="bottom"/>
          </w:tcPr>
          <w:p>
            <w:pPr>
              <w:spacing w:after="0"/>
              <w:rPr>
                <w:sz w:val="1"/>
                <w:szCs w:val="1"/>
                <w:color w:val="auto"/>
              </w:rPr>
            </w:pPr>
          </w:p>
        </w:tc>
      </w:tr>
      <w:tr>
        <w:trPr>
          <w:trHeight w:val="210"/>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8.07</w:t>
            </w:r>
          </w:p>
        </w:tc>
        <w:tc>
          <w:tcPr>
            <w:tcW w:w="4060" w:type="dxa"/>
            <w:vAlign w:val="bottom"/>
            <w:gridSpan w:val="66"/>
          </w:tcPr>
          <w:p>
            <w:pPr>
              <w:ind w:left="100"/>
              <w:spacing w:after="0" w:line="209" w:lineRule="exact"/>
              <w:rPr>
                <w:sz w:val="20"/>
                <w:szCs w:val="20"/>
                <w:color w:val="auto"/>
              </w:rPr>
            </w:pPr>
            <w:r>
              <w:rPr>
                <w:rFonts w:ascii="Arial" w:cs="Arial" w:eastAsia="Arial" w:hAnsi="Arial"/>
                <w:sz w:val="22"/>
                <w:szCs w:val="22"/>
                <w:color w:val="auto"/>
                <w:w w:val="92"/>
              </w:rPr>
              <w:t>Non-Reliance on Agents and Other Lenders</w:t>
            </w:r>
          </w:p>
        </w:tc>
        <w:tc>
          <w:tcPr>
            <w:tcW w:w="260" w:type="dxa"/>
            <w:vAlign w:val="bottom"/>
            <w:gridSpan w:val="3"/>
          </w:tcPr>
          <w:p>
            <w:pPr>
              <w:jc w:val="right"/>
              <w:spacing w:after="0" w:line="209" w:lineRule="exact"/>
              <w:rPr>
                <w:sz w:val="20"/>
                <w:szCs w:val="20"/>
                <w:color w:val="auto"/>
              </w:rPr>
            </w:pPr>
            <w:r>
              <w:rPr>
                <w:rFonts w:ascii="Arial" w:cs="Arial" w:eastAsia="Arial" w:hAnsi="Arial"/>
                <w:sz w:val="22"/>
                <w:szCs w:val="22"/>
                <w:color w:val="auto"/>
                <w:w w:val="97"/>
              </w:rPr>
              <w:t>18</w:t>
            </w:r>
          </w:p>
        </w:tc>
        <w:tc>
          <w:tcPr>
            <w:tcW w:w="100" w:type="dxa"/>
            <w:vAlign w:val="bottom"/>
          </w:tcPr>
          <w:p>
            <w:pPr>
              <w:jc w:val="right"/>
              <w:spacing w:after="0" w:line="210" w:lineRule="exact"/>
              <w:rPr>
                <w:sz w:val="20"/>
                <w:szCs w:val="20"/>
                <w:color w:val="auto"/>
              </w:rPr>
            </w:pPr>
            <w:r>
              <w:rPr>
                <w:rFonts w:ascii="Arial" w:cs="Arial" w:eastAsia="Arial" w:hAnsi="Arial"/>
                <w:sz w:val="19"/>
                <w:szCs w:val="19"/>
                <w:color w:val="FF0000"/>
                <w:strike w:val="1"/>
                <w:w w:val="75"/>
              </w:rPr>
              <w:t>2</w:t>
            </w:r>
          </w:p>
        </w:tc>
        <w:tc>
          <w:tcPr>
            <w:tcW w:w="160" w:type="dxa"/>
            <w:vAlign w:val="bottom"/>
            <w:gridSpan w:val="2"/>
          </w:tcPr>
          <w:p>
            <w:pPr>
              <w:jc w:val="right"/>
              <w:ind w:right="60"/>
              <w:spacing w:after="0" w:line="210" w:lineRule="exact"/>
              <w:rPr>
                <w:sz w:val="20"/>
                <w:szCs w:val="20"/>
                <w:color w:val="auto"/>
              </w:rPr>
            </w:pPr>
            <w:r>
              <w:rPr>
                <w:rFonts w:ascii="Arial" w:cs="Arial" w:eastAsia="Arial" w:hAnsi="Arial"/>
                <w:sz w:val="19"/>
                <w:szCs w:val="19"/>
                <w:color w:val="0000FF"/>
                <w:w w:val="75"/>
              </w:rPr>
              <w:t>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8.08</w:t>
            </w:r>
          </w:p>
        </w:tc>
        <w:tc>
          <w:tcPr>
            <w:tcW w:w="1620" w:type="dxa"/>
            <w:vAlign w:val="bottom"/>
            <w:gridSpan w:val="13"/>
          </w:tcPr>
          <w:p>
            <w:pPr>
              <w:ind w:left="100"/>
              <w:spacing w:after="0" w:line="223" w:lineRule="exact"/>
              <w:rPr>
                <w:sz w:val="20"/>
                <w:szCs w:val="20"/>
                <w:color w:val="auto"/>
              </w:rPr>
            </w:pPr>
            <w:r>
              <w:rPr>
                <w:rFonts w:ascii="Arial" w:cs="Arial" w:eastAsia="Arial" w:hAnsi="Arial"/>
                <w:sz w:val="22"/>
                <w:szCs w:val="22"/>
                <w:color w:val="auto"/>
                <w:w w:val="95"/>
              </w:rPr>
              <w:t>No Other Duties</w:t>
            </w:r>
          </w:p>
        </w:tc>
        <w:tc>
          <w:tcPr>
            <w:tcW w:w="340" w:type="dxa"/>
            <w:vAlign w:val="bottom"/>
            <w:gridSpan w:val="8"/>
          </w:tcPr>
          <w:p>
            <w:pPr>
              <w:ind w:left="120"/>
              <w:spacing w:after="0" w:line="223" w:lineRule="exact"/>
              <w:rPr>
                <w:sz w:val="20"/>
                <w:szCs w:val="20"/>
                <w:color w:val="auto"/>
              </w:rPr>
            </w:pPr>
            <w:r>
              <w:rPr>
                <w:rFonts w:ascii="Arial" w:cs="Arial" w:eastAsia="Arial" w:hAnsi="Arial"/>
                <w:sz w:val="22"/>
                <w:szCs w:val="22"/>
                <w:color w:val="auto"/>
                <w:w w:val="81"/>
              </w:rPr>
              <w:t>18</w:t>
            </w:r>
          </w:p>
        </w:tc>
        <w:tc>
          <w:tcPr>
            <w:tcW w:w="100" w:type="dxa"/>
            <w:vAlign w:val="bottom"/>
            <w:gridSpan w:val="3"/>
          </w:tcPr>
          <w:p>
            <w:pPr>
              <w:jc w:val="right"/>
              <w:spacing w:after="0"/>
              <w:rPr>
                <w:sz w:val="20"/>
                <w:szCs w:val="20"/>
                <w:color w:val="auto"/>
              </w:rPr>
            </w:pPr>
            <w:r>
              <w:rPr>
                <w:rFonts w:ascii="Arial" w:cs="Arial" w:eastAsia="Arial" w:hAnsi="Arial"/>
                <w:sz w:val="19"/>
                <w:szCs w:val="19"/>
                <w:color w:val="FF0000"/>
                <w:strike w:val="1"/>
                <w:w w:val="75"/>
              </w:rPr>
              <w:t>2</w:t>
            </w:r>
          </w:p>
        </w:tc>
        <w:tc>
          <w:tcPr>
            <w:tcW w:w="120" w:type="dxa"/>
            <w:vAlign w:val="bottom"/>
            <w:tcBorders>
              <w:bottom w:val="single" w:sz="8" w:color="0000FF"/>
            </w:tcBorders>
            <w:gridSpan w:val="4"/>
          </w:tcPr>
          <w:p>
            <w:pPr>
              <w:spacing w:after="0" w:line="223" w:lineRule="exact"/>
              <w:rPr>
                <w:sz w:val="20"/>
                <w:szCs w:val="20"/>
                <w:color w:val="auto"/>
              </w:rPr>
            </w:pPr>
            <w:r>
              <w:rPr>
                <w:rFonts w:ascii="Arial" w:cs="Arial" w:eastAsia="Arial" w:hAnsi="Arial"/>
                <w:sz w:val="22"/>
                <w:szCs w:val="22"/>
                <w:color w:val="0000FF"/>
                <w:w w:val="81"/>
              </w:rPr>
              <w:t>5</w:t>
            </w:r>
          </w:p>
        </w:tc>
        <w:tc>
          <w:tcPr>
            <w:tcW w:w="2240" w:type="dxa"/>
            <w:vAlign w:val="bottom"/>
            <w:gridSpan w:val="42"/>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92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8.09</w:t>
            </w:r>
          </w:p>
        </w:tc>
        <w:tc>
          <w:tcPr>
            <w:tcW w:w="3000" w:type="dxa"/>
            <w:vAlign w:val="bottom"/>
            <w:gridSpan w:val="47"/>
          </w:tcPr>
          <w:p>
            <w:pPr>
              <w:ind w:left="100"/>
              <w:spacing w:after="0" w:line="223" w:lineRule="exact"/>
              <w:rPr>
                <w:sz w:val="20"/>
                <w:szCs w:val="20"/>
                <w:color w:val="auto"/>
              </w:rPr>
            </w:pPr>
            <w:r>
              <w:rPr>
                <w:rFonts w:ascii="Arial" w:cs="Arial" w:eastAsia="Arial" w:hAnsi="Arial"/>
                <w:sz w:val="22"/>
                <w:szCs w:val="22"/>
                <w:color w:val="auto"/>
                <w:w w:val="92"/>
              </w:rPr>
              <w:t>Collateral and Guaranty Matters</w:t>
            </w:r>
          </w:p>
        </w:tc>
        <w:tc>
          <w:tcPr>
            <w:tcW w:w="320" w:type="dxa"/>
            <w:vAlign w:val="bottom"/>
            <w:gridSpan w:val="6"/>
          </w:tcPr>
          <w:p>
            <w:pPr>
              <w:ind w:left="100"/>
              <w:spacing w:after="0" w:line="223" w:lineRule="exact"/>
              <w:rPr>
                <w:sz w:val="20"/>
                <w:szCs w:val="20"/>
                <w:color w:val="auto"/>
              </w:rPr>
            </w:pPr>
            <w:r>
              <w:rPr>
                <w:rFonts w:ascii="Arial" w:cs="Arial" w:eastAsia="Arial" w:hAnsi="Arial"/>
                <w:sz w:val="22"/>
                <w:szCs w:val="22"/>
                <w:color w:val="auto"/>
                <w:w w:val="81"/>
              </w:rPr>
              <w:t>18</w:t>
            </w:r>
          </w:p>
        </w:tc>
        <w:tc>
          <w:tcPr>
            <w:tcW w:w="100" w:type="dxa"/>
            <w:vAlign w:val="bottom"/>
            <w:gridSpan w:val="4"/>
          </w:tcPr>
          <w:p>
            <w:pPr>
              <w:jc w:val="right"/>
              <w:spacing w:after="0"/>
              <w:rPr>
                <w:sz w:val="20"/>
                <w:szCs w:val="20"/>
                <w:color w:val="auto"/>
              </w:rPr>
            </w:pPr>
            <w:r>
              <w:rPr>
                <w:rFonts w:ascii="Arial" w:cs="Arial" w:eastAsia="Arial" w:hAnsi="Arial"/>
                <w:sz w:val="19"/>
                <w:szCs w:val="19"/>
                <w:color w:val="FF0000"/>
                <w:strike w:val="1"/>
                <w:w w:val="75"/>
              </w:rPr>
              <w:t>2</w:t>
            </w:r>
          </w:p>
        </w:tc>
        <w:tc>
          <w:tcPr>
            <w:tcW w:w="120" w:type="dxa"/>
            <w:vAlign w:val="bottom"/>
            <w:tcBorders>
              <w:bottom w:val="single" w:sz="8" w:color="0000FF"/>
            </w:tcBorders>
            <w:gridSpan w:val="3"/>
          </w:tcPr>
          <w:p>
            <w:pPr>
              <w:jc w:val="center"/>
              <w:spacing w:after="0" w:line="223" w:lineRule="exact"/>
              <w:rPr>
                <w:sz w:val="20"/>
                <w:szCs w:val="20"/>
                <w:color w:val="auto"/>
              </w:rPr>
            </w:pPr>
            <w:r>
              <w:rPr>
                <w:rFonts w:ascii="Arial" w:cs="Arial" w:eastAsia="Arial" w:hAnsi="Arial"/>
                <w:sz w:val="22"/>
                <w:szCs w:val="22"/>
                <w:color w:val="0000FF"/>
                <w:w w:val="97"/>
              </w:rPr>
              <w:t>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8.10</w:t>
            </w:r>
          </w:p>
        </w:tc>
        <w:tc>
          <w:tcPr>
            <w:tcW w:w="3540" w:type="dxa"/>
            <w:vAlign w:val="bottom"/>
            <w:gridSpan w:val="60"/>
          </w:tcPr>
          <w:p>
            <w:pPr>
              <w:ind w:left="100"/>
              <w:spacing w:after="0" w:line="209" w:lineRule="exact"/>
              <w:rPr>
                <w:sz w:val="20"/>
                <w:szCs w:val="20"/>
                <w:color w:val="auto"/>
              </w:rPr>
            </w:pPr>
            <w:r>
              <w:rPr>
                <w:rFonts w:ascii="Arial" w:cs="Arial" w:eastAsia="Arial" w:hAnsi="Arial"/>
                <w:sz w:val="22"/>
                <w:szCs w:val="22"/>
                <w:color w:val="auto"/>
                <w:w w:val="84"/>
              </w:rPr>
              <w:t>Secured Swap Agents and Secured Cash</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gridSpan w:val="14"/>
          </w:tcPr>
          <w:p>
            <w:pPr>
              <w:ind w:left="40"/>
              <w:spacing w:after="0" w:line="209" w:lineRule="exact"/>
              <w:rPr>
                <w:sz w:val="20"/>
                <w:szCs w:val="20"/>
                <w:color w:val="auto"/>
              </w:rPr>
            </w:pPr>
            <w:r>
              <w:rPr>
                <w:rFonts w:ascii="Arial" w:cs="Arial" w:eastAsia="Arial" w:hAnsi="Arial"/>
                <w:sz w:val="22"/>
                <w:szCs w:val="22"/>
                <w:color w:val="auto"/>
                <w:w w:val="88"/>
              </w:rPr>
              <w:t>Management Agents</w:t>
            </w:r>
          </w:p>
        </w:tc>
        <w:tc>
          <w:tcPr>
            <w:tcW w:w="380" w:type="dxa"/>
            <w:vAlign w:val="bottom"/>
            <w:gridSpan w:val="4"/>
          </w:tcPr>
          <w:p>
            <w:pPr>
              <w:jc w:val="right"/>
              <w:spacing w:after="0" w:line="209" w:lineRule="exact"/>
              <w:rPr>
                <w:sz w:val="20"/>
                <w:szCs w:val="20"/>
                <w:color w:val="auto"/>
              </w:rPr>
            </w:pPr>
            <w:r>
              <w:rPr>
                <w:rFonts w:ascii="Arial" w:cs="Arial" w:eastAsia="Arial" w:hAnsi="Arial"/>
                <w:sz w:val="22"/>
                <w:szCs w:val="22"/>
                <w:color w:val="auto"/>
              </w:rPr>
              <w:t>18</w:t>
            </w:r>
          </w:p>
        </w:tc>
        <w:tc>
          <w:tcPr>
            <w:tcW w:w="120" w:type="dxa"/>
            <w:vAlign w:val="bottom"/>
          </w:tcPr>
          <w:p>
            <w:pPr>
              <w:jc w:val="right"/>
              <w:spacing w:after="0" w:line="209" w:lineRule="exact"/>
              <w:rPr>
                <w:sz w:val="20"/>
                <w:szCs w:val="20"/>
                <w:color w:val="auto"/>
              </w:rPr>
            </w:pPr>
            <w:r>
              <w:rPr>
                <w:rFonts w:ascii="Arial" w:cs="Arial" w:eastAsia="Arial" w:hAnsi="Arial"/>
                <w:sz w:val="22"/>
                <w:szCs w:val="22"/>
                <w:color w:val="FF0000"/>
                <w:strike w:val="1"/>
                <w:w w:val="81"/>
              </w:rPr>
              <w:t>3</w:t>
            </w:r>
          </w:p>
        </w:tc>
        <w:tc>
          <w:tcPr>
            <w:tcW w:w="540" w:type="dxa"/>
            <w:vAlign w:val="bottom"/>
            <w:gridSpan w:val="3"/>
          </w:tcPr>
          <w:p>
            <w:pPr>
              <w:jc w:val="right"/>
              <w:ind w:right="440"/>
              <w:spacing w:after="0" w:line="210" w:lineRule="exact"/>
              <w:rPr>
                <w:sz w:val="20"/>
                <w:szCs w:val="20"/>
                <w:color w:val="auto"/>
              </w:rPr>
            </w:pPr>
            <w:r>
              <w:rPr>
                <w:rFonts w:ascii="Arial" w:cs="Arial" w:eastAsia="Arial" w:hAnsi="Arial"/>
                <w:sz w:val="19"/>
                <w:szCs w:val="19"/>
                <w:color w:val="0000FF"/>
                <w:w w:val="75"/>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8.11</w:t>
            </w:r>
          </w:p>
        </w:tc>
        <w:tc>
          <w:tcPr>
            <w:tcW w:w="1620" w:type="dxa"/>
            <w:vAlign w:val="bottom"/>
            <w:gridSpan w:val="13"/>
          </w:tcPr>
          <w:p>
            <w:pPr>
              <w:ind w:left="80"/>
              <w:spacing w:after="0" w:line="223" w:lineRule="exact"/>
              <w:rPr>
                <w:sz w:val="20"/>
                <w:szCs w:val="20"/>
                <w:color w:val="auto"/>
              </w:rPr>
            </w:pPr>
            <w:r>
              <w:rPr>
                <w:rFonts w:ascii="Arial" w:cs="Arial" w:eastAsia="Arial" w:hAnsi="Arial"/>
                <w:sz w:val="22"/>
                <w:szCs w:val="22"/>
                <w:color w:val="auto"/>
                <w:w w:val="96"/>
              </w:rPr>
              <w:t>Withholding Tax</w:t>
            </w:r>
          </w:p>
        </w:tc>
        <w:tc>
          <w:tcPr>
            <w:tcW w:w="360" w:type="dxa"/>
            <w:vAlign w:val="bottom"/>
            <w:gridSpan w:val="9"/>
          </w:tcPr>
          <w:p>
            <w:pPr>
              <w:ind w:left="140"/>
              <w:spacing w:after="0" w:line="223" w:lineRule="exact"/>
              <w:rPr>
                <w:sz w:val="20"/>
                <w:szCs w:val="20"/>
                <w:color w:val="auto"/>
              </w:rPr>
            </w:pPr>
            <w:r>
              <w:rPr>
                <w:rFonts w:ascii="Arial" w:cs="Arial" w:eastAsia="Arial" w:hAnsi="Arial"/>
                <w:sz w:val="22"/>
                <w:szCs w:val="22"/>
                <w:color w:val="auto"/>
                <w:w w:val="81"/>
              </w:rPr>
              <w:t>18</w:t>
            </w:r>
          </w:p>
        </w:tc>
        <w:tc>
          <w:tcPr>
            <w:tcW w:w="100" w:type="dxa"/>
            <w:vAlign w:val="bottom"/>
            <w:gridSpan w:val="3"/>
          </w:tcPr>
          <w:p>
            <w:pPr>
              <w:jc w:val="right"/>
              <w:spacing w:after="0"/>
              <w:rPr>
                <w:sz w:val="20"/>
                <w:szCs w:val="20"/>
                <w:color w:val="auto"/>
              </w:rPr>
            </w:pPr>
            <w:r>
              <w:rPr>
                <w:rFonts w:ascii="Arial" w:cs="Arial" w:eastAsia="Arial" w:hAnsi="Arial"/>
                <w:sz w:val="19"/>
                <w:szCs w:val="19"/>
                <w:color w:val="FF0000"/>
                <w:strike w:val="1"/>
                <w:w w:val="75"/>
              </w:rPr>
              <w:t>4</w:t>
            </w:r>
          </w:p>
        </w:tc>
        <w:tc>
          <w:tcPr>
            <w:tcW w:w="100" w:type="dxa"/>
            <w:vAlign w:val="bottom"/>
            <w:tcBorders>
              <w:bottom w:val="single" w:sz="8" w:color="0000FF"/>
            </w:tcBorders>
            <w:gridSpan w:val="3"/>
          </w:tcPr>
          <w:p>
            <w:pPr>
              <w:jc w:val="right"/>
              <w:spacing w:after="0"/>
              <w:rPr>
                <w:sz w:val="20"/>
                <w:szCs w:val="20"/>
                <w:color w:val="auto"/>
              </w:rPr>
            </w:pPr>
            <w:r>
              <w:rPr>
                <w:rFonts w:ascii="Arial" w:cs="Arial" w:eastAsia="Arial" w:hAnsi="Arial"/>
                <w:sz w:val="19"/>
                <w:szCs w:val="19"/>
                <w:color w:val="0000FF"/>
                <w:w w:val="75"/>
              </w:rPr>
              <w:t>6</w:t>
            </w:r>
          </w:p>
        </w:tc>
        <w:tc>
          <w:tcPr>
            <w:tcW w:w="3780" w:type="dxa"/>
            <w:vAlign w:val="bottom"/>
            <w:gridSpan w:val="53"/>
          </w:tcPr>
          <w:p>
            <w:pPr>
              <w:spacing w:after="0"/>
              <w:rPr>
                <w:sz w:val="19"/>
                <w:szCs w:val="19"/>
                <w:color w:val="auto"/>
              </w:rPr>
            </w:pPr>
          </w:p>
        </w:tc>
        <w:tc>
          <w:tcPr>
            <w:tcW w:w="100" w:type="dxa"/>
            <w:vAlign w:val="bottom"/>
            <w:tcBorders>
              <w:top w:val="single" w:sz="8" w:color="0000FF"/>
            </w:tcBorders>
            <w:gridSpan w:val="2"/>
          </w:tcPr>
          <w:p>
            <w:pPr>
              <w:spacing w:after="0"/>
              <w:rPr>
                <w:sz w:val="19"/>
                <w:szCs w:val="19"/>
                <w:color w:val="auto"/>
              </w:rPr>
            </w:pPr>
          </w:p>
        </w:tc>
        <w:tc>
          <w:tcPr>
            <w:tcW w:w="138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8.12</w:t>
            </w:r>
          </w:p>
        </w:tc>
        <w:tc>
          <w:tcPr>
            <w:tcW w:w="6500" w:type="dxa"/>
            <w:vAlign w:val="bottom"/>
            <w:gridSpan w:val="84"/>
          </w:tcPr>
          <w:p>
            <w:pPr>
              <w:ind w:left="100"/>
              <w:spacing w:after="0" w:line="223" w:lineRule="exact"/>
              <w:rPr>
                <w:sz w:val="20"/>
                <w:szCs w:val="20"/>
                <w:color w:val="auto"/>
              </w:rPr>
            </w:pPr>
            <w:r>
              <w:rPr>
                <w:rFonts w:ascii="Arial" w:cs="Arial" w:eastAsia="Arial" w:hAnsi="Arial"/>
                <w:sz w:val="22"/>
                <w:szCs w:val="22"/>
                <w:color w:val="auto"/>
                <w:w w:val="92"/>
              </w:rPr>
              <w:t>Administrative Agent and Collateral Agent May File Proofs of Claim  18</w:t>
            </w:r>
          </w:p>
        </w:tc>
        <w:tc>
          <w:tcPr>
            <w:tcW w:w="120" w:type="dxa"/>
            <w:vAlign w:val="bottom"/>
          </w:tcPr>
          <w:p>
            <w:pPr>
              <w:jc w:val="right"/>
              <w:spacing w:after="0" w:line="223" w:lineRule="exact"/>
              <w:rPr>
                <w:sz w:val="20"/>
                <w:szCs w:val="20"/>
                <w:color w:val="auto"/>
              </w:rPr>
            </w:pPr>
            <w:r>
              <w:rPr>
                <w:rFonts w:ascii="Arial" w:cs="Arial" w:eastAsia="Arial" w:hAnsi="Arial"/>
                <w:sz w:val="22"/>
                <w:szCs w:val="22"/>
                <w:color w:val="FF0000"/>
                <w:strike w:val="1"/>
                <w:w w:val="81"/>
              </w:rPr>
              <w:t>4</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9"/>
                <w:szCs w:val="19"/>
                <w:color w:val="0000FF"/>
                <w:w w:val="75"/>
              </w:rPr>
              <w:t>7</w:t>
            </w:r>
          </w:p>
        </w:tc>
        <w:tc>
          <w:tcPr>
            <w:tcW w:w="3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8.13</w:t>
            </w:r>
          </w:p>
        </w:tc>
        <w:tc>
          <w:tcPr>
            <w:tcW w:w="3000" w:type="dxa"/>
            <w:vAlign w:val="bottom"/>
            <w:gridSpan w:val="47"/>
          </w:tcPr>
          <w:p>
            <w:pPr>
              <w:ind w:left="100"/>
              <w:spacing w:after="0" w:line="209" w:lineRule="exact"/>
              <w:rPr>
                <w:sz w:val="20"/>
                <w:szCs w:val="20"/>
                <w:color w:val="auto"/>
              </w:rPr>
            </w:pPr>
            <w:r>
              <w:rPr>
                <w:rFonts w:ascii="Arial" w:cs="Arial" w:eastAsia="Arial" w:hAnsi="Arial"/>
                <w:sz w:val="22"/>
                <w:szCs w:val="22"/>
                <w:color w:val="auto"/>
                <w:w w:val="93"/>
              </w:rPr>
              <w:t>Lender ERISA Representations</w:t>
            </w:r>
          </w:p>
        </w:tc>
        <w:tc>
          <w:tcPr>
            <w:tcW w:w="340" w:type="dxa"/>
            <w:vAlign w:val="bottom"/>
            <w:gridSpan w:val="7"/>
          </w:tcPr>
          <w:p>
            <w:pPr>
              <w:jc w:val="right"/>
              <w:spacing w:after="0" w:line="209" w:lineRule="exact"/>
              <w:rPr>
                <w:sz w:val="20"/>
                <w:szCs w:val="20"/>
                <w:color w:val="auto"/>
              </w:rPr>
            </w:pPr>
            <w:r>
              <w:rPr>
                <w:rFonts w:ascii="Arial" w:cs="Arial" w:eastAsia="Arial" w:hAnsi="Arial"/>
                <w:sz w:val="22"/>
                <w:szCs w:val="22"/>
                <w:color w:val="auto"/>
                <w:w w:val="87"/>
              </w:rPr>
              <w:t>1</w:t>
            </w:r>
            <w:r>
              <w:rPr>
                <w:rFonts w:ascii="Arial" w:cs="Arial" w:eastAsia="Arial" w:hAnsi="Arial"/>
                <w:sz w:val="22"/>
                <w:szCs w:val="22"/>
                <w:color w:val="0000FF"/>
                <w:w w:val="87"/>
              </w:rPr>
              <w:t>8</w:t>
            </w:r>
            <w:r>
              <w:rPr>
                <w:rFonts w:ascii="Arial" w:cs="Arial" w:eastAsia="Arial" w:hAnsi="Arial"/>
                <w:sz w:val="22"/>
                <w:szCs w:val="22"/>
                <w:color w:val="auto"/>
                <w:w w:val="87"/>
              </w:rPr>
              <w:t>8</w:t>
            </w:r>
          </w:p>
        </w:tc>
        <w:tc>
          <w:tcPr>
            <w:tcW w:w="120" w:type="dxa"/>
            <w:vAlign w:val="bottom"/>
            <w:gridSpan w:val="4"/>
          </w:tcPr>
          <w:p>
            <w:pPr>
              <w:jc w:val="right"/>
              <w:spacing w:after="0" w:line="209" w:lineRule="exact"/>
              <w:rPr>
                <w:sz w:val="20"/>
                <w:szCs w:val="20"/>
                <w:color w:val="auto"/>
              </w:rPr>
            </w:pPr>
            <w:r>
              <w:rPr>
                <w:rFonts w:ascii="Arial" w:cs="Arial" w:eastAsia="Arial" w:hAnsi="Arial"/>
                <w:sz w:val="22"/>
                <w:szCs w:val="22"/>
                <w:color w:val="FF0000"/>
                <w:strike w:val="1"/>
                <w:w w:val="81"/>
              </w:rPr>
              <w:t>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720" w:type="dxa"/>
            <w:vAlign w:val="bottom"/>
            <w:gridSpan w:val="2"/>
          </w:tcPr>
          <w:p>
            <w:pPr>
              <w:spacing w:after="0"/>
              <w:rPr>
                <w:sz w:val="20"/>
                <w:szCs w:val="20"/>
                <w:color w:val="auto"/>
              </w:rPr>
            </w:pPr>
            <w:r>
              <w:rPr>
                <w:rFonts w:ascii="Arial" w:cs="Arial" w:eastAsia="Arial" w:hAnsi="Arial"/>
                <w:sz w:val="22"/>
                <w:szCs w:val="22"/>
                <w:b w:val="1"/>
                <w:bCs w:val="1"/>
                <w:color w:val="auto"/>
                <w:w w:val="96"/>
              </w:rPr>
              <w:t>ARTICLE IX Miscellaneous</w:t>
            </w:r>
          </w:p>
        </w:tc>
        <w:tc>
          <w:tcPr>
            <w:tcW w:w="240" w:type="dxa"/>
            <w:vAlign w:val="bottom"/>
            <w:gridSpan w:val="2"/>
          </w:tcPr>
          <w:p>
            <w:pPr>
              <w:ind w:left="120"/>
              <w:spacing w:after="0"/>
              <w:rPr>
                <w:sz w:val="20"/>
                <w:szCs w:val="20"/>
                <w:color w:val="auto"/>
              </w:rPr>
            </w:pPr>
            <w:r>
              <w:rPr>
                <w:rFonts w:ascii="Arial" w:cs="Arial" w:eastAsia="Arial" w:hAnsi="Arial"/>
                <w:sz w:val="22"/>
                <w:szCs w:val="22"/>
                <w:b w:val="1"/>
                <w:bCs w:val="1"/>
                <w:color w:val="auto"/>
                <w:w w:val="81"/>
              </w:rPr>
              <w:t>1</w:t>
            </w:r>
          </w:p>
        </w:tc>
        <w:tc>
          <w:tcPr>
            <w:tcW w:w="220" w:type="dxa"/>
            <w:vAlign w:val="bottom"/>
            <w:gridSpan w:val="6"/>
          </w:tcPr>
          <w:p>
            <w:pPr>
              <w:jc w:val="right"/>
              <w:ind w:right="15"/>
              <w:spacing w:after="0"/>
              <w:rPr>
                <w:sz w:val="20"/>
                <w:szCs w:val="20"/>
                <w:color w:val="auto"/>
              </w:rPr>
            </w:pPr>
            <w:r>
              <w:rPr>
                <w:rFonts w:ascii="Arial" w:cs="Arial" w:eastAsia="Arial" w:hAnsi="Arial"/>
                <w:sz w:val="22"/>
                <w:szCs w:val="22"/>
                <w:b w:val="1"/>
                <w:bCs w:val="1"/>
                <w:color w:val="FF0000"/>
                <w:strike w:val="1"/>
                <w:w w:val="73"/>
              </w:rPr>
              <w:t>06</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b w:val="1"/>
                <w:bCs w:val="1"/>
                <w:color w:val="0000FF"/>
                <w:w w:val="73"/>
              </w:rPr>
              <w:t>89</w:t>
            </w:r>
          </w:p>
        </w:tc>
        <w:tc>
          <w:tcPr>
            <w:tcW w:w="1580" w:type="dxa"/>
            <w:vAlign w:val="bottom"/>
            <w:gridSpan w:val="39"/>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0" w:type="dxa"/>
            <w:vAlign w:val="bottom"/>
            <w:gridSpan w:val="41"/>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20" w:type="dxa"/>
            <w:vAlign w:val="bottom"/>
            <w:vMerge w:val="restart"/>
          </w:tcPr>
          <w:p>
            <w:pPr>
              <w:ind w:left="660"/>
              <w:spacing w:after="0" w:line="195" w:lineRule="exact"/>
              <w:rPr>
                <w:sz w:val="20"/>
                <w:szCs w:val="20"/>
                <w:color w:val="auto"/>
              </w:rPr>
            </w:pPr>
            <w:r>
              <w:rPr>
                <w:rFonts w:ascii="Arial" w:cs="Arial" w:eastAsia="Arial" w:hAnsi="Arial"/>
                <w:sz w:val="22"/>
                <w:szCs w:val="22"/>
                <w:color w:val="auto"/>
                <w:w w:val="93"/>
              </w:rPr>
              <w:t>Section 9.01</w:t>
            </w:r>
          </w:p>
        </w:tc>
        <w:tc>
          <w:tcPr>
            <w:tcW w:w="900" w:type="dxa"/>
            <w:vAlign w:val="bottom"/>
            <w:vMerge w:val="restart"/>
          </w:tcPr>
          <w:p>
            <w:pPr>
              <w:ind w:left="100"/>
              <w:spacing w:after="0" w:line="195" w:lineRule="exact"/>
              <w:rPr>
                <w:sz w:val="20"/>
                <w:szCs w:val="20"/>
                <w:color w:val="auto"/>
              </w:rPr>
            </w:pPr>
            <w:r>
              <w:rPr>
                <w:rFonts w:ascii="Arial" w:cs="Arial" w:eastAsia="Arial" w:hAnsi="Arial"/>
                <w:sz w:val="22"/>
                <w:szCs w:val="22"/>
                <w:color w:val="auto"/>
              </w:rPr>
              <w:t>Notices</w:t>
            </w:r>
          </w:p>
        </w:tc>
        <w:tc>
          <w:tcPr>
            <w:tcW w:w="400" w:type="dxa"/>
            <w:vAlign w:val="bottom"/>
            <w:gridSpan w:val="5"/>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67295"/>
              </w:rPr>
              <w:t xml:space="preserve">1   </w:t>
            </w:r>
            <w:r>
              <w:rPr>
                <w:rFonts w:ascii="Arial" w:cs="Arial" w:eastAsia="Arial" w:hAnsi="Arial"/>
                <w:sz w:val="1"/>
                <w:szCs w:val="1"/>
                <w:color w:val="FF0000"/>
                <w:strike w:val="1"/>
                <w:w w:val="4294967295"/>
              </w:rPr>
              <w:t>06</w:t>
            </w:r>
          </w:p>
        </w:tc>
        <w:tc>
          <w:tcPr>
            <w:tcW w:w="120" w:type="dxa"/>
            <w:vAlign w:val="bottom"/>
            <w:vMerge w:val="restart"/>
          </w:tcPr>
          <w:p>
            <w:pPr>
              <w:spacing w:after="0"/>
              <w:rPr>
                <w:sz w:val="20"/>
                <w:szCs w:val="20"/>
                <w:color w:val="auto"/>
              </w:rPr>
            </w:pPr>
            <w:r>
              <w:rPr>
                <w:rFonts w:ascii="Arial" w:cs="Arial" w:eastAsia="Arial" w:hAnsi="Arial"/>
                <w:sz w:val="10"/>
                <w:szCs w:val="10"/>
                <w:color w:val="0000FF"/>
                <w:w w:val="71"/>
              </w:rPr>
              <w:t>89</w:t>
            </w:r>
          </w:p>
        </w:tc>
        <w:tc>
          <w:tcPr>
            <w:tcW w:w="5960" w:type="dxa"/>
            <w:vAlign w:val="bottom"/>
            <w:gridSpan w:val="82"/>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8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top w:val="single" w:sz="8" w:color="FF0000"/>
            </w:tcBorders>
            <w:gridSpan w:val="4"/>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120" w:type="dxa"/>
            <w:vAlign w:val="bottom"/>
            <w:tcBorders>
              <w:bottom w:val="single" w:sz="8" w:color="0000FF"/>
            </w:tcBorders>
            <w:vMerge w:val="continue"/>
          </w:tcPr>
          <w:p>
            <w:pPr>
              <w:spacing w:after="0"/>
              <w:rPr>
                <w:sz w:val="5"/>
                <w:szCs w:val="5"/>
                <w:color w:val="auto"/>
              </w:rPr>
            </w:pPr>
          </w:p>
        </w:tc>
        <w:tc>
          <w:tcPr>
            <w:tcW w:w="5960" w:type="dxa"/>
            <w:vAlign w:val="bottom"/>
            <w:gridSpan w:val="82"/>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9.02</w:t>
            </w:r>
          </w:p>
        </w:tc>
        <w:tc>
          <w:tcPr>
            <w:tcW w:w="2140" w:type="dxa"/>
            <w:vAlign w:val="bottom"/>
            <w:gridSpan w:val="26"/>
          </w:tcPr>
          <w:p>
            <w:pPr>
              <w:ind w:left="100"/>
              <w:spacing w:after="0" w:line="209" w:lineRule="exact"/>
              <w:rPr>
                <w:sz w:val="20"/>
                <w:szCs w:val="20"/>
                <w:color w:val="auto"/>
              </w:rPr>
            </w:pPr>
            <w:r>
              <w:rPr>
                <w:rFonts w:ascii="Arial" w:cs="Arial" w:eastAsia="Arial" w:hAnsi="Arial"/>
                <w:sz w:val="22"/>
                <w:szCs w:val="22"/>
                <w:color w:val="auto"/>
                <w:w w:val="90"/>
              </w:rPr>
              <w:t>Waivers; Amendments</w:t>
            </w:r>
          </w:p>
        </w:tc>
        <w:tc>
          <w:tcPr>
            <w:tcW w:w="280" w:type="dxa"/>
            <w:vAlign w:val="bottom"/>
            <w:gridSpan w:val="9"/>
          </w:tcPr>
          <w:p>
            <w:pPr>
              <w:jc w:val="right"/>
              <w:ind w:right="40"/>
              <w:spacing w:after="0" w:line="209" w:lineRule="exact"/>
              <w:rPr>
                <w:sz w:val="20"/>
                <w:szCs w:val="20"/>
                <w:color w:val="auto"/>
              </w:rPr>
            </w:pPr>
            <w:r>
              <w:rPr>
                <w:rFonts w:ascii="Arial" w:cs="Arial" w:eastAsia="Arial" w:hAnsi="Arial"/>
                <w:sz w:val="22"/>
                <w:szCs w:val="22"/>
                <w:color w:val="auto"/>
              </w:rPr>
              <w:t>1</w:t>
            </w:r>
          </w:p>
        </w:tc>
        <w:tc>
          <w:tcPr>
            <w:tcW w:w="180" w:type="dxa"/>
            <w:vAlign w:val="bottom"/>
            <w:gridSpan w:val="2"/>
          </w:tcPr>
          <w:p>
            <w:pPr>
              <w:spacing w:after="0" w:line="210" w:lineRule="exact"/>
              <w:rPr>
                <w:sz w:val="20"/>
                <w:szCs w:val="20"/>
                <w:color w:val="auto"/>
              </w:rPr>
            </w:pPr>
            <w:r>
              <w:rPr>
                <w:rFonts w:ascii="Arial" w:cs="Arial" w:eastAsia="Arial" w:hAnsi="Arial"/>
                <w:sz w:val="19"/>
                <w:szCs w:val="19"/>
                <w:color w:val="FF0000"/>
                <w:strike w:val="1"/>
                <w:w w:val="75"/>
              </w:rPr>
              <w:t>07</w:t>
            </w:r>
          </w:p>
        </w:tc>
        <w:tc>
          <w:tcPr>
            <w:tcW w:w="220" w:type="dxa"/>
            <w:vAlign w:val="bottom"/>
            <w:gridSpan w:val="6"/>
          </w:tcPr>
          <w:p>
            <w:pPr>
              <w:jc w:val="right"/>
              <w:ind w:right="20"/>
              <w:spacing w:after="0" w:line="209" w:lineRule="exact"/>
              <w:rPr>
                <w:sz w:val="20"/>
                <w:szCs w:val="20"/>
                <w:color w:val="auto"/>
              </w:rPr>
            </w:pPr>
            <w:r>
              <w:rPr>
                <w:rFonts w:ascii="Arial" w:cs="Arial" w:eastAsia="Arial" w:hAnsi="Arial"/>
                <w:sz w:val="22"/>
                <w:szCs w:val="22"/>
                <w:color w:val="0000FF"/>
                <w:w w:val="73"/>
              </w:rPr>
              <w:t>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9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9.03</w:t>
            </w:r>
          </w:p>
        </w:tc>
        <w:tc>
          <w:tcPr>
            <w:tcW w:w="3620" w:type="dxa"/>
            <w:vAlign w:val="bottom"/>
            <w:gridSpan w:val="63"/>
          </w:tcPr>
          <w:p>
            <w:pPr>
              <w:ind w:left="100"/>
              <w:spacing w:after="0" w:line="223" w:lineRule="exact"/>
              <w:rPr>
                <w:sz w:val="20"/>
                <w:szCs w:val="20"/>
                <w:color w:val="auto"/>
              </w:rPr>
            </w:pPr>
            <w:r>
              <w:rPr>
                <w:rFonts w:ascii="Arial" w:cs="Arial" w:eastAsia="Arial" w:hAnsi="Arial"/>
                <w:sz w:val="22"/>
                <w:szCs w:val="22"/>
                <w:color w:val="auto"/>
                <w:w w:val="93"/>
              </w:rPr>
              <w:t>Expenses; Indemnity; Damage Waiver</w:t>
            </w:r>
          </w:p>
        </w:tc>
        <w:tc>
          <w:tcPr>
            <w:tcW w:w="220" w:type="dxa"/>
            <w:vAlign w:val="bottom"/>
          </w:tcPr>
          <w:p>
            <w:pPr>
              <w:ind w:left="20"/>
              <w:spacing w:after="0" w:line="223" w:lineRule="exact"/>
              <w:rPr>
                <w:sz w:val="20"/>
                <w:szCs w:val="20"/>
                <w:color w:val="auto"/>
              </w:rPr>
            </w:pPr>
            <w:r>
              <w:rPr>
                <w:rFonts w:ascii="Arial" w:cs="Arial" w:eastAsia="Arial" w:hAnsi="Arial"/>
                <w:sz w:val="22"/>
                <w:szCs w:val="22"/>
                <w:color w:val="auto"/>
                <w:w w:val="73"/>
              </w:rPr>
              <w:t>19</w:t>
            </w:r>
          </w:p>
        </w:tc>
        <w:tc>
          <w:tcPr>
            <w:tcW w:w="120" w:type="dxa"/>
            <w:vAlign w:val="bottom"/>
          </w:tcPr>
          <w:p>
            <w:pPr>
              <w:jc w:val="right"/>
              <w:spacing w:after="0" w:line="223" w:lineRule="exact"/>
              <w:rPr>
                <w:sz w:val="20"/>
                <w:szCs w:val="20"/>
                <w:color w:val="auto"/>
              </w:rPr>
            </w:pPr>
            <w:r>
              <w:rPr>
                <w:rFonts w:ascii="Arial" w:cs="Arial" w:eastAsia="Arial" w:hAnsi="Arial"/>
                <w:sz w:val="22"/>
                <w:szCs w:val="22"/>
                <w:color w:val="FF0000"/>
                <w:strike w:val="1"/>
                <w:w w:val="81"/>
              </w:rPr>
              <w:t>4</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9"/>
                <w:szCs w:val="19"/>
                <w:color w:val="0000FF"/>
                <w:w w:val="75"/>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9.04</w:t>
            </w:r>
          </w:p>
        </w:tc>
        <w:tc>
          <w:tcPr>
            <w:tcW w:w="2340" w:type="dxa"/>
            <w:vAlign w:val="bottom"/>
            <w:gridSpan w:val="33"/>
          </w:tcPr>
          <w:p>
            <w:pPr>
              <w:ind w:left="100"/>
              <w:spacing w:after="0" w:line="223" w:lineRule="exact"/>
              <w:rPr>
                <w:sz w:val="20"/>
                <w:szCs w:val="20"/>
                <w:color w:val="auto"/>
              </w:rPr>
            </w:pPr>
            <w:r>
              <w:rPr>
                <w:rFonts w:ascii="Arial" w:cs="Arial" w:eastAsia="Arial" w:hAnsi="Arial"/>
                <w:sz w:val="22"/>
                <w:szCs w:val="22"/>
                <w:color w:val="auto"/>
                <w:w w:val="92"/>
              </w:rPr>
              <w:t>Successors and Assigns</w:t>
            </w:r>
          </w:p>
        </w:tc>
        <w:tc>
          <w:tcPr>
            <w:tcW w:w="340" w:type="dxa"/>
            <w:vAlign w:val="bottom"/>
            <w:gridSpan w:val="6"/>
          </w:tcPr>
          <w:p>
            <w:pPr>
              <w:jc w:val="right"/>
              <w:spacing w:after="0" w:line="223" w:lineRule="exact"/>
              <w:rPr>
                <w:sz w:val="20"/>
                <w:szCs w:val="20"/>
                <w:color w:val="auto"/>
              </w:rPr>
            </w:pPr>
            <w:r>
              <w:rPr>
                <w:rFonts w:ascii="Arial" w:cs="Arial" w:eastAsia="Arial" w:hAnsi="Arial"/>
                <w:sz w:val="22"/>
                <w:szCs w:val="22"/>
                <w:color w:val="0000FF"/>
                <w:w w:val="87"/>
              </w:rPr>
              <w:t>1</w:t>
            </w:r>
            <w:r>
              <w:rPr>
                <w:rFonts w:ascii="Arial" w:cs="Arial" w:eastAsia="Arial" w:hAnsi="Arial"/>
                <w:sz w:val="22"/>
                <w:szCs w:val="22"/>
                <w:color w:val="000000"/>
                <w:w w:val="87"/>
              </w:rPr>
              <w:t>97</w:t>
            </w:r>
          </w:p>
        </w:tc>
        <w:tc>
          <w:tcPr>
            <w:tcW w:w="120" w:type="dxa"/>
            <w:vAlign w:val="bottom"/>
            <w:gridSpan w:val="3"/>
          </w:tcPr>
          <w:p>
            <w:pPr>
              <w:spacing w:after="0" w:line="223" w:lineRule="exact"/>
              <w:rPr>
                <w:sz w:val="20"/>
                <w:szCs w:val="20"/>
                <w:color w:val="auto"/>
              </w:rPr>
            </w:pPr>
            <w:r>
              <w:rPr>
                <w:rFonts w:ascii="Arial" w:cs="Arial" w:eastAsia="Arial" w:hAnsi="Arial"/>
                <w:sz w:val="22"/>
                <w:szCs w:val="22"/>
                <w:color w:val="FF0000"/>
                <w:strike w:val="1"/>
                <w:w w:val="81"/>
              </w:rPr>
              <w:t>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9.05</w:t>
            </w:r>
          </w:p>
        </w:tc>
        <w:tc>
          <w:tcPr>
            <w:tcW w:w="900" w:type="dxa"/>
            <w:vAlign w:val="bottom"/>
          </w:tcPr>
          <w:p>
            <w:pPr>
              <w:ind w:left="100"/>
              <w:spacing w:after="0" w:line="209" w:lineRule="exact"/>
              <w:rPr>
                <w:sz w:val="20"/>
                <w:szCs w:val="20"/>
                <w:color w:val="auto"/>
              </w:rPr>
            </w:pPr>
            <w:r>
              <w:rPr>
                <w:rFonts w:ascii="Arial" w:cs="Arial" w:eastAsia="Arial" w:hAnsi="Arial"/>
                <w:sz w:val="22"/>
                <w:szCs w:val="22"/>
                <w:color w:val="auto"/>
                <w:w w:val="99"/>
              </w:rPr>
              <w:t>Survival</w:t>
            </w:r>
          </w:p>
        </w:tc>
        <w:tc>
          <w:tcPr>
            <w:tcW w:w="360" w:type="dxa"/>
            <w:vAlign w:val="bottom"/>
            <w:gridSpan w:val="4"/>
          </w:tcPr>
          <w:p>
            <w:pPr>
              <w:ind w:left="140"/>
              <w:spacing w:after="0" w:line="209" w:lineRule="exact"/>
              <w:rPr>
                <w:sz w:val="20"/>
                <w:szCs w:val="20"/>
                <w:color w:val="auto"/>
              </w:rPr>
            </w:pPr>
            <w:r>
              <w:rPr>
                <w:rFonts w:ascii="Arial" w:cs="Arial" w:eastAsia="Arial" w:hAnsi="Arial"/>
                <w:sz w:val="22"/>
                <w:szCs w:val="22"/>
                <w:color w:val="auto"/>
                <w:w w:val="81"/>
              </w:rPr>
              <w:t>20</w:t>
            </w:r>
          </w:p>
        </w:tc>
        <w:tc>
          <w:tcPr>
            <w:tcW w:w="100" w:type="dxa"/>
            <w:vAlign w:val="bottom"/>
            <w:gridSpan w:val="4"/>
          </w:tcPr>
          <w:p>
            <w:pPr>
              <w:spacing w:after="0" w:line="210" w:lineRule="exact"/>
              <w:rPr>
                <w:sz w:val="20"/>
                <w:szCs w:val="20"/>
                <w:color w:val="auto"/>
              </w:rPr>
            </w:pPr>
            <w:r>
              <w:rPr>
                <w:rFonts w:ascii="Arial" w:cs="Arial" w:eastAsia="Arial" w:hAnsi="Arial"/>
                <w:sz w:val="19"/>
                <w:szCs w:val="19"/>
                <w:color w:val="FF0000"/>
                <w:strike w:val="1"/>
                <w:w w:val="75"/>
              </w:rPr>
              <w:t>4</w:t>
            </w:r>
          </w:p>
        </w:tc>
        <w:tc>
          <w:tcPr>
            <w:tcW w:w="12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2"/>
                <w:szCs w:val="22"/>
                <w:color w:val="0000FF"/>
                <w:w w:val="81"/>
              </w:rPr>
              <w:t>4</w:t>
            </w:r>
          </w:p>
        </w:tc>
        <w:tc>
          <w:tcPr>
            <w:tcW w:w="880" w:type="dxa"/>
            <w:vAlign w:val="bottom"/>
            <w:gridSpan w:val="24"/>
          </w:tcPr>
          <w:p>
            <w:pPr>
              <w:spacing w:after="0"/>
              <w:rPr>
                <w:sz w:val="18"/>
                <w:szCs w:val="18"/>
                <w:color w:val="auto"/>
              </w:rPr>
            </w:pPr>
          </w:p>
        </w:tc>
        <w:tc>
          <w:tcPr>
            <w:tcW w:w="120" w:type="dxa"/>
            <w:vAlign w:val="bottom"/>
            <w:tcBorders>
              <w:top w:val="single" w:sz="8" w:color="0000FF"/>
            </w:tcBorders>
            <w:gridSpan w:val="2"/>
          </w:tcPr>
          <w:p>
            <w:pPr>
              <w:spacing w:after="0"/>
              <w:rPr>
                <w:sz w:val="18"/>
                <w:szCs w:val="18"/>
                <w:color w:val="auto"/>
              </w:rPr>
            </w:pPr>
          </w:p>
        </w:tc>
        <w:tc>
          <w:tcPr>
            <w:tcW w:w="4960" w:type="dxa"/>
            <w:vAlign w:val="bottom"/>
            <w:gridSpan w:val="56"/>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9.06</w:t>
            </w:r>
          </w:p>
        </w:tc>
        <w:tc>
          <w:tcPr>
            <w:tcW w:w="2340" w:type="dxa"/>
            <w:vAlign w:val="bottom"/>
            <w:gridSpan w:val="33"/>
          </w:tcPr>
          <w:p>
            <w:pPr>
              <w:ind w:left="100"/>
              <w:spacing w:after="0" w:line="223" w:lineRule="exact"/>
              <w:rPr>
                <w:sz w:val="20"/>
                <w:szCs w:val="20"/>
                <w:color w:val="auto"/>
              </w:rPr>
            </w:pPr>
            <w:r>
              <w:rPr>
                <w:rFonts w:ascii="Arial" w:cs="Arial" w:eastAsia="Arial" w:hAnsi="Arial"/>
                <w:sz w:val="22"/>
                <w:szCs w:val="22"/>
                <w:color w:val="auto"/>
                <w:w w:val="91"/>
              </w:rPr>
              <w:t>Counterparts; Integration</w:t>
            </w:r>
          </w:p>
        </w:tc>
        <w:tc>
          <w:tcPr>
            <w:tcW w:w="360" w:type="dxa"/>
            <w:vAlign w:val="bottom"/>
            <w:gridSpan w:val="7"/>
          </w:tcPr>
          <w:p>
            <w:pPr>
              <w:jc w:val="right"/>
              <w:spacing w:after="0" w:line="223" w:lineRule="exact"/>
              <w:rPr>
                <w:sz w:val="20"/>
                <w:szCs w:val="20"/>
                <w:color w:val="auto"/>
              </w:rPr>
            </w:pPr>
            <w:r>
              <w:rPr>
                <w:rFonts w:ascii="Arial" w:cs="Arial" w:eastAsia="Arial" w:hAnsi="Arial"/>
                <w:sz w:val="22"/>
                <w:szCs w:val="22"/>
                <w:color w:val="auto"/>
              </w:rPr>
              <w:t>20</w:t>
            </w:r>
          </w:p>
        </w:tc>
        <w:tc>
          <w:tcPr>
            <w:tcW w:w="120" w:type="dxa"/>
            <w:vAlign w:val="bottom"/>
            <w:gridSpan w:val="3"/>
          </w:tcPr>
          <w:p>
            <w:pPr>
              <w:jc w:val="right"/>
              <w:spacing w:after="0" w:line="223" w:lineRule="exact"/>
              <w:rPr>
                <w:sz w:val="20"/>
                <w:szCs w:val="20"/>
                <w:color w:val="auto"/>
              </w:rPr>
            </w:pPr>
            <w:r>
              <w:rPr>
                <w:rFonts w:ascii="Arial" w:cs="Arial" w:eastAsia="Arial" w:hAnsi="Arial"/>
                <w:sz w:val="22"/>
                <w:szCs w:val="22"/>
                <w:color w:val="FF0000"/>
                <w:strike w:val="1"/>
                <w:w w:val="81"/>
              </w:rPr>
              <w:t>4</w:t>
            </w:r>
          </w:p>
        </w:tc>
        <w:tc>
          <w:tcPr>
            <w:tcW w:w="160" w:type="dxa"/>
            <w:vAlign w:val="bottom"/>
            <w:gridSpan w:val="3"/>
          </w:tcPr>
          <w:p>
            <w:pPr>
              <w:jc w:val="right"/>
              <w:ind w:right="60"/>
              <w:spacing w:after="0"/>
              <w:rPr>
                <w:sz w:val="20"/>
                <w:szCs w:val="20"/>
                <w:color w:val="auto"/>
              </w:rPr>
            </w:pPr>
            <w:r>
              <w:rPr>
                <w:rFonts w:ascii="Arial" w:cs="Arial" w:eastAsia="Arial" w:hAnsi="Arial"/>
                <w:sz w:val="19"/>
                <w:szCs w:val="19"/>
                <w:color w:val="0000FF"/>
                <w:w w:val="75"/>
              </w:rPr>
              <w:t>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9.07</w:t>
            </w:r>
          </w:p>
        </w:tc>
        <w:tc>
          <w:tcPr>
            <w:tcW w:w="1320" w:type="dxa"/>
            <w:vAlign w:val="bottom"/>
            <w:gridSpan w:val="7"/>
          </w:tcPr>
          <w:p>
            <w:pPr>
              <w:ind w:left="100"/>
              <w:spacing w:after="0" w:line="223" w:lineRule="exact"/>
              <w:rPr>
                <w:sz w:val="20"/>
                <w:szCs w:val="20"/>
                <w:color w:val="auto"/>
              </w:rPr>
            </w:pPr>
            <w:r>
              <w:rPr>
                <w:rFonts w:ascii="Arial" w:cs="Arial" w:eastAsia="Arial" w:hAnsi="Arial"/>
                <w:sz w:val="22"/>
                <w:szCs w:val="22"/>
                <w:color w:val="auto"/>
              </w:rPr>
              <w:t>Severability</w:t>
            </w:r>
          </w:p>
        </w:tc>
        <w:tc>
          <w:tcPr>
            <w:tcW w:w="160" w:type="dxa"/>
            <w:vAlign w:val="bottom"/>
            <w:gridSpan w:val="3"/>
          </w:tcPr>
          <w:p>
            <w:pPr>
              <w:ind w:left="40"/>
              <w:spacing w:after="0"/>
              <w:rPr>
                <w:sz w:val="20"/>
                <w:szCs w:val="20"/>
                <w:color w:val="auto"/>
              </w:rPr>
            </w:pPr>
            <w:r>
              <w:rPr>
                <w:rFonts w:ascii="Arial" w:cs="Arial" w:eastAsia="Arial" w:hAnsi="Arial"/>
                <w:sz w:val="19"/>
                <w:szCs w:val="19"/>
                <w:color w:val="auto"/>
                <w:w w:val="75"/>
              </w:rPr>
              <w:t>2</w:t>
            </w:r>
          </w:p>
        </w:tc>
        <w:tc>
          <w:tcPr>
            <w:tcW w:w="220" w:type="dxa"/>
            <w:vAlign w:val="bottom"/>
            <w:gridSpan w:val="4"/>
          </w:tcPr>
          <w:p>
            <w:pPr>
              <w:spacing w:after="0" w:line="223" w:lineRule="exact"/>
              <w:rPr>
                <w:sz w:val="20"/>
                <w:szCs w:val="20"/>
                <w:color w:val="auto"/>
              </w:rPr>
            </w:pPr>
            <w:r>
              <w:rPr>
                <w:rFonts w:ascii="Arial" w:cs="Arial" w:eastAsia="Arial" w:hAnsi="Arial"/>
                <w:sz w:val="22"/>
                <w:szCs w:val="22"/>
                <w:color w:val="FF0000"/>
                <w:strike w:val="1"/>
                <w:w w:val="73"/>
              </w:rPr>
              <w:t>24</w:t>
            </w:r>
          </w:p>
        </w:tc>
        <w:tc>
          <w:tcPr>
            <w:tcW w:w="200" w:type="dxa"/>
            <w:vAlign w:val="bottom"/>
            <w:tcBorders>
              <w:bottom w:val="single" w:sz="8" w:color="0000FF"/>
            </w:tcBorders>
            <w:gridSpan w:val="4"/>
          </w:tcPr>
          <w:p>
            <w:pPr>
              <w:jc w:val="right"/>
              <w:spacing w:after="0" w:line="223" w:lineRule="exact"/>
              <w:rPr>
                <w:sz w:val="20"/>
                <w:szCs w:val="20"/>
                <w:color w:val="auto"/>
              </w:rPr>
            </w:pPr>
            <w:r>
              <w:rPr>
                <w:rFonts w:ascii="Arial" w:cs="Arial" w:eastAsia="Arial" w:hAnsi="Arial"/>
                <w:sz w:val="22"/>
                <w:szCs w:val="22"/>
                <w:color w:val="0000FF"/>
                <w:w w:val="73"/>
              </w:rPr>
              <w:t>05</w:t>
            </w:r>
          </w:p>
        </w:tc>
        <w:tc>
          <w:tcPr>
            <w:tcW w:w="920" w:type="dxa"/>
            <w:vAlign w:val="bottom"/>
            <w:gridSpan w:val="25"/>
          </w:tcPr>
          <w:p>
            <w:pPr>
              <w:spacing w:after="0"/>
              <w:rPr>
                <w:sz w:val="19"/>
                <w:szCs w:val="19"/>
                <w:color w:val="auto"/>
              </w:rPr>
            </w:pPr>
          </w:p>
        </w:tc>
        <w:tc>
          <w:tcPr>
            <w:tcW w:w="100" w:type="dxa"/>
            <w:vAlign w:val="bottom"/>
            <w:tcBorders>
              <w:top w:val="single" w:sz="8" w:color="0000FF"/>
            </w:tcBorders>
            <w:gridSpan w:val="2"/>
          </w:tcPr>
          <w:p>
            <w:pPr>
              <w:spacing w:after="0"/>
              <w:rPr>
                <w:sz w:val="19"/>
                <w:szCs w:val="19"/>
                <w:color w:val="auto"/>
              </w:rPr>
            </w:pPr>
          </w:p>
        </w:tc>
        <w:tc>
          <w:tcPr>
            <w:tcW w:w="4520" w:type="dxa"/>
            <w:vAlign w:val="bottom"/>
            <w:gridSpan w:val="47"/>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9.08</w:t>
            </w:r>
          </w:p>
        </w:tc>
        <w:tc>
          <w:tcPr>
            <w:tcW w:w="1720" w:type="dxa"/>
            <w:vAlign w:val="bottom"/>
            <w:gridSpan w:val="15"/>
          </w:tcPr>
          <w:p>
            <w:pPr>
              <w:ind w:left="100"/>
              <w:spacing w:after="0" w:line="209" w:lineRule="exact"/>
              <w:rPr>
                <w:sz w:val="20"/>
                <w:szCs w:val="20"/>
                <w:color w:val="auto"/>
              </w:rPr>
            </w:pPr>
            <w:r>
              <w:rPr>
                <w:rFonts w:ascii="Arial" w:cs="Arial" w:eastAsia="Arial" w:hAnsi="Arial"/>
                <w:sz w:val="22"/>
                <w:szCs w:val="22"/>
                <w:color w:val="auto"/>
                <w:w w:val="97"/>
              </w:rPr>
              <w:t>Right of Setoff  2</w:t>
            </w:r>
          </w:p>
        </w:tc>
        <w:tc>
          <w:tcPr>
            <w:tcW w:w="200" w:type="dxa"/>
            <w:vAlign w:val="bottom"/>
            <w:gridSpan w:val="4"/>
          </w:tcPr>
          <w:p>
            <w:pPr>
              <w:jc w:val="right"/>
              <w:ind w:right="20"/>
              <w:spacing w:after="0" w:line="210" w:lineRule="exact"/>
              <w:rPr>
                <w:sz w:val="20"/>
                <w:szCs w:val="20"/>
                <w:color w:val="auto"/>
              </w:rPr>
            </w:pPr>
            <w:r>
              <w:rPr>
                <w:rFonts w:ascii="Arial" w:cs="Arial" w:eastAsia="Arial" w:hAnsi="Arial"/>
                <w:sz w:val="19"/>
                <w:szCs w:val="19"/>
                <w:color w:val="FF0000"/>
                <w:strike w:val="1"/>
                <w:w w:val="75"/>
              </w:rPr>
              <w:t>25</w:t>
            </w:r>
          </w:p>
        </w:tc>
        <w:tc>
          <w:tcPr>
            <w:tcW w:w="22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2"/>
                <w:szCs w:val="22"/>
                <w:color w:val="0000FF"/>
                <w:w w:val="81"/>
              </w:rPr>
              <w:t>05</w:t>
            </w:r>
          </w:p>
        </w:tc>
        <w:tc>
          <w:tcPr>
            <w:tcW w:w="5300" w:type="dxa"/>
            <w:vAlign w:val="bottom"/>
            <w:gridSpan w:val="66"/>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9.09</w:t>
            </w:r>
          </w:p>
        </w:tc>
        <w:tc>
          <w:tcPr>
            <w:tcW w:w="5460" w:type="dxa"/>
            <w:vAlign w:val="bottom"/>
            <w:gridSpan w:val="76"/>
          </w:tcPr>
          <w:p>
            <w:pPr>
              <w:ind w:left="100"/>
              <w:spacing w:after="0" w:line="223" w:lineRule="exact"/>
              <w:rPr>
                <w:sz w:val="20"/>
                <w:szCs w:val="20"/>
                <w:color w:val="auto"/>
              </w:rPr>
            </w:pPr>
            <w:r>
              <w:rPr>
                <w:rFonts w:ascii="Arial" w:cs="Arial" w:eastAsia="Arial" w:hAnsi="Arial"/>
                <w:sz w:val="22"/>
                <w:szCs w:val="22"/>
                <w:color w:val="auto"/>
                <w:w w:val="92"/>
              </w:rPr>
              <w:t>Governing Law; Jurisdiction; Consent to Service of Process</w:t>
            </w:r>
          </w:p>
        </w:tc>
        <w:tc>
          <w:tcPr>
            <w:tcW w:w="140" w:type="dxa"/>
            <w:vAlign w:val="bottom"/>
          </w:tcPr>
          <w:p>
            <w:pPr>
              <w:jc w:val="right"/>
              <w:spacing w:after="0" w:line="223" w:lineRule="exact"/>
              <w:rPr>
                <w:sz w:val="20"/>
                <w:szCs w:val="20"/>
                <w:color w:val="auto"/>
              </w:rPr>
            </w:pPr>
            <w:r>
              <w:rPr>
                <w:rFonts w:ascii="Arial" w:cs="Arial" w:eastAsia="Arial" w:hAnsi="Arial"/>
                <w:sz w:val="22"/>
                <w:szCs w:val="22"/>
                <w:color w:val="auto"/>
                <w:w w:val="97"/>
              </w:rPr>
              <w:t>2</w:t>
            </w:r>
          </w:p>
        </w:tc>
        <w:tc>
          <w:tcPr>
            <w:tcW w:w="220" w:type="dxa"/>
            <w:vAlign w:val="bottom"/>
            <w:gridSpan w:val="2"/>
          </w:tcPr>
          <w:p>
            <w:pPr>
              <w:jc w:val="right"/>
              <w:spacing w:after="0" w:line="223" w:lineRule="exact"/>
              <w:rPr>
                <w:sz w:val="20"/>
                <w:szCs w:val="20"/>
                <w:color w:val="auto"/>
              </w:rPr>
            </w:pPr>
            <w:r>
              <w:rPr>
                <w:rFonts w:ascii="Arial" w:cs="Arial" w:eastAsia="Arial" w:hAnsi="Arial"/>
                <w:sz w:val="22"/>
                <w:szCs w:val="22"/>
                <w:color w:val="FF0000"/>
                <w:strike w:val="1"/>
                <w:w w:val="81"/>
              </w:rPr>
              <w:t>25</w:t>
            </w:r>
          </w:p>
        </w:tc>
        <w:tc>
          <w:tcPr>
            <w:tcW w:w="240" w:type="dxa"/>
            <w:vAlign w:val="bottom"/>
            <w:gridSpan w:val="4"/>
          </w:tcPr>
          <w:p>
            <w:pPr>
              <w:jc w:val="right"/>
              <w:ind w:right="40"/>
              <w:spacing w:after="0" w:line="223" w:lineRule="exact"/>
              <w:rPr>
                <w:sz w:val="20"/>
                <w:szCs w:val="20"/>
                <w:color w:val="auto"/>
              </w:rPr>
            </w:pPr>
            <w:r>
              <w:rPr>
                <w:rFonts w:ascii="Arial" w:cs="Arial" w:eastAsia="Arial" w:hAnsi="Arial"/>
                <w:sz w:val="22"/>
                <w:szCs w:val="22"/>
                <w:color w:val="0000FF"/>
                <w:w w:val="73"/>
              </w:rPr>
              <w:t>06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9.10</w:t>
            </w:r>
          </w:p>
        </w:tc>
        <w:tc>
          <w:tcPr>
            <w:tcW w:w="2840" w:type="dxa"/>
            <w:vAlign w:val="bottom"/>
            <w:gridSpan w:val="44"/>
          </w:tcPr>
          <w:p>
            <w:pPr>
              <w:ind w:left="100"/>
              <w:spacing w:after="0" w:line="223" w:lineRule="exact"/>
              <w:rPr>
                <w:sz w:val="20"/>
                <w:szCs w:val="20"/>
                <w:color w:val="auto"/>
              </w:rPr>
            </w:pPr>
            <w:r>
              <w:rPr>
                <w:rFonts w:ascii="Arial" w:cs="Arial" w:eastAsia="Arial" w:hAnsi="Arial"/>
                <w:sz w:val="22"/>
                <w:szCs w:val="22"/>
                <w:color w:val="auto"/>
                <w:w w:val="97"/>
              </w:rPr>
              <w:t>WAIVER OF JURY TRIAL  2</w:t>
            </w:r>
          </w:p>
        </w:tc>
        <w:tc>
          <w:tcPr>
            <w:tcW w:w="220" w:type="dxa"/>
            <w:vAlign w:val="bottom"/>
            <w:gridSpan w:val="5"/>
          </w:tcPr>
          <w:p>
            <w:pPr>
              <w:jc w:val="right"/>
              <w:spacing w:after="0" w:line="223" w:lineRule="exact"/>
              <w:rPr>
                <w:sz w:val="20"/>
                <w:szCs w:val="20"/>
                <w:color w:val="auto"/>
              </w:rPr>
            </w:pPr>
            <w:r>
              <w:rPr>
                <w:rFonts w:ascii="Arial" w:cs="Arial" w:eastAsia="Arial" w:hAnsi="Arial"/>
                <w:sz w:val="22"/>
                <w:szCs w:val="22"/>
                <w:color w:val="FF0000"/>
                <w:strike w:val="1"/>
                <w:w w:val="81"/>
              </w:rPr>
              <w:t>26</w:t>
            </w:r>
          </w:p>
        </w:tc>
        <w:tc>
          <w:tcPr>
            <w:tcW w:w="220" w:type="dxa"/>
            <w:vAlign w:val="bottom"/>
            <w:tcBorders>
              <w:bottom w:val="single" w:sz="8" w:color="0000FF"/>
            </w:tcBorders>
            <w:gridSpan w:val="3"/>
          </w:tcPr>
          <w:p>
            <w:pPr>
              <w:spacing w:after="0" w:line="223" w:lineRule="exact"/>
              <w:rPr>
                <w:sz w:val="20"/>
                <w:szCs w:val="20"/>
                <w:color w:val="auto"/>
              </w:rPr>
            </w:pPr>
            <w:r>
              <w:rPr>
                <w:rFonts w:ascii="Arial" w:cs="Arial" w:eastAsia="Arial" w:hAnsi="Arial"/>
                <w:sz w:val="22"/>
                <w:szCs w:val="22"/>
                <w:color w:val="0000FF"/>
                <w:w w:val="81"/>
              </w:rPr>
              <w:t>06</w:t>
            </w:r>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gridSpan w:val="3"/>
          </w:tcPr>
          <w:p>
            <w:pPr>
              <w:spacing w:after="0"/>
              <w:rPr>
                <w:sz w:val="19"/>
                <w:szCs w:val="19"/>
                <w:color w:val="auto"/>
              </w:rPr>
            </w:pPr>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9.11</w:t>
            </w:r>
          </w:p>
        </w:tc>
        <w:tc>
          <w:tcPr>
            <w:tcW w:w="1480" w:type="dxa"/>
            <w:vAlign w:val="bottom"/>
            <w:gridSpan w:val="10"/>
          </w:tcPr>
          <w:p>
            <w:pPr>
              <w:ind w:left="80"/>
              <w:spacing w:after="0" w:line="209" w:lineRule="exact"/>
              <w:rPr>
                <w:sz w:val="20"/>
                <w:szCs w:val="20"/>
                <w:color w:val="auto"/>
              </w:rPr>
            </w:pPr>
            <w:r>
              <w:rPr>
                <w:rFonts w:ascii="Arial" w:cs="Arial" w:eastAsia="Arial" w:hAnsi="Arial"/>
                <w:sz w:val="22"/>
                <w:szCs w:val="22"/>
                <w:color w:val="auto"/>
                <w:w w:val="95"/>
              </w:rPr>
              <w:t>Headings  2</w:t>
            </w:r>
            <w:r>
              <w:rPr>
                <w:rFonts w:ascii="Arial" w:cs="Arial" w:eastAsia="Arial" w:hAnsi="Arial"/>
                <w:sz w:val="22"/>
                <w:szCs w:val="22"/>
                <w:color w:val="0000FF"/>
                <w:w w:val="95"/>
              </w:rPr>
              <w:t>0</w:t>
            </w:r>
            <w:r>
              <w:rPr>
                <w:rFonts w:ascii="Arial" w:cs="Arial" w:eastAsia="Arial" w:hAnsi="Arial"/>
                <w:sz w:val="22"/>
                <w:szCs w:val="22"/>
                <w:color w:val="auto"/>
                <w:w w:val="95"/>
              </w:rPr>
              <w:t>7</w:t>
            </w:r>
          </w:p>
        </w:tc>
        <w:tc>
          <w:tcPr>
            <w:tcW w:w="5960" w:type="dxa"/>
            <w:vAlign w:val="bottom"/>
            <w:gridSpan w:val="82"/>
          </w:tcPr>
          <w:p>
            <w:pPr>
              <w:jc w:val="right"/>
              <w:ind w:right="5772"/>
              <w:spacing w:after="0"/>
              <w:rPr>
                <w:sz w:val="20"/>
                <w:szCs w:val="20"/>
                <w:color w:val="auto"/>
              </w:rPr>
            </w:pPr>
            <w:r>
              <w:rPr>
                <w:rFonts w:ascii="Arial" w:cs="Arial" w:eastAsia="Arial" w:hAnsi="Arial"/>
                <w:sz w:val="15"/>
                <w:szCs w:val="15"/>
                <w:color w:val="FF0000"/>
                <w:strike w:val="1"/>
                <w:w w:val="71"/>
              </w:rPr>
              <w:t>7</w:t>
            </w:r>
          </w:p>
        </w:tc>
        <w:tc>
          <w:tcPr>
            <w:tcW w:w="0" w:type="dxa"/>
            <w:vAlign w:val="bottom"/>
          </w:tcPr>
          <w:p>
            <w:pPr>
              <w:spacing w:after="0"/>
              <w:rPr>
                <w:sz w:val="1"/>
                <w:szCs w:val="1"/>
                <w:color w:val="auto"/>
              </w:rPr>
            </w:pPr>
          </w:p>
        </w:tc>
      </w:tr>
      <w:tr>
        <w:trPr>
          <w:trHeight w:val="20"/>
        </w:trPr>
        <w:tc>
          <w:tcPr>
            <w:tcW w:w="9260" w:type="dxa"/>
            <w:vAlign w:val="bottom"/>
            <w:gridSpan w:val="9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9.12</w:t>
            </w:r>
          </w:p>
        </w:tc>
        <w:tc>
          <w:tcPr>
            <w:tcW w:w="1940" w:type="dxa"/>
            <w:vAlign w:val="bottom"/>
            <w:gridSpan w:val="20"/>
          </w:tcPr>
          <w:p>
            <w:pPr>
              <w:ind w:left="100"/>
              <w:spacing w:after="0" w:line="223" w:lineRule="exact"/>
              <w:rPr>
                <w:sz w:val="20"/>
                <w:szCs w:val="20"/>
                <w:color w:val="auto"/>
              </w:rPr>
            </w:pPr>
            <w:r>
              <w:rPr>
                <w:rFonts w:ascii="Arial" w:cs="Arial" w:eastAsia="Arial" w:hAnsi="Arial"/>
                <w:sz w:val="22"/>
                <w:szCs w:val="22"/>
                <w:color w:val="auto"/>
                <w:w w:val="97"/>
              </w:rPr>
              <w:t>Confidentiality  2</w:t>
            </w:r>
            <w:r>
              <w:rPr>
                <w:rFonts w:ascii="Arial" w:cs="Arial" w:eastAsia="Arial" w:hAnsi="Arial"/>
                <w:sz w:val="22"/>
                <w:szCs w:val="22"/>
                <w:color w:val="0000FF"/>
                <w:w w:val="97"/>
              </w:rPr>
              <w:t>0</w:t>
            </w:r>
            <w:r>
              <w:rPr>
                <w:rFonts w:ascii="Arial" w:cs="Arial" w:eastAsia="Arial" w:hAnsi="Arial"/>
                <w:sz w:val="22"/>
                <w:szCs w:val="22"/>
                <w:color w:val="auto"/>
                <w:w w:val="97"/>
              </w:rPr>
              <w:t>7</w:t>
            </w:r>
          </w:p>
        </w:tc>
        <w:tc>
          <w:tcPr>
            <w:tcW w:w="5500" w:type="dxa"/>
            <w:vAlign w:val="bottom"/>
            <w:gridSpan w:val="72"/>
          </w:tcPr>
          <w:p>
            <w:pPr>
              <w:jc w:val="right"/>
              <w:ind w:right="5272"/>
              <w:spacing w:after="0" w:line="223" w:lineRule="exact"/>
              <w:rPr>
                <w:sz w:val="20"/>
                <w:szCs w:val="20"/>
                <w:color w:val="auto"/>
              </w:rPr>
            </w:pPr>
            <w:r>
              <w:rPr>
                <w:rFonts w:ascii="Arial" w:cs="Arial" w:eastAsia="Arial" w:hAnsi="Arial"/>
                <w:sz w:val="22"/>
                <w:szCs w:val="22"/>
                <w:color w:val="FF0000"/>
                <w:strike w:val="1"/>
                <w:w w:val="81"/>
              </w:rPr>
              <w:t>7</w:t>
            </w:r>
          </w:p>
        </w:tc>
        <w:tc>
          <w:tcPr>
            <w:tcW w:w="0" w:type="dxa"/>
            <w:vAlign w:val="bottom"/>
          </w:tcPr>
          <w:p>
            <w:pPr>
              <w:spacing w:after="0"/>
              <w:rPr>
                <w:sz w:val="1"/>
                <w:szCs w:val="1"/>
                <w:color w:val="auto"/>
              </w:rPr>
            </w:pPr>
          </w:p>
        </w:tc>
      </w:tr>
      <w:tr>
        <w:trPr>
          <w:trHeight w:val="20"/>
        </w:trPr>
        <w:tc>
          <w:tcPr>
            <w:tcW w:w="3660" w:type="dxa"/>
            <w:vAlign w:val="bottom"/>
            <w:tcBorders>
              <w:right w:val="single" w:sz="8" w:color="0000FF"/>
            </w:tcBorders>
            <w:gridSpan w:val="17"/>
          </w:tcPr>
          <w:p>
            <w:pPr>
              <w:spacing w:after="0" w:line="20" w:lineRule="exact"/>
              <w:rPr>
                <w:sz w:val="1"/>
                <w:szCs w:val="1"/>
                <w:color w:val="auto"/>
              </w:rPr>
            </w:pPr>
          </w:p>
        </w:tc>
        <w:tc>
          <w:tcPr>
            <w:tcW w:w="5600" w:type="dxa"/>
            <w:vAlign w:val="bottom"/>
            <w:gridSpan w:val="7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9.13</w:t>
            </w:r>
          </w:p>
        </w:tc>
        <w:tc>
          <w:tcPr>
            <w:tcW w:w="2340" w:type="dxa"/>
            <w:vAlign w:val="bottom"/>
            <w:gridSpan w:val="33"/>
          </w:tcPr>
          <w:p>
            <w:pPr>
              <w:ind w:left="100"/>
              <w:spacing w:after="0" w:line="223" w:lineRule="exact"/>
              <w:rPr>
                <w:sz w:val="20"/>
                <w:szCs w:val="20"/>
                <w:color w:val="auto"/>
              </w:rPr>
            </w:pPr>
            <w:r>
              <w:rPr>
                <w:rFonts w:ascii="Arial" w:cs="Arial" w:eastAsia="Arial" w:hAnsi="Arial"/>
                <w:sz w:val="22"/>
                <w:szCs w:val="22"/>
                <w:color w:val="auto"/>
                <w:w w:val="98"/>
              </w:rPr>
              <w:t>Interest Rate Limitation</w:t>
            </w:r>
          </w:p>
        </w:tc>
        <w:tc>
          <w:tcPr>
            <w:tcW w:w="140" w:type="dxa"/>
            <w:vAlign w:val="bottom"/>
            <w:gridSpan w:val="3"/>
          </w:tcPr>
          <w:p>
            <w:pPr>
              <w:ind w:left="40"/>
              <w:spacing w:after="0"/>
              <w:rPr>
                <w:sz w:val="20"/>
                <w:szCs w:val="20"/>
                <w:color w:val="auto"/>
              </w:rPr>
            </w:pPr>
            <w:r>
              <w:rPr>
                <w:rFonts w:ascii="Arial" w:cs="Arial" w:eastAsia="Arial" w:hAnsi="Arial"/>
                <w:sz w:val="15"/>
                <w:szCs w:val="15"/>
                <w:color w:val="auto"/>
                <w:w w:val="71"/>
              </w:rPr>
              <w:t>2</w:t>
            </w:r>
          </w:p>
        </w:tc>
        <w:tc>
          <w:tcPr>
            <w:tcW w:w="220" w:type="dxa"/>
            <w:vAlign w:val="bottom"/>
            <w:gridSpan w:val="4"/>
          </w:tcPr>
          <w:p>
            <w:pPr>
              <w:jc w:val="right"/>
              <w:spacing w:after="0" w:line="223" w:lineRule="exact"/>
              <w:rPr>
                <w:sz w:val="20"/>
                <w:szCs w:val="20"/>
                <w:color w:val="auto"/>
              </w:rPr>
            </w:pPr>
            <w:r>
              <w:rPr>
                <w:rFonts w:ascii="Arial" w:cs="Arial" w:eastAsia="Arial" w:hAnsi="Arial"/>
                <w:sz w:val="22"/>
                <w:szCs w:val="22"/>
                <w:color w:val="FF0000"/>
                <w:strike w:val="1"/>
                <w:w w:val="81"/>
              </w:rPr>
              <w:t>28</w:t>
            </w:r>
          </w:p>
        </w:tc>
        <w:tc>
          <w:tcPr>
            <w:tcW w:w="220" w:type="dxa"/>
            <w:vAlign w:val="bottom"/>
            <w:tcBorders>
              <w:bottom w:val="single" w:sz="8" w:color="0000FF"/>
            </w:tcBorders>
            <w:gridSpan w:val="5"/>
          </w:tcPr>
          <w:p>
            <w:pPr>
              <w:jc w:val="right"/>
              <w:spacing w:after="0" w:line="223" w:lineRule="exact"/>
              <w:rPr>
                <w:sz w:val="20"/>
                <w:szCs w:val="20"/>
                <w:color w:val="auto"/>
              </w:rPr>
            </w:pPr>
            <w:r>
              <w:rPr>
                <w:rFonts w:ascii="Arial" w:cs="Arial" w:eastAsia="Arial" w:hAnsi="Arial"/>
                <w:sz w:val="22"/>
                <w:szCs w:val="22"/>
                <w:color w:val="0000FF"/>
                <w:w w:val="81"/>
              </w:rPr>
              <w:t>08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9.14</w:t>
            </w:r>
          </w:p>
        </w:tc>
        <w:tc>
          <w:tcPr>
            <w:tcW w:w="1620" w:type="dxa"/>
            <w:vAlign w:val="bottom"/>
            <w:gridSpan w:val="13"/>
          </w:tcPr>
          <w:p>
            <w:pPr>
              <w:ind w:left="100"/>
              <w:spacing w:after="0" w:line="209" w:lineRule="exact"/>
              <w:rPr>
                <w:sz w:val="20"/>
                <w:szCs w:val="20"/>
                <w:color w:val="auto"/>
              </w:rPr>
            </w:pPr>
            <w:r>
              <w:rPr>
                <w:rFonts w:ascii="Arial" w:cs="Arial" w:eastAsia="Arial" w:hAnsi="Arial"/>
                <w:sz w:val="22"/>
                <w:szCs w:val="22"/>
                <w:color w:val="auto"/>
                <w:w w:val="98"/>
              </w:rPr>
              <w:t>USA Patriot Act</w:t>
            </w:r>
          </w:p>
        </w:tc>
        <w:tc>
          <w:tcPr>
            <w:tcW w:w="220" w:type="dxa"/>
            <w:vAlign w:val="bottom"/>
            <w:gridSpan w:val="3"/>
          </w:tcPr>
          <w:p>
            <w:pPr>
              <w:ind w:left="100"/>
              <w:spacing w:after="0" w:line="210" w:lineRule="exact"/>
              <w:rPr>
                <w:sz w:val="20"/>
                <w:szCs w:val="20"/>
                <w:color w:val="auto"/>
              </w:rPr>
            </w:pPr>
            <w:r>
              <w:rPr>
                <w:rFonts w:ascii="Arial" w:cs="Arial" w:eastAsia="Arial" w:hAnsi="Arial"/>
                <w:sz w:val="19"/>
                <w:szCs w:val="19"/>
                <w:color w:val="auto"/>
                <w:w w:val="75"/>
              </w:rPr>
              <w:t>2</w:t>
            </w:r>
          </w:p>
        </w:tc>
        <w:tc>
          <w:tcPr>
            <w:tcW w:w="200" w:type="dxa"/>
            <w:vAlign w:val="bottom"/>
            <w:gridSpan w:val="7"/>
          </w:tcPr>
          <w:p>
            <w:pPr>
              <w:spacing w:after="0" w:line="209" w:lineRule="exact"/>
              <w:rPr>
                <w:sz w:val="20"/>
                <w:szCs w:val="20"/>
                <w:color w:val="auto"/>
              </w:rPr>
            </w:pPr>
            <w:r>
              <w:rPr>
                <w:rFonts w:ascii="Arial" w:cs="Arial" w:eastAsia="Arial" w:hAnsi="Arial"/>
                <w:sz w:val="22"/>
                <w:szCs w:val="22"/>
                <w:color w:val="FF0000"/>
                <w:strike w:val="1"/>
                <w:w w:val="73"/>
              </w:rPr>
              <w:t>28</w:t>
            </w:r>
          </w:p>
        </w:tc>
        <w:tc>
          <w:tcPr>
            <w:tcW w:w="22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2"/>
                <w:szCs w:val="22"/>
                <w:color w:val="0000FF"/>
                <w:w w:val="81"/>
              </w:rPr>
              <w:t>08</w:t>
            </w:r>
          </w:p>
        </w:tc>
        <w:tc>
          <w:tcPr>
            <w:tcW w:w="5180" w:type="dxa"/>
            <w:vAlign w:val="bottom"/>
            <w:gridSpan w:val="6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9.15</w:t>
            </w:r>
          </w:p>
        </w:tc>
        <w:tc>
          <w:tcPr>
            <w:tcW w:w="3000" w:type="dxa"/>
            <w:vAlign w:val="bottom"/>
            <w:gridSpan w:val="47"/>
          </w:tcPr>
          <w:p>
            <w:pPr>
              <w:ind w:left="100"/>
              <w:spacing w:after="0" w:line="223" w:lineRule="exact"/>
              <w:rPr>
                <w:sz w:val="20"/>
                <w:szCs w:val="20"/>
                <w:color w:val="auto"/>
              </w:rPr>
            </w:pPr>
            <w:r>
              <w:rPr>
                <w:rFonts w:ascii="Arial" w:cs="Arial" w:eastAsia="Arial" w:hAnsi="Arial"/>
                <w:sz w:val="22"/>
                <w:szCs w:val="22"/>
                <w:color w:val="auto"/>
                <w:w w:val="95"/>
              </w:rPr>
              <w:t>Direct Website Communication</w:t>
            </w:r>
          </w:p>
        </w:tc>
        <w:tc>
          <w:tcPr>
            <w:tcW w:w="140" w:type="dxa"/>
            <w:vAlign w:val="bottom"/>
            <w:gridSpan w:val="3"/>
          </w:tcPr>
          <w:p>
            <w:pPr>
              <w:jc w:val="right"/>
              <w:spacing w:after="0" w:line="223" w:lineRule="exact"/>
              <w:rPr>
                <w:sz w:val="20"/>
                <w:szCs w:val="20"/>
                <w:color w:val="auto"/>
              </w:rPr>
            </w:pPr>
            <w:r>
              <w:rPr>
                <w:rFonts w:ascii="Arial" w:cs="Arial" w:eastAsia="Arial" w:hAnsi="Arial"/>
                <w:sz w:val="22"/>
                <w:szCs w:val="22"/>
                <w:color w:val="auto"/>
                <w:w w:val="97"/>
              </w:rPr>
              <w:t>2</w:t>
            </w:r>
          </w:p>
        </w:tc>
        <w:tc>
          <w:tcPr>
            <w:tcW w:w="220" w:type="dxa"/>
            <w:vAlign w:val="bottom"/>
            <w:gridSpan w:val="5"/>
          </w:tcPr>
          <w:p>
            <w:pPr>
              <w:jc w:val="right"/>
              <w:spacing w:after="0" w:line="223" w:lineRule="exact"/>
              <w:rPr>
                <w:sz w:val="20"/>
                <w:szCs w:val="20"/>
                <w:color w:val="auto"/>
              </w:rPr>
            </w:pPr>
            <w:r>
              <w:rPr>
                <w:rFonts w:ascii="Arial" w:cs="Arial" w:eastAsia="Arial" w:hAnsi="Arial"/>
                <w:sz w:val="22"/>
                <w:szCs w:val="22"/>
                <w:color w:val="FF0000"/>
                <w:strike w:val="1"/>
                <w:w w:val="81"/>
              </w:rPr>
              <w:t>29</w:t>
            </w:r>
          </w:p>
        </w:tc>
        <w:tc>
          <w:tcPr>
            <w:tcW w:w="220" w:type="dxa"/>
            <w:vAlign w:val="bottom"/>
            <w:tcBorders>
              <w:bottom w:val="single" w:sz="8" w:color="0000FF"/>
            </w:tcBorders>
            <w:gridSpan w:val="6"/>
          </w:tcPr>
          <w:p>
            <w:pPr>
              <w:jc w:val="center"/>
              <w:spacing w:after="0" w:line="223" w:lineRule="exact"/>
              <w:rPr>
                <w:sz w:val="20"/>
                <w:szCs w:val="20"/>
                <w:color w:val="auto"/>
              </w:rPr>
            </w:pPr>
            <w:r>
              <w:rPr>
                <w:rFonts w:ascii="Arial" w:cs="Arial" w:eastAsia="Arial" w:hAnsi="Arial"/>
                <w:sz w:val="22"/>
                <w:szCs w:val="22"/>
                <w:color w:val="0000FF"/>
                <w:w w:val="89"/>
              </w:rPr>
              <w:t>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9.16</w:t>
            </w:r>
          </w:p>
        </w:tc>
        <w:tc>
          <w:tcPr>
            <w:tcW w:w="3000" w:type="dxa"/>
            <w:vAlign w:val="bottom"/>
            <w:gridSpan w:val="47"/>
          </w:tcPr>
          <w:p>
            <w:pPr>
              <w:ind w:left="100"/>
              <w:spacing w:after="0" w:line="223" w:lineRule="exact"/>
              <w:rPr>
                <w:sz w:val="20"/>
                <w:szCs w:val="20"/>
                <w:color w:val="auto"/>
              </w:rPr>
            </w:pPr>
            <w:r>
              <w:rPr>
                <w:rFonts w:ascii="Arial" w:cs="Arial" w:eastAsia="Arial" w:hAnsi="Arial"/>
                <w:sz w:val="22"/>
                <w:szCs w:val="22"/>
                <w:color w:val="auto"/>
                <w:w w:val="89"/>
              </w:rPr>
              <w:t>Intercreditor Agreement Governs</w:t>
            </w:r>
          </w:p>
        </w:tc>
        <w:tc>
          <w:tcPr>
            <w:tcW w:w="400" w:type="dxa"/>
            <w:vAlign w:val="bottom"/>
            <w:gridSpan w:val="9"/>
          </w:tcPr>
          <w:p>
            <w:pPr>
              <w:jc w:val="right"/>
              <w:spacing w:after="0" w:line="223" w:lineRule="exact"/>
              <w:rPr>
                <w:sz w:val="20"/>
                <w:szCs w:val="20"/>
                <w:color w:val="auto"/>
              </w:rPr>
            </w:pPr>
            <w:r>
              <w:rPr>
                <w:rFonts w:ascii="Arial" w:cs="Arial" w:eastAsia="Arial" w:hAnsi="Arial"/>
                <w:sz w:val="22"/>
                <w:szCs w:val="22"/>
                <w:color w:val="auto"/>
              </w:rPr>
              <w:t>20</w:t>
            </w:r>
          </w:p>
        </w:tc>
        <w:tc>
          <w:tcPr>
            <w:tcW w:w="100" w:type="dxa"/>
            <w:vAlign w:val="bottom"/>
            <w:gridSpan w:val="3"/>
          </w:tcPr>
          <w:p>
            <w:pPr>
              <w:jc w:val="center"/>
              <w:spacing w:after="0" w:line="223" w:lineRule="exact"/>
              <w:rPr>
                <w:sz w:val="20"/>
                <w:szCs w:val="20"/>
                <w:color w:val="auto"/>
              </w:rPr>
            </w:pPr>
            <w:r>
              <w:rPr>
                <w:rFonts w:ascii="Arial" w:cs="Arial" w:eastAsia="Arial" w:hAnsi="Arial"/>
                <w:sz w:val="22"/>
                <w:szCs w:val="22"/>
                <w:color w:val="FF0000"/>
                <w:strike w:val="1"/>
                <w:w w:val="81"/>
              </w:rPr>
              <w:t>0</w:t>
            </w:r>
          </w:p>
        </w:tc>
        <w:tc>
          <w:tcPr>
            <w:tcW w:w="120" w:type="dxa"/>
            <w:vAlign w:val="bottom"/>
            <w:gridSpan w:val="4"/>
          </w:tcPr>
          <w:p>
            <w:pPr>
              <w:jc w:val="right"/>
              <w:spacing w:after="0" w:line="223" w:lineRule="exact"/>
              <w:rPr>
                <w:sz w:val="20"/>
                <w:szCs w:val="20"/>
                <w:color w:val="auto"/>
              </w:rPr>
            </w:pPr>
            <w:r>
              <w:rPr>
                <w:rFonts w:ascii="Arial" w:cs="Arial" w:eastAsia="Arial" w:hAnsi="Arial"/>
                <w:sz w:val="22"/>
                <w:szCs w:val="22"/>
                <w:color w:val="0000FF"/>
                <w:w w:val="81"/>
              </w:rPr>
              <w:t>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660"/>
              <w:spacing w:after="0" w:line="209" w:lineRule="exact"/>
              <w:rPr>
                <w:sz w:val="20"/>
                <w:szCs w:val="20"/>
                <w:color w:val="auto"/>
              </w:rPr>
            </w:pPr>
            <w:r>
              <w:rPr>
                <w:rFonts w:ascii="Arial" w:cs="Arial" w:eastAsia="Arial" w:hAnsi="Arial"/>
                <w:sz w:val="22"/>
                <w:szCs w:val="22"/>
                <w:color w:val="auto"/>
                <w:w w:val="93"/>
              </w:rPr>
              <w:t>Section 9.17</w:t>
            </w:r>
          </w:p>
        </w:tc>
        <w:tc>
          <w:tcPr>
            <w:tcW w:w="2220" w:type="dxa"/>
            <w:vAlign w:val="bottom"/>
            <w:gridSpan w:val="29"/>
          </w:tcPr>
          <w:p>
            <w:pPr>
              <w:ind w:left="100"/>
              <w:spacing w:after="0" w:line="209" w:lineRule="exact"/>
              <w:rPr>
                <w:sz w:val="20"/>
                <w:szCs w:val="20"/>
                <w:color w:val="auto"/>
              </w:rPr>
            </w:pPr>
            <w:r>
              <w:rPr>
                <w:rFonts w:ascii="Arial" w:cs="Arial" w:eastAsia="Arial" w:hAnsi="Arial"/>
                <w:sz w:val="22"/>
                <w:szCs w:val="22"/>
                <w:color w:val="auto"/>
                <w:w w:val="91"/>
              </w:rPr>
              <w:t>Judgment Currency  21</w:t>
            </w:r>
          </w:p>
        </w:tc>
        <w:tc>
          <w:tcPr>
            <w:tcW w:w="120" w:type="dxa"/>
            <w:vAlign w:val="bottom"/>
            <w:gridSpan w:val="4"/>
          </w:tcPr>
          <w:p>
            <w:pPr>
              <w:jc w:val="right"/>
              <w:spacing w:after="0" w:line="209" w:lineRule="exact"/>
              <w:rPr>
                <w:sz w:val="20"/>
                <w:szCs w:val="20"/>
                <w:color w:val="auto"/>
              </w:rPr>
            </w:pPr>
            <w:r>
              <w:rPr>
                <w:rFonts w:ascii="Arial" w:cs="Arial" w:eastAsia="Arial" w:hAnsi="Arial"/>
                <w:sz w:val="22"/>
                <w:szCs w:val="22"/>
                <w:color w:val="FF0000"/>
                <w:strike w:val="1"/>
                <w:w w:val="81"/>
              </w:rPr>
              <w:t>0</w:t>
            </w:r>
          </w:p>
        </w:tc>
        <w:tc>
          <w:tcPr>
            <w:tcW w:w="140" w:type="dxa"/>
            <w:vAlign w:val="bottom"/>
            <w:tcBorders>
              <w:bottom w:val="single" w:sz="8" w:color="0000FF"/>
            </w:tcBorders>
            <w:gridSpan w:val="3"/>
          </w:tcPr>
          <w:p>
            <w:pPr>
              <w:spacing w:after="0" w:line="209" w:lineRule="exact"/>
              <w:rPr>
                <w:sz w:val="20"/>
                <w:szCs w:val="20"/>
                <w:color w:val="auto"/>
              </w:rPr>
            </w:pPr>
            <w:r>
              <w:rPr>
                <w:rFonts w:ascii="Arial" w:cs="Arial" w:eastAsia="Arial" w:hAnsi="Arial"/>
                <w:sz w:val="22"/>
                <w:szCs w:val="22"/>
                <w:color w:val="0000FF"/>
                <w:w w:val="81"/>
              </w:rPr>
              <w:t>0</w:t>
            </w:r>
          </w:p>
        </w:tc>
        <w:tc>
          <w:tcPr>
            <w:tcW w:w="520" w:type="dxa"/>
            <w:vAlign w:val="bottom"/>
            <w:gridSpan w:val="11"/>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9.18</w:t>
            </w:r>
          </w:p>
        </w:tc>
        <w:tc>
          <w:tcPr>
            <w:tcW w:w="3620" w:type="dxa"/>
            <w:vAlign w:val="bottom"/>
            <w:gridSpan w:val="63"/>
          </w:tcPr>
          <w:p>
            <w:pPr>
              <w:ind w:left="100"/>
              <w:spacing w:after="0" w:line="223" w:lineRule="exact"/>
              <w:rPr>
                <w:sz w:val="20"/>
                <w:szCs w:val="20"/>
                <w:color w:val="auto"/>
              </w:rPr>
            </w:pPr>
            <w:r>
              <w:rPr>
                <w:rFonts w:ascii="Arial" w:cs="Arial" w:eastAsia="Arial" w:hAnsi="Arial"/>
                <w:sz w:val="22"/>
                <w:szCs w:val="22"/>
                <w:color w:val="auto"/>
                <w:w w:val="91"/>
              </w:rPr>
              <w:t>No Advisory or Fiduciary Responsibility</w:t>
            </w:r>
          </w:p>
        </w:tc>
        <w:tc>
          <w:tcPr>
            <w:tcW w:w="440" w:type="dxa"/>
            <w:vAlign w:val="bottom"/>
            <w:gridSpan w:val="3"/>
          </w:tcPr>
          <w:p>
            <w:pPr>
              <w:jc w:val="right"/>
              <w:spacing w:after="0" w:line="223" w:lineRule="exact"/>
              <w:rPr>
                <w:sz w:val="20"/>
                <w:szCs w:val="20"/>
                <w:color w:val="auto"/>
              </w:rPr>
            </w:pPr>
            <w:r>
              <w:rPr>
                <w:rFonts w:ascii="Arial" w:cs="Arial" w:eastAsia="Arial" w:hAnsi="Arial"/>
                <w:sz w:val="22"/>
                <w:szCs w:val="22"/>
                <w:color w:val="auto"/>
              </w:rPr>
              <w:t>21</w:t>
            </w:r>
          </w:p>
        </w:tc>
        <w:tc>
          <w:tcPr>
            <w:tcW w:w="100" w:type="dxa"/>
            <w:vAlign w:val="bottom"/>
          </w:tcPr>
          <w:p>
            <w:pPr>
              <w:jc w:val="right"/>
              <w:spacing w:after="0"/>
              <w:rPr>
                <w:sz w:val="20"/>
                <w:szCs w:val="20"/>
                <w:color w:val="auto"/>
              </w:rPr>
            </w:pPr>
            <w:r>
              <w:rPr>
                <w:rFonts w:ascii="Arial" w:cs="Arial" w:eastAsia="Arial" w:hAnsi="Arial"/>
                <w:sz w:val="19"/>
                <w:szCs w:val="19"/>
                <w:color w:val="FF0000"/>
                <w:strike w:val="1"/>
                <w:w w:val="75"/>
              </w:rPr>
              <w:t>1</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9"/>
                <w:szCs w:val="19"/>
                <w:color w:val="0000FF"/>
                <w:w w:val="75"/>
              </w:rPr>
              <w:t>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60"/>
              <w:spacing w:after="0" w:line="223" w:lineRule="exact"/>
              <w:rPr>
                <w:sz w:val="20"/>
                <w:szCs w:val="20"/>
                <w:color w:val="auto"/>
              </w:rPr>
            </w:pPr>
            <w:r>
              <w:rPr>
                <w:rFonts w:ascii="Arial" w:cs="Arial" w:eastAsia="Arial" w:hAnsi="Arial"/>
                <w:sz w:val="22"/>
                <w:szCs w:val="22"/>
                <w:color w:val="auto"/>
                <w:w w:val="93"/>
              </w:rPr>
              <w:t>Section 9.19</w:t>
            </w:r>
          </w:p>
        </w:tc>
        <w:tc>
          <w:tcPr>
            <w:tcW w:w="6750" w:type="dxa"/>
            <w:vAlign w:val="bottom"/>
            <w:gridSpan w:val="87"/>
          </w:tcPr>
          <w:p>
            <w:pPr>
              <w:ind w:left="100"/>
              <w:spacing w:after="0" w:line="223" w:lineRule="exact"/>
              <w:rPr>
                <w:sz w:val="20"/>
                <w:szCs w:val="20"/>
                <w:color w:val="auto"/>
              </w:rPr>
            </w:pPr>
            <w:r>
              <w:rPr>
                <w:rFonts w:ascii="Arial" w:cs="Arial" w:eastAsia="Arial" w:hAnsi="Arial"/>
                <w:sz w:val="22"/>
                <w:szCs w:val="22"/>
                <w:color w:val="auto"/>
                <w:w w:val="92"/>
              </w:rPr>
              <w:t>Acknowledgement and Consent to Bail-In of EEA Financial Institutions  21</w:t>
            </w:r>
          </w:p>
        </w:tc>
        <w:tc>
          <w:tcPr>
            <w:tcW w:w="90" w:type="dxa"/>
            <w:vAlign w:val="bottom"/>
          </w:tcPr>
          <w:p>
            <w:pPr>
              <w:jc w:val="right"/>
              <w:spacing w:after="0"/>
              <w:rPr>
                <w:sz w:val="20"/>
                <w:szCs w:val="20"/>
                <w:color w:val="auto"/>
              </w:rPr>
            </w:pPr>
            <w:r>
              <w:rPr>
                <w:rFonts w:ascii="Arial" w:cs="Arial" w:eastAsia="Arial" w:hAnsi="Arial"/>
                <w:sz w:val="15"/>
                <w:szCs w:val="15"/>
                <w:color w:val="FF0000"/>
                <w:strike w:val="1"/>
                <w:w w:val="71"/>
              </w:rPr>
              <w:t>1</w:t>
            </w:r>
          </w:p>
        </w:tc>
        <w:tc>
          <w:tcPr>
            <w:tcW w:w="1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color w:val="0000FF"/>
                <w:w w:val="81"/>
              </w:rPr>
              <w:t>1</w:t>
            </w:r>
          </w:p>
        </w:tc>
        <w:tc>
          <w:tcPr>
            <w:tcW w:w="4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iii</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0139"/>
          </w:cols>
          <w:pgMar w:left="320" w:top="1372"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53"/>
        </w:trPr>
        <w:tc>
          <w:tcPr>
            <w:tcW w:w="1380" w:type="dxa"/>
            <w:vAlign w:val="bottom"/>
            <w:gridSpan w:val="2"/>
          </w:tcPr>
          <w:p>
            <w:pPr>
              <w:spacing w:after="0"/>
              <w:rPr>
                <w:sz w:val="20"/>
                <w:szCs w:val="20"/>
                <w:color w:val="auto"/>
              </w:rPr>
            </w:pPr>
            <w:r>
              <w:rPr>
                <w:rFonts w:ascii="Arial" w:cs="Arial" w:eastAsia="Arial" w:hAnsi="Arial"/>
                <w:sz w:val="22"/>
                <w:szCs w:val="22"/>
                <w:color w:val="auto"/>
                <w:w w:val="96"/>
              </w:rPr>
              <w:t>SCHEDULES:</w:t>
            </w:r>
          </w:p>
        </w:tc>
        <w:tc>
          <w:tcPr>
            <w:tcW w:w="2240" w:type="dxa"/>
            <w:vAlign w:val="bottom"/>
          </w:tcPr>
          <w:p>
            <w:pPr>
              <w:spacing w:after="0"/>
              <w:rPr>
                <w:sz w:val="21"/>
                <w:szCs w:val="21"/>
                <w:color w:val="auto"/>
              </w:rPr>
            </w:pPr>
          </w:p>
        </w:tc>
      </w:tr>
      <w:tr>
        <w:trPr>
          <w:trHeight w:val="404"/>
        </w:trPr>
        <w:tc>
          <w:tcPr>
            <w:tcW w:w="126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88"/>
              </w:rPr>
              <w:t>Schedule 1.02</w:t>
            </w:r>
          </w:p>
        </w:tc>
        <w:tc>
          <w:tcPr>
            <w:tcW w:w="120" w:type="dxa"/>
            <w:vAlign w:val="bottom"/>
          </w:tcPr>
          <w:p>
            <w:pPr>
              <w:spacing w:after="0"/>
              <w:rPr>
                <w:sz w:val="24"/>
                <w:szCs w:val="24"/>
                <w:color w:val="auto"/>
              </w:rPr>
            </w:pPr>
          </w:p>
        </w:tc>
        <w:tc>
          <w:tcPr>
            <w:tcW w:w="2240" w:type="dxa"/>
            <w:vAlign w:val="bottom"/>
          </w:tcPr>
          <w:p>
            <w:pPr>
              <w:ind w:left="60"/>
              <w:spacing w:after="0"/>
              <w:rPr>
                <w:sz w:val="20"/>
                <w:szCs w:val="20"/>
                <w:color w:val="auto"/>
              </w:rPr>
            </w:pPr>
            <w:r>
              <w:rPr>
                <w:rFonts w:ascii="Arial" w:cs="Arial" w:eastAsia="Arial" w:hAnsi="Arial"/>
                <w:sz w:val="22"/>
                <w:szCs w:val="22"/>
                <w:color w:val="auto"/>
                <w:w w:val="99"/>
              </w:rPr>
              <w:t>Excluded Subsidiaries</w:t>
            </w:r>
          </w:p>
        </w:tc>
      </w:tr>
      <w:tr>
        <w:trPr>
          <w:trHeight w:val="216"/>
        </w:trPr>
        <w:tc>
          <w:tcPr>
            <w:tcW w:w="1380" w:type="dxa"/>
            <w:vAlign w:val="bottom"/>
            <w:gridSpan w:val="2"/>
          </w:tcPr>
          <w:p>
            <w:pPr>
              <w:spacing w:after="0" w:line="216" w:lineRule="exact"/>
              <w:rPr>
                <w:sz w:val="20"/>
                <w:szCs w:val="20"/>
                <w:color w:val="auto"/>
              </w:rPr>
            </w:pPr>
            <w:r>
              <w:rPr>
                <w:rFonts w:ascii="Arial" w:cs="Arial" w:eastAsia="Arial" w:hAnsi="Arial"/>
                <w:sz w:val="22"/>
                <w:szCs w:val="22"/>
                <w:color w:val="auto"/>
                <w:w w:val="96"/>
              </w:rPr>
              <w:t>Schedule 1.03</w:t>
            </w:r>
          </w:p>
        </w:tc>
        <w:tc>
          <w:tcPr>
            <w:tcW w:w="2240" w:type="dxa"/>
            <w:vAlign w:val="bottom"/>
          </w:tcPr>
          <w:p>
            <w:pPr>
              <w:ind w:left="60"/>
              <w:spacing w:after="0" w:line="216" w:lineRule="exact"/>
              <w:rPr>
                <w:sz w:val="20"/>
                <w:szCs w:val="20"/>
                <w:color w:val="auto"/>
              </w:rPr>
            </w:pPr>
            <w:r>
              <w:rPr>
                <w:rFonts w:ascii="Arial" w:cs="Arial" w:eastAsia="Arial" w:hAnsi="Arial"/>
                <w:sz w:val="22"/>
                <w:szCs w:val="22"/>
                <w:color w:val="auto"/>
              </w:rPr>
              <w:t>[Reserved]</w:t>
            </w:r>
          </w:p>
        </w:tc>
      </w:tr>
      <w:tr>
        <w:trPr>
          <w:trHeight w:val="234"/>
        </w:trPr>
        <w:tc>
          <w:tcPr>
            <w:tcW w:w="1380" w:type="dxa"/>
            <w:vAlign w:val="bottom"/>
            <w:gridSpan w:val="2"/>
          </w:tcPr>
          <w:p>
            <w:pPr>
              <w:spacing w:after="0" w:line="234" w:lineRule="exact"/>
              <w:rPr>
                <w:sz w:val="20"/>
                <w:szCs w:val="20"/>
                <w:color w:val="auto"/>
              </w:rPr>
            </w:pPr>
            <w:r>
              <w:rPr>
                <w:rFonts w:ascii="Arial" w:cs="Arial" w:eastAsia="Arial" w:hAnsi="Arial"/>
                <w:sz w:val="22"/>
                <w:szCs w:val="22"/>
                <w:color w:val="auto"/>
                <w:w w:val="96"/>
              </w:rPr>
              <w:t>Schedule 1.04</w:t>
            </w:r>
          </w:p>
        </w:tc>
        <w:tc>
          <w:tcPr>
            <w:tcW w:w="2240" w:type="dxa"/>
            <w:vAlign w:val="bottom"/>
          </w:tcPr>
          <w:p>
            <w:pPr>
              <w:ind w:left="60"/>
              <w:spacing w:after="0" w:line="234" w:lineRule="exact"/>
              <w:rPr>
                <w:sz w:val="20"/>
                <w:szCs w:val="20"/>
                <w:color w:val="auto"/>
              </w:rPr>
            </w:pPr>
            <w:r>
              <w:rPr>
                <w:rFonts w:ascii="Arial" w:cs="Arial" w:eastAsia="Arial" w:hAnsi="Arial"/>
                <w:sz w:val="22"/>
                <w:szCs w:val="22"/>
                <w:color w:val="auto"/>
                <w:w w:val="88"/>
              </w:rPr>
              <w:t>Unrestricted Subsidiaries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500" w:type="dxa"/>
            <w:vAlign w:val="bottom"/>
            <w:gridSpan w:val="2"/>
          </w:tcPr>
          <w:p>
            <w:pPr>
              <w:spacing w:after="0" w:line="198" w:lineRule="exact"/>
              <w:rPr>
                <w:sz w:val="20"/>
                <w:szCs w:val="20"/>
                <w:color w:val="auto"/>
              </w:rPr>
            </w:pPr>
            <w:r>
              <w:rPr>
                <w:rFonts w:ascii="Arial" w:cs="Arial" w:eastAsia="Arial" w:hAnsi="Arial"/>
                <w:sz w:val="22"/>
                <w:szCs w:val="22"/>
                <w:color w:val="auto"/>
                <w:w w:val="88"/>
              </w:rPr>
              <w:t>Schedule 2.01(a)</w:t>
            </w:r>
          </w:p>
        </w:tc>
        <w:tc>
          <w:tcPr>
            <w:tcW w:w="2380" w:type="dxa"/>
            <w:vAlign w:val="bottom"/>
          </w:tcPr>
          <w:p>
            <w:pPr>
              <w:ind w:left="180"/>
              <w:spacing w:after="0" w:line="198" w:lineRule="exact"/>
              <w:rPr>
                <w:sz w:val="20"/>
                <w:szCs w:val="20"/>
                <w:color w:val="auto"/>
              </w:rPr>
            </w:pPr>
            <w:r>
              <w:rPr>
                <w:rFonts w:ascii="Arial" w:cs="Arial" w:eastAsia="Arial" w:hAnsi="Arial"/>
                <w:sz w:val="22"/>
                <w:szCs w:val="22"/>
                <w:color w:val="auto"/>
              </w:rPr>
              <w:t>Term Commitments</w:t>
            </w:r>
          </w:p>
        </w:tc>
      </w:tr>
      <w:tr>
        <w:trPr>
          <w:trHeight w:val="216"/>
        </w:trPr>
        <w:tc>
          <w:tcPr>
            <w:tcW w:w="1500" w:type="dxa"/>
            <w:vAlign w:val="bottom"/>
            <w:gridSpan w:val="2"/>
          </w:tcPr>
          <w:p>
            <w:pPr>
              <w:spacing w:after="0" w:line="216" w:lineRule="exact"/>
              <w:rPr>
                <w:sz w:val="20"/>
                <w:szCs w:val="20"/>
                <w:color w:val="auto"/>
              </w:rPr>
            </w:pPr>
            <w:r>
              <w:rPr>
                <w:rFonts w:ascii="Arial" w:cs="Arial" w:eastAsia="Arial" w:hAnsi="Arial"/>
                <w:sz w:val="22"/>
                <w:szCs w:val="22"/>
                <w:color w:val="auto"/>
                <w:w w:val="88"/>
              </w:rPr>
              <w:t>Schedule 2.01(b)</w:t>
            </w:r>
          </w:p>
        </w:tc>
        <w:tc>
          <w:tcPr>
            <w:tcW w:w="2380" w:type="dxa"/>
            <w:vAlign w:val="bottom"/>
          </w:tcPr>
          <w:p>
            <w:pPr>
              <w:ind w:left="200"/>
              <w:spacing w:after="0" w:line="216" w:lineRule="exact"/>
              <w:rPr>
                <w:sz w:val="20"/>
                <w:szCs w:val="20"/>
                <w:color w:val="auto"/>
              </w:rPr>
            </w:pPr>
            <w:r>
              <w:rPr>
                <w:rFonts w:ascii="Arial" w:cs="Arial" w:eastAsia="Arial" w:hAnsi="Arial"/>
                <w:sz w:val="22"/>
                <w:szCs w:val="22"/>
                <w:color w:val="auto"/>
                <w:w w:val="90"/>
              </w:rPr>
              <w:t>Revolving Commitments</w:t>
            </w:r>
          </w:p>
        </w:tc>
      </w:tr>
      <w:tr>
        <w:trPr>
          <w:trHeight w:val="216"/>
        </w:trPr>
        <w:tc>
          <w:tcPr>
            <w:tcW w:w="3880" w:type="dxa"/>
            <w:vAlign w:val="bottom"/>
            <w:gridSpan w:val="3"/>
          </w:tcPr>
          <w:p>
            <w:pPr>
              <w:spacing w:after="0" w:line="216" w:lineRule="exact"/>
              <w:rPr>
                <w:sz w:val="20"/>
                <w:szCs w:val="20"/>
                <w:color w:val="auto"/>
              </w:rPr>
            </w:pPr>
            <w:r>
              <w:rPr>
                <w:rFonts w:ascii="Arial" w:cs="Arial" w:eastAsia="Arial" w:hAnsi="Arial"/>
                <w:sz w:val="22"/>
                <w:szCs w:val="22"/>
                <w:color w:val="auto"/>
              </w:rPr>
              <w:t>Schedule 3.05  Material Real Property</w:t>
            </w:r>
          </w:p>
        </w:tc>
      </w:tr>
      <w:tr>
        <w:trPr>
          <w:trHeight w:val="216"/>
        </w:trPr>
        <w:tc>
          <w:tcPr>
            <w:tcW w:w="1340" w:type="dxa"/>
            <w:vAlign w:val="bottom"/>
          </w:tcPr>
          <w:p>
            <w:pPr>
              <w:spacing w:after="0" w:line="216" w:lineRule="exact"/>
              <w:rPr>
                <w:sz w:val="20"/>
                <w:szCs w:val="20"/>
                <w:color w:val="auto"/>
              </w:rPr>
            </w:pPr>
            <w:r>
              <w:rPr>
                <w:rFonts w:ascii="Arial" w:cs="Arial" w:eastAsia="Arial" w:hAnsi="Arial"/>
                <w:sz w:val="22"/>
                <w:szCs w:val="22"/>
                <w:color w:val="auto"/>
                <w:w w:val="93"/>
              </w:rPr>
              <w:t>Schedule 3.06</w:t>
            </w:r>
          </w:p>
        </w:tc>
        <w:tc>
          <w:tcPr>
            <w:tcW w:w="160" w:type="dxa"/>
            <w:vAlign w:val="bottom"/>
          </w:tcPr>
          <w:p>
            <w:pPr>
              <w:spacing w:after="0"/>
              <w:rPr>
                <w:sz w:val="18"/>
                <w:szCs w:val="18"/>
                <w:color w:val="auto"/>
              </w:rPr>
            </w:pPr>
          </w:p>
        </w:tc>
        <w:tc>
          <w:tcPr>
            <w:tcW w:w="2380" w:type="dxa"/>
            <w:vAlign w:val="bottom"/>
          </w:tcPr>
          <w:p>
            <w:pPr>
              <w:spacing w:after="0" w:line="216" w:lineRule="exact"/>
              <w:rPr>
                <w:sz w:val="20"/>
                <w:szCs w:val="20"/>
                <w:color w:val="auto"/>
              </w:rPr>
            </w:pPr>
            <w:r>
              <w:rPr>
                <w:rFonts w:ascii="Arial" w:cs="Arial" w:eastAsia="Arial" w:hAnsi="Arial"/>
                <w:sz w:val="22"/>
                <w:szCs w:val="22"/>
                <w:color w:val="auto"/>
              </w:rPr>
              <w:t>Disclosed Matters</w:t>
            </w:r>
          </w:p>
        </w:tc>
      </w:tr>
      <w:tr>
        <w:trPr>
          <w:trHeight w:val="216"/>
        </w:trPr>
        <w:tc>
          <w:tcPr>
            <w:tcW w:w="1340" w:type="dxa"/>
            <w:vAlign w:val="bottom"/>
          </w:tcPr>
          <w:p>
            <w:pPr>
              <w:spacing w:after="0" w:line="216" w:lineRule="exact"/>
              <w:rPr>
                <w:sz w:val="20"/>
                <w:szCs w:val="20"/>
                <w:color w:val="auto"/>
              </w:rPr>
            </w:pPr>
            <w:r>
              <w:rPr>
                <w:rFonts w:ascii="Arial" w:cs="Arial" w:eastAsia="Arial" w:hAnsi="Arial"/>
                <w:sz w:val="22"/>
                <w:szCs w:val="22"/>
                <w:color w:val="auto"/>
                <w:w w:val="93"/>
              </w:rPr>
              <w:t>Schedule 3.13</w:t>
            </w:r>
          </w:p>
        </w:tc>
        <w:tc>
          <w:tcPr>
            <w:tcW w:w="254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Subsidiaries</w:t>
            </w:r>
          </w:p>
        </w:tc>
      </w:tr>
      <w:tr>
        <w:trPr>
          <w:trHeight w:val="216"/>
        </w:trPr>
        <w:tc>
          <w:tcPr>
            <w:tcW w:w="1340" w:type="dxa"/>
            <w:vAlign w:val="bottom"/>
          </w:tcPr>
          <w:p>
            <w:pPr>
              <w:spacing w:after="0" w:line="216" w:lineRule="exact"/>
              <w:rPr>
                <w:sz w:val="20"/>
                <w:szCs w:val="20"/>
                <w:color w:val="auto"/>
              </w:rPr>
            </w:pPr>
            <w:r>
              <w:rPr>
                <w:rFonts w:ascii="Arial" w:cs="Arial" w:eastAsia="Arial" w:hAnsi="Arial"/>
                <w:sz w:val="22"/>
                <w:szCs w:val="22"/>
                <w:color w:val="auto"/>
                <w:w w:val="93"/>
              </w:rPr>
              <w:t>Schedule 5.11</w:t>
            </w:r>
          </w:p>
        </w:tc>
        <w:tc>
          <w:tcPr>
            <w:tcW w:w="254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Security Documents</w:t>
            </w:r>
          </w:p>
        </w:tc>
      </w:tr>
      <w:tr>
        <w:trPr>
          <w:trHeight w:val="216"/>
        </w:trPr>
        <w:tc>
          <w:tcPr>
            <w:tcW w:w="3880" w:type="dxa"/>
            <w:vAlign w:val="bottom"/>
            <w:gridSpan w:val="3"/>
          </w:tcPr>
          <w:p>
            <w:pPr>
              <w:spacing w:after="0" w:line="216" w:lineRule="exact"/>
              <w:rPr>
                <w:sz w:val="20"/>
                <w:szCs w:val="20"/>
                <w:color w:val="auto"/>
              </w:rPr>
            </w:pPr>
            <w:r>
              <w:rPr>
                <w:rFonts w:ascii="Arial" w:cs="Arial" w:eastAsia="Arial" w:hAnsi="Arial"/>
                <w:sz w:val="22"/>
                <w:szCs w:val="22"/>
                <w:color w:val="auto"/>
              </w:rPr>
              <w:t>Schedule 5.14  Post-Closing Matters</w:t>
            </w:r>
          </w:p>
        </w:tc>
      </w:tr>
      <w:tr>
        <w:trPr>
          <w:trHeight w:val="216"/>
        </w:trPr>
        <w:tc>
          <w:tcPr>
            <w:tcW w:w="1340" w:type="dxa"/>
            <w:vAlign w:val="bottom"/>
          </w:tcPr>
          <w:p>
            <w:pPr>
              <w:spacing w:after="0" w:line="216" w:lineRule="exact"/>
              <w:rPr>
                <w:sz w:val="20"/>
                <w:szCs w:val="20"/>
                <w:color w:val="auto"/>
              </w:rPr>
            </w:pPr>
            <w:r>
              <w:rPr>
                <w:rFonts w:ascii="Arial" w:cs="Arial" w:eastAsia="Arial" w:hAnsi="Arial"/>
                <w:sz w:val="22"/>
                <w:szCs w:val="22"/>
                <w:color w:val="auto"/>
                <w:w w:val="93"/>
              </w:rPr>
              <w:t>Schedule 6.01</w:t>
            </w:r>
          </w:p>
        </w:tc>
        <w:tc>
          <w:tcPr>
            <w:tcW w:w="254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Existing Indebtedness</w:t>
            </w:r>
          </w:p>
        </w:tc>
      </w:tr>
      <w:tr>
        <w:trPr>
          <w:trHeight w:val="216"/>
        </w:trPr>
        <w:tc>
          <w:tcPr>
            <w:tcW w:w="1340" w:type="dxa"/>
            <w:vAlign w:val="bottom"/>
          </w:tcPr>
          <w:p>
            <w:pPr>
              <w:spacing w:after="0" w:line="216" w:lineRule="exact"/>
              <w:rPr>
                <w:sz w:val="20"/>
                <w:szCs w:val="20"/>
                <w:color w:val="auto"/>
              </w:rPr>
            </w:pPr>
            <w:r>
              <w:rPr>
                <w:rFonts w:ascii="Arial" w:cs="Arial" w:eastAsia="Arial" w:hAnsi="Arial"/>
                <w:sz w:val="22"/>
                <w:szCs w:val="22"/>
                <w:color w:val="auto"/>
                <w:w w:val="93"/>
              </w:rPr>
              <w:t>Schedule 6.02</w:t>
            </w:r>
          </w:p>
        </w:tc>
        <w:tc>
          <w:tcPr>
            <w:tcW w:w="254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Existing Liens</w:t>
            </w:r>
          </w:p>
        </w:tc>
      </w:tr>
      <w:tr>
        <w:trPr>
          <w:trHeight w:val="216"/>
        </w:trPr>
        <w:tc>
          <w:tcPr>
            <w:tcW w:w="1340" w:type="dxa"/>
            <w:vAlign w:val="bottom"/>
          </w:tcPr>
          <w:p>
            <w:pPr>
              <w:spacing w:after="0" w:line="216" w:lineRule="exact"/>
              <w:rPr>
                <w:sz w:val="20"/>
                <w:szCs w:val="20"/>
                <w:color w:val="auto"/>
              </w:rPr>
            </w:pPr>
            <w:r>
              <w:rPr>
                <w:rFonts w:ascii="Arial" w:cs="Arial" w:eastAsia="Arial" w:hAnsi="Arial"/>
                <w:sz w:val="22"/>
                <w:szCs w:val="22"/>
                <w:color w:val="auto"/>
                <w:w w:val="93"/>
              </w:rPr>
              <w:t>Schedule 6.04</w:t>
            </w:r>
          </w:p>
        </w:tc>
        <w:tc>
          <w:tcPr>
            <w:tcW w:w="254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Existing Investments</w:t>
            </w:r>
          </w:p>
        </w:tc>
      </w:tr>
      <w:tr>
        <w:trPr>
          <w:trHeight w:val="234"/>
        </w:trPr>
        <w:tc>
          <w:tcPr>
            <w:tcW w:w="1340" w:type="dxa"/>
            <w:vAlign w:val="bottom"/>
          </w:tcPr>
          <w:p>
            <w:pPr>
              <w:spacing w:after="0" w:line="234" w:lineRule="exact"/>
              <w:rPr>
                <w:sz w:val="20"/>
                <w:szCs w:val="20"/>
                <w:color w:val="auto"/>
              </w:rPr>
            </w:pPr>
            <w:r>
              <w:rPr>
                <w:rFonts w:ascii="Arial" w:cs="Arial" w:eastAsia="Arial" w:hAnsi="Arial"/>
                <w:sz w:val="22"/>
                <w:szCs w:val="22"/>
                <w:color w:val="auto"/>
                <w:w w:val="93"/>
              </w:rPr>
              <w:t>Schedule 6.05</w:t>
            </w:r>
          </w:p>
        </w:tc>
        <w:tc>
          <w:tcPr>
            <w:tcW w:w="2540" w:type="dxa"/>
            <w:vAlign w:val="bottom"/>
            <w:gridSpan w:val="2"/>
          </w:tcPr>
          <w:p>
            <w:pPr>
              <w:ind w:left="100"/>
              <w:spacing w:after="0" w:line="234" w:lineRule="exact"/>
              <w:rPr>
                <w:sz w:val="20"/>
                <w:szCs w:val="20"/>
                <w:color w:val="auto"/>
              </w:rPr>
            </w:pPr>
            <w:r>
              <w:rPr>
                <w:rFonts w:ascii="Arial" w:cs="Arial" w:eastAsia="Arial" w:hAnsi="Arial"/>
                <w:sz w:val="22"/>
                <w:szCs w:val="22"/>
                <w:color w:val="auto"/>
              </w:rPr>
              <w:t>Asset Dispositions</w:t>
            </w:r>
          </w:p>
        </w:tc>
      </w:tr>
    </w:tbl>
    <w:p>
      <w:pPr>
        <w:spacing w:after="0" w:line="237" w:lineRule="auto"/>
        <w:tabs>
          <w:tab w:leader="none" w:pos="1420" w:val="left"/>
        </w:tabs>
        <w:rPr>
          <w:sz w:val="20"/>
          <w:szCs w:val="20"/>
          <w:color w:val="auto"/>
        </w:rPr>
      </w:pPr>
      <w:r>
        <w:rPr>
          <w:rFonts w:ascii="Arial" w:cs="Arial" w:eastAsia="Arial" w:hAnsi="Arial"/>
          <w:sz w:val="22"/>
          <w:szCs w:val="22"/>
          <w:color w:val="auto"/>
        </w:rPr>
        <w:t>Schedule 6.07</w:t>
      </w:r>
      <w:r>
        <w:rPr>
          <w:sz w:val="20"/>
          <w:szCs w:val="20"/>
          <w:color w:val="auto"/>
        </w:rPr>
        <w:tab/>
      </w:r>
      <w:r>
        <w:rPr>
          <w:rFonts w:ascii="Arial" w:cs="Arial" w:eastAsia="Arial" w:hAnsi="Arial"/>
          <w:sz w:val="19"/>
          <w:szCs w:val="19"/>
          <w:color w:val="auto"/>
        </w:rPr>
        <w:t>Transactions with Affiliates</w:t>
      </w:r>
    </w:p>
    <w:p>
      <w:pPr>
        <w:spacing w:after="0"/>
        <w:tabs>
          <w:tab w:leader="none" w:pos="1420" w:val="left"/>
        </w:tabs>
        <w:rPr>
          <w:sz w:val="20"/>
          <w:szCs w:val="20"/>
          <w:color w:val="auto"/>
        </w:rPr>
      </w:pPr>
      <w:r>
        <w:rPr>
          <w:rFonts w:ascii="Arial" w:cs="Arial" w:eastAsia="Arial" w:hAnsi="Arial"/>
          <w:sz w:val="22"/>
          <w:szCs w:val="22"/>
          <w:color w:val="auto"/>
        </w:rPr>
        <w:t>Schedule 9.01</w:t>
      </w:r>
      <w:r>
        <w:rPr>
          <w:sz w:val="20"/>
          <w:szCs w:val="20"/>
          <w:color w:val="auto"/>
        </w:rPr>
        <w:tab/>
      </w:r>
      <w:r>
        <w:rPr>
          <w:rFonts w:ascii="Arial" w:cs="Arial" w:eastAsia="Arial" w:hAnsi="Arial"/>
          <w:sz w:val="19"/>
          <w:szCs w:val="19"/>
          <w:color w:val="auto"/>
        </w:rPr>
        <w:t>Administrative Agent’s Office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37" w:lineRule="auto"/>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Borrowing Request</w:t>
      </w:r>
    </w:p>
    <w:p>
      <w:pPr>
        <w:spacing w:after="0" w:line="237" w:lineRule="auto"/>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Interest Election Request</w:t>
      </w:r>
    </w:p>
    <w:p>
      <w:pPr>
        <w:spacing w:after="0" w:line="237" w:lineRule="auto"/>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Solvency Certificate</w:t>
      </w:r>
    </w:p>
    <w:p>
      <w:pPr>
        <w:spacing w:after="0" w:line="237" w:lineRule="auto"/>
        <w:tabs>
          <w:tab w:leader="none" w:pos="106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[Reserved]</w:t>
      </w:r>
    </w:p>
    <w:p>
      <w:pPr>
        <w:spacing w:after="0" w:line="237" w:lineRule="auto"/>
        <w:tabs>
          <w:tab w:leader="none" w:pos="102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[Reserved]</w:t>
      </w:r>
    </w:p>
    <w:p>
      <w:pPr>
        <w:spacing w:after="0" w:line="237" w:lineRule="auto"/>
        <w:tabs>
          <w:tab w:leader="none" w:pos="1200" w:val="left"/>
        </w:tabs>
        <w:rPr>
          <w:sz w:val="20"/>
          <w:szCs w:val="20"/>
          <w:color w:val="auto"/>
        </w:rPr>
      </w:pPr>
      <w:r>
        <w:rPr>
          <w:rFonts w:ascii="Arial" w:cs="Arial" w:eastAsia="Arial" w:hAnsi="Arial"/>
          <w:sz w:val="22"/>
          <w:szCs w:val="22"/>
          <w:color w:val="auto"/>
        </w:rPr>
        <w:t>Exhibit F-1</w:t>
      </w:r>
      <w:r>
        <w:rPr>
          <w:sz w:val="20"/>
          <w:szCs w:val="20"/>
          <w:color w:val="auto"/>
        </w:rPr>
        <w:tab/>
      </w:r>
      <w:r>
        <w:rPr>
          <w:rFonts w:ascii="Arial" w:cs="Arial" w:eastAsia="Arial" w:hAnsi="Arial"/>
          <w:sz w:val="19"/>
          <w:szCs w:val="19"/>
          <w:color w:val="auto"/>
        </w:rPr>
        <w:t>Form of Term Note</w:t>
      </w:r>
    </w:p>
    <w:p>
      <w:pPr>
        <w:spacing w:after="0" w:line="237" w:lineRule="auto"/>
        <w:tabs>
          <w:tab w:leader="none" w:pos="1200" w:val="left"/>
        </w:tabs>
        <w:rPr>
          <w:sz w:val="20"/>
          <w:szCs w:val="20"/>
          <w:color w:val="auto"/>
        </w:rPr>
      </w:pPr>
      <w:r>
        <w:rPr>
          <w:rFonts w:ascii="Arial" w:cs="Arial" w:eastAsia="Arial" w:hAnsi="Arial"/>
          <w:sz w:val="22"/>
          <w:szCs w:val="22"/>
          <w:color w:val="auto"/>
        </w:rPr>
        <w:t>Exhibit F-2</w:t>
      </w:r>
      <w:r>
        <w:rPr>
          <w:sz w:val="20"/>
          <w:szCs w:val="20"/>
          <w:color w:val="auto"/>
        </w:rPr>
        <w:tab/>
      </w:r>
      <w:r>
        <w:rPr>
          <w:rFonts w:ascii="Arial" w:cs="Arial" w:eastAsia="Arial" w:hAnsi="Arial"/>
          <w:sz w:val="19"/>
          <w:szCs w:val="19"/>
          <w:color w:val="auto"/>
        </w:rPr>
        <w:t>Form of Revolving Note</w:t>
      </w:r>
    </w:p>
    <w:p>
      <w:pPr>
        <w:spacing w:after="0" w:line="237" w:lineRule="auto"/>
        <w:tabs>
          <w:tab w:leader="none" w:pos="1240" w:val="left"/>
        </w:tabs>
        <w:rPr>
          <w:sz w:val="20"/>
          <w:szCs w:val="20"/>
          <w:color w:val="auto"/>
        </w:rPr>
      </w:pPr>
      <w:r>
        <w:rPr>
          <w:rFonts w:ascii="Arial" w:cs="Arial" w:eastAsia="Arial" w:hAnsi="Arial"/>
          <w:sz w:val="22"/>
          <w:szCs w:val="22"/>
          <w:color w:val="auto"/>
        </w:rPr>
        <w:t>Exhibit G-1</w:t>
      </w:r>
      <w:r>
        <w:rPr>
          <w:sz w:val="20"/>
          <w:szCs w:val="20"/>
          <w:color w:val="auto"/>
        </w:rPr>
        <w:tab/>
      </w:r>
      <w:r>
        <w:rPr>
          <w:rFonts w:ascii="Arial" w:cs="Arial" w:eastAsia="Arial" w:hAnsi="Arial"/>
          <w:sz w:val="19"/>
          <w:szCs w:val="19"/>
          <w:color w:val="auto"/>
        </w:rPr>
        <w:t>Form of Assignment and Assumption Agreement</w:t>
      </w:r>
    </w:p>
    <w:p>
      <w:pPr>
        <w:spacing w:after="0" w:line="237" w:lineRule="auto"/>
        <w:tabs>
          <w:tab w:leader="none" w:pos="1240" w:val="left"/>
        </w:tabs>
        <w:rPr>
          <w:sz w:val="20"/>
          <w:szCs w:val="20"/>
          <w:color w:val="auto"/>
        </w:rPr>
      </w:pPr>
      <w:r>
        <w:rPr>
          <w:rFonts w:ascii="Arial" w:cs="Arial" w:eastAsia="Arial" w:hAnsi="Arial"/>
          <w:sz w:val="22"/>
          <w:szCs w:val="22"/>
          <w:color w:val="auto"/>
        </w:rPr>
        <w:t>Exhibit G-2</w:t>
      </w:r>
      <w:r>
        <w:rPr>
          <w:sz w:val="20"/>
          <w:szCs w:val="20"/>
          <w:color w:val="auto"/>
        </w:rPr>
        <w:tab/>
      </w:r>
      <w:r>
        <w:rPr>
          <w:rFonts w:ascii="Arial" w:cs="Arial" w:eastAsia="Arial" w:hAnsi="Arial"/>
          <w:sz w:val="19"/>
          <w:szCs w:val="19"/>
          <w:color w:val="auto"/>
        </w:rPr>
        <w:t>Form of Affiliated Lender Assignment and Assumption Agreement</w:t>
      </w:r>
    </w:p>
    <w:p>
      <w:pPr>
        <w:ind w:left="1260" w:right="540" w:hanging="1538"/>
        <w:spacing w:after="0" w:line="204" w:lineRule="auto"/>
        <w:tabs>
          <w:tab w:leader="none" w:pos="1240" w:val="left"/>
        </w:tabs>
        <w:rPr>
          <w:sz w:val="20"/>
          <w:szCs w:val="20"/>
          <w:color w:val="auto"/>
        </w:rPr>
      </w:pPr>
      <w:r>
        <w:rPr>
          <w:rFonts w:ascii="Arial" w:cs="Arial" w:eastAsia="Arial" w:hAnsi="Arial"/>
          <w:sz w:val="22"/>
          <w:szCs w:val="22"/>
          <w:color w:val="auto"/>
        </w:rPr>
        <w:t>Exhibit H-1</w:t>
        <w:tab/>
        <w:t>Form of U.S. Tax Certificate (For Foreign Lenders That Are Not Partnerships For U.S. Federal Income Tax Purposes)</w:t>
      </w:r>
    </w:p>
    <w:p>
      <w:pPr>
        <w:spacing w:after="0" w:line="2" w:lineRule="exact"/>
        <w:rPr>
          <w:sz w:val="20"/>
          <w:szCs w:val="20"/>
          <w:color w:val="auto"/>
        </w:rPr>
      </w:pPr>
    </w:p>
    <w:p>
      <w:pPr>
        <w:spacing w:after="0" w:line="224" w:lineRule="auto"/>
        <w:rPr>
          <w:sz w:val="20"/>
          <w:szCs w:val="20"/>
          <w:color w:val="auto"/>
        </w:rPr>
      </w:pPr>
      <w:r>
        <w:rPr>
          <w:rFonts w:ascii="Arial" w:cs="Arial" w:eastAsia="Arial" w:hAnsi="Arial"/>
          <w:sz w:val="22"/>
          <w:szCs w:val="22"/>
          <w:color w:val="auto"/>
        </w:rPr>
        <w:t>Exhibit H-2 Form of U.S. Tax Certificate (For Foreign Lenders That Are Partnerships For U.S. Federal Income Tax Purposes) Exhibit H-3 Form of U.S. Tax Certificate (For Foreign Participants That Are Not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U.S. Persons or Partnerships (For U.S. Federal Income Tax Purposes)</w:t>
      </w:r>
    </w:p>
    <w:p>
      <w:pPr>
        <w:ind w:left="1260" w:right="580" w:hanging="1538"/>
        <w:spacing w:after="0" w:line="204" w:lineRule="auto"/>
        <w:tabs>
          <w:tab w:leader="none" w:pos="1240" w:val="left"/>
        </w:tabs>
        <w:rPr>
          <w:sz w:val="20"/>
          <w:szCs w:val="20"/>
          <w:color w:val="auto"/>
        </w:rPr>
      </w:pPr>
      <w:r>
        <w:rPr>
          <w:rFonts w:ascii="Arial" w:cs="Arial" w:eastAsia="Arial" w:hAnsi="Arial"/>
          <w:sz w:val="22"/>
          <w:szCs w:val="22"/>
          <w:color w:val="auto"/>
        </w:rPr>
        <w:t>Exhibit H-4</w:t>
        <w:tab/>
        <w:t>Form of U.S. Tax Certificate (For Foreign Participants That Are Partnerships For U.S. Federal Income Tax Purposes)</w:t>
      </w:r>
    </w:p>
    <w:p>
      <w:pPr>
        <w:spacing w:after="0"/>
        <w:tabs>
          <w:tab w:leader="none" w:pos="960" w:val="left"/>
        </w:tabs>
        <w:rPr>
          <w:sz w:val="20"/>
          <w:szCs w:val="20"/>
          <w:color w:val="auto"/>
        </w:rPr>
      </w:pPr>
      <w:r>
        <w:rPr>
          <w:rFonts w:ascii="Arial" w:cs="Arial" w:eastAsia="Arial" w:hAnsi="Arial"/>
          <w:sz w:val="22"/>
          <w:szCs w:val="22"/>
          <w:color w:val="auto"/>
        </w:rPr>
        <w:t>Exhibit I</w:t>
      </w:r>
      <w:r>
        <w:rPr>
          <w:sz w:val="20"/>
          <w:szCs w:val="20"/>
          <w:color w:val="auto"/>
        </w:rPr>
        <w:tab/>
      </w:r>
      <w:r>
        <w:rPr>
          <w:rFonts w:ascii="Arial" w:cs="Arial" w:eastAsia="Arial" w:hAnsi="Arial"/>
          <w:sz w:val="19"/>
          <w:szCs w:val="19"/>
          <w:color w:val="auto"/>
        </w:rPr>
        <w:t>Form of Mortgage</w:t>
      </w:r>
    </w:p>
    <w:p>
      <w:pPr>
        <w:spacing w:after="0" w:line="237" w:lineRule="auto"/>
        <w:tabs>
          <w:tab w:leader="none" w:pos="980" w:val="left"/>
        </w:tabs>
        <w:rPr>
          <w:sz w:val="20"/>
          <w:szCs w:val="20"/>
          <w:color w:val="auto"/>
        </w:rPr>
      </w:pPr>
      <w:r>
        <w:rPr>
          <w:rFonts w:ascii="Arial" w:cs="Arial" w:eastAsia="Arial" w:hAnsi="Arial"/>
          <w:sz w:val="22"/>
          <w:szCs w:val="22"/>
          <w:color w:val="auto"/>
        </w:rPr>
        <w:t>Exhibit J</w:t>
      </w:r>
      <w:r>
        <w:rPr>
          <w:sz w:val="20"/>
          <w:szCs w:val="20"/>
          <w:color w:val="auto"/>
        </w:rPr>
        <w:tab/>
      </w:r>
      <w:r>
        <w:rPr>
          <w:rFonts w:ascii="Arial" w:cs="Arial" w:eastAsia="Arial" w:hAnsi="Arial"/>
          <w:sz w:val="19"/>
          <w:szCs w:val="19"/>
          <w:color w:val="auto"/>
        </w:rPr>
        <w:t>Form of Compliance Certificate</w:t>
      </w:r>
    </w:p>
    <w:p>
      <w:pPr>
        <w:spacing w:after="0" w:line="237" w:lineRule="auto"/>
        <w:tabs>
          <w:tab w:leader="none" w:pos="1060" w:val="left"/>
        </w:tabs>
        <w:rPr>
          <w:sz w:val="20"/>
          <w:szCs w:val="20"/>
          <w:color w:val="auto"/>
        </w:rPr>
      </w:pPr>
      <w:r>
        <w:rPr>
          <w:rFonts w:ascii="Arial" w:cs="Arial" w:eastAsia="Arial" w:hAnsi="Arial"/>
          <w:sz w:val="22"/>
          <w:szCs w:val="22"/>
          <w:color w:val="auto"/>
        </w:rPr>
        <w:t>Exhibit K</w:t>
      </w:r>
      <w:r>
        <w:rPr>
          <w:sz w:val="20"/>
          <w:szCs w:val="20"/>
          <w:color w:val="auto"/>
        </w:rPr>
        <w:tab/>
      </w:r>
      <w:r>
        <w:rPr>
          <w:rFonts w:ascii="Arial" w:cs="Arial" w:eastAsia="Arial" w:hAnsi="Arial"/>
          <w:sz w:val="19"/>
          <w:szCs w:val="19"/>
          <w:color w:val="auto"/>
        </w:rPr>
        <w:t>Form of Pari Passu Intercreditor Agreement</w:t>
      </w:r>
    </w:p>
    <w:p>
      <w:pPr>
        <w:spacing w:after="0" w:line="237" w:lineRule="auto"/>
        <w:tabs>
          <w:tab w:leader="none" w:pos="1020" w:val="left"/>
        </w:tabs>
        <w:rPr>
          <w:sz w:val="20"/>
          <w:szCs w:val="20"/>
          <w:color w:val="auto"/>
        </w:rPr>
      </w:pPr>
      <w:r>
        <w:rPr>
          <w:rFonts w:ascii="Arial" w:cs="Arial" w:eastAsia="Arial" w:hAnsi="Arial"/>
          <w:sz w:val="22"/>
          <w:szCs w:val="22"/>
          <w:color w:val="auto"/>
        </w:rPr>
        <w:t>Exhibit L</w:t>
      </w:r>
      <w:r>
        <w:rPr>
          <w:sz w:val="20"/>
          <w:szCs w:val="20"/>
          <w:color w:val="auto"/>
        </w:rPr>
        <w:tab/>
      </w:r>
      <w:r>
        <w:rPr>
          <w:rFonts w:ascii="Arial" w:cs="Arial" w:eastAsia="Arial" w:hAnsi="Arial"/>
          <w:sz w:val="19"/>
          <w:szCs w:val="19"/>
          <w:color w:val="auto"/>
        </w:rPr>
        <w:t>Form of Second Lien Intercreditor Agreement</w:t>
      </w:r>
    </w:p>
    <w:p>
      <w:pPr>
        <w:spacing w:after="0"/>
        <w:tabs>
          <w:tab w:leader="none" w:pos="1080" w:val="left"/>
        </w:tabs>
        <w:rPr>
          <w:sz w:val="20"/>
          <w:szCs w:val="20"/>
          <w:color w:val="auto"/>
        </w:rPr>
      </w:pPr>
      <w:r>
        <w:rPr>
          <w:rFonts w:ascii="Arial" w:cs="Arial" w:eastAsia="Arial" w:hAnsi="Arial"/>
          <w:sz w:val="22"/>
          <w:szCs w:val="22"/>
          <w:color w:val="auto"/>
        </w:rPr>
        <w:t>Exhibit M</w:t>
      </w:r>
      <w:r>
        <w:rPr>
          <w:sz w:val="20"/>
          <w:szCs w:val="20"/>
          <w:color w:val="auto"/>
        </w:rPr>
        <w:tab/>
      </w:r>
      <w:r>
        <w:rPr>
          <w:rFonts w:ascii="Arial" w:cs="Arial" w:eastAsia="Arial" w:hAnsi="Arial"/>
          <w:sz w:val="19"/>
          <w:szCs w:val="19"/>
          <w:color w:val="auto"/>
        </w:rPr>
        <w:t>Form of Secured Party Joinder Notice</w:t>
      </w:r>
    </w:p>
    <w:p>
      <w:pPr>
        <w:spacing w:after="0" w:line="200" w:lineRule="exact"/>
        <w:rPr>
          <w:sz w:val="20"/>
          <w:szCs w:val="20"/>
          <w:color w:val="auto"/>
        </w:rPr>
      </w:pPr>
    </w:p>
    <w:p>
      <w:pPr>
        <w:spacing w:after="0" w:line="2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iv</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040"/>
          </w:cols>
          <w:pgMar w:left="320" w:top="1372" w:right="539" w:bottom="1440" w:gutter="0" w:footer="0" w:header="0"/>
        </w:sectPr>
      </w:pPr>
    </w:p>
    <w:bookmarkStart w:id="66" w:name="page67"/>
    <w:bookmarkEnd w:id="66"/>
    <w:p>
      <w:pPr>
        <w:jc w:val="both"/>
        <w:ind w:firstLine="1296"/>
        <w:spacing w:after="0" w:line="218" w:lineRule="auto"/>
        <w:rPr>
          <w:sz w:val="20"/>
          <w:szCs w:val="20"/>
          <w:color w:val="auto"/>
        </w:rPr>
      </w:pPr>
      <w:r>
        <w:rPr>
          <w:rFonts w:ascii="Arial" w:cs="Arial" w:eastAsia="Arial" w:hAnsi="Arial"/>
          <w:sz w:val="22"/>
          <w:szCs w:val="22"/>
          <w:color w:val="auto"/>
        </w:rPr>
        <w:t>FIRST LIEN CREDIT AGREEMENT dated as of October 12, 2018 (this “</w:t>
      </w:r>
      <w:r>
        <w:rPr>
          <w:rFonts w:ascii="Arial" w:cs="Arial" w:eastAsia="Arial" w:hAnsi="Arial"/>
          <w:sz w:val="22"/>
          <w:szCs w:val="22"/>
          <w:u w:val="single" w:color="auto"/>
          <w:color w:val="auto"/>
        </w:rPr>
        <w:t>Agreement</w:t>
      </w:r>
      <w:r>
        <w:rPr>
          <w:rFonts w:ascii="Arial" w:cs="Arial" w:eastAsia="Arial" w:hAnsi="Arial"/>
          <w:sz w:val="22"/>
          <w:szCs w:val="22"/>
          <w:color w:val="auto"/>
        </w:rPr>
        <w:t>”), among GOODRX,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GOODRX INTERMEDIATE HOLDINGS, LLC, a Delaware limited liability company (“</w:t>
      </w:r>
      <w:r>
        <w:rPr>
          <w:rFonts w:ascii="Arial" w:cs="Arial" w:eastAsia="Arial" w:hAnsi="Arial"/>
          <w:sz w:val="22"/>
          <w:szCs w:val="22"/>
          <w:u w:val="single" w:color="auto"/>
          <w:color w:val="auto"/>
        </w:rPr>
        <w:t>Holdings</w:t>
      </w:r>
      <w:r>
        <w:rPr>
          <w:rFonts w:ascii="Arial" w:cs="Arial" w:eastAsia="Arial" w:hAnsi="Arial"/>
          <w:sz w:val="22"/>
          <w:szCs w:val="22"/>
          <w:color w:val="auto"/>
        </w:rPr>
        <w:t>”), the other Guarantors from time to time party hereto, the LENDERS from time to time party hereto, and BARCLAYS BANK PLC, as Administrative Agent and Collateral Agent.</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capitalized terms used in these recitals shall have the respective meanings set forth for such terms in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ARTICLE I</w:t>
      </w:r>
      <w:r>
        <w:rPr>
          <w:rFonts w:ascii="Arial" w:cs="Arial" w:eastAsia="Arial" w:hAnsi="Arial"/>
          <w:sz w:val="22"/>
          <w:szCs w:val="22"/>
          <w:color w:val="auto"/>
        </w:rPr>
        <w:t>;</w:t>
      </w:r>
    </w:p>
    <w:p>
      <w:pPr>
        <w:spacing w:after="0" w:line="15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Silver Lake Partners V, L.P. (“</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Purchaser</w:t>
      </w:r>
      <w:r>
        <w:rPr>
          <w:rFonts w:ascii="Arial" w:cs="Arial" w:eastAsia="Arial" w:hAnsi="Arial"/>
          <w:sz w:val="19"/>
          <w:szCs w:val="19"/>
          <w:color w:val="auto"/>
        </w:rPr>
        <w:t>”) and/or its affiliates or its associated funds, pursuant to that</w:t>
      </w:r>
      <w:r>
        <w:rPr>
          <w:rFonts w:ascii="Arial" w:cs="Arial" w:eastAsia="Arial" w:hAnsi="Arial"/>
          <w:sz w:val="19"/>
          <w:szCs w:val="19"/>
          <w:b w:val="1"/>
          <w:bCs w:val="1"/>
          <w:color w:val="auto"/>
        </w:rPr>
        <w:t xml:space="preserve"> </w:t>
      </w:r>
      <w:r>
        <w:rPr>
          <w:rFonts w:ascii="Arial" w:cs="Arial" w:eastAsia="Arial" w:hAnsi="Arial"/>
          <w:sz w:val="19"/>
          <w:szCs w:val="19"/>
          <w:color w:val="auto"/>
        </w:rPr>
        <w:t>certain Purchase and Recapitalization Agreement, dated as of August 3, 2018 (together with the exhibits and disclosure schedules thereto, as amended, restated, supplemented or otherwise modified from time to time (for purposes of Section 4.01(g), to the extent permitted thereby), the “</w:t>
      </w:r>
      <w:r>
        <w:rPr>
          <w:rFonts w:ascii="Arial" w:cs="Arial" w:eastAsia="Arial" w:hAnsi="Arial"/>
          <w:sz w:val="19"/>
          <w:szCs w:val="19"/>
          <w:u w:val="single" w:color="auto"/>
          <w:color w:val="auto"/>
        </w:rPr>
        <w:t>Recapitalization Agreement</w:t>
      </w:r>
      <w:r>
        <w:rPr>
          <w:rFonts w:ascii="Arial" w:cs="Arial" w:eastAsia="Arial" w:hAnsi="Arial"/>
          <w:sz w:val="19"/>
          <w:szCs w:val="19"/>
          <w:color w:val="auto"/>
        </w:rPr>
        <w:t>”), by and among GoodRx Holdings, Inc. (“</w:t>
      </w:r>
      <w:r>
        <w:rPr>
          <w:rFonts w:ascii="Arial" w:cs="Arial" w:eastAsia="Arial" w:hAnsi="Arial"/>
          <w:sz w:val="19"/>
          <w:szCs w:val="19"/>
          <w:u w:val="single" w:color="auto"/>
          <w:color w:val="auto"/>
        </w:rPr>
        <w:t>Parent</w:t>
      </w:r>
      <w:r>
        <w:rPr>
          <w:rFonts w:ascii="Arial" w:cs="Arial" w:eastAsia="Arial" w:hAnsi="Arial"/>
          <w:sz w:val="19"/>
          <w:szCs w:val="19"/>
          <w:color w:val="auto"/>
        </w:rPr>
        <w:t>”), Holdings, the Borrower and Purchaser, will acquire a minority stake in Parent (the foregoing, collectively, the “</w:t>
      </w:r>
      <w:r>
        <w:rPr>
          <w:rFonts w:ascii="Arial" w:cs="Arial" w:eastAsia="Arial" w:hAnsi="Arial"/>
          <w:sz w:val="19"/>
          <w:szCs w:val="19"/>
          <w:u w:val="single" w:color="auto"/>
          <w:color w:val="auto"/>
        </w:rPr>
        <w:t>Closing Date Recapitalization</w:t>
      </w:r>
      <w:r>
        <w:rPr>
          <w:rFonts w:ascii="Arial" w:cs="Arial" w:eastAsia="Arial" w:hAnsi="Arial"/>
          <w:sz w:val="19"/>
          <w:szCs w:val="19"/>
          <w:color w:val="auto"/>
        </w:rPr>
        <w:t>”);</w:t>
      </w:r>
    </w:p>
    <w:p>
      <w:pPr>
        <w:spacing w:after="0" w:line="14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immediately prior to the consummation of the Closing Date Recapitalization, the Borrower has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requested that the Lenders and the Issuing Banks extend credit to the Borrower in the form of (a) Term Loans in an aggregate principal amount not in excess of $545,000,000 and (b) a commitment for Revolving Loans and Letters of Credit, in an aggregate principal amount not in excess of $40,000,000, in each case the proceeds of which shall be utilized as set forth in </w:t>
      </w:r>
      <w:r>
        <w:rPr>
          <w:rFonts w:ascii="Arial" w:cs="Arial" w:eastAsia="Arial" w:hAnsi="Arial"/>
          <w:sz w:val="19"/>
          <w:szCs w:val="19"/>
          <w:u w:val="single" w:color="auto"/>
          <w:color w:val="auto"/>
        </w:rPr>
        <w:t>Section 5.09</w:t>
      </w:r>
      <w:r>
        <w:rPr>
          <w:rFonts w:ascii="Arial" w:cs="Arial" w:eastAsia="Arial" w:hAnsi="Arial"/>
          <w:sz w:val="19"/>
          <w:szCs w:val="19"/>
          <w:color w:val="auto"/>
        </w:rPr>
        <w:t>;</w:t>
      </w:r>
    </w:p>
    <w:p>
      <w:pPr>
        <w:spacing w:after="0" w:line="137"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immediately following the initial funding of the Term Loans, the proceeds of such Term Loans,</w:t>
      </w:r>
      <w:r>
        <w:rPr>
          <w:rFonts w:ascii="Arial" w:cs="Arial" w:eastAsia="Arial" w:hAnsi="Arial"/>
          <w:sz w:val="22"/>
          <w:szCs w:val="22"/>
          <w:b w:val="1"/>
          <w:bCs w:val="1"/>
          <w:color w:val="auto"/>
        </w:rPr>
        <w:t xml:space="preserve"> </w:t>
      </w:r>
      <w:r>
        <w:rPr>
          <w:rFonts w:ascii="Arial" w:cs="Arial" w:eastAsia="Arial" w:hAnsi="Arial"/>
          <w:sz w:val="22"/>
          <w:szCs w:val="22"/>
          <w:color w:val="auto"/>
        </w:rPr>
        <w:t>together with the proceeds of (i) the Initial Revolving Borrowing and (ii) the Second Lien Loans, will be used to finance the Closing Date Distribution, the Closing Date Refinancing and the Transaction Costs, and for working capital and other general corporate purposes;</w:t>
      </w:r>
    </w:p>
    <w:p>
      <w:pPr>
        <w:spacing w:after="0" w:line="152"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provisions, covenants and mutual agreements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and other good and valuable consideration, the sufficiency and receipt of which are hereby acknowledged, the Lenders and Issuing Banks are willing to extend such credit to the Borrower on the terms and express conditions set forth herein, and accordingly the parties hereto agree as follows.</w:t>
      </w:r>
    </w:p>
    <w:p>
      <w:pPr>
        <w:spacing w:after="0" w:line="139"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w:t>
      </w:r>
    </w:p>
    <w:p>
      <w:pPr>
        <w:ind w:left="5140"/>
        <w:spacing w:after="0"/>
        <w:rPr>
          <w:sz w:val="20"/>
          <w:szCs w:val="20"/>
          <w:color w:val="auto"/>
        </w:rPr>
      </w:pPr>
      <w:r>
        <w:rPr>
          <w:rFonts w:ascii="Arial" w:cs="Arial" w:eastAsia="Arial" w:hAnsi="Arial"/>
          <w:sz w:val="22"/>
          <w:szCs w:val="22"/>
          <w:u w:val="single" w:color="auto"/>
          <w:color w:val="auto"/>
        </w:rPr>
        <w:t>Definitions</w:t>
      </w:r>
    </w:p>
    <w:p>
      <w:pPr>
        <w:spacing w:after="0" w:line="16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 below:</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2019 Incremental Funding Term Loan Commitment</w:t>
      </w:r>
      <w:r>
        <w:rPr>
          <w:rFonts w:ascii="Arial" w:cs="Arial" w:eastAsia="Arial" w:hAnsi="Arial"/>
          <w:sz w:val="22"/>
          <w:szCs w:val="22"/>
          <w:color w:val="auto"/>
        </w:rPr>
        <w:t>” has the meaning assigned to such term in Section I of the First Incremental Credit Facility Amendment.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2019 Incremental Funding Term Loans</w:t>
      </w:r>
      <w:r>
        <w:rPr>
          <w:rFonts w:ascii="Arial" w:cs="Arial" w:eastAsia="Arial" w:hAnsi="Arial"/>
          <w:sz w:val="22"/>
          <w:szCs w:val="22"/>
          <w:color w:val="auto"/>
        </w:rPr>
        <w:t>” has the meaning assigned to such term in Section I of the First Incremental Credit Facility Amendment.</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2019 Incremental Lender</w:t>
      </w:r>
      <w:r>
        <w:rPr>
          <w:rFonts w:ascii="Arial" w:cs="Arial" w:eastAsia="Arial" w:hAnsi="Arial"/>
          <w:sz w:val="21"/>
          <w:szCs w:val="21"/>
          <w:color w:val="auto"/>
        </w:rPr>
        <w:t>” means, as of any date of determination, all Lenders having a 2019 Incremental Funding Term Loan Commitment or holding all or any portion of the outstanding 2019 Incremental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70908019_5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67" w:name="page68"/>
    <w:bookmarkEnd w:id="67"/>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2019 Incremental Term Loans</w:t>
      </w:r>
      <w:r>
        <w:rPr>
          <w:rFonts w:ascii="Arial" w:cs="Arial" w:eastAsia="Arial" w:hAnsi="Arial"/>
          <w:sz w:val="22"/>
          <w:szCs w:val="22"/>
          <w:color w:val="auto"/>
        </w:rPr>
        <w:t>” has the meaning assigned to such term in the Recitals of the First Incremental Credit Facility Amendment, and shall include the 2019 Incremental Funding Term Loans.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2020 Incremental Revolving Commitments</w:t>
      </w:r>
      <w:r>
        <w:rPr>
          <w:rFonts w:ascii="Arial" w:cs="Arial" w:eastAsia="Arial" w:hAnsi="Arial"/>
          <w:sz w:val="22"/>
          <w:szCs w:val="22"/>
          <w:color w:val="auto"/>
        </w:rPr>
        <w:t>” has the meaning assigned to such term in Section I of the Second Incremental Credit Facility Amendment.</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2020 Incremental Revolving Lender</w:t>
      </w:r>
      <w:r>
        <w:rPr>
          <w:rFonts w:ascii="Arial" w:cs="Arial" w:eastAsia="Arial" w:hAnsi="Arial"/>
          <w:sz w:val="21"/>
          <w:szCs w:val="21"/>
          <w:color w:val="auto"/>
        </w:rPr>
        <w:t xml:space="preserve"> ” means, as of any date of determination, all Lenders having 2020 Incremental Revolving Commitments or holding all or any portion of the outstanding 2020 Incremental Revolving Loans.</w:t>
      </w:r>
    </w:p>
    <w:p>
      <w:pPr>
        <w:spacing w:after="0" w:line="15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2020 Incremental Revolving Loans</w:t>
      </w:r>
      <w:r>
        <w:rPr>
          <w:rFonts w:ascii="Arial" w:cs="Arial" w:eastAsia="Arial" w:hAnsi="Arial"/>
          <w:sz w:val="22"/>
          <w:szCs w:val="22"/>
          <w:color w:val="auto"/>
        </w:rPr>
        <w:t>” has the meaning assigned to such term in the Recitals of the Second Incremental Credit Facility Amendment.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or the Loans comprising such Borrowing, is bearing interest at a rate determined by reference to the Alternate Base Rate.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 Borrowing</w:t>
      </w:r>
      <w:r>
        <w:rPr>
          <w:rFonts w:ascii="Arial" w:cs="Arial" w:eastAsia="Arial" w:hAnsi="Arial"/>
          <w:sz w:val="22"/>
          <w:szCs w:val="22"/>
          <w:color w:val="auto"/>
        </w:rPr>
        <w:t>” means a Loan that bears interest at a rate based on the Alternate Base Rate.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Change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means any acquisition by any Holding Company or any Restricted Subsidiary, whether by purchase, merger, amalgamation, consolidation, contribution or otherwise, of (x) at least a majority of the assets or property and/or liabilities (or any other substantial part for which financial statements or other financial information is available), or a business line, product line, unit or division of, any other Person, (y) Equity Interests of any other Person such that such other Person becomes a Restricted Subsidiary or (z) additional Equity Interests of any Restricted Subsidiary not then held by any Holding Company or any Restricted Subsidiary.</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Debt</w:t>
      </w:r>
      <w:r>
        <w:rPr>
          <w:rFonts w:ascii="Arial" w:cs="Arial" w:eastAsia="Arial" w:hAnsi="Arial"/>
          <w:sz w:val="21"/>
          <w:szCs w:val="21"/>
          <w:color w:val="auto"/>
        </w:rPr>
        <w:t>” means debt in respect of one or more series of senior unsecured notes, senior secured pari passu first lien or junior lien notes or subordinated notes (in each case issued in a public offering, Rule 144A or other private placement in lieu of the foregoing (and any Registered Equivalent Notes issued in exchange therefor)), pari passu first lien, junior lien or unsecured loans or secured or unsecured mezzanine Indebtedness, in each case issued, incurred or guaranteed by any Holding Company, the Borrower or any Restricted Subsidiary after the Closing Date that:</w:t>
      </w:r>
    </w:p>
    <w:p>
      <w:pPr>
        <w:spacing w:after="0" w:line="159" w:lineRule="exact"/>
        <w:rPr>
          <w:sz w:val="20"/>
          <w:szCs w:val="20"/>
          <w:color w:val="auto"/>
        </w:rPr>
      </w:pPr>
    </w:p>
    <w:p>
      <w:pPr>
        <w:jc w:val="both"/>
        <w:ind w:firstLine="1556"/>
        <w:spacing w:after="0" w:line="246" w:lineRule="auto"/>
        <w:tabs>
          <w:tab w:leader="none" w:pos="2068"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(A) in the case of debt secured on a pari passu basis with the Obligations, does not mature on or prior to the Latest Maturity Date in effect as of the time such Additional Debt is incurred or (B) in the case of debt secured on a junior lien basis or unsecured or which is secured by assets that do not constitute Collateral, does not mature on or prior to the date that is ninety-one (91) days after the Latest Maturity Date in effect as of the time such Additional Debt is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restrictions in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shall not apply to the extent such debt constitutes (x) a customary bridge facility, so long as the long-term debt into which such customary bridge facility is to be converted or exchanged satisfies the requirements of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and such conversion or exchange is subject only to conditions customary for similar conversions or exchanges, or (y) Subject Indebtedness incurred in reliance on the Maturity Limitation Excluded Amount;</w:t>
      </w:r>
    </w:p>
    <w:p>
      <w:pPr>
        <w:spacing w:after="0" w:line="152" w:lineRule="exact"/>
        <w:rPr>
          <w:sz w:val="20"/>
          <w:szCs w:val="20"/>
          <w:color w:val="auto"/>
        </w:rPr>
      </w:pPr>
    </w:p>
    <w:p>
      <w:pPr>
        <w:ind w:firstLine="1540"/>
        <w:spacing w:after="0" w:line="232" w:lineRule="auto"/>
        <w:tabs>
          <w:tab w:leader="none" w:pos="2033"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in the case of debt secured on a pari passu basis with the Obligations, has a Weighted Average Life to Maturity equal to or longer than the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68" w:name="page69"/>
    <w:bookmarkEnd w:id="68"/>
    <w:p>
      <w:pPr>
        <w:jc w:val="both"/>
        <w:spacing w:after="0" w:line="246" w:lineRule="auto"/>
        <w:rPr>
          <w:sz w:val="20"/>
          <w:szCs w:val="20"/>
          <w:color w:val="auto"/>
        </w:rPr>
      </w:pPr>
      <w:r>
        <w:rPr>
          <w:rFonts w:ascii="Arial" w:cs="Arial" w:eastAsia="Arial" w:hAnsi="Arial"/>
          <w:sz w:val="19"/>
          <w:szCs w:val="19"/>
          <w:color w:val="auto"/>
        </w:rPr>
        <w:t xml:space="preserve">Weighted Average Life to Maturity of the Initial Term Loans (without giving effect to nominal amortization for periods where amortization has been eliminated as a result of a prepayment of the applicable Term Loans) or (B) in the case of debt secured on a junior lien basis or unsecured or which is secured by assets that do not constitute Collateral, has a Weighted Average Life to Maturity equal to or longer than the remaining Weighted Average Life to Maturity of the Initial Term Loans, plus ninety-one (91) 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restrictions in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shall not apply to the extent such debt constitutes (x) a customary bridge facility, so long as the long-term debt into which such customary bridge facility is to be converted or exchanged satisfies the requirements of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and such conversion or exchange is subject only to conditions customary for similar conversions or exchanges, or (y) Subject Indebtedness incurred in reliance on the Maturity Limitation Excluded Amount;</w:t>
      </w:r>
    </w:p>
    <w:p>
      <w:pPr>
        <w:spacing w:after="0" w:line="152" w:lineRule="exact"/>
        <w:rPr>
          <w:sz w:val="20"/>
          <w:szCs w:val="20"/>
          <w:color w:val="auto"/>
        </w:rPr>
      </w:pPr>
    </w:p>
    <w:p>
      <w:pPr>
        <w:jc w:val="both"/>
        <w:ind w:firstLine="1576"/>
        <w:spacing w:after="0" w:line="221" w:lineRule="auto"/>
        <w:tabs>
          <w:tab w:leader="none" w:pos="2233" w:val="left"/>
        </w:tabs>
        <w:numPr>
          <w:ilvl w:val="1"/>
          <w:numId w:val="25"/>
        </w:numPr>
        <w:rPr>
          <w:rFonts w:ascii="Arial" w:cs="Arial" w:eastAsia="Arial" w:hAnsi="Arial"/>
          <w:sz w:val="21"/>
          <w:szCs w:val="21"/>
          <w:color w:val="auto"/>
        </w:rPr>
      </w:pPr>
      <w:r>
        <w:rPr>
          <w:rFonts w:ascii="Arial" w:cs="Arial" w:eastAsia="Arial" w:hAnsi="Arial"/>
          <w:sz w:val="21"/>
          <w:szCs w:val="21"/>
          <w:color w:val="auto"/>
        </w:rPr>
        <w:t xml:space="preserve">except as otherwise provided in clauses (i) through (ii) above and clauses (iv) through (ix) below, any Additional Debt shall be on terms and pursuant to documentation to be determined by the Borrower and the lenders providing any such Additional Debt;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covenants and events of default applicable to such Additional Debt, taken as a whole, shall either, at the option of the Borrower, (A) reflect market terms and conditions at the time of incurrence or effectiveness (as determined by the Borrower in good faith) or (B) be no more favorable in any material respect to the lenders providing such indebtedness than those of the Loan Documents (as reasonably determined by the Borrower) (except for covenants or other provisions applicable only to the periods after the then applicable Latest Maturity Date or any existing Additional Debt existing at the time such Additional Debt is incurred), unless such covenants and events of default are also added for the benefit of the Lenders under the Loan Documents;</w:t>
      </w:r>
    </w:p>
    <w:p>
      <w:pPr>
        <w:spacing w:after="0" w:line="158" w:lineRule="exact"/>
        <w:rPr>
          <w:rFonts w:ascii="Arial" w:cs="Arial" w:eastAsia="Arial" w:hAnsi="Arial"/>
          <w:sz w:val="21"/>
          <w:szCs w:val="21"/>
          <w:color w:val="auto"/>
        </w:rPr>
      </w:pPr>
    </w:p>
    <w:p>
      <w:pPr>
        <w:ind w:left="2100" w:hanging="580"/>
        <w:spacing w:after="0"/>
        <w:tabs>
          <w:tab w:leader="none" w:pos="21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sz w:val="20"/>
          <w:szCs w:val="20"/>
          <w:color w:val="auto"/>
        </w:rPr>
      </w:pPr>
    </w:p>
    <w:p>
      <w:pPr>
        <w:ind w:firstLine="1546"/>
        <w:spacing w:after="0" w:line="232" w:lineRule="auto"/>
        <w:tabs>
          <w:tab w:leader="none" w:pos="2093"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subject to the exception created by </w:t>
      </w:r>
      <w:r>
        <w:rPr>
          <w:rFonts w:ascii="Arial" w:cs="Arial" w:eastAsia="Arial" w:hAnsi="Arial"/>
          <w:sz w:val="22"/>
          <w:szCs w:val="22"/>
          <w:u w:val="single" w:color="auto"/>
          <w:color w:val="auto"/>
        </w:rPr>
        <w:t>Section 6.01(j)</w:t>
      </w:r>
      <w:r>
        <w:rPr>
          <w:rFonts w:ascii="Arial" w:cs="Arial" w:eastAsia="Arial" w:hAnsi="Arial"/>
          <w:sz w:val="22"/>
          <w:szCs w:val="22"/>
          <w:color w:val="auto"/>
        </w:rPr>
        <w:t>, the obligations in respect thereof shall not be secured by liens on any assets other than Collateral;</w:t>
      </w:r>
    </w:p>
    <w:p>
      <w:pPr>
        <w:spacing w:after="0" w:line="159" w:lineRule="exact"/>
        <w:rPr>
          <w:sz w:val="20"/>
          <w:szCs w:val="20"/>
          <w:color w:val="auto"/>
        </w:rPr>
      </w:pPr>
    </w:p>
    <w:p>
      <w:pPr>
        <w:jc w:val="both"/>
        <w:ind w:firstLine="1528"/>
        <w:spacing w:after="0" w:line="223" w:lineRule="auto"/>
        <w:tabs>
          <w:tab w:leader="none" w:pos="2113"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subject to the exception created by </w:t>
      </w:r>
      <w:r>
        <w:rPr>
          <w:rFonts w:ascii="Arial" w:cs="Arial" w:eastAsia="Arial" w:hAnsi="Arial"/>
          <w:sz w:val="22"/>
          <w:szCs w:val="22"/>
          <w:u w:val="single" w:color="auto"/>
          <w:color w:val="auto"/>
        </w:rPr>
        <w:t>Section 6.01(j)</w:t>
      </w:r>
      <w:r>
        <w:rPr>
          <w:rFonts w:ascii="Arial" w:cs="Arial" w:eastAsia="Arial" w:hAnsi="Arial"/>
          <w:sz w:val="22"/>
          <w:szCs w:val="22"/>
          <w:color w:val="auto"/>
        </w:rPr>
        <w:t>, no Person is a borrower or a guarantor with respect to such Indebtedness unless such Person is a Loan Party which shall have previously or substantially concurrently guaranteed or borrowed, as applicable, the Obligations;</w:t>
      </w:r>
    </w:p>
    <w:p>
      <w:pPr>
        <w:spacing w:after="0" w:line="158" w:lineRule="exact"/>
        <w:rPr>
          <w:rFonts w:ascii="Arial" w:cs="Arial" w:eastAsia="Arial" w:hAnsi="Arial"/>
          <w:sz w:val="22"/>
          <w:szCs w:val="22"/>
          <w:color w:val="auto"/>
        </w:rPr>
      </w:pPr>
    </w:p>
    <w:p>
      <w:pPr>
        <w:jc w:val="both"/>
        <w:ind w:firstLine="1615"/>
        <w:spacing w:after="0" w:line="252" w:lineRule="auto"/>
        <w:tabs>
          <w:tab w:leader="none" w:pos="2369" w:val="left"/>
        </w:tabs>
        <w:numPr>
          <w:ilvl w:val="2"/>
          <w:numId w:val="28"/>
        </w:numPr>
        <w:rPr>
          <w:rFonts w:ascii="Arial" w:cs="Arial" w:eastAsia="Arial" w:hAnsi="Arial"/>
          <w:sz w:val="19"/>
          <w:szCs w:val="19"/>
          <w:color w:val="auto"/>
        </w:rPr>
      </w:pPr>
      <w:r>
        <w:rPr>
          <w:rFonts w:ascii="Arial" w:cs="Arial" w:eastAsia="Arial" w:hAnsi="Arial"/>
          <w:sz w:val="19"/>
          <w:szCs w:val="19"/>
          <w:color w:val="auto"/>
        </w:rPr>
        <w:t>if such Additional Debt is secured on Collateral, all security therefor on Collateral shall be granted pursuant to documentation that is consistent in all material respects with the Security Documents and (A) if secured on Collateral on a pari passu basis with the Obligations, the representative for such Additional Debt shall enter into a Pari Passu Intercreditor Agreement with the Collateral Agent or (B) if secured on Collateral on a junior basis to the Obligations, the representative for such Additional Debt shall have become party to a Second Lien Intercreditor Agreement;</w:t>
      </w:r>
    </w:p>
    <w:p>
      <w:pPr>
        <w:spacing w:after="0" w:line="148" w:lineRule="exact"/>
        <w:rPr>
          <w:rFonts w:ascii="Arial" w:cs="Arial" w:eastAsia="Arial" w:hAnsi="Arial"/>
          <w:sz w:val="19"/>
          <w:szCs w:val="19"/>
          <w:color w:val="auto"/>
        </w:rPr>
      </w:pPr>
    </w:p>
    <w:p>
      <w:pPr>
        <w:jc w:val="both"/>
        <w:ind w:firstLine="1530"/>
        <w:spacing w:after="0" w:line="223" w:lineRule="auto"/>
        <w:tabs>
          <w:tab w:leader="none" w:pos="2236"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with respect to any Additional Debt being incurred in connection with a Limited Condition Acquisition, the aggregate principal amount of all Additional Debt at the time of issuance or incurrence and after giving effect thereto shall not exceed the Maximum Additional Debt Amount at such time; and</w:t>
      </w:r>
    </w:p>
    <w:p>
      <w:pPr>
        <w:spacing w:after="0" w:line="159" w:lineRule="exact"/>
        <w:rPr>
          <w:sz w:val="20"/>
          <w:szCs w:val="20"/>
          <w:color w:val="auto"/>
        </w:rPr>
      </w:pPr>
    </w:p>
    <w:p>
      <w:pPr>
        <w:jc w:val="both"/>
        <w:ind w:firstLine="1560"/>
        <w:spacing w:after="0" w:line="218" w:lineRule="auto"/>
        <w:tabs>
          <w:tab w:leader="none" w:pos="2185" w:val="left"/>
        </w:tabs>
        <w:numPr>
          <w:ilvl w:val="0"/>
          <w:numId w:val="29"/>
        </w:numPr>
        <w:rPr>
          <w:rFonts w:ascii="Arial" w:cs="Arial" w:eastAsia="Arial" w:hAnsi="Arial"/>
          <w:sz w:val="22"/>
          <w:szCs w:val="22"/>
          <w:color w:val="auto"/>
        </w:rPr>
      </w:pPr>
      <w:r>
        <w:rPr>
          <w:rFonts w:ascii="Arial" w:cs="Arial" w:eastAsia="Arial" w:hAnsi="Arial"/>
          <w:sz w:val="22"/>
          <w:szCs w:val="22"/>
          <w:color w:val="auto"/>
        </w:rPr>
        <w:t>to the extent such Additional Debt consists of term loans secured by a Lien on the Collateral that ranks pari passu in right of security with the Obligations and is not subordinated in right of payment to the Obligations (including by being “last out” in any payment waterfall), such Additional Debt shall be subject to the MFN Adjustment as if such Additional Debt were an Incremental Term Facility incurred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69" w:name="page70"/>
    <w:bookmarkEnd w:id="69"/>
    <w:p>
      <w:pPr>
        <w:jc w:val="both"/>
        <w:ind w:firstLine="1296"/>
        <w:spacing w:after="0" w:line="223" w:lineRule="auto"/>
        <w:rPr>
          <w:sz w:val="20"/>
          <w:szCs w:val="20"/>
          <w:color w:val="auto"/>
        </w:rPr>
      </w:pPr>
      <w:r>
        <w:rPr>
          <w:rFonts w:ascii="Arial" w:cs="Arial" w:eastAsia="Arial" w:hAnsi="Arial"/>
          <w:sz w:val="22"/>
          <w:szCs w:val="22"/>
          <w:color w:val="auto"/>
        </w:rPr>
        <w:t xml:space="preserve">For the avoidance of doubt, Indebtedness incurred pursuant to </w:t>
      </w:r>
      <w:r>
        <w:rPr>
          <w:rFonts w:ascii="Arial" w:cs="Arial" w:eastAsia="Arial" w:hAnsi="Arial"/>
          <w:sz w:val="22"/>
          <w:szCs w:val="22"/>
          <w:u w:val="single" w:color="auto"/>
          <w:color w:val="auto"/>
        </w:rPr>
        <w:t>Sections 2.20</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2.21</w:t>
      </w:r>
      <w:r>
        <w:rPr>
          <w:rFonts w:ascii="Arial" w:cs="Arial" w:eastAsia="Arial" w:hAnsi="Arial"/>
          <w:sz w:val="22"/>
          <w:szCs w:val="22"/>
          <w:color w:val="auto"/>
        </w:rPr>
        <w:t xml:space="preserve"> of the Second Lien Credit Agreement may, at the Borrower’s election, be “Additional Debt” to the extent any applicable conditions of this definition are met.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Mortgaged Property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5.10(d)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Refinancing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2.21</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Eurocurrency Rate</w:t>
      </w:r>
      <w:r>
        <w:rPr>
          <w:rFonts w:ascii="Arial" w:cs="Arial" w:eastAsia="Arial" w:hAnsi="Arial"/>
          <w:sz w:val="22"/>
          <w:szCs w:val="22"/>
          <w:color w:val="auto"/>
        </w:rPr>
        <w:t xml:space="preserve">” means, for any Interest Period with respect to a Eurocurrency Borrowing or an ABR Borrowing determined pursuant to </w:t>
      </w:r>
      <w:r>
        <w:rPr>
          <w:rFonts w:ascii="Arial" w:cs="Arial" w:eastAsia="Arial" w:hAnsi="Arial"/>
          <w:sz w:val="22"/>
          <w:szCs w:val="22"/>
          <w:u w:val="single" w:color="auto"/>
          <w:color w:val="auto"/>
        </w:rPr>
        <w:t>clause (iii)</w:t>
      </w:r>
      <w:r>
        <w:rPr>
          <w:rFonts w:ascii="Arial" w:cs="Arial" w:eastAsia="Arial" w:hAnsi="Arial"/>
          <w:sz w:val="22"/>
          <w:szCs w:val="22"/>
          <w:color w:val="auto"/>
        </w:rPr>
        <w:t xml:space="preserve"> of the definition of “Alternate Base Rate”, a rate </w:t>
      </w:r>
      <w:r>
        <w:rPr>
          <w:rFonts w:ascii="Arial" w:cs="Arial" w:eastAsia="Arial" w:hAnsi="Arial"/>
          <w:sz w:val="22"/>
          <w:szCs w:val="22"/>
          <w:u w:val="single" w:color="auto"/>
          <w:color w:val="auto"/>
        </w:rPr>
        <w:t>per annum</w:t>
      </w:r>
      <w:r>
        <w:rPr>
          <w:rFonts w:ascii="Arial" w:cs="Arial" w:eastAsia="Arial" w:hAnsi="Arial"/>
          <w:sz w:val="22"/>
          <w:szCs w:val="22"/>
          <w:color w:val="auto"/>
        </w:rPr>
        <w:t xml:space="preserve"> determined by the Administrative Agent pursuant to the following formula:</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53"/>
        </w:trPr>
        <w:tc>
          <w:tcPr>
            <w:tcW w:w="2760" w:type="dxa"/>
            <w:vAlign w:val="bottom"/>
            <w:vMerge w:val="restart"/>
          </w:tcPr>
          <w:p>
            <w:pPr>
              <w:spacing w:after="0"/>
              <w:rPr>
                <w:sz w:val="20"/>
                <w:szCs w:val="20"/>
                <w:color w:val="auto"/>
              </w:rPr>
            </w:pPr>
            <w:r>
              <w:rPr>
                <w:rFonts w:ascii="Arial" w:cs="Arial" w:eastAsia="Arial" w:hAnsi="Arial"/>
                <w:sz w:val="22"/>
                <w:szCs w:val="22"/>
                <w:color w:val="auto"/>
                <w:w w:val="93"/>
              </w:rPr>
              <w:t>Adjusted Eurocurrency Rate =</w:t>
            </w:r>
          </w:p>
        </w:tc>
        <w:tc>
          <w:tcPr>
            <w:tcW w:w="2940" w:type="dxa"/>
            <w:vAlign w:val="bottom"/>
            <w:tcBorders>
              <w:bottom w:val="single" w:sz="8" w:color="auto"/>
            </w:tcBorders>
          </w:tcPr>
          <w:p>
            <w:pPr>
              <w:ind w:left="1300"/>
              <w:spacing w:after="0"/>
              <w:rPr>
                <w:sz w:val="20"/>
                <w:szCs w:val="20"/>
                <w:color w:val="auto"/>
              </w:rPr>
            </w:pPr>
            <w:r>
              <w:rPr>
                <w:rFonts w:ascii="Arial" w:cs="Arial" w:eastAsia="Arial" w:hAnsi="Arial"/>
                <w:sz w:val="22"/>
                <w:szCs w:val="22"/>
                <w:color w:val="auto"/>
                <w:w w:val="88"/>
              </w:rPr>
              <w:t>Eurocurrency Rate</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2760" w:type="dxa"/>
            <w:vAlign w:val="bottom"/>
            <w:vMerge w:val="continue"/>
          </w:tcPr>
          <w:p>
            <w:pPr>
              <w:spacing w:after="0"/>
              <w:rPr>
                <w:sz w:val="23"/>
                <w:szCs w:val="23"/>
                <w:color w:val="auto"/>
              </w:rPr>
            </w:pPr>
          </w:p>
        </w:tc>
        <w:tc>
          <w:tcPr>
            <w:tcW w:w="4440" w:type="dxa"/>
            <w:vAlign w:val="bottom"/>
            <w:gridSpan w:val="2"/>
          </w:tcPr>
          <w:p>
            <w:pPr>
              <w:ind w:left="920"/>
              <w:spacing w:after="0"/>
              <w:rPr>
                <w:sz w:val="20"/>
                <w:szCs w:val="20"/>
                <w:color w:val="auto"/>
              </w:rPr>
            </w:pPr>
            <w:r>
              <w:rPr>
                <w:rFonts w:ascii="Arial" w:cs="Arial" w:eastAsia="Arial" w:hAnsi="Arial"/>
                <w:sz w:val="22"/>
                <w:szCs w:val="22"/>
                <w:color w:val="auto"/>
                <w:w w:val="86"/>
              </w:rPr>
              <w:t>1.00 – Eurocurrency Reserve Percentage</w:t>
            </w: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the Adjusted Eurocurrency Rate shall at no time be less than 0.00% per annum.</w:t>
      </w:r>
    </w:p>
    <w:p>
      <w:pPr>
        <w:spacing w:after="0" w:line="214"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u w:val="single" w:color="auto"/>
          <w:color w:val="0000FF"/>
        </w:rPr>
        <w:t>“Adjusted Term SOFR” means, for purposes of any calculation, the rate per annum equal to Term SOFR for such Interest Period; provided, that if Adjusted Term SOFR as so determined would be less than the Applicable Term SOFR Floor with respect to any Credit Facility, such rate shall be deemed to be the Applicable Term SOFR Floor with respect to such Credit Facility for the purposes of this Agreement.</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means Barclays, including its affiliates and subsidiaries, in its capacity as administrative agent for the Lenders hereunder, and its successors in such capacity as provided in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Agent’s Office</w:t>
      </w:r>
      <w:r>
        <w:rPr>
          <w:rFonts w:ascii="Arial" w:cs="Arial" w:eastAsia="Arial" w:hAnsi="Arial"/>
          <w:sz w:val="22"/>
          <w:szCs w:val="22"/>
          <w:color w:val="auto"/>
        </w:rPr>
        <w:t xml:space="preserve">” means the Administrative Agent’s address and, as appropriate, account as set forth on </w:t>
      </w:r>
      <w:r>
        <w:rPr>
          <w:rFonts w:ascii="Arial" w:cs="Arial" w:eastAsia="Arial" w:hAnsi="Arial"/>
          <w:sz w:val="22"/>
          <w:szCs w:val="22"/>
          <w:u w:val="single" w:color="auto"/>
          <w:color w:val="auto"/>
        </w:rPr>
        <w:t>Schedule 9.01</w:t>
      </w:r>
      <w:r>
        <w:rPr>
          <w:rFonts w:ascii="Arial" w:cs="Arial" w:eastAsia="Arial" w:hAnsi="Arial"/>
          <w:sz w:val="22"/>
          <w:szCs w:val="22"/>
          <w:color w:val="auto"/>
        </w:rPr>
        <w:t>, or such other address or account as the Administrative Agent may from time to time notify the Borrower and the Lenders.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59"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Institutional Lender</w:t>
      </w:r>
      <w:r>
        <w:rPr>
          <w:rFonts w:ascii="Arial" w:cs="Arial" w:eastAsia="Arial" w:hAnsi="Arial"/>
          <w:sz w:val="22"/>
          <w:szCs w:val="22"/>
          <w:color w:val="auto"/>
        </w:rPr>
        <w:t>” means (i) in the case of an Affiliate of Francisco Partners or Spectrum, an Affiliated Lender that is a bona fide debt fund that is primarily engaged in, or advises funds or other investment vehicles that are engaged in, making, purchasing, holding or otherwise investing in commercial loans, bonds and similar extensions of credit or securities in the ordinary course of its business and whose managers have fiduciary duties to the investors in such fund or investment vehicle independent of, or in addition, to their duties to Francisco Partners IV, L.P and/or Spectrum Equity Management, L.P., as the case may be and (ii) in the case of an Affiliate of the New Sponsor, an Affiliated Lender that is a bona fide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70" w:name="page71"/>
    <w:bookmarkEnd w:id="70"/>
    <w:p>
      <w:pPr>
        <w:jc w:val="both"/>
        <w:spacing w:after="0" w:line="234" w:lineRule="auto"/>
        <w:rPr>
          <w:sz w:val="20"/>
          <w:szCs w:val="20"/>
          <w:color w:val="auto"/>
        </w:rPr>
      </w:pPr>
      <w:r>
        <w:rPr>
          <w:rFonts w:ascii="Arial" w:cs="Arial" w:eastAsia="Arial" w:hAnsi="Arial"/>
          <w:sz w:val="21"/>
          <w:szCs w:val="21"/>
          <w:color w:val="auto"/>
        </w:rPr>
        <w:t>fund primarily engaged in, or that advises funds or other investment vehicles that are engaged in, making, purchasing, holding or otherwise investing in commercial loans, bonds or similar extensions of credit or securities in the ordinary course and the investment decisions of which are not controlled by the private equity business of Silver Lake Partners.</w:t>
      </w:r>
    </w:p>
    <w:p>
      <w:pPr>
        <w:spacing w:after="0" w:line="15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Lender</w:t>
      </w:r>
      <w:r>
        <w:rPr>
          <w:rFonts w:ascii="Arial" w:cs="Arial" w:eastAsia="Arial" w:hAnsi="Arial"/>
          <w:sz w:val="22"/>
          <w:szCs w:val="22"/>
          <w:color w:val="auto"/>
        </w:rPr>
        <w:t>” means any Lender that is Francisco Partners, Spectrum or the New Sponsor (except to the extent, in each case, that such Person owns, directly or indirectly, less than 10% of the Equity Interests of Holdings) or an Affiliate of any of the foregoing, but excluding, without limitation (i) Holdings or any Subsidiary thereof and (ii) any Affiliated Institutional Lender.</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Lender Assignment and Assumption Agreement</w:t>
      </w:r>
      <w:r>
        <w:rPr>
          <w:rFonts w:ascii="Arial" w:cs="Arial" w:eastAsia="Arial" w:hAnsi="Arial"/>
          <w:sz w:val="22"/>
          <w:szCs w:val="22"/>
          <w:color w:val="auto"/>
        </w:rPr>
        <w:t xml:space="preserve">” means an assignment and assumption entered into by a Lender with an Affiliated Lender (other than an Affiliated Institutional Lender), and accepted by the Administrative Agent pursuant to the terms hereof, in the form of </w:t>
      </w:r>
      <w:r>
        <w:rPr>
          <w:rFonts w:ascii="Arial" w:cs="Arial" w:eastAsia="Arial" w:hAnsi="Arial"/>
          <w:sz w:val="22"/>
          <w:szCs w:val="22"/>
          <w:u w:val="single" w:color="auto"/>
          <w:color w:val="auto"/>
        </w:rPr>
        <w:t>Exhibit G-2</w:t>
      </w:r>
      <w:r>
        <w:rPr>
          <w:rFonts w:ascii="Arial" w:cs="Arial" w:eastAsia="Arial" w:hAnsi="Arial"/>
          <w:sz w:val="22"/>
          <w:szCs w:val="22"/>
          <w:color w:val="auto"/>
        </w:rPr>
        <w:t xml:space="preserve"> or any other form (or changes thereto) approved by the Administrative Agent and the Borrower.</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means either of the Administrative Agent or the Collateral Agent.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assigned to such term in the preamble to this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9.17</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AHYDO Catch-Up Payment</w:t>
      </w:r>
      <w:r>
        <w:rPr>
          <w:rFonts w:ascii="Arial" w:cs="Arial" w:eastAsia="Arial" w:hAnsi="Arial"/>
          <w:sz w:val="22"/>
          <w:szCs w:val="22"/>
          <w:color w:val="auto"/>
        </w:rPr>
        <w:t>” means any payment with respect to any debt obligations of any Domestic Subsidiary, including subordinated debt obligations and Additional Debt and obligations in respect of the Second Lien Loans, in each case to avoid the application of Section 163(e)(5) of the Code.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ALTA</w:t>
      </w:r>
      <w:r>
        <w:rPr>
          <w:rFonts w:ascii="Arial" w:cs="Arial" w:eastAsia="Arial" w:hAnsi="Arial"/>
          <w:sz w:val="22"/>
          <w:szCs w:val="22"/>
          <w:color w:val="auto"/>
        </w:rPr>
        <w:t>” means the American Land Title Association.</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per annum equal to the greatest of (i) the U.S. Prime Rate in effect on such day, (ii) the NYFRB Rate, in effect on such day, plus one-half of one percent (1/2%) per annum, and (iii) </w:t>
      </w:r>
      <w:r>
        <w:rPr>
          <w:rFonts w:ascii="Arial" w:cs="Arial" w:eastAsia="Arial" w:hAnsi="Arial"/>
          <w:sz w:val="19"/>
          <w:szCs w:val="19"/>
          <w:u w:val="single" w:color="auto"/>
          <w:color w:val="0000FF"/>
        </w:rPr>
        <w:t>(x) other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than with respect to Revolving Loans,</w:t>
      </w:r>
      <w:r>
        <w:rPr>
          <w:rFonts w:ascii="Arial" w:cs="Arial" w:eastAsia="Arial" w:hAnsi="Arial"/>
          <w:sz w:val="19"/>
          <w:szCs w:val="19"/>
          <w:color w:val="0000FF"/>
        </w:rPr>
        <w:t xml:space="preserve"> </w:t>
      </w:r>
      <w:r>
        <w:rPr>
          <w:rFonts w:ascii="Arial" w:cs="Arial" w:eastAsia="Arial" w:hAnsi="Arial"/>
          <w:sz w:val="19"/>
          <w:szCs w:val="19"/>
          <w:color w:val="000000"/>
        </w:rPr>
        <w:t>the Adjusted Eurocurrency Rate for an Interest Period of one month determined on such</w:t>
      </w:r>
      <w:r>
        <w:rPr>
          <w:rFonts w:ascii="Arial" w:cs="Arial" w:eastAsia="Arial" w:hAnsi="Arial"/>
          <w:sz w:val="19"/>
          <w:szCs w:val="19"/>
          <w:color w:val="0000FF"/>
        </w:rPr>
        <w:t xml:space="preserve"> </w:t>
      </w:r>
      <w:r>
        <w:rPr>
          <w:rFonts w:ascii="Arial" w:cs="Arial" w:eastAsia="Arial" w:hAnsi="Arial"/>
          <w:sz w:val="19"/>
          <w:szCs w:val="19"/>
          <w:color w:val="000000"/>
        </w:rPr>
        <w:t xml:space="preserve">day (or if such day is not a Business Day, the immediately preceding Business Day) (without giving effect to the proviso of the definition thereof) plus one percent (1.00%) per annum </w:t>
      </w:r>
      <w:r>
        <w:rPr>
          <w:rFonts w:ascii="Arial" w:cs="Arial" w:eastAsia="Arial" w:hAnsi="Arial"/>
          <w:sz w:val="19"/>
          <w:szCs w:val="19"/>
          <w:color w:val="0000FF"/>
        </w:rPr>
        <w:t>and (y) with respect to Revolving Loans, Adjusted Term SOFR on such</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day (or if such day is not a Business Day, the immediately preceding Business Day) for an Interest Period of one month plus one percent (1.00%) per annum; provided, that for the avoidance of doubt, Adjusted Term SOFR for any day shall be the Term SOFR Reference Rate, at approximately 5:00 a.m. (Chicago time) two (2) Business Days prior to such day for a term of one month commencing on such day</w:t>
      </w:r>
      <w:r>
        <w:rPr>
          <w:rFonts w:ascii="Arial" w:cs="Arial" w:eastAsia="Arial" w:hAnsi="Arial"/>
          <w:sz w:val="19"/>
          <w:szCs w:val="19"/>
          <w:color w:val="000000"/>
        </w:rPr>
        <w:t>. Any change in the Alternate Base Rate due to a change in the U.S. Prime Rate, the NYFRB Rate</w:t>
      </w:r>
      <w:r>
        <w:rPr>
          <w:rFonts w:ascii="Arial" w:cs="Arial" w:eastAsia="Arial" w:hAnsi="Arial"/>
          <w:sz w:val="19"/>
          <w:szCs w:val="19"/>
          <w:color w:val="0000FF"/>
        </w:rPr>
        <w:t xml:space="preserve"> </w:t>
      </w:r>
      <w:r>
        <w:rPr>
          <w:rFonts w:ascii="Arial" w:cs="Arial" w:eastAsia="Arial" w:hAnsi="Arial"/>
          <w:sz w:val="19"/>
          <w:szCs w:val="19"/>
          <w:color w:val="FF0000"/>
        </w:rPr>
        <w:t>or</w:t>
      </w:r>
      <w:r>
        <w:rPr>
          <w:rFonts w:ascii="Arial" w:cs="Arial" w:eastAsia="Arial" w:hAnsi="Arial"/>
          <w:sz w:val="19"/>
          <w:szCs w:val="19"/>
          <w:color w:val="0000FF"/>
        </w:rPr>
        <w:t xml:space="preserve"> </w:t>
      </w:r>
      <w:r>
        <w:rPr>
          <w:rFonts w:ascii="Arial" w:cs="Arial" w:eastAsia="Arial" w:hAnsi="Arial"/>
          <w:sz w:val="19"/>
          <w:szCs w:val="19"/>
          <w:color w:val="FF0000"/>
          <w:strike w:val="1"/>
        </w:rPr>
        <w:t>the</w:t>
      </w:r>
      <w:r>
        <w:rPr>
          <w:rFonts w:ascii="Arial" w:cs="Arial" w:eastAsia="Arial" w:hAnsi="Arial"/>
          <w:sz w:val="19"/>
          <w:szCs w:val="19"/>
          <w:u w:val="single" w:color="auto"/>
          <w:color w:val="0000FF"/>
        </w:rPr>
        <w:t>,</w:t>
      </w:r>
      <w:r>
        <w:rPr>
          <w:rFonts w:ascii="Arial" w:cs="Arial" w:eastAsia="Arial" w:hAnsi="Arial"/>
          <w:sz w:val="19"/>
          <w:szCs w:val="19"/>
          <w:color w:val="FF0000"/>
        </w:rPr>
        <w:t xml:space="preserve"> </w:t>
      </w:r>
      <w:r>
        <w:rPr>
          <w:rFonts w:ascii="Arial" w:cs="Arial" w:eastAsia="Arial" w:hAnsi="Arial"/>
          <w:sz w:val="19"/>
          <w:szCs w:val="19"/>
          <w:color w:val="000000"/>
        </w:rPr>
        <w:t>Adjusted Eurocurrency Rate</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or Adjusted Term SOFR</w:t>
      </w:r>
      <w:r>
        <w:rPr>
          <w:rFonts w:ascii="Arial" w:cs="Arial" w:eastAsia="Arial" w:hAnsi="Arial"/>
          <w:sz w:val="19"/>
          <w:szCs w:val="19"/>
          <w:color w:val="FF0000"/>
        </w:rPr>
        <w:t xml:space="preserve"> </w:t>
      </w:r>
      <w:r>
        <w:rPr>
          <w:rFonts w:ascii="Arial" w:cs="Arial" w:eastAsia="Arial" w:hAnsi="Arial"/>
          <w:sz w:val="19"/>
          <w:szCs w:val="19"/>
          <w:color w:val="000000"/>
        </w:rPr>
        <w:t>shall be effective from and including the effective date of such change</w:t>
      </w:r>
      <w:r>
        <w:rPr>
          <w:rFonts w:ascii="Arial" w:cs="Arial" w:eastAsia="Arial" w:hAnsi="Arial"/>
          <w:sz w:val="19"/>
          <w:szCs w:val="19"/>
          <w:color w:val="FF0000"/>
        </w:rPr>
        <w:t xml:space="preserve"> </w:t>
      </w:r>
      <w:r>
        <w:rPr>
          <w:rFonts w:ascii="Arial" w:cs="Arial" w:eastAsia="Arial" w:hAnsi="Arial"/>
          <w:sz w:val="19"/>
          <w:szCs w:val="19"/>
          <w:color w:val="000000"/>
        </w:rPr>
        <w:t xml:space="preserve">in the U.S. Prime Rate, the NYFRB Rate </w:t>
      </w:r>
      <w:r>
        <w:rPr>
          <w:rFonts w:ascii="Arial" w:cs="Arial" w:eastAsia="Arial" w:hAnsi="Arial"/>
          <w:sz w:val="19"/>
          <w:szCs w:val="19"/>
          <w:color w:val="FF0000"/>
        </w:rPr>
        <w:t>or the</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Adjusted Eurocurrency Rate </w:t>
      </w:r>
      <w:r>
        <w:rPr>
          <w:rFonts w:ascii="Arial" w:cs="Arial" w:eastAsia="Arial" w:hAnsi="Arial"/>
          <w:sz w:val="19"/>
          <w:szCs w:val="19"/>
          <w:color w:val="0000FF"/>
        </w:rPr>
        <w:t>or Adjusted Term SOFR</w:t>
      </w:r>
      <w:r>
        <w:rPr>
          <w:rFonts w:ascii="Arial" w:cs="Arial" w:eastAsia="Arial" w:hAnsi="Arial"/>
          <w:sz w:val="19"/>
          <w:szCs w:val="19"/>
          <w:color w:val="000000"/>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-853440</wp:posOffset>
            </wp:positionV>
            <wp:extent cx="40462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4046220" cy="8255"/>
                    </a:xfrm>
                    <a:prstGeom prst="rect">
                      <a:avLst/>
                    </a:prstGeom>
                    <a:noFill/>
                  </pic:spPr>
                </pic:pic>
              </a:graphicData>
            </a:graphic>
          </wp:anchor>
        </w:drawing>
        <w:drawing>
          <wp:anchor simplePos="0" relativeHeight="251657728" behindDoc="1" locked="0" layoutInCell="0" allowOverlap="1">
            <wp:simplePos x="0" y="0"/>
            <wp:positionH relativeFrom="column">
              <wp:posOffset>6978650</wp:posOffset>
            </wp:positionH>
            <wp:positionV relativeFrom="paragraph">
              <wp:posOffset>-356235</wp:posOffset>
            </wp:positionV>
            <wp:extent cx="1587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58750" cy="8255"/>
                    </a:xfrm>
                    <a:prstGeom prst="rect">
                      <a:avLst/>
                    </a:prstGeom>
                    <a:noFill/>
                  </pic:spPr>
                </pic:pic>
              </a:graphicData>
            </a:graphic>
          </wp:anchor>
        </w:drawing>
        <w:drawing>
          <wp:anchor simplePos="0" relativeHeight="251657728" behindDoc="1" locked="0" layoutInCell="0" allowOverlap="1">
            <wp:simplePos x="0" y="0"/>
            <wp:positionH relativeFrom="column">
              <wp:posOffset>2252980</wp:posOffset>
            </wp:positionH>
            <wp:positionV relativeFrom="paragraph">
              <wp:posOffset>-81915</wp:posOffset>
            </wp:positionV>
            <wp:extent cx="3505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350520" cy="8255"/>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-30480</wp:posOffset>
            </wp:positionV>
            <wp:extent cx="13671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367155" cy="8255"/>
                    </a:xfrm>
                    <a:prstGeom prst="rect">
                      <a:avLst/>
                    </a:prstGeom>
                    <a:noFill/>
                  </pic:spPr>
                </pic:pic>
              </a:graphicData>
            </a:graphic>
          </wp:anchor>
        </w:drawing>
      </w:r>
    </w:p>
    <w:p>
      <w:pPr>
        <w:spacing w:after="0" w:line="13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w:t>
      </w:r>
      <w:r>
        <w:rPr>
          <w:rFonts w:ascii="Arial" w:cs="Arial" w:eastAsia="Arial" w:hAnsi="Arial"/>
          <w:sz w:val="19"/>
          <w:szCs w:val="19"/>
          <w:color w:val="auto"/>
        </w:rPr>
        <w:t>” means, with respect to any Incremental Term Loans and separate tranches of Incremental Revolving Commitments (and Incremental Loans made pursuant thereto), any currency other than Dollars that may be agreed among the Borrower, the Administrative Agent and all of the applicable Lenders providing such Loans and Commitments.</w:t>
      </w:r>
    </w:p>
    <w:p>
      <w:pPr>
        <w:spacing w:after="0" w:line="13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Date of Determination</w:t>
      </w:r>
      <w:r>
        <w:rPr>
          <w:rFonts w:ascii="Arial" w:cs="Arial" w:eastAsia="Arial" w:hAnsi="Arial"/>
          <w:sz w:val="22"/>
          <w:szCs w:val="22"/>
          <w:color w:val="auto"/>
        </w:rPr>
        <w:t>” means the last day of the most recently ended fiscal quarter for which financial statements were delivered or were required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71" w:name="page72"/>
    <w:bookmarkEnd w:id="71"/>
    <w:p>
      <w:pPr>
        <w:jc w:val="both"/>
        <w:spacing w:after="0" w:line="229" w:lineRule="auto"/>
        <w:rPr>
          <w:sz w:val="20"/>
          <w:szCs w:val="20"/>
          <w:color w:val="auto"/>
        </w:rPr>
      </w:pPr>
      <w:r>
        <w:rPr>
          <w:rFonts w:ascii="Arial" w:cs="Arial" w:eastAsia="Arial" w:hAnsi="Arial"/>
          <w:sz w:val="21"/>
          <w:szCs w:val="21"/>
          <w:color w:val="auto"/>
        </w:rPr>
        <w:t xml:space="preserve">pursuant to </w:t>
      </w:r>
      <w:r>
        <w:rPr>
          <w:rFonts w:ascii="Arial" w:cs="Arial" w:eastAsia="Arial" w:hAnsi="Arial"/>
          <w:sz w:val="21"/>
          <w:szCs w:val="21"/>
          <w:u w:val="single" w:color="auto"/>
          <w:color w:val="auto"/>
        </w:rPr>
        <w:t>Section 5.01(a)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as applicable, or so long as the initial delivery of financial statements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 as applicable, has occurred prior to such date, at the option of the Borrower, in the case of any transaction the permissibility of which requires a calculation on a Pro Forma Basis, the last day of the most recently ended fiscal quarter prior to the date of such determination for which internal financial statements are available.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means, for any day, with respect to:</w:t>
      </w:r>
    </w:p>
    <w:p>
      <w:pPr>
        <w:spacing w:after="0" w:line="179" w:lineRule="exact"/>
        <w:rPr>
          <w:sz w:val="20"/>
          <w:szCs w:val="20"/>
          <w:color w:val="auto"/>
        </w:rPr>
      </w:pPr>
    </w:p>
    <w:p>
      <w:pPr>
        <w:ind w:firstLine="1304"/>
        <w:spacing w:after="0" w:line="232" w:lineRule="auto"/>
        <w:tabs>
          <w:tab w:leader="none" w:pos="1754"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any Initial Term Loan and any Revolving Loan, the applicable rate per annum set forth below, based upon the First Lien Net Leverage Ratio as of the most recent determination date:</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48"/>
        </w:trPr>
        <w:tc>
          <w:tcPr>
            <w:tcW w:w="8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240" w:type="dxa"/>
            <w:vAlign w:val="bottom"/>
            <w:tcBorders>
              <w:top w:val="single" w:sz="8" w:color="auto"/>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18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940" w:type="dxa"/>
            <w:vAlign w:val="bottom"/>
            <w:tcBorders>
              <w:top w:val="single" w:sz="8" w:color="auto"/>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240" w:type="dxa"/>
            <w:vAlign w:val="bottom"/>
            <w:tcBorders>
              <w:top w:val="single" w:sz="8" w:color="auto"/>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1020" w:type="dxa"/>
            <w:vAlign w:val="bottom"/>
            <w:tcBorders>
              <w:top w:val="single" w:sz="8" w:color="auto"/>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right w:val="single" w:sz="8" w:color="auto"/>
            </w:tcBorders>
          </w:tcPr>
          <w:p>
            <w:pPr>
              <w:spacing w:after="0"/>
              <w:rPr>
                <w:sz w:val="4"/>
                <w:szCs w:val="4"/>
                <w:color w:val="auto"/>
              </w:rPr>
            </w:pPr>
          </w:p>
        </w:tc>
        <w:tc>
          <w:tcPr>
            <w:tcW w:w="40" w:type="dxa"/>
            <w:vAlign w:val="bottom"/>
            <w:tcBorders>
              <w:top w:val="single" w:sz="8" w:color="auto"/>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0" w:type="dxa"/>
            <w:vAlign w:val="bottom"/>
            <w:tcBorders>
              <w:right w:val="single" w:sz="8" w:color="auto"/>
            </w:tcBorders>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5"/>
          </w:tcPr>
          <w:p>
            <w:pPr>
              <w:spacing w:after="0" w:line="216" w:lineRule="exact"/>
              <w:rPr>
                <w:sz w:val="20"/>
                <w:szCs w:val="20"/>
                <w:color w:val="auto"/>
              </w:rPr>
            </w:pPr>
            <w:r>
              <w:rPr>
                <w:rFonts w:ascii="Arial" w:cs="Arial" w:eastAsia="Arial" w:hAnsi="Arial"/>
                <w:sz w:val="22"/>
                <w:szCs w:val="22"/>
                <w:color w:val="auto"/>
              </w:rPr>
              <w:t>Revolving Loans</w:t>
            </w:r>
          </w:p>
        </w:tc>
        <w:tc>
          <w:tcPr>
            <w:tcW w:w="9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40" w:type="dxa"/>
            <w:vAlign w:val="bottom"/>
            <w:tcBorders>
              <w:right w:val="single" w:sz="8" w:color="auto"/>
            </w:tcBorders>
            <w:gridSpan w:val="6"/>
          </w:tcPr>
          <w:p>
            <w:pPr>
              <w:spacing w:after="0" w:line="216" w:lineRule="exact"/>
              <w:rPr>
                <w:sz w:val="20"/>
                <w:szCs w:val="20"/>
                <w:color w:val="auto"/>
              </w:rPr>
            </w:pPr>
            <w:r>
              <w:rPr>
                <w:rFonts w:ascii="Arial" w:cs="Arial" w:eastAsia="Arial" w:hAnsi="Arial"/>
                <w:sz w:val="22"/>
                <w:szCs w:val="22"/>
                <w:color w:val="auto"/>
              </w:rPr>
              <w:t>Initial Term Loans</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0" w:type="dxa"/>
            <w:vAlign w:val="bottom"/>
            <w:tcBorders>
              <w:top w:val="single" w:sz="8" w:color="auto"/>
              <w:bottom w:val="single" w:sz="8" w:color="auto"/>
              <w:right w:val="single" w:sz="8" w:color="auto"/>
            </w:tcBorders>
            <w:shd w:val="clear" w:color="auto" w:fill="000000"/>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0" w:type="dxa"/>
            <w:vAlign w:val="bottom"/>
            <w:tcBorders>
              <w:bottom w:val="single" w:sz="8" w:color="auto"/>
              <w:right w:val="single" w:sz="8" w:color="auto"/>
            </w:tcBorders>
            <w:shd w:val="clear" w:color="auto" w:fill="000000"/>
          </w:tcPr>
          <w:p>
            <w:pPr>
              <w:spacing w:after="0"/>
              <w:rPr>
                <w:sz w:val="24"/>
                <w:szCs w:val="24"/>
                <w:color w:val="auto"/>
              </w:rPr>
            </w:pPr>
          </w:p>
        </w:tc>
        <w:tc>
          <w:tcPr>
            <w:tcW w:w="3160" w:type="dxa"/>
            <w:vAlign w:val="bottom"/>
            <w:tcBorders>
              <w:right w:val="single" w:sz="8" w:color="auto"/>
            </w:tcBorders>
            <w:gridSpan w:val="7"/>
            <w:vMerge w:val="restart"/>
          </w:tcPr>
          <w:p>
            <w:pPr>
              <w:jc w:val="center"/>
              <w:ind w:right="20"/>
              <w:spacing w:after="0"/>
              <w:rPr>
                <w:sz w:val="20"/>
                <w:szCs w:val="20"/>
                <w:color w:val="auto"/>
              </w:rPr>
            </w:pPr>
            <w:r>
              <w:rPr>
                <w:rFonts w:ascii="Arial" w:cs="Arial" w:eastAsia="Arial" w:hAnsi="Arial"/>
                <w:sz w:val="22"/>
                <w:szCs w:val="22"/>
                <w:color w:val="auto"/>
                <w:w w:val="91"/>
              </w:rPr>
              <w:t>First Lien Net Leverage Ratio:</w:t>
            </w:r>
          </w:p>
        </w:tc>
        <w:tc>
          <w:tcPr>
            <w:tcW w:w="100" w:type="dxa"/>
            <w:vAlign w:val="bottom"/>
          </w:tcPr>
          <w:p>
            <w:pPr>
              <w:spacing w:after="0"/>
              <w:rPr>
                <w:sz w:val="24"/>
                <w:szCs w:val="24"/>
                <w:color w:val="auto"/>
              </w:rPr>
            </w:pPr>
          </w:p>
        </w:tc>
        <w:tc>
          <w:tcPr>
            <w:tcW w:w="1180" w:type="dxa"/>
            <w:vAlign w:val="bottom"/>
            <w:tcBorders>
              <w:bottom w:val="single" w:sz="8" w:color="FF0000"/>
            </w:tcBorders>
          </w:tcPr>
          <w:p>
            <w:pPr>
              <w:spacing w:after="0"/>
              <w:rPr>
                <w:sz w:val="20"/>
                <w:szCs w:val="20"/>
                <w:color w:val="auto"/>
              </w:rPr>
            </w:pPr>
            <w:r>
              <w:rPr>
                <w:rFonts w:ascii="Arial" w:cs="Arial" w:eastAsia="Arial" w:hAnsi="Arial"/>
                <w:sz w:val="22"/>
                <w:szCs w:val="22"/>
                <w:color w:val="FF0000"/>
                <w:strike w:val="1"/>
                <w:w w:val="88"/>
              </w:rPr>
              <w:t>Eurocurrency</w:t>
            </w:r>
          </w:p>
        </w:tc>
        <w:tc>
          <w:tcPr>
            <w:tcW w:w="104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strike w:val="1"/>
                <w:w w:val="85"/>
              </w:rPr>
              <w:t>Term SOFR</w:t>
            </w: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strike w:val="1"/>
                <w:w w:val="85"/>
              </w:rPr>
              <w:t>Loan</w:t>
            </w:r>
          </w:p>
        </w:tc>
        <w:tc>
          <w:tcPr>
            <w:tcW w:w="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22"/>
                <w:szCs w:val="22"/>
                <w:color w:val="auto"/>
                <w:w w:val="93"/>
              </w:rPr>
              <w:t>ABR Loan</w:t>
            </w:r>
          </w:p>
        </w:tc>
        <w:tc>
          <w:tcPr>
            <w:tcW w:w="2180" w:type="dxa"/>
            <w:vAlign w:val="bottom"/>
            <w:tcBorders>
              <w:right w:val="single" w:sz="8" w:color="auto"/>
            </w:tcBorders>
            <w:gridSpan w:val="4"/>
            <w:vMerge w:val="restart"/>
          </w:tcPr>
          <w:p>
            <w:pPr>
              <w:jc w:val="center"/>
              <w:ind w:right="20"/>
              <w:spacing w:after="0"/>
              <w:rPr>
                <w:sz w:val="20"/>
                <w:szCs w:val="20"/>
                <w:color w:val="auto"/>
              </w:rPr>
            </w:pPr>
            <w:r>
              <w:rPr>
                <w:rFonts w:ascii="Arial" w:cs="Arial" w:eastAsia="Arial" w:hAnsi="Arial"/>
                <w:sz w:val="22"/>
                <w:szCs w:val="22"/>
                <w:color w:val="auto"/>
                <w:w w:val="90"/>
              </w:rPr>
              <w:t>Eurocurrency Loan</w:t>
            </w:r>
          </w:p>
        </w:tc>
        <w:tc>
          <w:tcPr>
            <w:tcW w:w="140" w:type="dxa"/>
            <w:vAlign w:val="bottom"/>
          </w:tcPr>
          <w:p>
            <w:pPr>
              <w:spacing w:after="0"/>
              <w:rPr>
                <w:sz w:val="24"/>
                <w:szCs w:val="24"/>
                <w:color w:val="auto"/>
              </w:rPr>
            </w:pPr>
          </w:p>
        </w:tc>
        <w:tc>
          <w:tcPr>
            <w:tcW w:w="1120" w:type="dxa"/>
            <w:vAlign w:val="bottom"/>
            <w:tcBorders>
              <w:right w:val="single" w:sz="8" w:color="auto"/>
            </w:tcBorders>
            <w:gridSpan w:val="3"/>
            <w:vMerge w:val="restart"/>
          </w:tcPr>
          <w:p>
            <w:pPr>
              <w:jc w:val="center"/>
              <w:ind w:right="180"/>
              <w:spacing w:after="0"/>
              <w:rPr>
                <w:sz w:val="20"/>
                <w:szCs w:val="20"/>
                <w:color w:val="auto"/>
              </w:rPr>
            </w:pPr>
            <w:r>
              <w:rPr>
                <w:rFonts w:ascii="Arial" w:cs="Arial" w:eastAsia="Arial" w:hAnsi="Arial"/>
                <w:sz w:val="22"/>
                <w:szCs w:val="22"/>
                <w:color w:val="auto"/>
                <w:w w:val="93"/>
              </w:rPr>
              <w:t>ABR Loan</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80" w:type="dxa"/>
            <w:vAlign w:val="bottom"/>
            <w:tcBorders>
              <w:right w:val="single" w:sz="8" w:color="auto"/>
            </w:tcBorders>
            <w:shd w:val="clear" w:color="auto" w:fill="000000"/>
          </w:tcPr>
          <w:p>
            <w:pPr>
              <w:spacing w:after="0"/>
              <w:rPr>
                <w:sz w:val="7"/>
                <w:szCs w:val="7"/>
                <w:color w:val="auto"/>
              </w:rPr>
            </w:pPr>
          </w:p>
        </w:tc>
        <w:tc>
          <w:tcPr>
            <w:tcW w:w="3160" w:type="dxa"/>
            <w:vAlign w:val="bottom"/>
            <w:tcBorders>
              <w:right w:val="single" w:sz="8" w:color="auto"/>
            </w:tcBorders>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Borders>
              <w:right w:val="single" w:sz="8" w:color="auto"/>
            </w:tcBorders>
            <w:gridSpan w:val="2"/>
            <w:vMerge w:val="continue"/>
          </w:tcPr>
          <w:p>
            <w:pPr>
              <w:spacing w:after="0"/>
              <w:rPr>
                <w:sz w:val="7"/>
                <w:szCs w:val="7"/>
                <w:color w:val="auto"/>
              </w:rPr>
            </w:pPr>
          </w:p>
        </w:tc>
        <w:tc>
          <w:tcPr>
            <w:tcW w:w="2180" w:type="dxa"/>
            <w:vAlign w:val="bottom"/>
            <w:tcBorders>
              <w:right w:val="single" w:sz="8" w:color="auto"/>
            </w:tcBorders>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Borders>
              <w:right w:val="single" w:sz="8" w:color="auto"/>
            </w:tcBorders>
            <w:gridSpan w:val="3"/>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80" w:type="dxa"/>
            <w:vAlign w:val="bottom"/>
            <w:tcBorders>
              <w:top w:val="single" w:sz="8" w:color="auto"/>
              <w:bottom w:val="single" w:sz="8" w:color="auto"/>
              <w:right w:val="single" w:sz="8" w:color="auto"/>
            </w:tcBorders>
            <w:shd w:val="clear" w:color="auto" w:fill="000000"/>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 w:type="dxa"/>
            <w:vAlign w:val="bottom"/>
            <w:tcBorders>
              <w:bottom w:val="single" w:sz="8" w:color="auto"/>
              <w:right w:val="single" w:sz="8" w:color="auto"/>
            </w:tcBorders>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Borders>
              <w:bottom w:val="single" w:sz="8" w:color="auto"/>
            </w:tcBorders>
            <w:gridSpan w:val="3"/>
          </w:tcPr>
          <w:p>
            <w:pPr>
              <w:jc w:val="center"/>
              <w:ind w:right="20"/>
              <w:spacing w:after="0" w:line="209" w:lineRule="exact"/>
              <w:rPr>
                <w:sz w:val="20"/>
                <w:szCs w:val="20"/>
                <w:color w:val="auto"/>
              </w:rPr>
            </w:pPr>
            <w:r>
              <w:rPr>
                <w:rFonts w:ascii="Arial" w:cs="Arial" w:eastAsia="Arial" w:hAnsi="Arial"/>
                <w:sz w:val="22"/>
                <w:szCs w:val="22"/>
                <w:color w:val="auto"/>
                <w:w w:val="87"/>
              </w:rPr>
              <w:t>Category 1</w:t>
            </w:r>
          </w:p>
        </w:tc>
        <w:tc>
          <w:tcPr>
            <w:tcW w:w="1100" w:type="dxa"/>
            <w:vAlign w:val="bottom"/>
            <w:tcBorders>
              <w:right w:val="single" w:sz="8" w:color="auto"/>
            </w:tcBorders>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80" w:type="dxa"/>
            <w:vAlign w:val="bottom"/>
            <w:tcBorders>
              <w:right w:val="single" w:sz="8" w:color="auto"/>
            </w:tcBorders>
            <w:shd w:val="clear" w:color="auto" w:fill="000000"/>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22"/>
                <w:szCs w:val="22"/>
                <w:color w:val="auto"/>
                <w:w w:val="87"/>
              </w:rPr>
              <w:t>Greater than 4.00:1.00</w:t>
            </w:r>
          </w:p>
        </w:tc>
        <w:tc>
          <w:tcPr>
            <w:tcW w:w="2320" w:type="dxa"/>
            <w:vAlign w:val="bottom"/>
            <w:gridSpan w:val="4"/>
          </w:tcPr>
          <w:p>
            <w:pPr>
              <w:jc w:val="right"/>
              <w:ind w:right="472"/>
              <w:spacing w:after="0"/>
              <w:rPr>
                <w:sz w:val="20"/>
                <w:szCs w:val="20"/>
                <w:color w:val="auto"/>
              </w:rPr>
            </w:pPr>
            <w:r>
              <w:rPr>
                <w:rFonts w:ascii="Arial" w:cs="Arial" w:eastAsia="Arial" w:hAnsi="Arial"/>
                <w:sz w:val="22"/>
                <w:szCs w:val="22"/>
                <w:color w:val="auto"/>
              </w:rPr>
              <w:t>3.00%</w:t>
            </w:r>
          </w:p>
        </w:tc>
        <w:tc>
          <w:tcPr>
            <w:tcW w:w="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89"/>
              </w:rPr>
              <w:t>2.00%</w:t>
            </w:r>
          </w:p>
        </w:tc>
        <w:tc>
          <w:tcPr>
            <w:tcW w:w="280" w:type="dxa"/>
            <w:vAlign w:val="bottom"/>
            <w:tcBorders>
              <w:right w:val="single" w:sz="8" w:color="auto"/>
            </w:tcBorders>
          </w:tcPr>
          <w:p>
            <w:pPr>
              <w:spacing w:after="0"/>
              <w:rPr>
                <w:sz w:val="24"/>
                <w:szCs w:val="24"/>
                <w:color w:val="auto"/>
              </w:rPr>
            </w:pPr>
          </w:p>
        </w:tc>
        <w:tc>
          <w:tcPr>
            <w:tcW w:w="1920" w:type="dxa"/>
            <w:vAlign w:val="bottom"/>
            <w:gridSpan w:val="3"/>
          </w:tcPr>
          <w:p>
            <w:pPr>
              <w:jc w:val="center"/>
              <w:ind w:left="132"/>
              <w:spacing w:after="0"/>
              <w:rPr>
                <w:sz w:val="20"/>
                <w:szCs w:val="20"/>
                <w:color w:val="auto"/>
              </w:rPr>
            </w:pPr>
            <w:r>
              <w:rPr>
                <w:rFonts w:ascii="Arial" w:cs="Arial" w:eastAsia="Arial" w:hAnsi="Arial"/>
                <w:sz w:val="22"/>
                <w:szCs w:val="22"/>
                <w:color w:val="auto"/>
                <w:w w:val="89"/>
              </w:rPr>
              <w:t>3.00%</w:t>
            </w:r>
          </w:p>
        </w:tc>
        <w:tc>
          <w:tcPr>
            <w:tcW w:w="260" w:type="dxa"/>
            <w:vAlign w:val="bottom"/>
            <w:tcBorders>
              <w:right w:val="single" w:sz="8" w:color="auto"/>
            </w:tcBorders>
          </w:tcPr>
          <w:p>
            <w:pPr>
              <w:spacing w:after="0"/>
              <w:rPr>
                <w:sz w:val="24"/>
                <w:szCs w:val="24"/>
                <w:color w:val="auto"/>
              </w:rPr>
            </w:pPr>
          </w:p>
        </w:tc>
        <w:tc>
          <w:tcPr>
            <w:tcW w:w="1080" w:type="dxa"/>
            <w:vAlign w:val="bottom"/>
            <w:gridSpan w:val="3"/>
          </w:tcPr>
          <w:p>
            <w:pPr>
              <w:jc w:val="center"/>
              <w:ind w:left="52"/>
              <w:spacing w:after="0"/>
              <w:rPr>
                <w:sz w:val="20"/>
                <w:szCs w:val="20"/>
                <w:color w:val="auto"/>
              </w:rPr>
            </w:pPr>
            <w:r>
              <w:rPr>
                <w:rFonts w:ascii="Arial" w:cs="Arial" w:eastAsia="Arial" w:hAnsi="Arial"/>
                <w:sz w:val="22"/>
                <w:szCs w:val="22"/>
                <w:color w:val="auto"/>
                <w:w w:val="89"/>
              </w:rPr>
              <w:t>2.00%</w:t>
            </w:r>
          </w:p>
        </w:tc>
        <w:tc>
          <w:tcPr>
            <w:tcW w:w="1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0" w:type="dxa"/>
            <w:vAlign w:val="bottom"/>
            <w:tcBorders>
              <w:bottom w:val="single" w:sz="8" w:color="auto"/>
              <w:right w:val="single" w:sz="8" w:color="auto"/>
            </w:tcBorders>
            <w:shd w:val="clear" w:color="auto" w:fill="000000"/>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0" w:type="dxa"/>
            <w:vAlign w:val="bottom"/>
            <w:tcBorders>
              <w:bottom w:val="single" w:sz="8" w:color="auto"/>
              <w:right w:val="single" w:sz="8" w:color="auto"/>
            </w:tcBorders>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Borders>
              <w:bottom w:val="single" w:sz="8" w:color="auto"/>
            </w:tcBorders>
            <w:gridSpan w:val="3"/>
          </w:tcPr>
          <w:p>
            <w:pPr>
              <w:jc w:val="center"/>
              <w:ind w:right="20"/>
              <w:spacing w:after="0" w:line="209" w:lineRule="exact"/>
              <w:rPr>
                <w:sz w:val="20"/>
                <w:szCs w:val="20"/>
                <w:color w:val="auto"/>
              </w:rPr>
            </w:pPr>
            <w:r>
              <w:rPr>
                <w:rFonts w:ascii="Arial" w:cs="Arial" w:eastAsia="Arial" w:hAnsi="Arial"/>
                <w:sz w:val="22"/>
                <w:szCs w:val="22"/>
                <w:color w:val="auto"/>
                <w:w w:val="87"/>
              </w:rPr>
              <w:t>Category 2</w:t>
            </w:r>
          </w:p>
        </w:tc>
        <w:tc>
          <w:tcPr>
            <w:tcW w:w="1100" w:type="dxa"/>
            <w:vAlign w:val="bottom"/>
            <w:tcBorders>
              <w:right w:val="single" w:sz="8" w:color="auto"/>
            </w:tcBorders>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80" w:type="dxa"/>
            <w:vAlign w:val="bottom"/>
            <w:tcBorders>
              <w:right w:val="single" w:sz="8" w:color="auto"/>
            </w:tcBorders>
            <w:shd w:val="clear" w:color="auto" w:fill="000000"/>
          </w:tcPr>
          <w:p>
            <w:pPr>
              <w:spacing w:after="0"/>
              <w:rPr>
                <w:sz w:val="24"/>
                <w:szCs w:val="24"/>
                <w:color w:val="auto"/>
              </w:rPr>
            </w:pPr>
          </w:p>
        </w:tc>
        <w:tc>
          <w:tcPr>
            <w:tcW w:w="3160" w:type="dxa"/>
            <w:vAlign w:val="bottom"/>
            <w:tcBorders>
              <w:right w:val="single" w:sz="8" w:color="auto"/>
            </w:tcBorders>
            <w:gridSpan w:val="7"/>
          </w:tcPr>
          <w:p>
            <w:pPr>
              <w:jc w:val="center"/>
              <w:ind w:right="20"/>
              <w:spacing w:after="0"/>
              <w:rPr>
                <w:sz w:val="20"/>
                <w:szCs w:val="20"/>
                <w:color w:val="auto"/>
              </w:rPr>
            </w:pPr>
            <w:r>
              <w:rPr>
                <w:rFonts w:ascii="Arial" w:cs="Arial" w:eastAsia="Arial" w:hAnsi="Arial"/>
                <w:sz w:val="22"/>
                <w:szCs w:val="22"/>
                <w:color w:val="auto"/>
                <w:w w:val="87"/>
              </w:rPr>
              <w:t>Less than or equal to 4.00:1.00 and</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0" w:type="dxa"/>
            <w:vAlign w:val="bottom"/>
            <w:tcBorders>
              <w:right w:val="single" w:sz="8" w:color="auto"/>
            </w:tcBorders>
            <w:shd w:val="clear" w:color="auto" w:fill="000000"/>
          </w:tcPr>
          <w:p>
            <w:pPr>
              <w:spacing w:after="0"/>
              <w:rPr>
                <w:sz w:val="23"/>
                <w:szCs w:val="23"/>
                <w:color w:val="auto"/>
              </w:rPr>
            </w:pPr>
          </w:p>
        </w:tc>
        <w:tc>
          <w:tcPr>
            <w:tcW w:w="240" w:type="dxa"/>
            <w:vAlign w:val="bottom"/>
          </w:tcPr>
          <w:p>
            <w:pPr>
              <w:spacing w:after="0"/>
              <w:rPr>
                <w:sz w:val="23"/>
                <w:szCs w:val="23"/>
                <w:color w:val="auto"/>
              </w:rPr>
            </w:pPr>
          </w:p>
        </w:tc>
        <w:tc>
          <w:tcPr>
            <w:tcW w:w="2920" w:type="dxa"/>
            <w:vAlign w:val="bottom"/>
            <w:tcBorders>
              <w:right w:val="single" w:sz="8" w:color="auto"/>
            </w:tcBorders>
            <w:gridSpan w:val="6"/>
          </w:tcPr>
          <w:p>
            <w:pPr>
              <w:jc w:val="center"/>
              <w:ind w:right="260"/>
              <w:spacing w:after="0"/>
              <w:rPr>
                <w:sz w:val="20"/>
                <w:szCs w:val="20"/>
                <w:color w:val="auto"/>
              </w:rPr>
            </w:pPr>
            <w:r>
              <w:rPr>
                <w:rFonts w:ascii="Arial" w:cs="Arial" w:eastAsia="Arial" w:hAnsi="Arial"/>
                <w:sz w:val="22"/>
                <w:szCs w:val="22"/>
                <w:color w:val="auto"/>
                <w:w w:val="87"/>
              </w:rPr>
              <w:t>greater than 3.50:1.00</w:t>
            </w:r>
          </w:p>
        </w:tc>
        <w:tc>
          <w:tcPr>
            <w:tcW w:w="2320" w:type="dxa"/>
            <w:vAlign w:val="bottom"/>
            <w:gridSpan w:val="4"/>
            <w:vMerge w:val="restart"/>
          </w:tcPr>
          <w:p>
            <w:pPr>
              <w:jc w:val="right"/>
              <w:ind w:right="472"/>
              <w:spacing w:after="0"/>
              <w:rPr>
                <w:sz w:val="20"/>
                <w:szCs w:val="20"/>
                <w:color w:val="auto"/>
              </w:rPr>
            </w:pPr>
            <w:r>
              <w:rPr>
                <w:rFonts w:ascii="Arial" w:cs="Arial" w:eastAsia="Arial" w:hAnsi="Arial"/>
                <w:sz w:val="22"/>
                <w:szCs w:val="22"/>
                <w:color w:val="auto"/>
              </w:rPr>
              <w:t>2.75%</w:t>
            </w:r>
          </w:p>
        </w:tc>
        <w:tc>
          <w:tcPr>
            <w:tcW w:w="5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vMerge w:val="restart"/>
          </w:tcPr>
          <w:p>
            <w:pPr>
              <w:jc w:val="center"/>
              <w:spacing w:after="0"/>
              <w:rPr>
                <w:sz w:val="20"/>
                <w:szCs w:val="20"/>
                <w:color w:val="auto"/>
              </w:rPr>
            </w:pPr>
            <w:r>
              <w:rPr>
                <w:rFonts w:ascii="Arial" w:cs="Arial" w:eastAsia="Arial" w:hAnsi="Arial"/>
                <w:sz w:val="22"/>
                <w:szCs w:val="22"/>
                <w:color w:val="auto"/>
                <w:w w:val="89"/>
              </w:rPr>
              <w:t>1.75%</w:t>
            </w:r>
          </w:p>
        </w:tc>
        <w:tc>
          <w:tcPr>
            <w:tcW w:w="280" w:type="dxa"/>
            <w:vAlign w:val="bottom"/>
            <w:tcBorders>
              <w:right w:val="single" w:sz="8" w:color="auto"/>
            </w:tcBorders>
          </w:tcPr>
          <w:p>
            <w:pPr>
              <w:spacing w:after="0"/>
              <w:rPr>
                <w:sz w:val="23"/>
                <w:szCs w:val="23"/>
                <w:color w:val="auto"/>
              </w:rPr>
            </w:pPr>
          </w:p>
        </w:tc>
        <w:tc>
          <w:tcPr>
            <w:tcW w:w="1920" w:type="dxa"/>
            <w:vAlign w:val="bottom"/>
            <w:gridSpan w:val="3"/>
            <w:vMerge w:val="restart"/>
          </w:tcPr>
          <w:p>
            <w:pPr>
              <w:jc w:val="center"/>
              <w:ind w:left="132"/>
              <w:spacing w:after="0"/>
              <w:rPr>
                <w:sz w:val="20"/>
                <w:szCs w:val="20"/>
                <w:color w:val="auto"/>
              </w:rPr>
            </w:pPr>
            <w:r>
              <w:rPr>
                <w:rFonts w:ascii="Arial" w:cs="Arial" w:eastAsia="Arial" w:hAnsi="Arial"/>
                <w:sz w:val="22"/>
                <w:szCs w:val="22"/>
                <w:color w:val="auto"/>
                <w:w w:val="89"/>
              </w:rPr>
              <w:t>2.75%</w:t>
            </w:r>
          </w:p>
        </w:tc>
        <w:tc>
          <w:tcPr>
            <w:tcW w:w="260" w:type="dxa"/>
            <w:vAlign w:val="bottom"/>
            <w:tcBorders>
              <w:right w:val="single" w:sz="8" w:color="auto"/>
            </w:tcBorders>
          </w:tcPr>
          <w:p>
            <w:pPr>
              <w:spacing w:after="0"/>
              <w:rPr>
                <w:sz w:val="23"/>
                <w:szCs w:val="23"/>
                <w:color w:val="auto"/>
              </w:rPr>
            </w:pPr>
          </w:p>
        </w:tc>
        <w:tc>
          <w:tcPr>
            <w:tcW w:w="1080" w:type="dxa"/>
            <w:vAlign w:val="bottom"/>
            <w:gridSpan w:val="3"/>
            <w:vMerge w:val="restart"/>
          </w:tcPr>
          <w:p>
            <w:pPr>
              <w:jc w:val="center"/>
              <w:ind w:left="52"/>
              <w:spacing w:after="0"/>
              <w:rPr>
                <w:sz w:val="20"/>
                <w:szCs w:val="20"/>
                <w:color w:val="auto"/>
              </w:rPr>
            </w:pPr>
            <w:r>
              <w:rPr>
                <w:rFonts w:ascii="Arial" w:cs="Arial" w:eastAsia="Arial" w:hAnsi="Arial"/>
                <w:sz w:val="22"/>
                <w:szCs w:val="22"/>
                <w:color w:val="auto"/>
                <w:w w:val="89"/>
              </w:rPr>
              <w:t>1.75%</w:t>
            </w:r>
          </w:p>
        </w:tc>
        <w:tc>
          <w:tcPr>
            <w:tcW w:w="180" w:type="dxa"/>
            <w:vAlign w:val="bottom"/>
            <w:tcBorders>
              <w:righ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0"/>
        </w:trPr>
        <w:tc>
          <w:tcPr>
            <w:tcW w:w="80" w:type="dxa"/>
            <w:vAlign w:val="bottom"/>
            <w:tcBorders>
              <w:bottom w:val="single" w:sz="8" w:color="auto"/>
              <w:right w:val="single" w:sz="8" w:color="auto"/>
            </w:tcBorders>
            <w:shd w:val="clear" w:color="auto" w:fill="000000"/>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tcBorders>
            <w:gridSpan w:val="4"/>
            <w:vMerge w:val="continue"/>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80" w:type="dxa"/>
            <w:vAlign w:val="bottom"/>
            <w:tcBorders>
              <w:right w:val="single" w:sz="8" w:color="auto"/>
            </w:tcBorders>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60" w:type="dxa"/>
            <w:vAlign w:val="bottom"/>
            <w:tcBorders>
              <w:right w:val="single" w:sz="8" w:color="auto"/>
            </w:tcBorders>
            <w:gridSpan w:val="5"/>
          </w:tcPr>
          <w:p>
            <w:pPr>
              <w:jc w:val="center"/>
              <w:ind w:right="1120"/>
              <w:spacing w:after="0" w:line="211" w:lineRule="exact"/>
              <w:rPr>
                <w:sz w:val="20"/>
                <w:szCs w:val="20"/>
                <w:color w:val="auto"/>
              </w:rPr>
            </w:pPr>
            <w:r>
              <w:rPr>
                <w:rFonts w:ascii="Arial" w:cs="Arial" w:eastAsia="Arial" w:hAnsi="Arial"/>
                <w:sz w:val="22"/>
                <w:szCs w:val="22"/>
                <w:color w:val="auto"/>
                <w:w w:val="87"/>
              </w:rPr>
              <w:t>Category 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80" w:type="dxa"/>
            <w:vAlign w:val="bottom"/>
            <w:tcBorders>
              <w:right w:val="single" w:sz="8" w:color="auto"/>
            </w:tcBorders>
            <w:shd w:val="clear" w:color="auto" w:fill="000000"/>
          </w:tcPr>
          <w:p>
            <w:pPr>
              <w:spacing w:after="0"/>
              <w:rPr>
                <w:sz w:val="24"/>
                <w:szCs w:val="24"/>
                <w:color w:val="auto"/>
              </w:rPr>
            </w:pPr>
          </w:p>
        </w:tc>
        <w:tc>
          <w:tcPr>
            <w:tcW w:w="3160" w:type="dxa"/>
            <w:vAlign w:val="bottom"/>
            <w:tcBorders>
              <w:right w:val="single" w:sz="8" w:color="auto"/>
            </w:tcBorders>
            <w:gridSpan w:val="7"/>
          </w:tcPr>
          <w:p>
            <w:pPr>
              <w:jc w:val="center"/>
              <w:ind w:right="20"/>
              <w:spacing w:after="0"/>
              <w:rPr>
                <w:sz w:val="20"/>
                <w:szCs w:val="20"/>
                <w:color w:val="auto"/>
              </w:rPr>
            </w:pPr>
            <w:r>
              <w:rPr>
                <w:rFonts w:ascii="Arial" w:cs="Arial" w:eastAsia="Arial" w:hAnsi="Arial"/>
                <w:sz w:val="22"/>
                <w:szCs w:val="22"/>
                <w:color w:val="auto"/>
                <w:w w:val="87"/>
              </w:rPr>
              <w:t>Less than or equal to 3.50:1.00</w:t>
            </w:r>
          </w:p>
        </w:tc>
        <w:tc>
          <w:tcPr>
            <w:tcW w:w="2320" w:type="dxa"/>
            <w:vAlign w:val="bottom"/>
            <w:gridSpan w:val="4"/>
            <w:vMerge w:val="restart"/>
          </w:tcPr>
          <w:p>
            <w:pPr>
              <w:jc w:val="right"/>
              <w:ind w:right="472"/>
              <w:spacing w:after="0"/>
              <w:rPr>
                <w:sz w:val="20"/>
                <w:szCs w:val="20"/>
                <w:color w:val="auto"/>
              </w:rPr>
            </w:pPr>
            <w:r>
              <w:rPr>
                <w:rFonts w:ascii="Arial" w:cs="Arial" w:eastAsia="Arial" w:hAnsi="Arial"/>
                <w:sz w:val="22"/>
                <w:szCs w:val="22"/>
                <w:color w:val="auto"/>
              </w:rPr>
              <w:t>2.50%</w:t>
            </w:r>
          </w:p>
        </w:tc>
        <w:tc>
          <w:tcPr>
            <w:tcW w:w="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2"/>
                <w:szCs w:val="22"/>
                <w:color w:val="auto"/>
                <w:w w:val="89"/>
              </w:rPr>
              <w:t>1.50%</w:t>
            </w:r>
          </w:p>
        </w:tc>
        <w:tc>
          <w:tcPr>
            <w:tcW w:w="280" w:type="dxa"/>
            <w:vAlign w:val="bottom"/>
            <w:tcBorders>
              <w:right w:val="single" w:sz="8" w:color="auto"/>
            </w:tcBorders>
          </w:tcPr>
          <w:p>
            <w:pPr>
              <w:spacing w:after="0"/>
              <w:rPr>
                <w:sz w:val="24"/>
                <w:szCs w:val="24"/>
                <w:color w:val="auto"/>
              </w:rPr>
            </w:pPr>
          </w:p>
        </w:tc>
        <w:tc>
          <w:tcPr>
            <w:tcW w:w="1920" w:type="dxa"/>
            <w:vAlign w:val="bottom"/>
            <w:gridSpan w:val="3"/>
            <w:vMerge w:val="restart"/>
          </w:tcPr>
          <w:p>
            <w:pPr>
              <w:jc w:val="center"/>
              <w:ind w:left="132"/>
              <w:spacing w:after="0"/>
              <w:rPr>
                <w:sz w:val="20"/>
                <w:szCs w:val="20"/>
                <w:color w:val="auto"/>
              </w:rPr>
            </w:pPr>
            <w:r>
              <w:rPr>
                <w:rFonts w:ascii="Arial" w:cs="Arial" w:eastAsia="Arial" w:hAnsi="Arial"/>
                <w:sz w:val="22"/>
                <w:szCs w:val="22"/>
                <w:color w:val="auto"/>
                <w:w w:val="89"/>
              </w:rPr>
              <w:t>2.75%</w:t>
            </w:r>
          </w:p>
        </w:tc>
        <w:tc>
          <w:tcPr>
            <w:tcW w:w="260" w:type="dxa"/>
            <w:vAlign w:val="bottom"/>
            <w:tcBorders>
              <w:right w:val="single" w:sz="8" w:color="auto"/>
            </w:tcBorders>
          </w:tcPr>
          <w:p>
            <w:pPr>
              <w:spacing w:after="0"/>
              <w:rPr>
                <w:sz w:val="24"/>
                <w:szCs w:val="24"/>
                <w:color w:val="auto"/>
              </w:rPr>
            </w:pPr>
          </w:p>
        </w:tc>
        <w:tc>
          <w:tcPr>
            <w:tcW w:w="1080" w:type="dxa"/>
            <w:vAlign w:val="bottom"/>
            <w:gridSpan w:val="3"/>
            <w:vMerge w:val="restart"/>
          </w:tcPr>
          <w:p>
            <w:pPr>
              <w:jc w:val="center"/>
              <w:ind w:left="52"/>
              <w:spacing w:after="0"/>
              <w:rPr>
                <w:sz w:val="20"/>
                <w:szCs w:val="20"/>
                <w:color w:val="auto"/>
              </w:rPr>
            </w:pPr>
            <w:r>
              <w:rPr>
                <w:rFonts w:ascii="Arial" w:cs="Arial" w:eastAsia="Arial" w:hAnsi="Arial"/>
                <w:sz w:val="22"/>
                <w:szCs w:val="22"/>
                <w:color w:val="auto"/>
                <w:w w:val="89"/>
              </w:rPr>
              <w:t>1.75%</w:t>
            </w:r>
          </w:p>
        </w:tc>
        <w:tc>
          <w:tcPr>
            <w:tcW w:w="1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0" w:type="dxa"/>
            <w:vAlign w:val="bottom"/>
            <w:tcBorders>
              <w:bottom w:val="single" w:sz="8" w:color="auto"/>
              <w:right w:val="single" w:sz="8" w:color="auto"/>
            </w:tcBorders>
            <w:shd w:val="clear" w:color="auto" w:fill="000000"/>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tcBorders>
            <w:gridSpan w:val="4"/>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tcBorders>
            <w:gridSpan w:val="3"/>
            <w:vMerge w:val="continue"/>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tcBorders>
            <w:gridSpan w:val="3"/>
            <w:vMerge w:val="continue"/>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firstLine="1304"/>
        <w:spacing w:after="0" w:line="257" w:lineRule="auto"/>
        <w:tabs>
          <w:tab w:leader="none" w:pos="1767"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the commitment fees payable pursuant to </w:t>
      </w:r>
      <w:r>
        <w:rPr>
          <w:rFonts w:ascii="Arial" w:cs="Arial" w:eastAsia="Arial" w:hAnsi="Arial"/>
          <w:sz w:val="19"/>
          <w:szCs w:val="19"/>
          <w:u w:val="single" w:color="auto"/>
          <w:color w:val="auto"/>
        </w:rPr>
        <w:t>Section 2.12(a)</w:t>
      </w:r>
      <w:r>
        <w:rPr>
          <w:rFonts w:ascii="Arial" w:cs="Arial" w:eastAsia="Arial" w:hAnsi="Arial"/>
          <w:sz w:val="19"/>
          <w:szCs w:val="19"/>
          <w:color w:val="auto"/>
        </w:rPr>
        <w:t>, (i) 0.50% per annum if the First Lien Net Leverage Ratio as of the most recent determination date is greater than 5.00:1.00 (ii) 0.375% per annum if the First Lien Net Leverage Ratio as of the most recent determination date is equal to or less than 5.00:1.00 but greater than 4.50:1.00 or (iii) 0.25% per annum if the First Lien Net Leverage Ratio as of the most recent determination date is less than or equal to 4.50:1.00; and</w:t>
      </w:r>
    </w:p>
    <w:p>
      <w:pPr>
        <w:spacing w:after="0" w:line="144" w:lineRule="exact"/>
        <w:rPr>
          <w:rFonts w:ascii="Arial" w:cs="Arial" w:eastAsia="Arial" w:hAnsi="Arial"/>
          <w:sz w:val="19"/>
          <w:szCs w:val="19"/>
          <w:color w:val="auto"/>
        </w:rPr>
      </w:pPr>
    </w:p>
    <w:p>
      <w:pPr>
        <w:jc w:val="both"/>
        <w:ind w:firstLine="1304"/>
        <w:spacing w:after="0" w:line="257" w:lineRule="auto"/>
        <w:tabs>
          <w:tab w:leader="none" w:pos="1833"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Incremental Credit Facilities, Other Term Loans, Other Revolving Loans, Other Revolving Commitments, Extended Term Loans, Extended Revolving Loans or Extended Revolving Commitments, the rate per annum specified in the amendment establishing such Incremental Credit Facilities, Other Term Loans, Other Revolving Loans, Other Revolving Commitments, Extended Term Loans, Extended Revolving Loans or Extended Revolving Commitments, as applicable.</w:t>
      </w:r>
    </w:p>
    <w:p>
      <w:pPr>
        <w:spacing w:after="0" w:line="14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For purposes of the foregoing, (A) the First Lien Net Leverage Ratio shall be determined on a Pro Forma Basis as of the end of each fiscal quarter of the Borrower following the delivery of the Compliance Certificate for such fiscal quarter, and (B) each change in the Applicable Margin resulting from a change in the First Lien Net Leverage Ratio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72" w:name="page73"/>
    <w:bookmarkEnd w:id="72"/>
    <w:p>
      <w:pPr>
        <w:jc w:val="both"/>
        <w:spacing w:after="0" w:line="224" w:lineRule="auto"/>
        <w:rPr>
          <w:sz w:val="20"/>
          <w:szCs w:val="20"/>
          <w:color w:val="auto"/>
        </w:rPr>
      </w:pPr>
      <w:r>
        <w:rPr>
          <w:rFonts w:ascii="Arial" w:cs="Arial" w:eastAsia="Arial" w:hAnsi="Arial"/>
          <w:sz w:val="21"/>
          <w:szCs w:val="21"/>
          <w:color w:val="auto"/>
        </w:rPr>
        <w:t xml:space="preserve">effective during the period commencing on and including the date of delivery or required delivery to the Administrative Agent of such Compliance Certificate indicating such change and ending on the date immediately preceding the effective date of the next such change;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First Lien Net Leverage Ratio shall be deemed to be in Category 1 (x) if the Borrower fails to deliver any such Compliance Certificate during the period from the date that is five Business Days after the expiration of the time for delivery thereof until such Compliance Certificate is delivered, and (y) until the delivery of a Compliance Certificate for the fiscal quarter ending March 31, 2019.</w:t>
      </w:r>
    </w:p>
    <w:p>
      <w:pPr>
        <w:spacing w:after="0" w:line="16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means, at any time with respect to any Revolving Lender with a Revolving Commitment of any Class, the percentage of the aggregate Commitments of such Class outstanding at such time represented by such Lender’s Commitment with respect to such Class at such time. If the Commitments of such Class have terminated or expired, the Applicable Percentage shall be determined based upon the Commitments of such Class most recently in effect.</w:t>
      </w:r>
    </w:p>
    <w:p>
      <w:pPr>
        <w:spacing w:after="0" w:line="14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u w:val="single" w:color="auto"/>
          <w:color w:val="0000FF"/>
        </w:rPr>
        <w:t xml:space="preserve">“Applicable Term SOFR Floor” means the Term SOFR floor applicable to any Credit Facility under which a Loan is being made, and solely with respect to the Revolving Loans, means 0.00% </w:t>
      </w:r>
      <w:r>
        <w:rPr>
          <w:rFonts w:ascii="Arial" w:cs="Arial" w:eastAsia="Arial" w:hAnsi="Arial"/>
          <w:sz w:val="22"/>
          <w:szCs w:val="22"/>
          <w:i w:val="1"/>
          <w:iCs w:val="1"/>
          <w:u w:val="single" w:color="auto"/>
          <w:color w:val="0000FF"/>
        </w:rPr>
        <w:t>per annum</w:t>
      </w:r>
      <w:r>
        <w:rPr>
          <w:rFonts w:ascii="Arial" w:cs="Arial" w:eastAsia="Arial" w:hAnsi="Arial"/>
          <w:sz w:val="22"/>
          <w:szCs w:val="22"/>
          <w:u w:val="single" w:color="auto"/>
          <w:color w:val="0000FF"/>
        </w:rPr>
        <w:t>.</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Time</w:t>
      </w:r>
      <w:r>
        <w:rPr>
          <w:rFonts w:ascii="Arial" w:cs="Arial" w:eastAsia="Arial" w:hAnsi="Arial"/>
          <w:sz w:val="22"/>
          <w:szCs w:val="22"/>
          <w:color w:val="auto"/>
        </w:rPr>
        <w:t>” means, with respect to any borrowings and payments in any Alternative Currency, the local time in the place of settlement for such Alternative Currency as may be determined by the Administrative Agent or the applicable Issuing Bank to be necessary for timely settlement on the relevant date in accordance with normal banking procedures in the place of payment.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assignee (with the consent of any party whose consent is required by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and accepted by the Administrative Agent pursuant to the terms hereof, substantially in the form of </w:t>
      </w:r>
      <w:r>
        <w:rPr>
          <w:rFonts w:ascii="Arial" w:cs="Arial" w:eastAsia="Arial" w:hAnsi="Arial"/>
          <w:sz w:val="22"/>
          <w:szCs w:val="22"/>
          <w:u w:val="single" w:color="auto"/>
          <w:color w:val="auto"/>
        </w:rPr>
        <w:t>Exhibit G-1</w:t>
      </w:r>
      <w:r>
        <w:rPr>
          <w:rFonts w:ascii="Arial" w:cs="Arial" w:eastAsia="Arial" w:hAnsi="Arial"/>
          <w:sz w:val="22"/>
          <w:szCs w:val="22"/>
          <w:color w:val="auto"/>
        </w:rPr>
        <w:t xml:space="preserve"> or any other form (or changes thereto) approved by the Administrative Agent and the Borrower.</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Auction Amount</w:t>
      </w:r>
      <w:r>
        <w:rPr>
          <w:rFonts w:ascii="Arial" w:cs="Arial" w:eastAsia="Arial" w:hAnsi="Arial"/>
          <w:sz w:val="22"/>
          <w:szCs w:val="22"/>
          <w:color w:val="auto"/>
        </w:rPr>
        <w:t>” has the meaning assigned to such term in the definition “Dutch Auction”.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Auction Expiration Time</w:t>
      </w:r>
      <w:r>
        <w:rPr>
          <w:rFonts w:ascii="Arial" w:cs="Arial" w:eastAsia="Arial" w:hAnsi="Arial"/>
          <w:sz w:val="22"/>
          <w:szCs w:val="22"/>
          <w:color w:val="auto"/>
        </w:rPr>
        <w:t>” has the meaning assigned to such term in the definition “Dutch Auction”.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Auction Notice</w:t>
      </w:r>
      <w:r>
        <w:rPr>
          <w:rFonts w:ascii="Arial" w:cs="Arial" w:eastAsia="Arial" w:hAnsi="Arial"/>
          <w:sz w:val="22"/>
          <w:szCs w:val="22"/>
          <w:color w:val="auto"/>
        </w:rPr>
        <w:t>” has the meaning assigned to such term in the definition “Dutch Auction”.</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Auction Party</w:t>
      </w:r>
      <w:r>
        <w:rPr>
          <w:rFonts w:ascii="Arial" w:cs="Arial" w:eastAsia="Arial" w:hAnsi="Arial"/>
          <w:sz w:val="22"/>
          <w:szCs w:val="22"/>
          <w:color w:val="auto"/>
        </w:rPr>
        <w:t xml:space="preserve">” or “ </w:t>
      </w:r>
      <w:r>
        <w:rPr>
          <w:rFonts w:ascii="Arial" w:cs="Arial" w:eastAsia="Arial" w:hAnsi="Arial"/>
          <w:sz w:val="22"/>
          <w:szCs w:val="22"/>
          <w:u w:val="single" w:color="auto"/>
          <w:color w:val="auto"/>
        </w:rPr>
        <w:t>Auction Parties</w:t>
      </w:r>
      <w:r>
        <w:rPr>
          <w:rFonts w:ascii="Arial" w:cs="Arial" w:eastAsia="Arial" w:hAnsi="Arial"/>
          <w:sz w:val="22"/>
          <w:szCs w:val="22"/>
          <w:color w:val="auto"/>
        </w:rPr>
        <w:t xml:space="preserve">” has the meaning assigned to such term in the definition of “Dutch Auction” or as specified in </w:t>
      </w:r>
      <w:r>
        <w:rPr>
          <w:rFonts w:ascii="Arial" w:cs="Arial" w:eastAsia="Arial" w:hAnsi="Arial"/>
          <w:sz w:val="22"/>
          <w:szCs w:val="22"/>
          <w:u w:val="single" w:color="auto"/>
          <w:color w:val="auto"/>
        </w:rPr>
        <w:t>Section 2.11(i)</w:t>
      </w:r>
      <w:r>
        <w:rPr>
          <w:rFonts w:ascii="Arial" w:cs="Arial" w:eastAsia="Arial" w:hAnsi="Arial"/>
          <w:sz w:val="22"/>
          <w:szCs w:val="22"/>
          <w:color w:val="auto"/>
        </w:rPr>
        <w:t>, as the context may require.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Audited Financial Statements</w:t>
      </w:r>
      <w:r>
        <w:rPr>
          <w:rFonts w:ascii="Arial" w:cs="Arial" w:eastAsia="Arial" w:hAnsi="Arial"/>
          <w:sz w:val="22"/>
          <w:szCs w:val="22"/>
          <w:color w:val="auto"/>
        </w:rPr>
        <w:t>” means the audited consolidated balance sheet and statements of operations, stockholders’ equity and cash flows of Parent and its Subsidiaries for the fiscal years ended December 31, 2017 and December 31, 2016, in each case prepared in accordance with GAAP.</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Auto-Renewal Letter of Credit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2.05(c)</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73" w:name="page74"/>
    <w:bookmarkEnd w:id="73"/>
    <w:p>
      <w:pPr>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Amount</w:t>
      </w:r>
      <w:r>
        <w:rPr>
          <w:rFonts w:ascii="Arial" w:cs="Arial" w:eastAsia="Arial" w:hAnsi="Arial"/>
          <w:sz w:val="22"/>
          <w:szCs w:val="22"/>
          <w:color w:val="auto"/>
        </w:rPr>
        <w:t>” means, on any date of determination (the “</w:t>
      </w:r>
      <w:r>
        <w:rPr>
          <w:rFonts w:ascii="Arial" w:cs="Arial" w:eastAsia="Arial" w:hAnsi="Arial"/>
          <w:sz w:val="22"/>
          <w:szCs w:val="22"/>
          <w:u w:val="single" w:color="auto"/>
          <w:color w:val="auto"/>
        </w:rPr>
        <w:t>Reference Date</w:t>
      </w:r>
      <w:r>
        <w:rPr>
          <w:rFonts w:ascii="Arial" w:cs="Arial" w:eastAsia="Arial" w:hAnsi="Arial"/>
          <w:sz w:val="22"/>
          <w:szCs w:val="22"/>
          <w:color w:val="auto"/>
        </w:rPr>
        <w:t>”), an amount (which shall not be less than zero) determined on a cumulative basis equal to the sum of (without duplication):</w:t>
      </w:r>
    </w:p>
    <w:p>
      <w:pPr>
        <w:spacing w:after="0" w:line="159" w:lineRule="exact"/>
        <w:rPr>
          <w:sz w:val="20"/>
          <w:szCs w:val="20"/>
          <w:color w:val="auto"/>
        </w:rPr>
      </w:pPr>
    </w:p>
    <w:p>
      <w:pPr>
        <w:ind w:left="1840" w:hanging="536"/>
        <w:spacing w:after="0"/>
        <w:tabs>
          <w:tab w:leader="none" w:pos="1840"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greater of (x) $50,000,000 and (y) 50.0% of LTM EBITDA calculated on a Pro Forma Basis as of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Reference Date; </w:t>
      </w:r>
      <w:r>
        <w:rPr>
          <w:rFonts w:ascii="Arial" w:cs="Arial" w:eastAsia="Arial" w:hAnsi="Arial"/>
          <w:sz w:val="22"/>
          <w:szCs w:val="22"/>
          <w:u w:val="single" w:color="auto"/>
          <w:color w:val="auto"/>
        </w:rPr>
        <w:t>plus</w:t>
      </w:r>
    </w:p>
    <w:p>
      <w:pPr>
        <w:spacing w:after="0" w:line="161" w:lineRule="exact"/>
        <w:rPr>
          <w:rFonts w:ascii="Arial" w:cs="Arial" w:eastAsia="Arial" w:hAnsi="Arial"/>
          <w:sz w:val="19"/>
          <w:szCs w:val="19"/>
          <w:color w:val="auto"/>
        </w:rPr>
      </w:pPr>
    </w:p>
    <w:p>
      <w:pPr>
        <w:jc w:val="both"/>
        <w:ind w:firstLine="1304"/>
        <w:spacing w:after="0" w:line="268" w:lineRule="auto"/>
        <w:tabs>
          <w:tab w:leader="none" w:pos="1851"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100% of Consolidated EBITDA (notwithstanding anything herein to the contrary, not calculated on a Pro Forma Basis) of the Borrower and its Restricted Subsidiaries for the period (taken as one accounting period) beginning on October 1, 2018 and ending on the Applicable Date of Determination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1.5 times Fixed Charges for such period; </w:t>
      </w:r>
      <w:r>
        <w:rPr>
          <w:rFonts w:ascii="Arial" w:cs="Arial" w:eastAsia="Arial" w:hAnsi="Arial"/>
          <w:sz w:val="19"/>
          <w:szCs w:val="19"/>
          <w:u w:val="single" w:color="auto"/>
          <w:color w:val="auto"/>
        </w:rPr>
        <w:t>plus</w:t>
      </w:r>
    </w:p>
    <w:p>
      <w:pPr>
        <w:spacing w:after="0" w:line="132" w:lineRule="exact"/>
        <w:rPr>
          <w:rFonts w:ascii="Arial" w:cs="Arial" w:eastAsia="Arial" w:hAnsi="Arial"/>
          <w:sz w:val="19"/>
          <w:szCs w:val="19"/>
          <w:color w:val="auto"/>
        </w:rPr>
      </w:pPr>
    </w:p>
    <w:p>
      <w:pPr>
        <w:jc w:val="both"/>
        <w:ind w:firstLine="1304"/>
        <w:spacing w:after="0" w:line="247" w:lineRule="auto"/>
        <w:tabs>
          <w:tab w:leader="none" w:pos="1801"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the cumulative amount of (A) any capital contributions made in cash by any Person other than a Restricted Subsidiary to Holdings after the Closing Date (other than any Cure Amount or Excluded Contributions or amounts designated as Available Excluded Contribution Amounts) to the extent such contributions have been contributed to the Borrower or any other Loan Party (other than Holdings); and (B) any Net Proceeds of any issuance of Qualified Equity Interests after the Closing Date of Holdings (other than any Cure Amount or Excluded Contributions or amounts designated as Available Excluded Contribution Amounts) to any Person other than a Restricted Subsidiary to the extent such Net Proceeds have been contributed to the Borrower or any other Loan Party (other than Holdings), in each case other than Excluded Contributions; </w:t>
      </w:r>
      <w:r>
        <w:rPr>
          <w:rFonts w:ascii="Arial" w:cs="Arial" w:eastAsia="Arial" w:hAnsi="Arial"/>
          <w:sz w:val="19"/>
          <w:szCs w:val="19"/>
          <w:u w:val="single" w:color="auto"/>
          <w:color w:val="auto"/>
        </w:rPr>
        <w:t>plus</w:t>
      </w:r>
    </w:p>
    <w:p>
      <w:pPr>
        <w:spacing w:after="0" w:line="153" w:lineRule="exact"/>
        <w:rPr>
          <w:rFonts w:ascii="Arial" w:cs="Arial" w:eastAsia="Arial" w:hAnsi="Arial"/>
          <w:sz w:val="19"/>
          <w:szCs w:val="19"/>
          <w:color w:val="auto"/>
        </w:rPr>
      </w:pPr>
    </w:p>
    <w:p>
      <w:pPr>
        <w:jc w:val="both"/>
        <w:ind w:firstLine="1304"/>
        <w:spacing w:after="0" w:line="257" w:lineRule="auto"/>
        <w:tabs>
          <w:tab w:leader="none" w:pos="1771"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100% of the aggregate Net Proceeds and the fair market value (as reasonably determined in good faith by the Borrower) of marketable securities or other property contributed to Holdings (other than any Cure Amount) after the Closing Date from any Person other than a Restricted Subsidiary to the extent such contributions have been contributed to the Borrower or any other Loan Party (other than Holdings), in each case other than Excluded Contributions; </w:t>
      </w:r>
      <w:r>
        <w:rPr>
          <w:rFonts w:ascii="Arial" w:cs="Arial" w:eastAsia="Arial" w:hAnsi="Arial"/>
          <w:sz w:val="19"/>
          <w:szCs w:val="19"/>
          <w:u w:val="single" w:color="auto"/>
          <w:color w:val="auto"/>
        </w:rPr>
        <w:t>plus</w:t>
      </w:r>
    </w:p>
    <w:p>
      <w:pPr>
        <w:spacing w:after="0" w:line="144" w:lineRule="exact"/>
        <w:rPr>
          <w:rFonts w:ascii="Arial" w:cs="Arial" w:eastAsia="Arial" w:hAnsi="Arial"/>
          <w:sz w:val="19"/>
          <w:szCs w:val="19"/>
          <w:color w:val="auto"/>
        </w:rPr>
      </w:pPr>
    </w:p>
    <w:p>
      <w:pPr>
        <w:jc w:val="both"/>
        <w:ind w:firstLine="1304"/>
        <w:spacing w:after="0" w:line="220" w:lineRule="auto"/>
        <w:tabs>
          <w:tab w:leader="none" w:pos="1807" w:val="left"/>
        </w:tabs>
        <w:numPr>
          <w:ilvl w:val="1"/>
          <w:numId w:val="32"/>
        </w:numPr>
        <w:rPr>
          <w:rFonts w:ascii="Arial" w:cs="Arial" w:eastAsia="Arial" w:hAnsi="Arial"/>
          <w:sz w:val="21"/>
          <w:szCs w:val="21"/>
          <w:color w:val="auto"/>
        </w:rPr>
      </w:pPr>
      <w:r>
        <w:rPr>
          <w:rFonts w:ascii="Arial" w:cs="Arial" w:eastAsia="Arial" w:hAnsi="Arial"/>
          <w:sz w:val="21"/>
          <w:szCs w:val="21"/>
          <w:color w:val="auto"/>
        </w:rPr>
        <w:t xml:space="preserve">to the extent not otherwise included in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above, (i) the aggregate amount received by any Holding Company (other than Holdings) or any Restricted Subsidiary after the Closing Date from cash (or Cash Equivalents) dividends and distributions made by any Unrestricted Subsidiary or any Joint Venture in respect of Investments made by any Holding Company (other than Holdings) or any Restricted Subsidiary to any Unrestricted Subsidiary or Joint Venture (up to the original amount of such Investment made pursuant to </w:t>
      </w:r>
      <w:r>
        <w:rPr>
          <w:rFonts w:ascii="Arial" w:cs="Arial" w:eastAsia="Arial" w:hAnsi="Arial"/>
          <w:sz w:val="21"/>
          <w:szCs w:val="21"/>
          <w:u w:val="single" w:color="auto"/>
          <w:color w:val="auto"/>
        </w:rPr>
        <w:t>Section 6.04(z)(i)</w:t>
      </w:r>
      <w:r>
        <w:rPr>
          <w:rFonts w:ascii="Arial" w:cs="Arial" w:eastAsia="Arial" w:hAnsi="Arial"/>
          <w:sz w:val="21"/>
          <w:szCs w:val="21"/>
          <w:color w:val="auto"/>
        </w:rPr>
        <w:t xml:space="preserve">), and (ii) the Net Proceeds in connection with the sale, transfer or other disposition of (A) assets or the Equity Interests of any Unrestricted Subsidiary that was previously a Restricted Subsidiary and designated as an Unrestricted Subsidiary pursuant to </w:t>
      </w:r>
      <w:r>
        <w:rPr>
          <w:rFonts w:ascii="Arial" w:cs="Arial" w:eastAsia="Arial" w:hAnsi="Arial"/>
          <w:sz w:val="21"/>
          <w:szCs w:val="21"/>
          <w:u w:val="single" w:color="auto"/>
          <w:color w:val="auto"/>
        </w:rPr>
        <w:t>Section 6.04(z)(i)</w:t>
      </w:r>
      <w:r>
        <w:rPr>
          <w:rFonts w:ascii="Arial" w:cs="Arial" w:eastAsia="Arial" w:hAnsi="Arial"/>
          <w:sz w:val="21"/>
          <w:szCs w:val="21"/>
          <w:color w:val="auto"/>
        </w:rPr>
        <w:t xml:space="preserve"> (up to the original amount of such Investment) or (B) the Equity Interests of any Joint Venture of a Holding Company or of a Restricted Subsidiary (up to the original amount of such Investment made pursuant to </w:t>
      </w:r>
      <w:r>
        <w:rPr>
          <w:rFonts w:ascii="Arial" w:cs="Arial" w:eastAsia="Arial" w:hAnsi="Arial"/>
          <w:sz w:val="21"/>
          <w:szCs w:val="21"/>
          <w:u w:val="single" w:color="auto"/>
          <w:color w:val="auto"/>
        </w:rPr>
        <w:t>Section 6.04(z)(i))</w:t>
      </w:r>
      <w:r>
        <w:rPr>
          <w:rFonts w:ascii="Arial" w:cs="Arial" w:eastAsia="Arial" w:hAnsi="Arial"/>
          <w:sz w:val="21"/>
          <w:szCs w:val="21"/>
          <w:color w:val="auto"/>
        </w:rPr>
        <w:t xml:space="preserve">, in each case to any Person other than a Holding Company or Restricted Subsidiary; </w:t>
      </w:r>
      <w:r>
        <w:rPr>
          <w:rFonts w:ascii="Arial" w:cs="Arial" w:eastAsia="Arial" w:hAnsi="Arial"/>
          <w:sz w:val="21"/>
          <w:szCs w:val="21"/>
          <w:u w:val="single" w:color="auto"/>
          <w:color w:val="auto"/>
        </w:rPr>
        <w:t>plus</w:t>
      </w:r>
    </w:p>
    <w:p>
      <w:pPr>
        <w:spacing w:after="0" w:line="162" w:lineRule="exact"/>
        <w:rPr>
          <w:rFonts w:ascii="Arial" w:cs="Arial" w:eastAsia="Arial" w:hAnsi="Arial"/>
          <w:sz w:val="21"/>
          <w:szCs w:val="21"/>
          <w:color w:val="auto"/>
        </w:rPr>
      </w:pPr>
    </w:p>
    <w:p>
      <w:pPr>
        <w:jc w:val="both"/>
        <w:ind w:firstLine="1304"/>
        <w:spacing w:after="0" w:line="242" w:lineRule="auto"/>
        <w:tabs>
          <w:tab w:leader="none" w:pos="1785" w:val="left"/>
        </w:tabs>
        <w:numPr>
          <w:ilvl w:val="1"/>
          <w:numId w:val="32"/>
        </w:numPr>
        <w:rPr>
          <w:rFonts w:ascii="Arial" w:cs="Arial" w:eastAsia="Arial" w:hAnsi="Arial"/>
          <w:sz w:val="19"/>
          <w:szCs w:val="19"/>
          <w:color w:val="auto"/>
        </w:rPr>
      </w:pPr>
      <w:r>
        <w:rPr>
          <w:rFonts w:ascii="Arial" w:cs="Arial" w:eastAsia="Arial" w:hAnsi="Arial"/>
          <w:sz w:val="19"/>
          <w:szCs w:val="19"/>
          <w:color w:val="auto"/>
        </w:rPr>
        <w:t>in the event that the Borrower redesignates any Unrestricted Subsidiary as a Restricted Subsidiary after the Closing Date (which, for purposes hereof, shall be deemed to also include (A) the merger, consolidation, liquidation or similar amalgamation of any Unrestricted Subsidiary into any Holding Company (other than Holdings) or any Restricted Subsidiary, so long as such Holding Company (other than Holdings) or such Restricted Subsidiary, as applicable, is the surviving Person, and</w:t>
      </w:r>
    </w:p>
    <w:p>
      <w:pPr>
        <w:jc w:val="both"/>
        <w:ind w:firstLine="8"/>
        <w:spacing w:after="0" w:line="214" w:lineRule="auto"/>
        <w:tabs>
          <w:tab w:leader="none" w:pos="383"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the transfer of all or substantially all of the assets of an Unrestricted Subsidiary to any Holding Company (other than Holdings) or any Restricted Subsidiary), the fair market value (as determined in good faith by the Borrower) of the Investment in such Unrestricted Subsidiary at the time of such redesignation (up to the original amount of such Investment made pursuant to </w:t>
      </w:r>
      <w:r>
        <w:rPr>
          <w:rFonts w:ascii="Arial" w:cs="Arial" w:eastAsia="Arial" w:hAnsi="Arial"/>
          <w:sz w:val="22"/>
          <w:szCs w:val="22"/>
          <w:u w:val="single" w:color="auto"/>
          <w:color w:val="auto"/>
        </w:rPr>
        <w:t>Section 6.04(z)(i))</w:t>
      </w:r>
      <w:r>
        <w:rPr>
          <w:rFonts w:ascii="Arial" w:cs="Arial" w:eastAsia="Arial" w:hAnsi="Arial"/>
          <w:sz w:val="22"/>
          <w:szCs w:val="22"/>
          <w:color w:val="auto"/>
        </w:rPr>
        <w:t xml:space="preserve">; </w:t>
      </w:r>
      <w:r>
        <w:rPr>
          <w:rFonts w:ascii="Arial" w:cs="Arial" w:eastAsia="Arial" w:hAnsi="Arial"/>
          <w:sz w:val="22"/>
          <w:szCs w:val="22"/>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74" w:name="page75"/>
    <w:bookmarkEnd w:id="74"/>
    <w:p>
      <w:pPr>
        <w:ind w:firstLine="1304"/>
        <w:spacing w:after="0" w:line="232" w:lineRule="auto"/>
        <w:tabs>
          <w:tab w:leader="none" w:pos="1856"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the aggregate amount of Net Proceeds received by the Borrower after the Closing Date from Asset Sales which are not subject to the mandatory prepayment provisions of </w:t>
      </w:r>
      <w:r>
        <w:rPr>
          <w:rFonts w:ascii="Arial" w:cs="Arial" w:eastAsia="Arial" w:hAnsi="Arial"/>
          <w:sz w:val="22"/>
          <w:szCs w:val="22"/>
          <w:u w:val="single" w:color="auto"/>
          <w:color w:val="auto"/>
        </w:rPr>
        <w:t>Section 2.11(c)</w:t>
      </w:r>
      <w:r>
        <w:rPr>
          <w:rFonts w:ascii="Arial" w:cs="Arial" w:eastAsia="Arial" w:hAnsi="Arial"/>
          <w:sz w:val="22"/>
          <w:szCs w:val="22"/>
          <w:color w:val="auto"/>
        </w:rPr>
        <w:t>; plus</w:t>
      </w:r>
    </w:p>
    <w:p>
      <w:pPr>
        <w:spacing w:after="0" w:line="158" w:lineRule="exact"/>
        <w:rPr>
          <w:rFonts w:ascii="Arial" w:cs="Arial" w:eastAsia="Arial" w:hAnsi="Arial"/>
          <w:sz w:val="22"/>
          <w:szCs w:val="22"/>
          <w:color w:val="auto"/>
        </w:rPr>
      </w:pPr>
    </w:p>
    <w:p>
      <w:pPr>
        <w:ind w:firstLine="1304"/>
        <w:spacing w:after="0" w:line="232" w:lineRule="auto"/>
        <w:tabs>
          <w:tab w:leader="none" w:pos="1964"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the aggregate amount of Retained Declined Proceeds retained by any Holding Company (other than Holdings) or any of the Restricted Subsidiaries; </w:t>
      </w:r>
      <w:r>
        <w:rPr>
          <w:rFonts w:ascii="Arial" w:cs="Arial" w:eastAsia="Arial" w:hAnsi="Arial"/>
          <w:sz w:val="22"/>
          <w:szCs w:val="22"/>
          <w:u w:val="single" w:color="auto"/>
          <w:color w:val="auto"/>
        </w:rPr>
        <w:t>plus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03"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the fair market value of all Qualified Equity Interests of Holdings issued upon conversion or exchange of Indebtedness or Disqualified Equity Interests of any Holding Company (other than Holdings) or any of its Restricted Subsidiaries, in each case incurred after the Closing Date; </w:t>
      </w:r>
      <w:r>
        <w:rPr>
          <w:rFonts w:ascii="Arial" w:cs="Arial" w:eastAsia="Arial" w:hAnsi="Arial"/>
          <w:sz w:val="22"/>
          <w:szCs w:val="22"/>
          <w:u w:val="single" w:color="auto"/>
          <w:color w:val="auto"/>
        </w:rPr>
        <w:t>plus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66"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to the extent not otherwise included, the aggregate amount of cash Returns to any Holding Company (other than Holdings) or any Restricted Subsidiary in respect of Investments made pursuant to </w:t>
      </w:r>
      <w:r>
        <w:rPr>
          <w:rFonts w:ascii="Arial" w:cs="Arial" w:eastAsia="Arial" w:hAnsi="Arial"/>
          <w:sz w:val="22"/>
          <w:szCs w:val="22"/>
          <w:u w:val="single" w:color="auto"/>
          <w:color w:val="auto"/>
        </w:rPr>
        <w:t>Section 6.04(z)(i)</w:t>
      </w:r>
      <w:r>
        <w:rPr>
          <w:rFonts w:ascii="Arial" w:cs="Arial" w:eastAsia="Arial" w:hAnsi="Arial"/>
          <w:sz w:val="22"/>
          <w:szCs w:val="22"/>
          <w:color w:val="auto"/>
        </w:rPr>
        <w:t xml:space="preserve"> (limited to the amount of the original Investment made pursuant to such Section); </w:t>
      </w:r>
      <w:r>
        <w:rPr>
          <w:rFonts w:ascii="Arial" w:cs="Arial" w:eastAsia="Arial" w:hAnsi="Arial"/>
          <w:sz w:val="22"/>
          <w:szCs w:val="22"/>
          <w:u w:val="single" w:color="auto"/>
          <w:color w:val="auto"/>
        </w:rPr>
        <w:t>minus</w:t>
      </w:r>
    </w:p>
    <w:p>
      <w:pPr>
        <w:spacing w:after="0" w:line="158" w:lineRule="exact"/>
        <w:rPr>
          <w:rFonts w:ascii="Arial" w:cs="Arial" w:eastAsia="Arial" w:hAnsi="Arial"/>
          <w:sz w:val="22"/>
          <w:szCs w:val="22"/>
          <w:color w:val="auto"/>
        </w:rPr>
      </w:pPr>
    </w:p>
    <w:p>
      <w:pPr>
        <w:jc w:val="both"/>
        <w:ind w:firstLine="1304"/>
        <w:spacing w:after="0" w:line="222" w:lineRule="auto"/>
        <w:tabs>
          <w:tab w:leader="none" w:pos="1786"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the aggregate amount of (i) outstanding Indebtedness incurred in reliance on </w:t>
      </w:r>
      <w:r>
        <w:rPr>
          <w:rFonts w:ascii="Arial" w:cs="Arial" w:eastAsia="Arial" w:hAnsi="Arial"/>
          <w:sz w:val="21"/>
          <w:szCs w:val="21"/>
          <w:u w:val="single" w:color="auto"/>
          <w:color w:val="auto"/>
        </w:rPr>
        <w:t>Section 6.01(aa)</w:t>
      </w:r>
      <w:r>
        <w:rPr>
          <w:rFonts w:ascii="Arial" w:cs="Arial" w:eastAsia="Arial" w:hAnsi="Arial"/>
          <w:sz w:val="21"/>
          <w:szCs w:val="21"/>
          <w:color w:val="auto"/>
        </w:rPr>
        <w:t xml:space="preserve">, (ii) Restricted Payments made using the Available Amount pursuant to </w:t>
      </w:r>
      <w:r>
        <w:rPr>
          <w:rFonts w:ascii="Arial" w:cs="Arial" w:eastAsia="Arial" w:hAnsi="Arial"/>
          <w:sz w:val="21"/>
          <w:szCs w:val="21"/>
          <w:u w:val="single" w:color="auto"/>
          <w:color w:val="auto"/>
        </w:rPr>
        <w:t>Section 6.06(a)(xiv)(B)</w:t>
      </w:r>
      <w:r>
        <w:rPr>
          <w:rFonts w:ascii="Arial" w:cs="Arial" w:eastAsia="Arial" w:hAnsi="Arial"/>
          <w:sz w:val="21"/>
          <w:szCs w:val="21"/>
          <w:color w:val="auto"/>
        </w:rPr>
        <w:t xml:space="preserve">, (iii) Investments made using the Available Amount pursuant to </w:t>
      </w:r>
      <w:r>
        <w:rPr>
          <w:rFonts w:ascii="Arial" w:cs="Arial" w:eastAsia="Arial" w:hAnsi="Arial"/>
          <w:sz w:val="21"/>
          <w:szCs w:val="21"/>
          <w:u w:val="single" w:color="auto"/>
          <w:color w:val="auto"/>
        </w:rPr>
        <w:t>Section 6.04(z)(i)</w:t>
      </w:r>
      <w:r>
        <w:rPr>
          <w:rFonts w:ascii="Arial" w:cs="Arial" w:eastAsia="Arial" w:hAnsi="Arial"/>
          <w:sz w:val="21"/>
          <w:szCs w:val="21"/>
          <w:color w:val="auto"/>
        </w:rPr>
        <w:t xml:space="preserve"> and (iv) prepayments, redemptions, acquisitions, retirements, cancellations, terminations and repurchases of Indebtedness made using the Available Amount pursuant to </w:t>
      </w:r>
      <w:r>
        <w:rPr>
          <w:rFonts w:ascii="Arial" w:cs="Arial" w:eastAsia="Arial" w:hAnsi="Arial"/>
          <w:sz w:val="21"/>
          <w:szCs w:val="21"/>
          <w:u w:val="single" w:color="auto"/>
          <w:color w:val="auto"/>
        </w:rPr>
        <w:t>Section 6.06(b)(vi)(B)</w:t>
      </w:r>
      <w:r>
        <w:rPr>
          <w:rFonts w:ascii="Arial" w:cs="Arial" w:eastAsia="Arial" w:hAnsi="Arial"/>
          <w:sz w:val="21"/>
          <w:szCs w:val="21"/>
          <w:color w:val="auto"/>
        </w:rPr>
        <w:t xml:space="preserve">, in each case during the period from and including the Closing Date through and including the Reference Date (without taking account of the intended usage of the Available Amount on such Reference Date for which such determination is being made, but taking into account any other such usage on such date); </w:t>
      </w:r>
      <w:r>
        <w:rPr>
          <w:rFonts w:ascii="Arial" w:cs="Arial" w:eastAsia="Arial" w:hAnsi="Arial"/>
          <w:sz w:val="21"/>
          <w:szCs w:val="21"/>
          <w:u w:val="single" w:color="auto"/>
          <w:color w:val="auto"/>
        </w:rPr>
        <w:t>minus</w:t>
      </w:r>
    </w:p>
    <w:p>
      <w:pPr>
        <w:spacing w:after="0" w:line="164" w:lineRule="exact"/>
        <w:rPr>
          <w:rFonts w:ascii="Arial" w:cs="Arial" w:eastAsia="Arial" w:hAnsi="Arial"/>
          <w:sz w:val="21"/>
          <w:szCs w:val="21"/>
          <w:color w:val="auto"/>
        </w:rPr>
      </w:pPr>
    </w:p>
    <w:p>
      <w:pPr>
        <w:jc w:val="both"/>
        <w:ind w:firstLine="1304"/>
        <w:spacing w:after="0" w:line="234" w:lineRule="auto"/>
        <w:tabs>
          <w:tab w:leader="none" w:pos="1885"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to the extent of any Investment in any Unrestricted Subsidiary with the Available Amount which was previously redesignated as a Restricted Subsidiary in accordance with </w:t>
      </w:r>
      <w:r>
        <w:rPr>
          <w:rFonts w:ascii="Arial" w:cs="Arial" w:eastAsia="Arial" w:hAnsi="Arial"/>
          <w:sz w:val="21"/>
          <w:szCs w:val="21"/>
          <w:u w:val="single" w:color="auto"/>
          <w:color w:val="auto"/>
        </w:rPr>
        <w:t>clause (f)</w:t>
      </w:r>
      <w:r>
        <w:rPr>
          <w:rFonts w:ascii="Arial" w:cs="Arial" w:eastAsia="Arial" w:hAnsi="Arial"/>
          <w:sz w:val="21"/>
          <w:szCs w:val="21"/>
          <w:color w:val="auto"/>
        </w:rPr>
        <w:t xml:space="preserve"> above, the amount of such Investment at the time of such redesignation of such Restricted Subsidiary as an Unrestricted Subsidiary in accordance herewith.</w:t>
      </w:r>
    </w:p>
    <w:p>
      <w:pPr>
        <w:spacing w:after="0" w:line="158"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Available Excluded Contribution Amount</w:t>
      </w:r>
      <w:r>
        <w:rPr>
          <w:rFonts w:ascii="Arial" w:cs="Arial" w:eastAsia="Arial" w:hAnsi="Arial"/>
          <w:sz w:val="21"/>
          <w:szCs w:val="21"/>
          <w:color w:val="auto"/>
        </w:rPr>
        <w:t>” means, to the extent Not Otherwise Applied, a cumulative amount equal to (a) the net cash proceeds or fair market value (determined at the time of contribution) of property or assets (including cash and Cash Equivalents) contributed after the Closing Date to the Borrower by any Person other than a Restricted Subsidiary as a capital contribution or as a result of the sale or issuance of equity of Holdings (other than Disqualified Equity Interests) to the extent contributed to the Borrower, in each case to the extent designated an excluded contribution (“</w:t>
      </w:r>
      <w:r>
        <w:rPr>
          <w:rFonts w:ascii="Arial" w:cs="Arial" w:eastAsia="Arial" w:hAnsi="Arial"/>
          <w:sz w:val="21"/>
          <w:szCs w:val="21"/>
          <w:u w:val="single" w:color="auto"/>
          <w:color w:val="auto"/>
        </w:rPr>
        <w:t>Excluded Contribution</w:t>
      </w:r>
      <w:r>
        <w:rPr>
          <w:rFonts w:ascii="Arial" w:cs="Arial" w:eastAsia="Arial" w:hAnsi="Arial"/>
          <w:sz w:val="21"/>
          <w:szCs w:val="21"/>
          <w:color w:val="auto"/>
        </w:rPr>
        <w:t xml:space="preserve">”) by the Borrower (excluding Cure Amounts)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(b) the aggregate amount of (x) Investments made using the Available Excluded Contribution Amount pursuant to </w:t>
      </w:r>
      <w:r>
        <w:rPr>
          <w:rFonts w:ascii="Arial" w:cs="Arial" w:eastAsia="Arial" w:hAnsi="Arial"/>
          <w:sz w:val="21"/>
          <w:szCs w:val="21"/>
          <w:u w:val="single" w:color="auto"/>
          <w:color w:val="auto"/>
        </w:rPr>
        <w:t>Section 6.04(z)(ii)</w:t>
      </w:r>
      <w:r>
        <w:rPr>
          <w:rFonts w:ascii="Arial" w:cs="Arial" w:eastAsia="Arial" w:hAnsi="Arial"/>
          <w:sz w:val="21"/>
          <w:szCs w:val="21"/>
          <w:color w:val="auto"/>
        </w:rPr>
        <w:t xml:space="preserve">, (y) Restricted Payments made using the Available Excluded Contribution Amount pursuant to </w:t>
      </w:r>
      <w:r>
        <w:rPr>
          <w:rFonts w:ascii="Arial" w:cs="Arial" w:eastAsia="Arial" w:hAnsi="Arial"/>
          <w:sz w:val="21"/>
          <w:szCs w:val="21"/>
          <w:u w:val="single" w:color="auto"/>
          <w:color w:val="auto"/>
        </w:rPr>
        <w:t>Section 6.06(a)(x)(ii)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(z)</w:t>
      </w:r>
      <w:r>
        <w:rPr>
          <w:rFonts w:ascii="Arial" w:cs="Arial" w:eastAsia="Arial" w:hAnsi="Arial"/>
          <w:sz w:val="21"/>
          <w:szCs w:val="21"/>
          <w:color w:val="auto"/>
        </w:rPr>
        <w:t xml:space="preserve"> prepayments, redemptions, acquisitions, retirements, cancellations, terminations and repurchases of Indebtedness made using the Available Excluded Contribution Amount pursuant to </w:t>
      </w:r>
      <w:r>
        <w:rPr>
          <w:rFonts w:ascii="Arial" w:cs="Arial" w:eastAsia="Arial" w:hAnsi="Arial"/>
          <w:sz w:val="21"/>
          <w:szCs w:val="21"/>
          <w:u w:val="single" w:color="auto"/>
          <w:color w:val="auto"/>
        </w:rPr>
        <w:t>Section 6.06(b)(ix)(ii)</w:t>
      </w:r>
      <w:r>
        <w:rPr>
          <w:rFonts w:ascii="Arial" w:cs="Arial" w:eastAsia="Arial" w:hAnsi="Arial"/>
          <w:sz w:val="21"/>
          <w:szCs w:val="21"/>
          <w:color w:val="auto"/>
        </w:rPr>
        <w:t>.</w:t>
      </w:r>
    </w:p>
    <w:p>
      <w:pPr>
        <w:spacing w:after="0" w:line="16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75" w:name="page76"/>
    <w:bookmarkEnd w:id="75"/>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entitled “Bankruptcy”, as now and hereafter in effect, or any successor statute.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Barclays</w:t>
      </w:r>
      <w:r>
        <w:rPr>
          <w:rFonts w:ascii="Arial" w:cs="Arial" w:eastAsia="Arial" w:hAnsi="Arial"/>
          <w:sz w:val="22"/>
          <w:szCs w:val="22"/>
          <w:color w:val="auto"/>
        </w:rPr>
        <w:t>” means Barclays Bank PLC.</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Exchange Amount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2.25(a)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0000FF"/>
        </w:rPr>
        <w:t>“Base Rate Term SOFR Determination Day” has the meaning set forth in the definition of “Term SOFR.”</w:t>
      </w:r>
    </w:p>
    <w:p>
      <w:pPr>
        <w:spacing w:after="0" w:line="19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means, in the case of a Lender that is classified as a partnership for U.S. federal income tax purposes, the direct or indirect partner or owner of such Lender that is treated, for U.S. federal income tax purposes, as the beneficial owner of a payment by any Loan Party under any Loan Document.</w:t>
      </w:r>
    </w:p>
    <w:p>
      <w:pPr>
        <w:spacing w:after="0" w:line="159" w:lineRule="exact"/>
        <w:rPr>
          <w:sz w:val="20"/>
          <w:szCs w:val="20"/>
          <w:color w:val="auto"/>
        </w:rPr>
      </w:pPr>
    </w:p>
    <w:p>
      <w:pPr>
        <w:ind w:right="5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as required by the Beneficial Ownership Regulation.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Section 4975 of the Code that is subject to Section 4975 of the Code, or (c) any Person whose assets include (for purposes of ERISA Section 3(42) or otherwise for purposes of Title I of ERISA or Section 4975 of the Code) the assets of any such “employee benefit plan” or “plan”.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Governors of the Federal Reserve System of the United States.</w:t>
      </w:r>
    </w:p>
    <w:p>
      <w:pPr>
        <w:spacing w:after="0" w:line="17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Bona Fide Debt Fund</w:t>
      </w:r>
      <w:r>
        <w:rPr>
          <w:rFonts w:ascii="Arial" w:cs="Arial" w:eastAsia="Arial" w:hAnsi="Arial"/>
          <w:sz w:val="21"/>
          <w:szCs w:val="21"/>
          <w:color w:val="auto"/>
        </w:rPr>
        <w:t>” means any debt fund Affiliate of a Disqualified Lender that is primarily engaged in, or advises funds or other investment vehicles that are engaged in, making, purchasing, holding or otherwise investing in commercial loans, notes, bonds and similar extensions of credit or securities in the ordinary course of its business and whose managers are not involved with the equity investment decisions of such Disqualified Lender.</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assigned to such term in the preamble to this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Materials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w:t>
      </w:r>
      <w:r>
        <w:rPr>
          <w:rFonts w:ascii="Arial" w:cs="Arial" w:eastAsia="Arial" w:hAnsi="Arial"/>
          <w:sz w:val="21"/>
          <w:szCs w:val="21"/>
          <w:color w:val="auto"/>
        </w:rPr>
        <w:t xml:space="preserve">” means Loans of the same Class, Type and currency, made, converted or continued on the same date and, in the case of Eurocurrency Loans </w:t>
      </w:r>
      <w:r>
        <w:rPr>
          <w:rFonts w:ascii="Arial" w:cs="Arial" w:eastAsia="Arial" w:hAnsi="Arial"/>
          <w:sz w:val="21"/>
          <w:szCs w:val="21"/>
          <w:color w:val="0000FF"/>
        </w:rPr>
        <w:t>or Term SOFR Loans</w:t>
      </w:r>
      <w:r>
        <w:rPr>
          <w:rFonts w:ascii="Arial" w:cs="Arial" w:eastAsia="Arial" w:hAnsi="Arial"/>
          <w:sz w:val="21"/>
          <w:szCs w:val="21"/>
          <w:color w:val="auto"/>
        </w:rPr>
        <w:t>, as to which a single Interest Period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-35560</wp:posOffset>
            </wp:positionV>
            <wp:extent cx="12147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spacing w:after="0" w:line="13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means a request by the Borrower for a Borrowing in accordance with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means (a) for all purposes other than as covered by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below, any day that is not a Saturday, Sunday or other day on which commercial banks in New York City are authorized or required by law to remain closed and (b) if such day relates to any fundings, disbursements, settlements or payments in connection with a Eurocurrency Borrowing or Letter of Credit denominated in Dollars, any day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that is also a day for trading by and between banks in Dollar deposits in the London interbank currency markets</w:t>
      </w:r>
      <w:r>
        <w:rPr>
          <w:rFonts w:ascii="Arial" w:cs="Arial" w:eastAsia="Arial" w:hAnsi="Arial"/>
          <w:sz w:val="22"/>
          <w:szCs w:val="22"/>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76" w:name="page77"/>
    <w:bookmarkEnd w:id="76"/>
    <w:p>
      <w:pPr>
        <w:spacing w:after="0"/>
        <w:rPr>
          <w:sz w:val="20"/>
          <w:szCs w:val="20"/>
          <w:color w:val="auto"/>
        </w:rPr>
      </w:pPr>
      <w:r>
        <w:rPr>
          <w:rFonts w:ascii="Arial" w:cs="Arial" w:eastAsia="Arial" w:hAnsi="Arial"/>
          <w:sz w:val="21"/>
          <w:szCs w:val="21"/>
          <w:u w:val="single" w:color="auto"/>
          <w:color w:val="0000FF"/>
        </w:rPr>
        <w:t>provided, however, that, when used in connection with a Term SOFR Loan, the term “Business Day” shall mean a U.S.</w:t>
      </w:r>
    </w:p>
    <w:p>
      <w:pPr>
        <w:spacing w:after="0"/>
        <w:rPr>
          <w:sz w:val="20"/>
          <w:szCs w:val="20"/>
          <w:color w:val="auto"/>
        </w:rPr>
      </w:pPr>
      <w:r>
        <w:rPr>
          <w:rFonts w:ascii="Arial" w:cs="Arial" w:eastAsia="Arial" w:hAnsi="Arial"/>
          <w:sz w:val="22"/>
          <w:szCs w:val="22"/>
          <w:u w:val="single" w:color="auto"/>
          <w:color w:val="0000FF"/>
        </w:rPr>
        <w:t>Government Securities Business Day</w:t>
      </w:r>
      <w:r>
        <w:rPr>
          <w:rFonts w:ascii="Arial" w:cs="Arial" w:eastAsia="Arial" w:hAnsi="Arial"/>
          <w:sz w:val="22"/>
          <w:szCs w:val="22"/>
          <w:color w:val="000000"/>
        </w:rPr>
        <w:t>.</w:t>
      </w:r>
    </w:p>
    <w:p>
      <w:pPr>
        <w:spacing w:after="0" w:line="161"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xml:space="preserve">” means, for any period, the additions to property, plant and equipment of the Borrower and the Restricted Subsidiaries that are (or should be) set forth in a consolidated statement of cash flows of the Borrower and the Restricted Subsidiaries for such period prepared in accordance with GAAP, but excluding in each case any such expenditure (i) made to restore, replace, rebuild, develop, maintain, improve or upgrade property, to the extent such expenditure is made with, or subsequently reimbursed out of, insurance proceeds, indemnity payments, condemnation or similar awards (or payments in lieu thereof) or damage recovery proceeds or other settlements relating to any damage, loss, destruction or condemnation of such property, (ii) constituting reinvestment of the Net Proceeds of any event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definition of the term “Prepayment Event,” (iii) made by the Borrower or any Restricted Subsidiary as payment of the consideration for any Acquisition (including any property, plant and equipment obtained as a part thereof), (iv) made by the Borrower or any Restricted Subsidiary to effect leasehold improvements to any property leased by the Borrower or such Restricted Subsidiary as lessee, to the extent that such expenses have been reimbursed by the landlord, (v) actually paid for by a third party (excluding the Borrower and any Restricted Subsidiary) and for which none of the Borrower or any Restricted Subsidiary has provided or is required to provide or incur, directly or indirectly, any consideration or monetary obligation to such third party or any other Person (whether before, during or after such period), (vi) constituting Capitalized Software Expenditures or research and development expenditures that are treated as additions to property, plant and equipment or other capital expenditures in accordance with GAAP, (vii) made with the Net Proceeds from any issuance of Qualified Equity Interests of, or contribution of Qualified Equity Interests into, Holdings, and (viii) the purchase price of equipment that is purchased simultaneously with the trade in or sale of existing equipment.</w:t>
      </w:r>
    </w:p>
    <w:p>
      <w:pPr>
        <w:spacing w:after="0" w:line="390"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Lease Obligations</w:t>
      </w:r>
      <w:r>
        <w:rPr>
          <w:rFonts w:ascii="Arial" w:cs="Arial" w:eastAsia="Arial" w:hAnsi="Arial"/>
          <w:sz w:val="22"/>
          <w:szCs w:val="22"/>
          <w:color w:val="auto"/>
        </w:rPr>
        <w:t xml:space="preserve">” of any Person means, subject to </w:t>
      </w:r>
      <w:r>
        <w:rPr>
          <w:rFonts w:ascii="Arial" w:cs="Arial" w:eastAsia="Arial" w:hAnsi="Arial"/>
          <w:sz w:val="22"/>
          <w:szCs w:val="22"/>
          <w:u w:val="single" w:color="auto"/>
          <w:color w:val="auto"/>
        </w:rPr>
        <w:t>Section 1.04</w:t>
      </w:r>
      <w:r>
        <w:rPr>
          <w:rFonts w:ascii="Arial" w:cs="Arial" w:eastAsia="Arial" w:hAnsi="Arial"/>
          <w:sz w:val="22"/>
          <w:szCs w:val="22"/>
          <w:color w:val="auto"/>
        </w:rPr>
        <w:t>,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5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Capitalized Software Expenditures</w:t>
      </w:r>
      <w:r>
        <w:rPr>
          <w:rFonts w:ascii="Arial" w:cs="Arial" w:eastAsia="Arial" w:hAnsi="Arial"/>
          <w:sz w:val="19"/>
          <w:szCs w:val="19"/>
          <w:color w:val="auto"/>
        </w:rPr>
        <w:t>” means, for any period, the aggregate of all expenditures (whether paid in cash or accrued as liabilities) by a Person and its Restricted Subsidiaries during such period in respect of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14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Captive Insurance Subsidiaries</w:t>
      </w:r>
      <w:r>
        <w:rPr>
          <w:rFonts w:ascii="Arial" w:cs="Arial" w:eastAsia="Arial" w:hAnsi="Arial"/>
          <w:sz w:val="22"/>
          <w:szCs w:val="22"/>
          <w:color w:val="auto"/>
        </w:rPr>
        <w:t>” means, collectively or individually, as of any date of determination, those regulated Subsidiaries primarily engaged in the business of providing insurance and insurance-related services to Holdings and its Subsidiaries.</w:t>
      </w:r>
    </w:p>
    <w:p>
      <w:pPr>
        <w:spacing w:after="0" w:line="15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Collateralize</w:t>
      </w:r>
      <w:r>
        <w:rPr>
          <w:rFonts w:ascii="Arial" w:cs="Arial" w:eastAsia="Arial" w:hAnsi="Arial"/>
          <w:sz w:val="22"/>
          <w:szCs w:val="22"/>
          <w:color w:val="auto"/>
        </w:rPr>
        <w:t>” means to deposit, or designate funds previously deposited, in a deposit account subject to control of the Administrative Agent or the Collateral Agent, solely for the benefit of the Issuing Banks or Revolving Lenders, as collateral for Letters of Credit or obligations of Revolving Lenders to fund participations in respect of Letters of Credit, cash or deposit account balances in an aggregate amount equal to 103% of the maximum amount available to be drawn under such Letters of Credit or, if the applicable Issuing Bank shall agree in its sole discretion, other credit support, in each case pursuant to documentation in 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393" w:right="339" w:bottom="1440" w:gutter="0" w:footer="0" w:header="0"/>
        </w:sectPr>
      </w:pPr>
    </w:p>
    <w:bookmarkStart w:id="77" w:name="page78"/>
    <w:bookmarkEnd w:id="77"/>
    <w:p>
      <w:pPr>
        <w:spacing w:after="0"/>
        <w:rPr>
          <w:sz w:val="20"/>
          <w:szCs w:val="20"/>
          <w:color w:val="auto"/>
        </w:rPr>
      </w:pPr>
      <w:r>
        <w:rPr>
          <w:rFonts w:ascii="Arial" w:cs="Arial" w:eastAsia="Arial" w:hAnsi="Arial"/>
          <w:sz w:val="19"/>
          <w:szCs w:val="19"/>
          <w:color w:val="auto"/>
        </w:rPr>
        <w:t>substance reasonably satisfactory to the applicable Issuing Bank. “</w:t>
      </w:r>
      <w:r>
        <w:rPr>
          <w:rFonts w:ascii="Arial" w:cs="Arial" w:eastAsia="Arial" w:hAnsi="Arial"/>
          <w:sz w:val="19"/>
          <w:szCs w:val="19"/>
          <w:u w:val="single" w:color="auto"/>
          <w:color w:val="auto"/>
        </w:rPr>
        <w:t>Cash Collateral</w:t>
      </w:r>
      <w:r>
        <w:rPr>
          <w:rFonts w:ascii="Arial" w:cs="Arial" w:eastAsia="Arial" w:hAnsi="Arial"/>
          <w:sz w:val="19"/>
          <w:szCs w:val="19"/>
          <w:color w:val="auto"/>
        </w:rPr>
        <w:t>” has a meaning correlative to the foregoing.</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w:t>
      </w:r>
    </w:p>
    <w:p>
      <w:pPr>
        <w:spacing w:after="0" w:line="179" w:lineRule="exact"/>
        <w:rPr>
          <w:sz w:val="20"/>
          <w:szCs w:val="20"/>
          <w:color w:val="auto"/>
        </w:rPr>
      </w:pPr>
    </w:p>
    <w:p>
      <w:pPr>
        <w:jc w:val="both"/>
        <w:ind w:firstLine="1304"/>
        <w:spacing w:after="0" w:line="223" w:lineRule="auto"/>
        <w:tabs>
          <w:tab w:leader="none" w:pos="1766"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(i) Dollars, Sterling, Euros or any other Alternative Currency, (ii) any other national currency of any member state of the European Union or (iii) any other foreign currency, in the case of </w:t>
      </w:r>
      <w:r>
        <w:rPr>
          <w:rFonts w:ascii="Arial" w:cs="Arial" w:eastAsia="Arial" w:hAnsi="Arial"/>
          <w:sz w:val="22"/>
          <w:szCs w:val="22"/>
          <w:u w:val="single" w:color="auto"/>
          <w:color w:val="auto"/>
        </w:rPr>
        <w:t>clauses (ii)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held by any Holding Company, the Borrower or any of the Restricted Subsidiaries in the ordinary course of business;</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867" w:val="left"/>
        </w:tabs>
        <w:numPr>
          <w:ilvl w:val="0"/>
          <w:numId w:val="35"/>
        </w:numPr>
        <w:rPr>
          <w:rFonts w:ascii="Arial" w:cs="Arial" w:eastAsia="Arial" w:hAnsi="Arial"/>
          <w:sz w:val="22"/>
          <w:szCs w:val="22"/>
          <w:color w:val="auto"/>
        </w:rPr>
      </w:pPr>
      <w:r>
        <w:rPr>
          <w:rFonts w:ascii="Arial" w:cs="Arial" w:eastAsia="Arial" w:hAnsi="Arial"/>
          <w:sz w:val="22"/>
          <w:szCs w:val="22"/>
          <w:color w:val="auto"/>
        </w:rPr>
        <w:t>securities issued or directly and fully Guaranteed or insured by the United States, a member state of the European Union or the United Kingdom or, in each case, any agency or instrumentality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full faith and credit of such country or such member state is pledged in support thereof), having maturities of not more than two (2) years from the date of acquisition;</w:t>
      </w:r>
    </w:p>
    <w:p>
      <w:pPr>
        <w:spacing w:after="0" w:line="160" w:lineRule="exact"/>
        <w:rPr>
          <w:rFonts w:ascii="Arial" w:cs="Arial" w:eastAsia="Arial" w:hAnsi="Arial"/>
          <w:sz w:val="22"/>
          <w:szCs w:val="22"/>
          <w:color w:val="auto"/>
        </w:rPr>
      </w:pPr>
    </w:p>
    <w:p>
      <w:pPr>
        <w:jc w:val="both"/>
        <w:ind w:firstLine="1304"/>
        <w:spacing w:after="0" w:line="218" w:lineRule="auto"/>
        <w:tabs>
          <w:tab w:leader="none" w:pos="1994" w:val="left"/>
        </w:tabs>
        <w:numPr>
          <w:ilvl w:val="0"/>
          <w:numId w:val="35"/>
        </w:numPr>
        <w:rPr>
          <w:rFonts w:ascii="Arial" w:cs="Arial" w:eastAsia="Arial" w:hAnsi="Arial"/>
          <w:sz w:val="22"/>
          <w:szCs w:val="22"/>
          <w:color w:val="auto"/>
        </w:rPr>
      </w:pPr>
      <w:r>
        <w:rPr>
          <w:rFonts w:ascii="Arial" w:cs="Arial" w:eastAsia="Arial" w:hAnsi="Arial"/>
          <w:sz w:val="22"/>
          <w:szCs w:val="22"/>
          <w:color w:val="auto"/>
        </w:rPr>
        <w:t>certificates of deposit, time deposits, eurodollar time deposits, overnight bank deposits or bankers’ acceptances issued by (x) any Revolving Lender or affiliate thereof or (y) any bank or trust company (i) whose commercial paper is rated at least “A-2” or the equivalent thereof by S&amp;P or at least “P-2” or the equivalent thereof by Moody’s and (ii) having combined capital and surplus in excess of $500 million;</w:t>
      </w:r>
    </w:p>
    <w:p>
      <w:pPr>
        <w:spacing w:after="0" w:line="160" w:lineRule="exact"/>
        <w:rPr>
          <w:rFonts w:ascii="Arial" w:cs="Arial" w:eastAsia="Arial" w:hAnsi="Arial"/>
          <w:sz w:val="22"/>
          <w:szCs w:val="22"/>
          <w:color w:val="auto"/>
        </w:rPr>
      </w:pPr>
    </w:p>
    <w:p>
      <w:pPr>
        <w:ind w:firstLine="1304"/>
        <w:spacing w:after="0" w:line="232" w:lineRule="auto"/>
        <w:tabs>
          <w:tab w:leader="none" w:pos="1769"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repurchase obligations for underlying securities of the types described in </w:t>
      </w:r>
      <w:r>
        <w:rPr>
          <w:rFonts w:ascii="Arial" w:cs="Arial" w:eastAsia="Arial" w:hAnsi="Arial"/>
          <w:sz w:val="22"/>
          <w:szCs w:val="22"/>
          <w:u w:val="single" w:color="auto"/>
          <w:color w:val="auto"/>
        </w:rPr>
        <w:t>clauses (b)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entered into with any Person referenced in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above;</w:t>
      </w:r>
    </w:p>
    <w:p>
      <w:pPr>
        <w:spacing w:after="0" w:line="158" w:lineRule="exact"/>
        <w:rPr>
          <w:rFonts w:ascii="Arial" w:cs="Arial" w:eastAsia="Arial" w:hAnsi="Arial"/>
          <w:sz w:val="22"/>
          <w:szCs w:val="22"/>
          <w:color w:val="auto"/>
        </w:rPr>
      </w:pPr>
    </w:p>
    <w:p>
      <w:pPr>
        <w:ind w:firstLine="1304"/>
        <w:spacing w:after="0" w:line="232" w:lineRule="auto"/>
        <w:tabs>
          <w:tab w:leader="none" w:pos="1789" w:val="left"/>
        </w:tabs>
        <w:numPr>
          <w:ilvl w:val="0"/>
          <w:numId w:val="35"/>
        </w:numPr>
        <w:rPr>
          <w:rFonts w:ascii="Arial" w:cs="Arial" w:eastAsia="Arial" w:hAnsi="Arial"/>
          <w:sz w:val="22"/>
          <w:szCs w:val="22"/>
          <w:color w:val="auto"/>
        </w:rPr>
      </w:pPr>
      <w:r>
        <w:rPr>
          <w:rFonts w:ascii="Arial" w:cs="Arial" w:eastAsia="Arial" w:hAnsi="Arial"/>
          <w:sz w:val="22"/>
          <w:szCs w:val="22"/>
          <w:color w:val="auto"/>
        </w:rPr>
        <w:t>commercial paper rated at the time of acquisition thereof at least “A-2” or the equivalent thereof by S&amp;P or “P-2” or the equivalent thereof by Moody’s;</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735"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readily marketable direct obligations issued by any state, commonwealth or territory of the United States, any member of the European Union, any other foreign government or any political subdivision or taxing authority thereof, in each case, having one of the two highest rating categories obtainable from either Moody’s or S&amp;P with maturities of not more than two years from the date of acquisition;</w:t>
      </w:r>
    </w:p>
    <w:p>
      <w:pPr>
        <w:spacing w:after="0" w:line="160" w:lineRule="exact"/>
        <w:rPr>
          <w:rFonts w:ascii="Arial" w:cs="Arial" w:eastAsia="Arial" w:hAnsi="Arial"/>
          <w:sz w:val="22"/>
          <w:szCs w:val="22"/>
          <w:color w:val="auto"/>
        </w:rPr>
      </w:pPr>
    </w:p>
    <w:p>
      <w:pPr>
        <w:ind w:firstLine="1304"/>
        <w:spacing w:after="0" w:line="232" w:lineRule="auto"/>
        <w:tabs>
          <w:tab w:leader="none" w:pos="1846"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interests in any investment company or money market fund or enhanced high yield fund which invests at least 90% of its assets in instruments of the type specified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(f)</w:t>
      </w:r>
      <w:r>
        <w:rPr>
          <w:rFonts w:ascii="Arial" w:cs="Arial" w:eastAsia="Arial" w:hAnsi="Arial"/>
          <w:sz w:val="22"/>
          <w:szCs w:val="22"/>
          <w:color w:val="auto"/>
        </w:rPr>
        <w:t xml:space="preserve"> above;</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71"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instruments and investments of the type and maturity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(g)</w:t>
      </w:r>
      <w:r>
        <w:rPr>
          <w:rFonts w:ascii="Arial" w:cs="Arial" w:eastAsia="Arial" w:hAnsi="Arial"/>
          <w:sz w:val="22"/>
          <w:szCs w:val="22"/>
          <w:color w:val="auto"/>
        </w:rPr>
        <w:t xml:space="preserve"> above denominated in any foreign currency or of foreign obligors, which investments or obligors are, in the reasonable judgment of the Borrower, comparable in investment quality to those referred to above;</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731"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solely with respect to any Person that is organized or incorporated outside of the United States or any state or territory thereof or the District of Columbia, investments of comparable tenor and credit quality to those described in the foregoing </w:t>
      </w:r>
      <w:r>
        <w:rPr>
          <w:rFonts w:ascii="Arial" w:cs="Arial" w:eastAsia="Arial" w:hAnsi="Arial"/>
          <w:sz w:val="22"/>
          <w:szCs w:val="22"/>
          <w:u w:val="single" w:color="auto"/>
          <w:color w:val="auto"/>
        </w:rPr>
        <w:t>clauses (b)</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(g)</w:t>
      </w:r>
      <w:r>
        <w:rPr>
          <w:rFonts w:ascii="Arial" w:cs="Arial" w:eastAsia="Arial" w:hAnsi="Arial"/>
          <w:sz w:val="22"/>
          <w:szCs w:val="22"/>
          <w:color w:val="auto"/>
        </w:rPr>
        <w:t xml:space="preserve"> customarily utilized in countries in which such Foreign Subsidiary operates for short term cash management purposes; and</w:t>
      </w:r>
    </w:p>
    <w:p>
      <w:pPr>
        <w:spacing w:after="0" w:line="160" w:lineRule="exact"/>
        <w:rPr>
          <w:rFonts w:ascii="Arial" w:cs="Arial" w:eastAsia="Arial" w:hAnsi="Arial"/>
          <w:sz w:val="22"/>
          <w:szCs w:val="22"/>
          <w:color w:val="auto"/>
        </w:rPr>
      </w:pPr>
    </w:p>
    <w:p>
      <w:pPr>
        <w:jc w:val="both"/>
        <w:ind w:firstLine="1304"/>
        <w:spacing w:after="0" w:line="268" w:lineRule="auto"/>
        <w:tabs>
          <w:tab w:leader="none" w:pos="1893"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other investments permitted by the investment policy of Holdings and the Restricted Subsidiaries delivered to the Administrative Agent prior to the Closing Date and on file with the Administrative Agent (it being understood and agreed that no such policy has been delivered to the Administrative Agent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78" w:name="page79"/>
    <w:bookmarkEnd w:id="78"/>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w:t>
      </w:r>
      <w:r>
        <w:rPr>
          <w:rFonts w:ascii="Arial" w:cs="Arial" w:eastAsia="Arial" w:hAnsi="Arial"/>
          <w:sz w:val="22"/>
          <w:szCs w:val="22"/>
          <w:color w:val="auto"/>
        </w:rPr>
        <w:t>” means any agreement to provide Cash Management Services.</w:t>
      </w:r>
    </w:p>
    <w:p>
      <w:pPr>
        <w:spacing w:after="0" w:line="17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Management Obligations</w:t>
      </w:r>
      <w:r>
        <w:rPr>
          <w:rFonts w:ascii="Arial" w:cs="Arial" w:eastAsia="Arial" w:hAnsi="Arial"/>
          <w:sz w:val="21"/>
          <w:szCs w:val="21"/>
          <w:color w:val="auto"/>
        </w:rPr>
        <w:t>” means, as to any Loan Party, any and all obligations of such Loan Party, whether absolute or contingent and however and whenever created, arising, evidenced or acquired (including all renewals, extensions and modifications thereof and substitutions therefor), under any Cash Management Agreement.</w:t>
      </w:r>
    </w:p>
    <w:p>
      <w:pPr>
        <w:spacing w:after="0" w:line="158"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Services</w:t>
      </w:r>
      <w:r>
        <w:rPr>
          <w:rFonts w:ascii="Arial" w:cs="Arial" w:eastAsia="Arial" w:hAnsi="Arial"/>
          <w:sz w:val="22"/>
          <w:szCs w:val="22"/>
          <w:color w:val="auto"/>
        </w:rPr>
        <w:t>” means any one or more of the following types of services or facilities: (a) ACH transactions, (b) cash management services, including controlled disbursement services, treasury, depository, overdraft, credit or debit card, stored value card, electronic funds transfer services, and (c) foreign exchange facilities or other cash management arrangements in the ordinary course of business. For the avoidance of doubt, Cash Management Services do not include Swap Agreements.</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w:t>
      </w:r>
      <w:r>
        <w:rPr>
          <w:rFonts w:ascii="Arial" w:cs="Arial" w:eastAsia="Arial" w:hAnsi="Arial"/>
          <w:sz w:val="22"/>
          <w:szCs w:val="22"/>
          <w:color w:val="auto"/>
        </w:rPr>
        <w:t>” means a Foreign Subsidiary of the Borrower that is a “controlled foreign corporation” within the meaning of Section 957 of the Code.</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 Holding Company</w:t>
      </w:r>
      <w:r>
        <w:rPr>
          <w:rFonts w:ascii="Arial" w:cs="Arial" w:eastAsia="Arial" w:hAnsi="Arial"/>
          <w:sz w:val="22"/>
          <w:szCs w:val="22"/>
          <w:color w:val="auto"/>
        </w:rPr>
        <w:t>” means any Domestic Subsidiary of the Borrower that owns no material assets other than equity interests (including, for this purpose, any debt or other instrument treated as equity for U.S. federal income tax purposes) in one or more (a) Foreign Subsidiaries that are CFCs and/or (b) other Subsidiaries that own no material assets other than equity interests (including, for this purpose, any debt or other instrument treated as equity for U.S. federal income tax purposes) in one or more Foreign Subsidiaries that are CFCs.</w:t>
      </w:r>
    </w:p>
    <w:p>
      <w:pPr>
        <w:spacing w:after="0" w:line="15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the occurrence of any of the following events after the Closing Date: (a) at any time prior to the consummation of an IPO, the Permitted Holders shall cease to both (i) control and own, directly or indirectly, of record and beneficially (as defined in Rules 13(d)-3 and 13(d)-5 under the Exchange Act or any successor provisions) more than 50% of the voting interests (for the election of directors) in the outstanding voting securities having ordinary voting power for the election of directors of Holdings and (ii) maintain the right to appoint directors having more than 50% of the aggregate votes on the board of directors of Holdings, (b) at any time after the consummation of an IPO, and for any reason whatsoever, (i) any “</w:t>
      </w:r>
      <w:r>
        <w:rPr>
          <w:rFonts w:ascii="Arial" w:cs="Arial" w:eastAsia="Arial" w:hAnsi="Arial"/>
          <w:sz w:val="21"/>
          <w:szCs w:val="21"/>
          <w:u w:val="single" w:color="auto"/>
          <w:color w:val="auto"/>
        </w:rPr>
        <w:t>person</w:t>
      </w:r>
      <w:r>
        <w:rPr>
          <w:rFonts w:ascii="Arial" w:cs="Arial" w:eastAsia="Arial" w:hAnsi="Arial"/>
          <w:sz w:val="21"/>
          <w:szCs w:val="21"/>
          <w:color w:val="auto"/>
        </w:rPr>
        <w:t>” or “</w:t>
      </w:r>
      <w:r>
        <w:rPr>
          <w:rFonts w:ascii="Arial" w:cs="Arial" w:eastAsia="Arial" w:hAnsi="Arial"/>
          <w:sz w:val="21"/>
          <w:szCs w:val="21"/>
          <w:u w:val="single" w:color="auto"/>
          <w:color w:val="auto"/>
        </w:rPr>
        <w:t>group</w:t>
      </w:r>
      <w:r>
        <w:rPr>
          <w:rFonts w:ascii="Arial" w:cs="Arial" w:eastAsia="Arial" w:hAnsi="Arial"/>
          <w:sz w:val="21"/>
          <w:szCs w:val="21"/>
          <w:color w:val="auto"/>
        </w:rPr>
        <w:t>”, but excluding the Permitted Holders and any underwriters in connection with such IPO, shall become the “</w:t>
      </w:r>
      <w:r>
        <w:rPr>
          <w:rFonts w:ascii="Arial" w:cs="Arial" w:eastAsia="Arial" w:hAnsi="Arial"/>
          <w:sz w:val="21"/>
          <w:szCs w:val="21"/>
          <w:u w:val="single" w:color="auto"/>
          <w:color w:val="auto"/>
        </w:rPr>
        <w:t>beneficial owner</w:t>
      </w:r>
      <w:r>
        <w:rPr>
          <w:rFonts w:ascii="Arial" w:cs="Arial" w:eastAsia="Arial" w:hAnsi="Arial"/>
          <w:sz w:val="21"/>
          <w:szCs w:val="21"/>
          <w:color w:val="auto"/>
        </w:rPr>
        <w:t>”, directly or indirectly, of more than 40% of the outstanding voting securities having ordinary voting power for the election of directors of Holdings, unless the Permitted Holders shall have the right to appoint directors having more than 50% of the aggregate votes on the board of directors of Holdings and (ii) such “person” or “group” shall own a greater percentage of the outstanding voting securities having ordinary voting power for the election of directors of Holdings than the Permitted Holders, (c) at any time after the consummation of an IPO, the Public Company (if not Holdings) shall cease to own, directly or indirectly through wholly owned Subsidiaries (other than directors’ and other similar qualifying shares), of record and beneficially, together with any other Permitted Holders, 100% of each class of outstanding Equity Interests of Holdings (other than directors’ and other similar qualifying shares) or (d) Holdings shall cease to own, directly or indirectly, of record and beneficially, 100% of each class of outstanding Equity Interests of the Borrower (other than directors’ and other similar qualifying shares).</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For purposes of this definition, including other defined terms used herein in connection with this definition and notwithstanding anything to the contrary in this definition or any provision of Section 13d-3 of the Exchange Act, (i) “beneficial ownership” shall be as defined in Rules 13(d)-3 and 13(d)-5 under the Exchange Act (as in effect as of the date of this Agreement), (ii) the phrase “person” or “group” is within the meaning of Section 13(d) or 14(d) of the Exchange Act, but excluding any employee benefit plan of such “person” or “group”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79" w:name="page80"/>
    <w:bookmarkEnd w:id="79"/>
    <w:p>
      <w:pPr>
        <w:jc w:val="both"/>
        <w:spacing w:after="0" w:line="243" w:lineRule="auto"/>
        <w:rPr>
          <w:sz w:val="20"/>
          <w:szCs w:val="20"/>
          <w:color w:val="auto"/>
        </w:rPr>
      </w:pPr>
      <w:r>
        <w:rPr>
          <w:rFonts w:ascii="Arial" w:cs="Arial" w:eastAsia="Arial" w:hAnsi="Arial"/>
          <w:sz w:val="19"/>
          <w:szCs w:val="19"/>
          <w:color w:val="auto"/>
        </w:rPr>
        <w:t xml:space="preserve">its subsidiaries and any Person acting in its capacity as trustee, agent or other fiduciary or administrator of any such plan, (iii) if any “person” or “group” includes one or more Permitted Holders, the issued and outstanding Equity Interests of Holdings directly or indirectly owned by the Permitted Holders that are part of such “person” or “group” shall not be treated as being owned by such “person” or “group” for purposes of determining whether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definition is triggered, (iv) a “person” or “group” shall not be deemed to beneficially own Equity Interests to be acquired by such “person” or “group” pursuant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and (v) a “person” or “group” shall not be deemed to beneficially own the capital stock of another Person as a result of its ownership of capital stock or other securities of such other Person’s parent (or related contractual rights) unless it owns 50% or more of the total voting power of the capital stock entitled to vote for the election of directors of such other Person’s parent having a majority of the aggregate votes on the board of directors of such other Person’s parent.</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(a) the adoption of any law, rule, treaty or regulation after the Closing Date, (b) any change in any law, rule, treaty or regulation or in the interpretation or application thereof by any Governmental Authority after the Closing Date or (c) compliance by any Lender or any Issuing Bank (or, for purposes of </w:t>
      </w:r>
      <w:r>
        <w:rPr>
          <w:rFonts w:ascii="Arial" w:cs="Arial" w:eastAsia="Arial" w:hAnsi="Arial"/>
          <w:sz w:val="19"/>
          <w:szCs w:val="19"/>
          <w:u w:val="single" w:color="auto"/>
          <w:color w:val="auto"/>
        </w:rPr>
        <w:t>Section 2.15(b)</w:t>
      </w:r>
      <w:r>
        <w:rPr>
          <w:rFonts w:ascii="Arial" w:cs="Arial" w:eastAsia="Arial" w:hAnsi="Arial"/>
          <w:sz w:val="19"/>
          <w:szCs w:val="19"/>
          <w:color w:val="auto"/>
        </w:rPr>
        <w:t xml:space="preserve"> , by any lending office of such Lender or by such Lender’s or such Issuing Bank’s holding company, if any) with any request, guideline or directive (whether or not having the force of law) of any Governmental Authority made or issued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9.13</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when used in reference to any Loan or Borrowing, refers to whether such Loan, or the Loans comprising such Borrowing, are Revolving Loans, Term Loans, Swingline Loans, Initial Term Loans (including the 2019 Incremental Term Loans), Incremental Term Loans, Incremental Revolving Loans (including the 2020 Incremental Revolving Loans), Other Term Loans, Other Revolving Loans, Extended Term Loans or Extended Revolving Loans; when used in reference to any Commitment, refers to whether such Commitment is a Term Commitment (including the 2019 Incremental Term Loan Commitment), Revolving Commitment (including the 2020 Incremental Revolving Commitment), Incremental Term Commitment, Incremental Revolving Commitment, Extended Revolving Commitments, Other Term Commitment and Other Revolving Commitment; and when used in reference to any Lender, refers to whether such Lender has a Loan or Commitment with respect to a particular Class. Incremental Term Loans, Extended Term Loans and Other Term Loans (together with the respective Commitments in respect thereof) shall, at the election of the Borrower, be construed to be in different Classes. Incremental Revolving Loans, Extended Revolving Loans and Other Revolving Loans (together with the respective Commitments in respect thereof) shall, at the election of the Borrower, be construed to be in different Classes.</w:t>
      </w:r>
    </w:p>
    <w:p>
      <w:pPr>
        <w:spacing w:after="0" w:line="16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means the date on which the conditions precedent set forth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shall have been satisfied or waived, which date is October 12,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80" w:name="page81"/>
    <w:bookmarkEnd w:id="80"/>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Distribution</w:t>
      </w:r>
      <w:r>
        <w:rPr>
          <w:rFonts w:ascii="Arial" w:cs="Arial" w:eastAsia="Arial" w:hAnsi="Arial"/>
          <w:sz w:val="22"/>
          <w:szCs w:val="22"/>
          <w:color w:val="auto"/>
        </w:rPr>
        <w:t>” means a distribution to the Current Holders (as defined in the Recapitalization Agreement) as contemplated by the Recapitalization Agreement.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Date Recapitalization</w:t>
      </w:r>
      <w:r>
        <w:rPr>
          <w:rFonts w:ascii="Arial" w:cs="Arial" w:eastAsia="Arial" w:hAnsi="Arial"/>
          <w:sz w:val="21"/>
          <w:szCs w:val="21"/>
          <w:color w:val="auto"/>
        </w:rPr>
        <w:t>” has the meaning assigned to such term in the recitals to this Agreement.</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Refinancing</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4.01(k)</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 (unless otherwise provided for herein).</w:t>
      </w:r>
    </w:p>
    <w:p>
      <w:pPr>
        <w:spacing w:after="0" w:line="191"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w:t>
      </w:r>
      <w:r>
        <w:rPr>
          <w:rFonts w:ascii="Arial" w:cs="Arial" w:eastAsia="Arial" w:hAnsi="Arial"/>
          <w:sz w:val="21"/>
          <w:szCs w:val="21"/>
          <w:color w:val="auto"/>
        </w:rPr>
        <w:t>” means any and all “</w:t>
      </w:r>
      <w:r>
        <w:rPr>
          <w:rFonts w:ascii="Arial" w:cs="Arial" w:eastAsia="Arial" w:hAnsi="Arial"/>
          <w:sz w:val="21"/>
          <w:szCs w:val="21"/>
          <w:u w:val="single" w:color="auto"/>
          <w:color w:val="auto"/>
        </w:rPr>
        <w:t>Collateral</w:t>
      </w:r>
      <w:r>
        <w:rPr>
          <w:rFonts w:ascii="Arial" w:cs="Arial" w:eastAsia="Arial" w:hAnsi="Arial"/>
          <w:sz w:val="21"/>
          <w:szCs w:val="21"/>
          <w:color w:val="auto"/>
        </w:rPr>
        <w:t xml:space="preserve">” or “ </w:t>
      </w:r>
      <w:r>
        <w:rPr>
          <w:rFonts w:ascii="Arial" w:cs="Arial" w:eastAsia="Arial" w:hAnsi="Arial"/>
          <w:sz w:val="21"/>
          <w:szCs w:val="21"/>
          <w:u w:val="single" w:color="auto"/>
          <w:color w:val="auto"/>
        </w:rPr>
        <w:t>Mortgaged Property</w:t>
      </w:r>
      <w:r>
        <w:rPr>
          <w:rFonts w:ascii="Arial" w:cs="Arial" w:eastAsia="Arial" w:hAnsi="Arial"/>
          <w:sz w:val="21"/>
          <w:szCs w:val="21"/>
          <w:color w:val="auto"/>
        </w:rPr>
        <w:t xml:space="preserve"> ” (or any term of similar meaning), as defined in any applicable Security Document, and any and all property of whatever kind or nature subject to or purported to be subject to a Lien under any Security Document, but shall in all events exclude all Excluded Property.</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xml:space="preserve">” means Barclays, in its capacity as collateral agent for the Secured Parties, and its successors in such capacity as provided in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w:t>
      </w:r>
      <w:r>
        <w:rPr>
          <w:rFonts w:ascii="Arial" w:cs="Arial" w:eastAsia="Arial" w:hAnsi="Arial"/>
          <w:sz w:val="21"/>
          <w:szCs w:val="21"/>
          <w:color w:val="auto"/>
        </w:rPr>
        <w:t>” means, with respect to any Person, such Person’s Term Commitment, Revolving Commitment, Incremental Term Commitment, Incremental Revolving Commitment, Other Term Commitment, Extended Revolving Commitment or Other Revolving Commitment or any combination thereof (as the context requires).</w:t>
      </w:r>
    </w:p>
    <w:p>
      <w:pPr>
        <w:spacing w:after="0" w:line="15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Letter</w:t>
      </w:r>
      <w:r>
        <w:rPr>
          <w:rFonts w:ascii="Arial" w:cs="Arial" w:eastAsia="Arial" w:hAnsi="Arial"/>
          <w:sz w:val="19"/>
          <w:szCs w:val="19"/>
          <w:color w:val="auto"/>
        </w:rPr>
        <w:t>” means the means the Amended and Restated Commitment Letter dated August 31, 2018 by and among the Borrower, GS Bank, Barclays, Bank of America, N.A., MLPFS, Credit Suisse AG, KKR Corporate Lending LLC, KKR Capital Markets LLC, Citizens Bank, N.A., SunTrust Bank and SunTrust Robinson Humphrey, Inc</w:t>
      </w:r>
    </w:p>
    <w:p>
      <w:pPr>
        <w:spacing w:after="0" w:line="13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xml:space="preserve">” means the Commodity Exchange Act (7 U.S.C. § 1 </w:t>
      </w:r>
      <w:r>
        <w:rPr>
          <w:rFonts w:ascii="Arial" w:cs="Arial" w:eastAsia="Arial" w:hAnsi="Arial"/>
          <w:sz w:val="22"/>
          <w:szCs w:val="22"/>
          <w:i w:val="1"/>
          <w:iCs w:val="1"/>
          <w:color w:val="auto"/>
        </w:rPr>
        <w:t>et seq</w:t>
      </w:r>
      <w:r>
        <w:rPr>
          <w:rFonts w:ascii="Arial" w:cs="Arial" w:eastAsia="Arial" w:hAnsi="Arial"/>
          <w:sz w:val="22"/>
          <w:szCs w:val="22"/>
          <w:color w:val="auto"/>
        </w:rPr>
        <w:t>.), as amended from time to time, and any successor statute.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9.15</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means a certificate substantially in the form of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annexed hereto.</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Depreciation and Amortization Expense</w:t>
      </w:r>
      <w:r>
        <w:rPr>
          <w:rFonts w:ascii="Arial" w:cs="Arial" w:eastAsia="Arial" w:hAnsi="Arial"/>
          <w:sz w:val="19"/>
          <w:szCs w:val="19"/>
          <w:color w:val="auto"/>
        </w:rPr>
        <w:t>” means, with respect to any Person for any period, the total amount of depreciation and amortization expense, including amortization or write-off of (i) intangibles and non-cash organization costs, (ii) deferred financing fees or costs and (iii) Capitalized Software Expenditures or costs, capitalized expenditures, customer acquisition costs and incentive payments, conversion costs and contract acquisition costs, the amortization of original issue discount resulting from the issuance of Indebtedness at less than par and amortization of favorable or unfavorable lease assets or liabilities, of such Person and its Restricted Subsidiaries for such period on a consolidated basis and otherwise determined in accordance with GAAP and any write-down of assets or asset value carried on the balance sheet.</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of any Person for any period means the Consolidated Net Income of such Person for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such period:</w:t>
      </w:r>
    </w:p>
    <w:p>
      <w:pPr>
        <w:spacing w:after="0" w:line="161" w:lineRule="exact"/>
        <w:rPr>
          <w:sz w:val="20"/>
          <w:szCs w:val="20"/>
          <w:color w:val="auto"/>
        </w:rPr>
      </w:pPr>
    </w:p>
    <w:p>
      <w:pPr>
        <w:ind w:left="1120" w:hanging="464"/>
        <w:spacing w:after="0"/>
        <w:tabs>
          <w:tab w:leader="none" w:pos="11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increased (without duplication)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81" w:name="page82"/>
    <w:bookmarkEnd w:id="81"/>
    <w:p>
      <w:pPr>
        <w:ind w:left="1960" w:hanging="656"/>
        <w:spacing w:after="0" w:line="257" w:lineRule="auto"/>
        <w:tabs>
          <w:tab w:leader="none" w:pos="1866"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provision for taxes based on income, profits or capital, including federal, state, provincial, local, foreign, franchise and similar taxes and foreign withholding and similar taxes, in each case, imposed on income, profits or capital (including any penalties and interest) of such Person paid or accrued during such period, to the extent the same were deducted (and not added back) in computing Consolidated Net Income; </w:t>
      </w:r>
      <w:r>
        <w:rPr>
          <w:rFonts w:ascii="Arial" w:cs="Arial" w:eastAsia="Arial" w:hAnsi="Arial"/>
          <w:sz w:val="19"/>
          <w:szCs w:val="19"/>
          <w:i w:val="1"/>
          <w:iCs w:val="1"/>
          <w:color w:val="auto"/>
        </w:rPr>
        <w:t>plus</w:t>
      </w:r>
    </w:p>
    <w:p>
      <w:pPr>
        <w:spacing w:after="0" w:line="144" w:lineRule="exact"/>
        <w:rPr>
          <w:rFonts w:ascii="Arial" w:cs="Arial" w:eastAsia="Arial" w:hAnsi="Arial"/>
          <w:sz w:val="19"/>
          <w:szCs w:val="19"/>
          <w:color w:val="auto"/>
        </w:rPr>
      </w:pPr>
    </w:p>
    <w:p>
      <w:pPr>
        <w:ind w:left="1960" w:hanging="656"/>
        <w:spacing w:after="0" w:line="218" w:lineRule="auto"/>
        <w:tabs>
          <w:tab w:leader="none" w:pos="1823"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total interest expense of such Person for such period (including (x) net losses on Swap Obligations or other derivative instruments entered into for the purpose of hedging interest rate risk and (y) costs of surety bonds in connection with financing activities), to the extent the same were deducted (and not added back) in calculating Consolidated Net Income; </w:t>
      </w:r>
      <w:r>
        <w:rPr>
          <w:rFonts w:ascii="Arial" w:cs="Arial" w:eastAsia="Arial" w:hAnsi="Arial"/>
          <w:sz w:val="22"/>
          <w:szCs w:val="22"/>
          <w:i w:val="1"/>
          <w:iCs w:val="1"/>
          <w:color w:val="auto"/>
        </w:rPr>
        <w:t>plus</w:t>
      </w:r>
    </w:p>
    <w:p>
      <w:pPr>
        <w:spacing w:after="0" w:line="160" w:lineRule="exact"/>
        <w:rPr>
          <w:rFonts w:ascii="Arial" w:cs="Arial" w:eastAsia="Arial" w:hAnsi="Arial"/>
          <w:sz w:val="22"/>
          <w:szCs w:val="22"/>
          <w:color w:val="auto"/>
        </w:rPr>
      </w:pPr>
    </w:p>
    <w:p>
      <w:pPr>
        <w:ind w:left="1960" w:hanging="656"/>
        <w:spacing w:after="0" w:line="247" w:lineRule="auto"/>
        <w:tabs>
          <w:tab w:leader="none" w:pos="1810"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Consolidated Depreciation and Amortization Expense of such Person for such period to the extent the same were deducted (and not added back) in computing Consolidated Net Income; </w:t>
      </w:r>
      <w:r>
        <w:rPr>
          <w:rFonts w:ascii="Arial" w:cs="Arial" w:eastAsia="Arial" w:hAnsi="Arial"/>
          <w:sz w:val="21"/>
          <w:szCs w:val="21"/>
          <w:i w:val="1"/>
          <w:iCs w:val="1"/>
          <w:color w:val="auto"/>
        </w:rPr>
        <w:t>plus</w:t>
      </w:r>
    </w:p>
    <w:p>
      <w:pPr>
        <w:spacing w:after="0" w:line="150" w:lineRule="exact"/>
        <w:rPr>
          <w:rFonts w:ascii="Arial" w:cs="Arial" w:eastAsia="Arial" w:hAnsi="Arial"/>
          <w:sz w:val="21"/>
          <w:szCs w:val="21"/>
          <w:color w:val="auto"/>
        </w:rPr>
      </w:pPr>
    </w:p>
    <w:p>
      <w:pPr>
        <w:ind w:left="1780" w:hanging="476"/>
        <w:spacing w:after="0"/>
        <w:tabs>
          <w:tab w:leader="none" w:pos="17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[reserved]; </w:t>
      </w:r>
      <w:r>
        <w:rPr>
          <w:rFonts w:ascii="Arial" w:cs="Arial" w:eastAsia="Arial" w:hAnsi="Arial"/>
          <w:sz w:val="22"/>
          <w:szCs w:val="22"/>
          <w:i w:val="1"/>
          <w:iCs w:val="1"/>
          <w:color w:val="auto"/>
        </w:rPr>
        <w:t>plus</w:t>
      </w:r>
    </w:p>
    <w:p>
      <w:pPr>
        <w:spacing w:after="0" w:line="179" w:lineRule="exact"/>
        <w:rPr>
          <w:rFonts w:ascii="Arial" w:cs="Arial" w:eastAsia="Arial" w:hAnsi="Arial"/>
          <w:sz w:val="22"/>
          <w:szCs w:val="22"/>
          <w:color w:val="auto"/>
        </w:rPr>
      </w:pPr>
    </w:p>
    <w:p>
      <w:pPr>
        <w:jc w:val="right"/>
        <w:ind w:left="1960" w:hanging="656"/>
        <w:spacing w:after="0" w:line="238" w:lineRule="auto"/>
        <w:tabs>
          <w:tab w:leader="none" w:pos="1851" w:val="left"/>
        </w:tabs>
        <w:numPr>
          <w:ilvl w:val="0"/>
          <w:numId w:val="37"/>
        </w:numPr>
        <w:rPr>
          <w:rFonts w:ascii="Arial" w:cs="Arial" w:eastAsia="Arial" w:hAnsi="Arial"/>
          <w:sz w:val="19"/>
          <w:szCs w:val="19"/>
          <w:color w:val="auto"/>
        </w:rPr>
      </w:pPr>
      <w:r>
        <w:rPr>
          <w:rFonts w:ascii="Arial" w:cs="Arial" w:eastAsia="Arial" w:hAnsi="Arial"/>
          <w:sz w:val="19"/>
          <w:szCs w:val="19"/>
          <w:color w:val="auto"/>
        </w:rPr>
        <w:t>(x) (A) fees, costs, expenses, accruals, reserves or charges relating to restructuring, integration, transition, facilities opening and pre-opening or other business optimization (including charges related to the undertaking and/or implementation of cost-savings initiatives, operating expense reductions, and other similar initiatives), that are deducted (and not added back) in such period in computing Consolidated Net Income, including those related to severance, reserve, retention, signing bonuses, relocation, recruiting and other employee-related costs, future lease commitments, curtailments, one-time costs related to entry into new markets, investments in new products, consulting and other professional fees, signing costs, relocation expenses, modifications to or losses on settlement of pension and post-retirement employee benefit plans, new systems design and implementation costs, costs related to the creation of a new customer platform (including internal labor costs) and costs of migrating customers to such platform, project startup costs, and costs of and payments of legal settlements, fines, judgments or orders, costs related to the opening and closure and/or consolidation of facilities, and costs related to the implementation of operational and reporting systems and technology initiatives or in connection with becoming a standalone company and</w:t>
      </w:r>
    </w:p>
    <w:p>
      <w:pPr>
        <w:spacing w:after="0" w:line="9" w:lineRule="exact"/>
        <w:rPr>
          <w:rFonts w:ascii="Arial" w:cs="Arial" w:eastAsia="Arial" w:hAnsi="Arial"/>
          <w:sz w:val="19"/>
          <w:szCs w:val="19"/>
          <w:color w:val="auto"/>
        </w:rPr>
      </w:pPr>
    </w:p>
    <w:p>
      <w:pPr>
        <w:jc w:val="both"/>
        <w:ind w:left="1960"/>
        <w:spacing w:after="0" w:line="220" w:lineRule="auto"/>
        <w:rPr>
          <w:rFonts w:ascii="Arial" w:cs="Arial" w:eastAsia="Arial" w:hAnsi="Arial"/>
          <w:sz w:val="19"/>
          <w:szCs w:val="19"/>
          <w:color w:val="auto"/>
        </w:rPr>
      </w:pPr>
      <w:r>
        <w:rPr>
          <w:rFonts w:ascii="Arial" w:cs="Arial" w:eastAsia="Arial" w:hAnsi="Arial"/>
          <w:sz w:val="21"/>
          <w:szCs w:val="21"/>
          <w:color w:val="auto"/>
        </w:rPr>
        <w:t xml:space="preserve">(B) the amount of any one-time restructuring charge or reserve including, without limitation, in connection with (i) acquisitions after the Closing Date and (ii) consolidation or closing of facilities and (y) any other fees, costs, expenses, reserves or charges to the extent supported by a quality of earnings report provided to the Administrative Agent and prepared by financial advisors that are reasonably acceptable to the Administrative Agent (it being understood and agreed that any of the “Big Four” accounting firms and Alvarez and Marsal are acceptable to the Administrative Agent), that are deducted (and not added back) in such period in computing Consolidated Net Income; </w:t>
      </w:r>
      <w:r>
        <w:rPr>
          <w:rFonts w:ascii="Arial" w:cs="Arial" w:eastAsia="Arial" w:hAnsi="Arial"/>
          <w:sz w:val="21"/>
          <w:szCs w:val="21"/>
          <w:i w:val="1"/>
          <w:iCs w:val="1"/>
          <w:color w:val="auto"/>
        </w:rPr>
        <w:t>plus</w:t>
      </w:r>
    </w:p>
    <w:p>
      <w:pPr>
        <w:spacing w:after="0" w:line="160" w:lineRule="exact"/>
        <w:rPr>
          <w:rFonts w:ascii="Arial" w:cs="Arial" w:eastAsia="Arial" w:hAnsi="Arial"/>
          <w:sz w:val="19"/>
          <w:szCs w:val="19"/>
          <w:color w:val="auto"/>
        </w:rPr>
      </w:pPr>
    </w:p>
    <w:p>
      <w:pPr>
        <w:ind w:left="1960" w:hanging="656"/>
        <w:spacing w:after="0" w:line="218" w:lineRule="auto"/>
        <w:tabs>
          <w:tab w:leader="none" w:pos="1819" w:val="left"/>
        </w:tabs>
        <w:numPr>
          <w:ilvl w:val="0"/>
          <w:numId w:val="37"/>
        </w:numPr>
        <w:rPr>
          <w:rFonts w:ascii="Arial" w:cs="Arial" w:eastAsia="Arial" w:hAnsi="Arial"/>
          <w:sz w:val="22"/>
          <w:szCs w:val="22"/>
          <w:color w:val="auto"/>
        </w:rPr>
      </w:pPr>
      <w:r>
        <w:rPr>
          <w:rFonts w:ascii="Arial" w:cs="Arial" w:eastAsia="Arial" w:hAnsi="Arial"/>
          <w:sz w:val="22"/>
          <w:szCs w:val="22"/>
          <w:color w:val="auto"/>
        </w:rPr>
        <w:t>any other non-cash charges, write-downs, expenses, losses or items reducing Consolidated Net Income for such period, including (A) non-cash restructuring charges or non-cash reserves in connection with the Transactions, any Permitted Acquisition or other permitted Investment consummated after the Closing Date, (B) all non-cash losses (minus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82" w:name="page83"/>
    <w:bookmarkEnd w:id="82"/>
    <w:p>
      <w:pPr>
        <w:jc w:val="both"/>
        <w:ind w:left="1960"/>
        <w:spacing w:after="0" w:line="244" w:lineRule="auto"/>
        <w:rPr>
          <w:sz w:val="20"/>
          <w:szCs w:val="20"/>
          <w:color w:val="auto"/>
        </w:rPr>
      </w:pPr>
      <w:r>
        <w:rPr>
          <w:rFonts w:ascii="Arial" w:cs="Arial" w:eastAsia="Arial" w:hAnsi="Arial"/>
          <w:sz w:val="19"/>
          <w:szCs w:val="19"/>
          <w:color w:val="auto"/>
        </w:rPr>
        <w:t xml:space="preserve">non-cash gains) from Dispositions (including, without limitation, asset retirement costs), (C) non-cash charges attributable to any post-employment benefits offered to former employees, (D) non-cash asset impairments (including from the revaluation of inventory (including any impact of changes to inventory valuation policy methods including changes in capitalization of variances) or other inventory adjustments) and (E) non-cash losses (minus any non-cash gains) with respect to swaps, hedges and other similar agreements and derivative instruments;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non-cash charges represent an accrual or reserve for potential cash items in any future period, (A) such Person may elect not to add back such non-cash charge in the current period and (B) to the extent such Person elects to add back such non-cash charges in the current period, the cash payment in respect thereof in such future period shall be subtracted from Consolidated EBITDA to such extent); </w:t>
      </w:r>
      <w:r>
        <w:rPr>
          <w:rFonts w:ascii="Arial" w:cs="Arial" w:eastAsia="Arial" w:hAnsi="Arial"/>
          <w:sz w:val="19"/>
          <w:szCs w:val="19"/>
          <w:i w:val="1"/>
          <w:iCs w:val="1"/>
          <w:color w:val="auto"/>
        </w:rPr>
        <w:t>plus</w:t>
      </w:r>
    </w:p>
    <w:p>
      <w:pPr>
        <w:spacing w:after="0" w:line="155" w:lineRule="exact"/>
        <w:rPr>
          <w:sz w:val="20"/>
          <w:szCs w:val="20"/>
          <w:color w:val="auto"/>
        </w:rPr>
      </w:pPr>
    </w:p>
    <w:p>
      <w:pPr>
        <w:jc w:val="both"/>
        <w:ind w:left="1960" w:hanging="656"/>
        <w:spacing w:after="0"/>
        <w:tabs>
          <w:tab w:leader="none" w:pos="1909"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amount of “run rate” cost savings, operating expense reductions, other operating improvements and initiatives and synergies (A) (i) projected by the Borrower in good faith to result from actions taken, or with respect to which substantial steps are reasonably expected to have been taken, within twenty-four (24) months after, without duplication, the end of the Test Period in which the applicable Subject Transaction is initiated or a plan for realization thereof shall have been established, (ii) supported by a quality of earnings report provided to the Administrative Agent and prepared by financial advisors that are reasonably acceptable to the Administrative Agent (it being understood and agreed that any of the “Big Four” accounting firms and Alvarez and Marsal are acceptable to the Administrative Agent) or (iii) determined on a basis consistent with Article 11 of Regulation S-X promulgated under the Exchange Act and as interpreted by the staff of the Securities and Exchange Commission (or any successor agency), and (B) related to (i) the Transactions and (ii) after the Closing Date, permitted asset sales, mergers or other business combinations, acquisitions, investments, dispositions or divestitures, operating improvements, restructurings, cost-saving initiatives, actions or events and certain other similar initiatives and specified transactions (collectively, the “</w:t>
      </w:r>
      <w:r>
        <w:rPr>
          <w:rFonts w:ascii="Arial" w:cs="Arial" w:eastAsia="Arial" w:hAnsi="Arial"/>
          <w:sz w:val="19"/>
          <w:szCs w:val="19"/>
          <w:u w:val="single" w:color="auto"/>
          <w:color w:val="auto"/>
        </w:rPr>
        <w:t>Subject Transactions</w:t>
      </w:r>
      <w:r>
        <w:rPr>
          <w:rFonts w:ascii="Arial" w:cs="Arial" w:eastAsia="Arial" w:hAnsi="Arial"/>
          <w:sz w:val="19"/>
          <w:szCs w:val="19"/>
          <w:color w:val="auto"/>
        </w:rPr>
        <w:t xml:space="preserve">”), in each case, which will be added to Consolidated EBITDA as so projected or determined until fully realized and calculated on a Pro Forma Basis as though such cost savings, operating expense reductions, other operating improvements and initiatives and synergies had been realized on the first day of such period and will be net of the amount of actual benefits realized during such period from such actions; </w:t>
      </w:r>
      <w:r>
        <w:rPr>
          <w:rFonts w:ascii="Arial" w:cs="Arial" w:eastAsia="Arial" w:hAnsi="Arial"/>
          <w:sz w:val="19"/>
          <w:szCs w:val="19"/>
          <w:i w:val="1"/>
          <w:iCs w:val="1"/>
          <w:color w:val="auto"/>
        </w:rPr>
        <w:t>plus</w:t>
      </w:r>
    </w:p>
    <w:p>
      <w:pPr>
        <w:spacing w:after="0" w:line="171" w:lineRule="exact"/>
        <w:rPr>
          <w:rFonts w:ascii="Arial" w:cs="Arial" w:eastAsia="Arial" w:hAnsi="Arial"/>
          <w:sz w:val="19"/>
          <w:szCs w:val="19"/>
          <w:color w:val="auto"/>
        </w:rPr>
      </w:pPr>
    </w:p>
    <w:p>
      <w:pPr>
        <w:ind w:left="1960" w:hanging="656"/>
        <w:spacing w:after="0" w:line="232" w:lineRule="auto"/>
        <w:tabs>
          <w:tab w:leader="none" w:pos="2005"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add-backs for fees, costs and expenses related to an IPO or other exit transaction (whether or not consummated);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ind w:left="1960" w:hanging="656"/>
        <w:spacing w:after="0" w:line="232" w:lineRule="auto"/>
        <w:tabs>
          <w:tab w:leader="none" w:pos="1802"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add-backs and adjustments reflected in the Projections and quality of earnings report delivered to the Joint Lead Arrangers on July 24, 2018 or July 27, 2018, as applicable;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jc w:val="both"/>
        <w:ind w:left="1960" w:hanging="656"/>
        <w:spacing w:after="0" w:line="218" w:lineRule="auto"/>
        <w:tabs>
          <w:tab w:leader="none" w:pos="1976"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cash receipts (or any netting arrangements resulting in reduced cash expenditures) not representing Consolidated EBITDA or Consolidated Net Income in any period to the extent non-cash gains relating to such income were deducted in the calculation of Consolidated EBITDA pursuant to </w:t>
      </w:r>
      <w:r>
        <w:rPr>
          <w:rFonts w:ascii="Arial" w:cs="Arial" w:eastAsia="Arial" w:hAnsi="Arial"/>
          <w:sz w:val="22"/>
          <w:szCs w:val="22"/>
          <w:u w:val="single" w:color="auto"/>
          <w:color w:val="auto"/>
        </w:rPr>
        <w:t>clause (2)</w:t>
      </w:r>
      <w:r>
        <w:rPr>
          <w:rFonts w:ascii="Arial" w:cs="Arial" w:eastAsia="Arial" w:hAnsi="Arial"/>
          <w:sz w:val="22"/>
          <w:szCs w:val="22"/>
          <w:color w:val="auto"/>
        </w:rPr>
        <w:t xml:space="preserve"> below for any previous period and not added back; </w:t>
      </w:r>
      <w:r>
        <w:rPr>
          <w:rFonts w:ascii="Arial" w:cs="Arial" w:eastAsia="Arial" w:hAnsi="Arial"/>
          <w:sz w:val="22"/>
          <w:szCs w:val="22"/>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83" w:name="page84"/>
    <w:bookmarkEnd w:id="83"/>
    <w:p>
      <w:pPr>
        <w:ind w:left="1960" w:hanging="656"/>
        <w:spacing w:after="0" w:line="232" w:lineRule="auto"/>
        <w:tabs>
          <w:tab w:leader="none" w:pos="1898" w:val="left"/>
        </w:tabs>
        <w:numPr>
          <w:ilvl w:val="1"/>
          <w:numId w:val="39"/>
        </w:numPr>
        <w:rPr>
          <w:rFonts w:ascii="Arial" w:cs="Arial" w:eastAsia="Arial" w:hAnsi="Arial"/>
          <w:sz w:val="22"/>
          <w:szCs w:val="22"/>
          <w:color w:val="auto"/>
        </w:rPr>
      </w:pPr>
      <w:r>
        <w:rPr>
          <w:rFonts w:ascii="Arial" w:cs="Arial" w:eastAsia="Arial" w:hAnsi="Arial"/>
          <w:sz w:val="22"/>
          <w:szCs w:val="22"/>
          <w:color w:val="auto"/>
        </w:rPr>
        <w:t xml:space="preserve">accrued or paid Permitted Investor Payments deducted in calculating Consolidated Net Income (and not added back in such period to Consolidated Net Income);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jc w:val="both"/>
        <w:ind w:left="1960" w:hanging="656"/>
        <w:spacing w:after="0" w:line="234" w:lineRule="auto"/>
        <w:tabs>
          <w:tab w:leader="none" w:pos="1898" w:val="left"/>
        </w:tabs>
        <w:numPr>
          <w:ilvl w:val="1"/>
          <w:numId w:val="39"/>
        </w:numPr>
        <w:rPr>
          <w:rFonts w:ascii="Arial" w:cs="Arial" w:eastAsia="Arial" w:hAnsi="Arial"/>
          <w:sz w:val="21"/>
          <w:szCs w:val="21"/>
          <w:color w:val="auto"/>
        </w:rPr>
      </w:pPr>
      <w:r>
        <w:rPr>
          <w:rFonts w:ascii="Arial" w:cs="Arial" w:eastAsia="Arial" w:hAnsi="Arial"/>
          <w:sz w:val="21"/>
          <w:szCs w:val="21"/>
          <w:color w:val="auto"/>
        </w:rPr>
        <w:t xml:space="preserve">to the extent deducted in calculating Consolidated Net Income (and not added back in such period to Consolidated Net Income), the amount of loss on any sale of Securitization Assets and related assets to a Securitization Subsidiary in connection with a Qualified Securitization Financing; </w:t>
      </w:r>
      <w:r>
        <w:rPr>
          <w:rFonts w:ascii="Arial" w:cs="Arial" w:eastAsia="Arial" w:hAnsi="Arial"/>
          <w:sz w:val="21"/>
          <w:szCs w:val="21"/>
          <w:i w:val="1"/>
          <w:iCs w:val="1"/>
          <w:color w:val="auto"/>
        </w:rPr>
        <w:t>plus</w:t>
      </w:r>
    </w:p>
    <w:p>
      <w:pPr>
        <w:spacing w:after="0" w:line="157" w:lineRule="exact"/>
        <w:rPr>
          <w:rFonts w:ascii="Arial" w:cs="Arial" w:eastAsia="Arial" w:hAnsi="Arial"/>
          <w:sz w:val="21"/>
          <w:szCs w:val="21"/>
          <w:color w:val="auto"/>
        </w:rPr>
      </w:pPr>
    </w:p>
    <w:p>
      <w:pPr>
        <w:jc w:val="both"/>
        <w:ind w:left="1960" w:hanging="656"/>
        <w:spacing w:after="0" w:line="218" w:lineRule="auto"/>
        <w:tabs>
          <w:tab w:leader="none" w:pos="1984" w:val="left"/>
        </w:tabs>
        <w:numPr>
          <w:ilvl w:val="1"/>
          <w:numId w:val="39"/>
        </w:numPr>
        <w:rPr>
          <w:rFonts w:ascii="Arial" w:cs="Arial" w:eastAsia="Arial" w:hAnsi="Arial"/>
          <w:sz w:val="22"/>
          <w:szCs w:val="22"/>
          <w:color w:val="auto"/>
        </w:rPr>
      </w:pPr>
      <w:r>
        <w:rPr>
          <w:rFonts w:ascii="Arial" w:cs="Arial" w:eastAsia="Arial" w:hAnsi="Arial"/>
          <w:sz w:val="22"/>
          <w:szCs w:val="22"/>
          <w:color w:val="auto"/>
        </w:rPr>
        <w:t xml:space="preserve">to the extent deducted in calculating Consolidated Net Income (and not added back in such period to Consolidated Net Income), Restricted Payments to employees or officers permitted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6.06</w:t>
      </w:r>
      <w:r>
        <w:rPr>
          <w:rFonts w:ascii="Arial" w:cs="Arial" w:eastAsia="Arial" w:hAnsi="Arial"/>
          <w:sz w:val="22"/>
          <w:szCs w:val="22"/>
          <w:color w:val="auto"/>
        </w:rPr>
        <w:t>, solely to the extent not made in lieu of, or as a substitution for, ordinary salary or ordinary payroll payments;</w:t>
      </w:r>
    </w:p>
    <w:p>
      <w:pPr>
        <w:spacing w:after="0" w:line="160" w:lineRule="exact"/>
        <w:rPr>
          <w:rFonts w:ascii="Arial" w:cs="Arial" w:eastAsia="Arial" w:hAnsi="Arial"/>
          <w:sz w:val="22"/>
          <w:szCs w:val="22"/>
          <w:color w:val="auto"/>
        </w:rPr>
      </w:pPr>
    </w:p>
    <w:p>
      <w:pPr>
        <w:ind w:left="1120" w:hanging="464"/>
        <w:spacing w:after="0"/>
        <w:tabs>
          <w:tab w:leader="none" w:pos="11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decreased (without duplication) by:</w:t>
      </w:r>
    </w:p>
    <w:p>
      <w:pPr>
        <w:spacing w:after="0" w:line="179" w:lineRule="exact"/>
        <w:rPr>
          <w:rFonts w:ascii="Arial" w:cs="Arial" w:eastAsia="Arial" w:hAnsi="Arial"/>
          <w:sz w:val="22"/>
          <w:szCs w:val="22"/>
          <w:color w:val="auto"/>
        </w:rPr>
      </w:pPr>
    </w:p>
    <w:p>
      <w:pPr>
        <w:ind w:left="1960" w:hanging="656"/>
        <w:spacing w:after="0" w:line="257" w:lineRule="auto"/>
        <w:tabs>
          <w:tab w:leader="none" w:pos="1799"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non-cash gains increasing Consolidated Net Income of such Person for such period, excluding any non-cash gains to the extent they represent the reversal of an accrual or reserve for a potential cash item that reduced Consolidated EBITDA in any prior period and any non-cash gains with respect to cash actually received in a prior period so long as such cash did not increase Consolidated EBITDA in such prior period; </w:t>
      </w:r>
      <w:r>
        <w:rPr>
          <w:rFonts w:ascii="Arial" w:cs="Arial" w:eastAsia="Arial" w:hAnsi="Arial"/>
          <w:sz w:val="19"/>
          <w:szCs w:val="19"/>
          <w:i w:val="1"/>
          <w:iCs w:val="1"/>
          <w:color w:val="auto"/>
        </w:rPr>
        <w:t>plus</w:t>
      </w:r>
    </w:p>
    <w:p>
      <w:pPr>
        <w:spacing w:after="0" w:line="144" w:lineRule="exact"/>
        <w:rPr>
          <w:rFonts w:ascii="Arial" w:cs="Arial" w:eastAsia="Arial" w:hAnsi="Arial"/>
          <w:sz w:val="19"/>
          <w:szCs w:val="19"/>
          <w:color w:val="auto"/>
        </w:rPr>
      </w:pPr>
    </w:p>
    <w:p>
      <w:pPr>
        <w:ind w:left="1960" w:hanging="656"/>
        <w:spacing w:after="0" w:line="232" w:lineRule="auto"/>
        <w:tabs>
          <w:tab w:leader="none" w:pos="2051"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any net income included in the consolidated financial statements due to the application of FAS 160 (Accounting Standards Codification Topic 810);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jc w:val="both"/>
        <w:ind w:left="1960" w:hanging="656"/>
        <w:spacing w:after="0" w:line="218" w:lineRule="auto"/>
        <w:tabs>
          <w:tab w:leader="none" w:pos="1904"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all cash payments made during such period to the extent made on account of non-cash reserves and other non-cash charges added back to Consolidated Net Income pursuant to </w:t>
      </w:r>
      <w:r>
        <w:rPr>
          <w:rFonts w:ascii="Arial" w:cs="Arial" w:eastAsia="Arial" w:hAnsi="Arial"/>
          <w:sz w:val="22"/>
          <w:szCs w:val="22"/>
          <w:u w:val="single" w:color="auto"/>
          <w:color w:val="auto"/>
        </w:rPr>
        <w:t>clause (1)(f)</w:t>
      </w:r>
      <w:r>
        <w:rPr>
          <w:rFonts w:ascii="Arial" w:cs="Arial" w:eastAsia="Arial" w:hAnsi="Arial"/>
          <w:sz w:val="22"/>
          <w:szCs w:val="22"/>
          <w:color w:val="auto"/>
        </w:rPr>
        <w:t xml:space="preserve"> above in a previous period (it being understood that this </w:t>
      </w:r>
      <w:r>
        <w:rPr>
          <w:rFonts w:ascii="Arial" w:cs="Arial" w:eastAsia="Arial" w:hAnsi="Arial"/>
          <w:sz w:val="22"/>
          <w:szCs w:val="22"/>
          <w:u w:val="single" w:color="auto"/>
          <w:color w:val="auto"/>
        </w:rPr>
        <w:t>clause (2)(c)</w:t>
      </w:r>
      <w:r>
        <w:rPr>
          <w:rFonts w:ascii="Arial" w:cs="Arial" w:eastAsia="Arial" w:hAnsi="Arial"/>
          <w:sz w:val="22"/>
          <w:szCs w:val="22"/>
          <w:color w:val="auto"/>
        </w:rPr>
        <w:t xml:space="preserve"> shall not be utilized in reversing any non-cash reserve or charge added to Consolidated Net Income);</w:t>
      </w:r>
    </w:p>
    <w:p>
      <w:pPr>
        <w:spacing w:after="0" w:line="160" w:lineRule="exact"/>
        <w:rPr>
          <w:rFonts w:ascii="Arial" w:cs="Arial" w:eastAsia="Arial" w:hAnsi="Arial"/>
          <w:sz w:val="22"/>
          <w:szCs w:val="22"/>
          <w:color w:val="auto"/>
        </w:rPr>
      </w:pPr>
    </w:p>
    <w:p>
      <w:pPr>
        <w:ind w:left="1300" w:hanging="644"/>
        <w:spacing w:after="0" w:line="232" w:lineRule="auto"/>
        <w:tabs>
          <w:tab w:leader="none" w:pos="1314"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increased or decreased (without duplication) by any adjustments resulting for the application of Accounting Standards Codification Topic 460 or any comparable regulation.</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Notwithstanding the foregoing, for purposes of determining Consolidated EBITDA for any four-fiscal quarter period that includes any of the fiscal quarters ending September 30, 2017, December 31, 2017, March 31, 2018 or June 30, 2018, Consolidated EBITDA for such fiscal quarters shall equal $16,851,000, $19,320,000, $26,833,000 and $33,470,000, respectively (which amounts, for the avoidance of doubt, shall be subject to addbacks and adjustments pursuant to </w:t>
      </w:r>
      <w:r>
        <w:rPr>
          <w:rFonts w:ascii="Arial" w:cs="Arial" w:eastAsia="Arial" w:hAnsi="Arial"/>
          <w:sz w:val="19"/>
          <w:szCs w:val="19"/>
          <w:u w:val="single" w:color="auto"/>
          <w:color w:val="auto"/>
        </w:rPr>
        <w:t>clause (1)(g)</w:t>
      </w:r>
      <w:r>
        <w:rPr>
          <w:rFonts w:ascii="Arial" w:cs="Arial" w:eastAsia="Arial" w:hAnsi="Arial"/>
          <w:sz w:val="19"/>
          <w:szCs w:val="19"/>
          <w:color w:val="auto"/>
        </w:rPr>
        <w:t xml:space="preserve"> above and shall give effect to calculations on a Pro Forma Basis in accordance with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in respect of Specified Transactions (including the cost savings described above or in the definition of “Consolidated Net Income” that in each case may become applicable due to actions taken on or after the Closing Date). For purposes of determining compliance with any financial test or ratio hereunder (including any incurrence test) but not for purposes of calculating Excess Cash Flow, (x) Consolidated EBITDA of any Person, property, business or asset acquired by the Borrower or any Restricted Subsidiary during such period and of any Unrestricted Subsidiary that is converted into a Restricted Subsidiary shall be included in determining Consolidated EBITDA of the Borrower and the Restricted Subsidiaries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84" w:name="page85"/>
    <w:bookmarkEnd w:id="84"/>
    <w:p>
      <w:pPr>
        <w:jc w:val="both"/>
        <w:spacing w:after="0" w:line="252" w:lineRule="auto"/>
        <w:rPr>
          <w:sz w:val="20"/>
          <w:szCs w:val="20"/>
          <w:color w:val="auto"/>
        </w:rPr>
      </w:pPr>
      <w:r>
        <w:rPr>
          <w:rFonts w:ascii="Arial" w:cs="Arial" w:eastAsia="Arial" w:hAnsi="Arial"/>
          <w:sz w:val="19"/>
          <w:szCs w:val="19"/>
          <w:color w:val="auto"/>
        </w:rPr>
        <w:t>period, (y) Consolidated EBITDA of any Restricted Subsidiary or any operating entity for which historical financial statements are available that is Disposed of during such period or any Restricted Subsidiary that is converted into an Unrestricted Subsidiary during such period shall be excluded in determining Consolidated EBITDA of the Borrower and the Restricted Subsidiaries for any period, and (z) Consolidated EBITDA shall be calculated on a Pro Forma Basis. Unless otherwise provided herein, Consolidated EBITDA shall be calculated with respect to the Borrower and the Restricted Subsidiaries.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means, with respect to any Person for any period, without duplication, the sum</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of:</w:t>
      </w:r>
    </w:p>
    <w:p>
      <w:pPr>
        <w:spacing w:after="0" w:line="161" w:lineRule="exact"/>
        <w:rPr>
          <w:sz w:val="20"/>
          <w:szCs w:val="20"/>
          <w:color w:val="auto"/>
        </w:rPr>
      </w:pPr>
    </w:p>
    <w:p>
      <w:pPr>
        <w:jc w:val="both"/>
        <w:ind w:left="1300" w:hanging="644"/>
        <w:spacing w:after="0" w:line="241" w:lineRule="auto"/>
        <w:tabs>
          <w:tab w:leader="none" w:pos="1242"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consolidated interest expense of such Person and its Restricted Subsidiaries for such period, to the extent such expense was deducted (and not added back) in computing Consolidated Net Income (including (a) amortization of original issue discount or premium resulting from the issuance of Indebtedness at less than par, (b) all commissions, discounts and other fees and charges owed with respect to letters of credit or bankers acceptances or any similar facilities or financing and hedging agreements, (c) non-cash interest payments (but excluding any non-cash interest expense attributable to the movement in the mark to market valuation of any Swap Obligations or other derivative instruments pursuant to GAAP), (d) the interest component of Capital Lease Obligations, (e) net payments, if any, pursuant to interest rate Swap Obligations with respect to Indebtedness, and (f) to the extent constituting interest expense in accordance with GAAP, consulting fees and expenses, and excluding (t) penalties and interest relating to taxes, (u) accretion or accrual of discounted liabilities other than Indebtedness, (v) any expense resulting from the discounting of any Indebtedness in connection with the application of purchase accounting in connection with any acquisition, (w) amortization of deferred financing fees, debt issuance costs, commissions, fees and expenses, (x) any expensing of bridge, commitment and other financing fees and (y) interest with respect to Indebtedness of any parent of such Person appearing upon the balance sheet of such Person solely by reason of push-down accounting under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prepayment premiums and penalties shall not be included in this </w:t>
      </w:r>
      <w:r>
        <w:rPr>
          <w:rFonts w:ascii="Arial" w:cs="Arial" w:eastAsia="Arial" w:hAnsi="Arial"/>
          <w:sz w:val="19"/>
          <w:szCs w:val="19"/>
          <w:u w:val="single" w:color="auto"/>
          <w:color w:val="auto"/>
        </w:rPr>
        <w:t>clause (1)</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p>
    <w:p>
      <w:pPr>
        <w:spacing w:after="0" w:line="161" w:lineRule="exact"/>
        <w:rPr>
          <w:rFonts w:ascii="Arial" w:cs="Arial" w:eastAsia="Arial" w:hAnsi="Arial"/>
          <w:sz w:val="19"/>
          <w:szCs w:val="19"/>
          <w:color w:val="auto"/>
        </w:rPr>
      </w:pPr>
    </w:p>
    <w:p>
      <w:pPr>
        <w:ind w:left="1300" w:hanging="644"/>
        <w:spacing w:after="0" w:line="232" w:lineRule="auto"/>
        <w:tabs>
          <w:tab w:leader="none" w:pos="1232"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consolidated capitalized interest of such Person and its Restricted Subsidiaries for such period, whether paid or accrued;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ind w:left="1300" w:hanging="644"/>
        <w:spacing w:after="0" w:line="232" w:lineRule="auto"/>
        <w:tabs>
          <w:tab w:leader="none" w:pos="1128"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all cash dividends or other distributions paid (excluding items eliminated in consolidation) on any series of preferred stock of any Subsidiary of such Person during such period;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ind w:left="1300" w:hanging="644"/>
        <w:spacing w:after="0" w:line="232" w:lineRule="auto"/>
        <w:tabs>
          <w:tab w:leader="none" w:pos="1306"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all cash dividends or other distributions paid (excluding items eliminated in consolidation) on any series of Disqualified Equity Interests during this period; </w:t>
      </w:r>
      <w:r>
        <w:rPr>
          <w:rFonts w:ascii="Arial" w:cs="Arial" w:eastAsia="Arial" w:hAnsi="Arial"/>
          <w:sz w:val="22"/>
          <w:szCs w:val="22"/>
          <w:i w:val="1"/>
          <w:iCs w:val="1"/>
          <w:color w:val="auto"/>
        </w:rPr>
        <w:t>minus</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interest income for such period.</w:t>
      </w:r>
    </w:p>
    <w:p>
      <w:pPr>
        <w:spacing w:after="0" w:line="17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For purposes of this definition, interest on a Capital Lease Obligation shall be deemed to accrue at an interest rate reasonably determined by such Person to be the rate of interest implicit in such Capital Lease Obligation in accordance with GAAP.</w:t>
      </w:r>
    </w:p>
    <w:p>
      <w:pPr>
        <w:spacing w:after="0" w:line="10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xml:space="preserve"> ” means, for any period, the net income (loss) of the Borrower and the Restricted Subsidiaries determined on a consolidated basis on the basis of GAAP;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there will not be included in such Consolidated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85" w:name="page86"/>
    <w:bookmarkEnd w:id="85"/>
    <w:p>
      <w:pPr>
        <w:ind w:left="1300" w:hanging="644"/>
        <w:spacing w:after="0" w:line="257" w:lineRule="auto"/>
        <w:tabs>
          <w:tab w:leader="none" w:pos="1158"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any net income (loss) of any Person if such Person is not a Restricted Subsidiary, except that any equity in the net income of any such Person for such period will be included in such Consolidated Net Income up to the aggregate amount of cash or Cash Equivalents actually distributed by such Person during such period to the Borrower or any Restricted Subsidiary as a dividend or other distribution or as a return on investment;</w:t>
      </w:r>
    </w:p>
    <w:p>
      <w:pPr>
        <w:spacing w:after="0" w:line="144" w:lineRule="exact"/>
        <w:rPr>
          <w:rFonts w:ascii="Arial" w:cs="Arial" w:eastAsia="Arial" w:hAnsi="Arial"/>
          <w:sz w:val="19"/>
          <w:szCs w:val="19"/>
          <w:color w:val="auto"/>
        </w:rPr>
      </w:pPr>
    </w:p>
    <w:p>
      <w:pPr>
        <w:jc w:val="both"/>
        <w:ind w:left="1300" w:hanging="644"/>
        <w:spacing w:after="0" w:line="252" w:lineRule="auto"/>
        <w:tabs>
          <w:tab w:leader="none" w:pos="1244"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any net gain (or loss) (i) realized upon the sale or other disposition of any asset or disposed operations of the Borrower or any Restricted Subsidiaries (including pursuant to any Sale Leaseback which is not sold or otherwise disposed of in the ordinary course of business) or (ii) from discontinued operations (but if such operations are classified as discontinued due to the fact that they are subject to an agreement to dispose of such operations, at Borrower’s election, only when and to the extent such operations are actually disposed of);</w:t>
      </w:r>
    </w:p>
    <w:p>
      <w:pPr>
        <w:spacing w:after="0" w:line="148" w:lineRule="exact"/>
        <w:rPr>
          <w:rFonts w:ascii="Arial" w:cs="Arial" w:eastAsia="Arial" w:hAnsi="Arial"/>
          <w:sz w:val="19"/>
          <w:szCs w:val="19"/>
          <w:color w:val="auto"/>
        </w:rPr>
      </w:pPr>
    </w:p>
    <w:p>
      <w:pPr>
        <w:ind w:left="1120" w:hanging="464"/>
        <w:spacing w:after="0"/>
        <w:tabs>
          <w:tab w:leader="none" w:pos="11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w:t>
      </w:r>
    </w:p>
    <w:p>
      <w:pPr>
        <w:spacing w:after="0" w:line="179" w:lineRule="exact"/>
        <w:rPr>
          <w:rFonts w:ascii="Arial" w:cs="Arial" w:eastAsia="Arial" w:hAnsi="Arial"/>
          <w:sz w:val="22"/>
          <w:szCs w:val="22"/>
          <w:color w:val="auto"/>
        </w:rPr>
      </w:pPr>
    </w:p>
    <w:p>
      <w:pPr>
        <w:ind w:left="1300" w:hanging="644"/>
        <w:spacing w:after="0" w:line="232" w:lineRule="auto"/>
        <w:tabs>
          <w:tab w:leader="none" w:pos="1203"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extraordinary, unusual or nonrecurring gain, loss, charge or expense, or any charges, expenses or reserves in respect of any restructuring, integration, redundancy or severance expense;</w:t>
      </w:r>
    </w:p>
    <w:p>
      <w:pPr>
        <w:spacing w:after="0" w:line="158" w:lineRule="exact"/>
        <w:rPr>
          <w:rFonts w:ascii="Arial" w:cs="Arial" w:eastAsia="Arial" w:hAnsi="Arial"/>
          <w:sz w:val="22"/>
          <w:szCs w:val="22"/>
          <w:color w:val="auto"/>
        </w:rPr>
      </w:pPr>
    </w:p>
    <w:p>
      <w:pPr>
        <w:jc w:val="both"/>
        <w:ind w:left="1300" w:hanging="644"/>
        <w:spacing w:after="0" w:line="223" w:lineRule="auto"/>
        <w:tabs>
          <w:tab w:leader="none" w:pos="1244" w:val="left"/>
        </w:tabs>
        <w:numPr>
          <w:ilvl w:val="0"/>
          <w:numId w:val="42"/>
        </w:numPr>
        <w:rPr>
          <w:rFonts w:ascii="Arial" w:cs="Arial" w:eastAsia="Arial" w:hAnsi="Arial"/>
          <w:sz w:val="22"/>
          <w:szCs w:val="22"/>
          <w:color w:val="auto"/>
        </w:rPr>
      </w:pPr>
      <w:r>
        <w:rPr>
          <w:rFonts w:ascii="Arial" w:cs="Arial" w:eastAsia="Arial" w:hAnsi="Arial"/>
          <w:sz w:val="22"/>
          <w:szCs w:val="22"/>
          <w:color w:val="auto"/>
        </w:rPr>
        <w:t>all deferred financing costs written off or amortized and premiums paid or other expenses incurred directly in connection with any early extinguishment of Indebtedness and any net gain (loss) from any write-off or forgiveness of Indebtedness;</w:t>
      </w:r>
    </w:p>
    <w:p>
      <w:pPr>
        <w:spacing w:after="0" w:line="158" w:lineRule="exact"/>
        <w:rPr>
          <w:rFonts w:ascii="Arial" w:cs="Arial" w:eastAsia="Arial" w:hAnsi="Arial"/>
          <w:sz w:val="22"/>
          <w:szCs w:val="22"/>
          <w:color w:val="auto"/>
        </w:rPr>
      </w:pPr>
    </w:p>
    <w:p>
      <w:pPr>
        <w:ind w:left="1300" w:hanging="644"/>
        <w:spacing w:after="0" w:line="234" w:lineRule="auto"/>
        <w:tabs>
          <w:tab w:leader="none" w:pos="1091" w:val="left"/>
        </w:tabs>
        <w:numPr>
          <w:ilvl w:val="0"/>
          <w:numId w:val="42"/>
        </w:numPr>
        <w:rPr>
          <w:rFonts w:ascii="Arial" w:cs="Arial" w:eastAsia="Arial" w:hAnsi="Arial"/>
          <w:sz w:val="21"/>
          <w:szCs w:val="21"/>
          <w:color w:val="auto"/>
        </w:rPr>
      </w:pPr>
      <w:r>
        <w:rPr>
          <w:rFonts w:ascii="Arial" w:cs="Arial" w:eastAsia="Arial" w:hAnsi="Arial"/>
          <w:sz w:val="21"/>
          <w:szCs w:val="21"/>
          <w:color w:val="auto"/>
        </w:rPr>
        <w:t>any unrealized gains or losses in respect of Swap Obligations or any ineffectiveness recognized in earnings related to qualifying hedge transactions or the fair value of changes therein recognized in earnings for derivatives that do not qualify as hedge transactions, in each case, in respect of Swap Obligations;</w:t>
      </w:r>
    </w:p>
    <w:p>
      <w:pPr>
        <w:spacing w:after="0" w:line="157" w:lineRule="exact"/>
        <w:rPr>
          <w:rFonts w:ascii="Arial" w:cs="Arial" w:eastAsia="Arial" w:hAnsi="Arial"/>
          <w:sz w:val="21"/>
          <w:szCs w:val="21"/>
          <w:color w:val="auto"/>
        </w:rPr>
      </w:pPr>
    </w:p>
    <w:p>
      <w:pPr>
        <w:ind w:left="1300" w:hanging="644"/>
        <w:spacing w:after="0" w:line="232" w:lineRule="auto"/>
        <w:tabs>
          <w:tab w:leader="none" w:pos="1149" w:val="left"/>
        </w:tabs>
        <w:numPr>
          <w:ilvl w:val="0"/>
          <w:numId w:val="42"/>
        </w:numPr>
        <w:rPr>
          <w:rFonts w:ascii="Arial" w:cs="Arial" w:eastAsia="Arial" w:hAnsi="Arial"/>
          <w:sz w:val="22"/>
          <w:szCs w:val="22"/>
          <w:color w:val="auto"/>
        </w:rPr>
      </w:pPr>
      <w:r>
        <w:rPr>
          <w:rFonts w:ascii="Arial" w:cs="Arial" w:eastAsia="Arial" w:hAnsi="Arial"/>
          <w:sz w:val="22"/>
          <w:szCs w:val="22"/>
          <w:color w:val="auto"/>
        </w:rPr>
        <w:t>unrealized foreign exchange losses resulting from the impact of foreign currency changes on the valuation of assets or liabilities on the balance sheet of the Borrower and the Restricted Subsidiaries;</w:t>
      </w:r>
    </w:p>
    <w:p>
      <w:pPr>
        <w:spacing w:after="0" w:line="158" w:lineRule="exact"/>
        <w:rPr>
          <w:rFonts w:ascii="Arial" w:cs="Arial" w:eastAsia="Arial" w:hAnsi="Arial"/>
          <w:sz w:val="22"/>
          <w:szCs w:val="22"/>
          <w:color w:val="auto"/>
        </w:rPr>
      </w:pPr>
    </w:p>
    <w:p>
      <w:pPr>
        <w:ind w:left="1300" w:hanging="644"/>
        <w:spacing w:after="0" w:line="234" w:lineRule="auto"/>
        <w:tabs>
          <w:tab w:leader="none" w:pos="1144" w:val="left"/>
        </w:tabs>
        <w:numPr>
          <w:ilvl w:val="0"/>
          <w:numId w:val="42"/>
        </w:numPr>
        <w:rPr>
          <w:rFonts w:ascii="Arial" w:cs="Arial" w:eastAsia="Arial" w:hAnsi="Arial"/>
          <w:sz w:val="21"/>
          <w:szCs w:val="21"/>
          <w:color w:val="auto"/>
        </w:rPr>
      </w:pPr>
      <w:r>
        <w:rPr>
          <w:rFonts w:ascii="Arial" w:cs="Arial" w:eastAsia="Arial" w:hAnsi="Arial"/>
          <w:sz w:val="21"/>
          <w:szCs w:val="21"/>
          <w:color w:val="auto"/>
        </w:rPr>
        <w:t>any unrealized foreign currency transaction gains or losses in respect of obligations of any Person denominated in a currency other than the functional currency of such Person and any unrealized foreign exchange gains or losses relating to translation of assets and liabilities denominated in foreign currencies;</w:t>
      </w:r>
    </w:p>
    <w:p>
      <w:pPr>
        <w:spacing w:after="0" w:line="157" w:lineRule="exact"/>
        <w:rPr>
          <w:rFonts w:ascii="Arial" w:cs="Arial" w:eastAsia="Arial" w:hAnsi="Arial"/>
          <w:sz w:val="21"/>
          <w:szCs w:val="21"/>
          <w:color w:val="auto"/>
        </w:rPr>
      </w:pPr>
    </w:p>
    <w:p>
      <w:pPr>
        <w:ind w:left="1300" w:hanging="644"/>
        <w:spacing w:after="0" w:line="298" w:lineRule="auto"/>
        <w:tabs>
          <w:tab w:leader="none" w:pos="1253"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any unrealized foreign currency translation or transaction gains or losses in respect of Indebtedness or other obligations of the Borrower or any Restricted Subsidiary owing to the Borrower or any Restricted Subsidiary;</w:t>
      </w:r>
    </w:p>
    <w:p>
      <w:pPr>
        <w:spacing w:after="0" w:line="105" w:lineRule="exact"/>
        <w:rPr>
          <w:rFonts w:ascii="Arial" w:cs="Arial" w:eastAsia="Arial" w:hAnsi="Arial"/>
          <w:sz w:val="19"/>
          <w:szCs w:val="19"/>
          <w:color w:val="auto"/>
        </w:rPr>
      </w:pPr>
    </w:p>
    <w:p>
      <w:pPr>
        <w:ind w:left="1300" w:hanging="644"/>
        <w:spacing w:after="0" w:line="223" w:lineRule="auto"/>
        <w:tabs>
          <w:tab w:leader="none" w:pos="11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net unrealized gains and losses resulting from Swap Obligations or embedded derivatives that require similar accounting treatment and the application of Accounting Standards Codification Topic 815 and related pronouncements;</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goodwill or other asset impairment charge or write-off or write-down;</w:t>
      </w:r>
    </w:p>
    <w:p>
      <w:pPr>
        <w:spacing w:after="0" w:line="179" w:lineRule="exact"/>
        <w:rPr>
          <w:rFonts w:ascii="Arial" w:cs="Arial" w:eastAsia="Arial" w:hAnsi="Arial"/>
          <w:sz w:val="22"/>
          <w:szCs w:val="22"/>
          <w:color w:val="auto"/>
        </w:rPr>
      </w:pPr>
    </w:p>
    <w:p>
      <w:pPr>
        <w:ind w:left="1300" w:hanging="644"/>
        <w:spacing w:after="0" w:line="232" w:lineRule="auto"/>
        <w:tabs>
          <w:tab w:leader="none" w:pos="1163"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after-tax effect of income (loss) from the early retirement, extinguishment or cancellation of Indebtedness or Swap Obligations or other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86" w:name="page87"/>
    <w:bookmarkEnd w:id="86"/>
    <w:p>
      <w:pPr>
        <w:ind w:left="1300" w:hanging="644"/>
        <w:spacing w:after="0" w:line="232" w:lineRule="auto"/>
        <w:tabs>
          <w:tab w:leader="none" w:pos="1259" w:val="left"/>
        </w:tabs>
        <w:numPr>
          <w:ilvl w:val="0"/>
          <w:numId w:val="43"/>
        </w:numPr>
        <w:rPr>
          <w:rFonts w:ascii="Arial" w:cs="Arial" w:eastAsia="Arial" w:hAnsi="Arial"/>
          <w:sz w:val="22"/>
          <w:szCs w:val="22"/>
          <w:color w:val="auto"/>
        </w:rPr>
      </w:pPr>
      <w:r>
        <w:rPr>
          <w:rFonts w:ascii="Arial" w:cs="Arial" w:eastAsia="Arial" w:hAnsi="Arial"/>
          <w:sz w:val="22"/>
          <w:szCs w:val="22"/>
          <w:color w:val="auto"/>
        </w:rPr>
        <w:t>accruals and reserves that are established within twelve months after the Closing Date that are so required to be established as a result of the Transactions in accordance with GAAP;</w:t>
      </w:r>
    </w:p>
    <w:p>
      <w:pPr>
        <w:spacing w:after="0" w:line="158" w:lineRule="exact"/>
        <w:rPr>
          <w:rFonts w:ascii="Arial" w:cs="Arial" w:eastAsia="Arial" w:hAnsi="Arial"/>
          <w:sz w:val="22"/>
          <w:szCs w:val="22"/>
          <w:color w:val="auto"/>
        </w:rPr>
      </w:pPr>
    </w:p>
    <w:p>
      <w:pPr>
        <w:ind w:left="1300" w:hanging="644"/>
        <w:spacing w:after="0" w:line="232" w:lineRule="auto"/>
        <w:tabs>
          <w:tab w:leader="none" w:pos="1329" w:val="left"/>
        </w:tabs>
        <w:numPr>
          <w:ilvl w:val="0"/>
          <w:numId w:val="43"/>
        </w:numPr>
        <w:rPr>
          <w:rFonts w:ascii="Arial" w:cs="Arial" w:eastAsia="Arial" w:hAnsi="Arial"/>
          <w:sz w:val="22"/>
          <w:szCs w:val="22"/>
          <w:color w:val="auto"/>
        </w:rPr>
      </w:pPr>
      <w:r>
        <w:rPr>
          <w:rFonts w:ascii="Arial" w:cs="Arial" w:eastAsia="Arial" w:hAnsi="Arial"/>
          <w:sz w:val="22"/>
          <w:szCs w:val="22"/>
          <w:color w:val="auto"/>
        </w:rPr>
        <w:t>earn-out, non-compete and contingent consideration obligations incurred or accrued in connection with any Permitted Acquisition or other Investment and paid or accrued during the applicable period;</w:t>
      </w:r>
    </w:p>
    <w:p>
      <w:pPr>
        <w:spacing w:after="0" w:line="158" w:lineRule="exact"/>
        <w:rPr>
          <w:rFonts w:ascii="Arial" w:cs="Arial" w:eastAsia="Arial" w:hAnsi="Arial"/>
          <w:sz w:val="22"/>
          <w:szCs w:val="22"/>
          <w:color w:val="auto"/>
        </w:rPr>
      </w:pPr>
    </w:p>
    <w:p>
      <w:pPr>
        <w:jc w:val="both"/>
        <w:ind w:left="1300" w:hanging="644"/>
        <w:spacing w:after="0" w:line="223" w:lineRule="auto"/>
        <w:tabs>
          <w:tab w:leader="none" w:pos="1267" w:val="left"/>
        </w:tabs>
        <w:numPr>
          <w:ilvl w:val="0"/>
          <w:numId w:val="43"/>
        </w:numPr>
        <w:rPr>
          <w:rFonts w:ascii="Arial" w:cs="Arial" w:eastAsia="Arial" w:hAnsi="Arial"/>
          <w:sz w:val="22"/>
          <w:szCs w:val="22"/>
          <w:color w:val="auto"/>
        </w:rPr>
      </w:pPr>
      <w:r>
        <w:rPr>
          <w:rFonts w:ascii="Arial" w:cs="Arial" w:eastAsia="Arial" w:hAnsi="Arial"/>
          <w:sz w:val="22"/>
          <w:szCs w:val="22"/>
          <w:color w:val="auto"/>
        </w:rPr>
        <w:t>cash and non-cash charges, paid or accrued, and gains resulting from the application of Financial Accounting Standards No. 141R (Accounting Standards Codification Topic 805) (including with respect to earn-outs incurred by the Borrower or any of the Restricted Subsidiaries);</w:t>
      </w:r>
    </w:p>
    <w:p>
      <w:pPr>
        <w:spacing w:after="0" w:line="158" w:lineRule="exact"/>
        <w:rPr>
          <w:rFonts w:ascii="Arial" w:cs="Arial" w:eastAsia="Arial" w:hAnsi="Arial"/>
          <w:sz w:val="22"/>
          <w:szCs w:val="22"/>
          <w:color w:val="auto"/>
        </w:rPr>
      </w:pPr>
    </w:p>
    <w:p>
      <w:pPr>
        <w:ind w:left="1300" w:hanging="644"/>
        <w:spacing w:after="0" w:line="244" w:lineRule="auto"/>
        <w:tabs>
          <w:tab w:leader="none" w:pos="1157"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(x) Transaction Costs and (y) any fees, costs, expenses or charges (including those relating to rationalization, legal, tax, accounting, structuring and transaction bonuses to employees, officers and directors) related to any actual, proposed or contemplated: (i) issuance or registration (actual or proposed) of Equity Interests or IPO (including any one-time expense relating to enhanced accounting functions or other transactions costs associated with becoming a public company), (ii) acquisition, merger or other Investment, (iii) disposition, (iv) recapitalization, consolidation or restructuring, (v) issuance of a letter of credit, (vi) incurrence, repayment or registration (actual or proposed) of Indebtedness (including a refinancing thereof) or (vii) any amendment, waiver, consent or other modification of any Indebtedness or any Equity Interests, in the case of each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(y)</w:t>
      </w:r>
      <w:r>
        <w:rPr>
          <w:rFonts w:ascii="Arial" w:cs="Arial" w:eastAsia="Arial" w:hAnsi="Arial"/>
          <w:sz w:val="19"/>
          <w:szCs w:val="19"/>
          <w:color w:val="auto"/>
        </w:rPr>
        <w:t>, whether or not actually consummated;</w:t>
      </w:r>
    </w:p>
    <w:p>
      <w:pPr>
        <w:spacing w:after="0" w:line="160" w:lineRule="exact"/>
        <w:rPr>
          <w:rFonts w:ascii="Arial" w:cs="Arial" w:eastAsia="Arial" w:hAnsi="Arial"/>
          <w:sz w:val="19"/>
          <w:szCs w:val="19"/>
          <w:color w:val="auto"/>
        </w:rPr>
      </w:pPr>
    </w:p>
    <w:p>
      <w:pPr>
        <w:ind w:left="1300" w:hanging="644"/>
        <w:spacing w:after="0" w:line="214" w:lineRule="auto"/>
        <w:tabs>
          <w:tab w:leader="none" w:pos="1129"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charges, losses or expenses to the extent paid for, indemnified or insured or reimbursed by a third party or so long as such amount is reasonably expected to be received in a subsequent period and within 365 days from the date of the underlying charges, losses or expenses;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(x) if such amount is not so reimbursed within such 365-day period, such expenses or losses shall be subtracted in the subsequent period and (y) if such amount is reimbursed or received in a subsequent period, such amount shall not be included in calculating Consolidated Net Income in such subsequent period;</w:t>
      </w:r>
    </w:p>
    <w:p>
      <w:pPr>
        <w:spacing w:after="0" w:line="158" w:lineRule="exact"/>
        <w:rPr>
          <w:rFonts w:ascii="Arial" w:cs="Arial" w:eastAsia="Arial" w:hAnsi="Arial"/>
          <w:sz w:val="22"/>
          <w:szCs w:val="22"/>
          <w:color w:val="auto"/>
        </w:rPr>
      </w:pPr>
    </w:p>
    <w:p>
      <w:pPr>
        <w:ind w:left="1300" w:hanging="644"/>
        <w:spacing w:after="0" w:line="247" w:lineRule="auto"/>
        <w:tabs>
          <w:tab w:leader="none" w:pos="1169"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charges, losses or expenses covered by business interruption insurance to the extent proceeds from such business interruption insurance have been received in cash or, so long as such amount is reasonably expected to be received in a subsequent period and within 365 days from the date of the underlying charges, losses or expenses, to the extent not already included in Consolidated Net Income;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if such amount is not so reimbursed within such 365-day period, such expenses or losses shall be subtracted in the subsequent period and (y) if such amount is reimbursed or received in a subsequent period, such amount shall not be included in calculating Consolidated Net Income in such subsequent period;</w:t>
      </w:r>
    </w:p>
    <w:p>
      <w:pPr>
        <w:spacing w:after="0" w:line="153" w:lineRule="exact"/>
        <w:rPr>
          <w:rFonts w:ascii="Arial" w:cs="Arial" w:eastAsia="Arial" w:hAnsi="Arial"/>
          <w:sz w:val="19"/>
          <w:szCs w:val="19"/>
          <w:color w:val="auto"/>
        </w:rPr>
      </w:pPr>
    </w:p>
    <w:p>
      <w:pPr>
        <w:jc w:val="both"/>
        <w:ind w:left="1300" w:hanging="644"/>
        <w:spacing w:after="0" w:line="223" w:lineRule="auto"/>
        <w:tabs>
          <w:tab w:leader="none" w:pos="1264"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net loss included in the consolidated financial statements due to the application of Financial Accounting Standards No. 160 “Non-controlling Interests in Consolidated Financial Statements” (“</w:t>
      </w:r>
      <w:r>
        <w:rPr>
          <w:rFonts w:ascii="Arial" w:cs="Arial" w:eastAsia="Arial" w:hAnsi="Arial"/>
          <w:sz w:val="22"/>
          <w:szCs w:val="22"/>
          <w:u w:val="single" w:color="auto"/>
          <w:color w:val="auto"/>
        </w:rPr>
        <w:t>FAS 160</w:t>
      </w:r>
      <w:r>
        <w:rPr>
          <w:rFonts w:ascii="Arial" w:cs="Arial" w:eastAsia="Arial" w:hAnsi="Arial"/>
          <w:sz w:val="22"/>
          <w:szCs w:val="22"/>
          <w:color w:val="auto"/>
        </w:rPr>
        <w:t>”) (Accounting Standards Codification Topic 810);</w:t>
      </w:r>
    </w:p>
    <w:p>
      <w:pPr>
        <w:spacing w:after="0" w:line="158" w:lineRule="exact"/>
        <w:rPr>
          <w:rFonts w:ascii="Arial" w:cs="Arial" w:eastAsia="Arial" w:hAnsi="Arial"/>
          <w:sz w:val="22"/>
          <w:szCs w:val="22"/>
          <w:color w:val="auto"/>
        </w:rPr>
      </w:pPr>
    </w:p>
    <w:p>
      <w:pPr>
        <w:ind w:left="1300" w:hanging="644"/>
        <w:spacing w:after="0" w:line="232" w:lineRule="auto"/>
        <w:tabs>
          <w:tab w:leader="none" w:pos="1094"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amount of any minority interest expense consisting of Subsidiary income attributable to minority equity interests of third parties in any non-wholly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87" w:name="page88"/>
    <w:bookmarkEnd w:id="87"/>
    <w:p>
      <w:pPr>
        <w:ind w:left="1300"/>
        <w:spacing w:after="0" w:line="232" w:lineRule="auto"/>
        <w:rPr>
          <w:sz w:val="20"/>
          <w:szCs w:val="20"/>
          <w:color w:val="auto"/>
        </w:rPr>
      </w:pPr>
      <w:r>
        <w:rPr>
          <w:rFonts w:ascii="Arial" w:cs="Arial" w:eastAsia="Arial" w:hAnsi="Arial"/>
          <w:sz w:val="22"/>
          <w:szCs w:val="22"/>
          <w:color w:val="auto"/>
        </w:rPr>
        <w:t>Subsidiary and any minority income consisting of Subsidiary loss attributable to minority equity interests of third parties in any non-wholly owned Subsidiary;</w:t>
      </w:r>
    </w:p>
    <w:p>
      <w:pPr>
        <w:spacing w:after="0" w:line="159" w:lineRule="exact"/>
        <w:rPr>
          <w:sz w:val="20"/>
          <w:szCs w:val="20"/>
          <w:color w:val="auto"/>
        </w:rPr>
      </w:pPr>
    </w:p>
    <w:p>
      <w:pPr>
        <w:ind w:left="1300" w:hanging="644"/>
        <w:spacing w:after="0" w:line="220" w:lineRule="auto"/>
        <w:tabs>
          <w:tab w:leader="none" w:pos="1213" w:val="left"/>
        </w:tabs>
        <w:numPr>
          <w:ilvl w:val="0"/>
          <w:numId w:val="44"/>
        </w:numPr>
        <w:rPr>
          <w:rFonts w:ascii="Arial" w:cs="Arial" w:eastAsia="Arial" w:hAnsi="Arial"/>
          <w:sz w:val="21"/>
          <w:szCs w:val="21"/>
          <w:color w:val="auto"/>
        </w:rPr>
      </w:pPr>
      <w:r>
        <w:rPr>
          <w:rFonts w:ascii="Arial" w:cs="Arial" w:eastAsia="Arial" w:hAnsi="Arial"/>
          <w:sz w:val="21"/>
          <w:szCs w:val="21"/>
          <w:color w:val="auto"/>
        </w:rPr>
        <w:t>non-cash charges, costs, expenses, accruals or reserves for any management equity plan, supplemental executive retirement plan or stock option plan or other type of compensatory plan for the benefit of officers, directors or employees and any non-cash deemed finance charges in respect of any pension liabilities or other provisions or on the re-valuation of any benefit plan obligation (and, without duplication, costs or expenses incurred by Holdings or any Restricted Subsidiary pursuant to any management equity plan, pension plan, stock option plan or distributor equity plan or any other management or employee benefit plan or agreement or any stock subscription or shareholder agreement, to the extent that such cost or expenses are funded with cash proceeds contributed to the capital of Holdings and contributed to the Borrower or net cash proceeds of an issuance of Qualified Equity Interests of Holdings to the extent contributed to the Borrower (in each case, except to the extent comprising any Cure Amount)); and</w:t>
      </w:r>
    </w:p>
    <w:p>
      <w:pPr>
        <w:spacing w:after="0" w:line="162" w:lineRule="exact"/>
        <w:rPr>
          <w:rFonts w:ascii="Arial" w:cs="Arial" w:eastAsia="Arial" w:hAnsi="Arial"/>
          <w:sz w:val="21"/>
          <w:szCs w:val="21"/>
          <w:color w:val="auto"/>
        </w:rPr>
      </w:pPr>
    </w:p>
    <w:p>
      <w:pPr>
        <w:ind w:left="1300" w:hanging="644"/>
        <w:spacing w:after="0" w:line="212" w:lineRule="auto"/>
        <w:tabs>
          <w:tab w:leader="none" w:pos="1167"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non-cash effects of purchase accounting or similar adjustments required or permitted by GAAP in connection with the Transactions, any Permitted Acquisitions or Investments permitted under </w:t>
      </w:r>
      <w:r>
        <w:rPr>
          <w:rFonts w:ascii="Arial" w:cs="Arial" w:eastAsia="Arial" w:hAnsi="Arial"/>
          <w:sz w:val="22"/>
          <w:szCs w:val="22"/>
          <w:u w:val="single" w:color="auto"/>
          <w:color w:val="auto"/>
        </w:rPr>
        <w:t>Section 6.04</w:t>
      </w:r>
      <w:r>
        <w:rPr>
          <w:rFonts w:ascii="Arial" w:cs="Arial" w:eastAsia="Arial" w:hAnsi="Arial"/>
          <w:sz w:val="22"/>
          <w:szCs w:val="22"/>
          <w:color w:val="auto"/>
        </w:rPr>
        <w:t>, including adjustments to inventory, property and equipment, software and other intangible assets and deferred revenue in component amounts required or permitted by GAAP and related authoritative pronouncements (including the effects of such adjustments pushed down to the Borrower and the Restricted Subsidiaries), as a result of any consummated acquisition, or the amortization or write-off of any amounts thereof (including any write-off of in process research and development); and</w:t>
      </w:r>
    </w:p>
    <w:p>
      <w:pPr>
        <w:spacing w:after="0" w:line="163" w:lineRule="exact"/>
        <w:rPr>
          <w:rFonts w:ascii="Arial" w:cs="Arial" w:eastAsia="Arial" w:hAnsi="Arial"/>
          <w:sz w:val="22"/>
          <w:szCs w:val="22"/>
          <w:color w:val="auto"/>
        </w:rPr>
      </w:pPr>
    </w:p>
    <w:p>
      <w:pPr>
        <w:ind w:left="1300" w:hanging="644"/>
        <w:spacing w:after="0" w:line="232" w:lineRule="auto"/>
        <w:tabs>
          <w:tab w:leader="none" w:pos="1177"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impact of changes in foreign currency translation rates on the valuation of deferred revenue on the balance sheet of the Borrower and its Restricted Subsidiaries.</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addition, to the extent not already included in the Consolidated Net Income of such Person and its Restricted Subsidiaries, notwithstanding anything to the contrary in the foregoing, Consolidated Net Income shall exclude, solely for the purpose of determining the Available Amount (and any corresponding definition thereof), any net income (loss) of any Restricted Subsidiary (other than the Loan Parties) if such Restricted Subsidiary is subject to restrictions, directly or indirectly, on the payment of dividends or the making of distributions by such Restricted Subsidiary, directly or indirectly, to any Loan Party by operation of the terms of such Restricted Subsidiary’s charter or any agreement, instrument, judgment, decree, order, statute or governmental rule or regulation applicable to such Restricted Subsidiary or its shareholders (other than (a) restrictions that have been waived or otherwise released, (b) restrictions pursuant to this Agreement, the Second Lien Credit Agreement, or any agreement evidencing Additional Debt, Second Lien Loans, or Indebtedness incurred as a Permitted Refinancing of any of the foregoing and (c) restrictions arising pursuant to an agreement or instrument if the encumbrances and restrictions contained in any such agreement or instrument taken as a whole are not materially less favorable to the Secured Parties than the encumbrances and restrictions contained in the Loan Documents (as determined by the Borrower in good faith)), except that the Borrower’s equity in the net income of any such Restricted Subsidiary for such period will be included in such Consolidated Net Income up to the aggregate amount of cash or Cash Equivalents actually distributed or that could have been distributed by such Restricted Subsidiary during such period to the Borrower or another Restricted Subsidiary as a dividend or other distribution (subject, in the case of a dividend to another Restricted Subsidiary, to the limitation contained in this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88" w:name="page89"/>
    <w:bookmarkEnd w:id="88"/>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Assets</w:t>
      </w:r>
      <w:r>
        <w:rPr>
          <w:rFonts w:ascii="Arial" w:cs="Arial" w:eastAsia="Arial" w:hAnsi="Arial"/>
          <w:sz w:val="21"/>
          <w:szCs w:val="21"/>
          <w:color w:val="auto"/>
        </w:rPr>
        <w:t>” means, as of any date of determination, the amount that would, in conformity with GAAP, be set forth opposite the caption “total assets” (or any like caption) on the most recent consolidated balance sheet of the Borrower and the Restricted Subsidiaries on a Pro Forma Basis as of the Applicable Date of Determination.</w:t>
      </w:r>
    </w:p>
    <w:p>
      <w:pPr>
        <w:spacing w:after="0" w:line="158"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Working Capital</w:t>
      </w:r>
      <w:r>
        <w:rPr>
          <w:rFonts w:ascii="Arial" w:cs="Arial" w:eastAsia="Arial" w:hAnsi="Arial"/>
          <w:sz w:val="19"/>
          <w:szCs w:val="19"/>
          <w:color w:val="auto"/>
        </w:rPr>
        <w:t xml:space="preserve">” means, at any date, the excess (which may be a negative number) of (a) the sum of all amounts (other than cash and Cash Equivalents) that would, in conformity with GAAP, be set forth opposite the caption “total current assets” (or any like caption) on a consolidated balance sheet of the Borrower and the Restricted Subsidiaries at such date excluding the current portion of current and deferred income taxes, deferred financing fees and assets held for sale over (b) the sum of all amounts that would, in conformity with GAAP, be set forth opposite the caption “total current liabilities” (or any like caption) on a consolidated balance sheet of the Borrower and the Restricted Subsidiaries on such date, including deferred revenue but excluding, without duplication, (i) the current portion of any long term debt and all revolving loans, (ii) all Indebtedness consisting of Loans and LC Exposure and Capital Lease Obligations to the extent otherwise included therein, (iii) the current portion of interest payable and (iv) the current portion of current and deferred income taxes;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Consolidated Working Capital shall be calculated without giving effect to (v) the depreciation of the Dollar relative to other foreign currencies, (w) purchase accounting, (x) any assets or liabilities acquired, assumed, sold or transferred in any Acquisition or Disposition pursuant to </w:t>
      </w:r>
      <w:r>
        <w:rPr>
          <w:rFonts w:ascii="Arial" w:cs="Arial" w:eastAsia="Arial" w:hAnsi="Arial"/>
          <w:sz w:val="19"/>
          <w:szCs w:val="19"/>
          <w:u w:val="single" w:color="auto"/>
          <w:color w:val="auto"/>
        </w:rPr>
        <w:t>Section 6.05(j)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6.05(y)</w:t>
      </w:r>
      <w:r>
        <w:rPr>
          <w:rFonts w:ascii="Arial" w:cs="Arial" w:eastAsia="Arial" w:hAnsi="Arial"/>
          <w:sz w:val="19"/>
          <w:szCs w:val="19"/>
          <w:color w:val="auto"/>
        </w:rPr>
        <w:t>, (y) as a result of the reclassification of items from short-term to long-term and vice versa or (z) changes to Consolidated Working Capital resulting from non-cash charges and credits to consolidated current assets and consolidated current liabilities (including derivatives and deferred income tax).</w:t>
      </w:r>
    </w:p>
    <w:p>
      <w:pPr>
        <w:spacing w:after="0" w:line="16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The terms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Investment Affiliate</w:t>
      </w:r>
      <w:r>
        <w:rPr>
          <w:rFonts w:ascii="Arial" w:cs="Arial" w:eastAsia="Arial" w:hAnsi="Arial"/>
          <w:sz w:val="22"/>
          <w:szCs w:val="22"/>
          <w:color w:val="auto"/>
        </w:rPr>
        <w:t>” means, as to any Person, any other Person which directly or indirectly is in Control of, is Controlled by, or is under common Control with, such Person and is organized by such Person (or any person Controlling such person) primarily for making equity or debt investments, directly or indirectly, in Holdings or other portfolio companies of such Person.</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 Refinanced Debt</w:t>
      </w:r>
      <w:r>
        <w:rPr>
          <w:rFonts w:ascii="Arial" w:cs="Arial" w:eastAsia="Arial" w:hAnsi="Arial"/>
          <w:sz w:val="22"/>
          <w:szCs w:val="22"/>
          <w:color w:val="auto"/>
        </w:rPr>
        <w:t>” has the meaning assigned to such term in the definition of “Credit Agreement Refinancing Indebtedness.”</w:t>
      </w:r>
    </w:p>
    <w:p>
      <w:pPr>
        <w:spacing w:after="0" w:line="15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Agreement Refinancing Indebtedness</w:t>
      </w:r>
      <w:r>
        <w:rPr>
          <w:rFonts w:ascii="Arial" w:cs="Arial" w:eastAsia="Arial" w:hAnsi="Arial"/>
          <w:sz w:val="19"/>
          <w:szCs w:val="19"/>
          <w:color w:val="auto"/>
        </w:rPr>
        <w:t xml:space="preserve"> ” means (a) Permitted First Priority Replacement Debt, (b) Permitted Second Priority Replacement Debt, (c) Permitted Unsecured Replacement Debt, and/or (d) Other Term Loans or Other Revolving Commitments (including the corresponding Other Revolving Loans incurred pursuant to such Other Revolving Commitments) obtained pursuant to a Refinancing Amendment, in each case, issued, incurred or obtained (in each case including by means of the extension or renewal of existing Indebtedness) in exchange for, or to extend, renew, replace, restructure or refinance, in whole or in part, any or all Classes of then existing Term Loans, Revolving Loans or Revolving Commitments (in each case including any successive Credit Agreement Refinancing Indebtedness) (the “</w:t>
      </w:r>
      <w:r>
        <w:rPr>
          <w:rFonts w:ascii="Arial" w:cs="Arial" w:eastAsia="Arial" w:hAnsi="Arial"/>
          <w:sz w:val="19"/>
          <w:szCs w:val="19"/>
          <w:u w:val="single" w:color="auto"/>
          <w:color w:val="auto"/>
        </w:rPr>
        <w:t>Credit Agreement Refinanced Debt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 subject to </w:t>
      </w:r>
      <w:r>
        <w:rPr>
          <w:rFonts w:ascii="Arial" w:cs="Arial" w:eastAsia="Arial" w:hAnsi="Arial"/>
          <w:sz w:val="19"/>
          <w:szCs w:val="19"/>
          <w:u w:val="single" w:color="auto"/>
          <w:color w:val="auto"/>
        </w:rPr>
        <w:t>Section 1.06(b)</w:t>
      </w:r>
      <w:r>
        <w:rPr>
          <w:rFonts w:ascii="Arial" w:cs="Arial" w:eastAsia="Arial" w:hAnsi="Arial"/>
          <w:sz w:val="19"/>
          <w:szCs w:val="19"/>
          <w:color w:val="auto"/>
        </w:rPr>
        <w:t>, such Credit Agreement Refinancing Indebtedness (including, if such Credit Agreement Refinancing Indebtedness includes any Other Revolving Commitments, such Other Revolving Commitments) is in an original aggregate principal amount not greater than the aggregate principal amount of the Credit Agreement Refinanced Debt (including, in the case of Credit Agreement Refinanced Debt consisting, in whole or in part, of Revolving Commitments or Other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89" w:name="page90"/>
    <w:bookmarkEnd w:id="89"/>
    <w:p>
      <w:pPr>
        <w:jc w:val="both"/>
        <w:spacing w:after="0"/>
        <w:rPr>
          <w:sz w:val="20"/>
          <w:szCs w:val="20"/>
          <w:color w:val="auto"/>
        </w:rPr>
      </w:pPr>
      <w:r>
        <w:rPr>
          <w:rFonts w:ascii="Arial" w:cs="Arial" w:eastAsia="Arial" w:hAnsi="Arial"/>
          <w:sz w:val="19"/>
          <w:szCs w:val="19"/>
          <w:color w:val="auto"/>
        </w:rPr>
        <w:t xml:space="preserve">Commitments, the amount thereof) plus any other Indebtedness that could otherwise be (A) incurred hereunder (subject to a dollar-for-dollar usage of any basket (other than any basket that provides for Credit Agreement Refinancing Indebtedness) set forth in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 and (B) if such Indebtedness is secured, subject to a dollar-for-dollar usage of any basket (other than any basket that provides for Liens on Credit Agreement Refinancing Indebtedness) set forth in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 plus premiums and accrued and unpaid interest, fees and expenses in respect thereof plus other reasonable costs, fees and expenses (including reasonable upfront fees and original issue discount) incurred in connection with such Credit Agreement Refinancing Indebtedness, (v) such Credit Agreement Refinancing Indebtedness (A) does not mature prior to the maturity date of and, except in the case of Other Revolving Commitments, has a Weighted Average Life to Maturity equal to or longer than the Weighted Average Life to Maturity at such time of the corresponding Class of Credit Agreement Refinanced Debt (without giving effect to nominal amortization for periods where amortization has been eliminated as a result of a prepayment of the applicable Credit Agreement Refinanced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shall not apply to the extent such Credit Agreement Refinancing Indebtedness consists of Other Term Loans constituting Subject Indebtedness incurred in reliance on the Maturity Limitation Excluded Amount, and (B) in the case of any Refinancing Notes, shall not be subject to any amortization prior to final maturity or mandatory prepayment provisions (other than related to customary asset sale, similar events and change of control offers) that would result in mandatory prepayment of such notes being refinanced (it being understood that the Borrower shall be permitted to prepay or offer to purchase any senior secured Credit Agreement Refinancing Indebtedness in the form of notes secured on a pari passu basis), (w) such Credit Agreement Refinancing Indebtedness shall not be incurred or Guaranteed by any Person that did not incur or Guarantee such Credit Agreement Refinanced Debt, (x) such Credit Agreement Refinanced Debt shall be repaid, defeased or satisfied and discharged, and all accrued and unpaid interest, fees then due and premiums (if any) in connection therewith shall be paid substantially contemporaneously with the incurrence of the Credit Agreement Refinancing Indebtedness and (y) if such Credit Agreement Refinancing Indebtedness is Permitted First Priority Replacement Debt, Permitted Second Priority Replacement Debt and/or Permitted Unsecured Replacement Debt, in each case, that replaces or refinances any Credit Facility or any Incremental Credit Facility in its entirety, the terms and conditions applicable thereto (other than, for the avoidance of doubt pricing and optional repayment or redemption terms), shall either, at the option of the Borrower, (I) in the case of Credit Agreement Refinancing Indebtedness that is Permitted First Priority Replacement Debt, reflect market terms and conditions at the time of incurrence or effectiveness (as determined by the Borrower in good faith) or (II) be no more favorable in any material respect to the lenders providing such Indebtedness than those under the Loan Documents (as reasonably determined by the Borrower and the Administrative Agent in good faith) (other than, for the avoidance of doubt, covenants or other provisions applicable only after the Latest Maturity Date at the time such Credit Agreement Refinancing Indebtedness is incurred or issued), unless such terms and conditions are also added for the benefit of the Lenders under the Loan Documents. For the avoidance of doubt, (I) Credit Agreement Refinancing Indebtedness consisting of Other Term Loans or Other Revolving Commitments (including the corresponding Other Revolving Loans incurred pursuant to such Other Revolving Commitments) shall be subject to the requirements set forth in </w:t>
      </w:r>
      <w:r>
        <w:rPr>
          <w:rFonts w:ascii="Arial" w:cs="Arial" w:eastAsia="Arial" w:hAnsi="Arial"/>
          <w:sz w:val="19"/>
          <w:szCs w:val="19"/>
          <w:u w:val="single" w:color="auto"/>
          <w:color w:val="auto"/>
        </w:rPr>
        <w:t>Section 2.21</w:t>
      </w:r>
      <w:r>
        <w:rPr>
          <w:rFonts w:ascii="Arial" w:cs="Arial" w:eastAsia="Arial" w:hAnsi="Arial"/>
          <w:sz w:val="19"/>
          <w:szCs w:val="19"/>
          <w:color w:val="auto"/>
        </w:rPr>
        <w:t>, and (II) to the extent that such Credit Agreement Refinanced Debt consists, in whole or in part, of (A) Revolving Commitments or Other Revolving Commitments, such Revolving Commitments or Other Revolving Commitments or (B) Revolving Loans or Other Revolving Loans, the corresponding Revolving Commitments or Other Revolving Commitments, in each case, shall be terminated, and all accrued fees in connection therewith shall be paid substantially contemporaneously with the incurrence of the Credit Agreement Refinancing Indebtedness.</w:t>
      </w:r>
    </w:p>
    <w:p>
      <w:pPr>
        <w:spacing w:after="0" w:line="3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Event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Facility</w:t>
      </w:r>
      <w:r>
        <w:rPr>
          <w:rFonts w:ascii="Arial" w:cs="Arial" w:eastAsia="Arial" w:hAnsi="Arial"/>
          <w:sz w:val="22"/>
          <w:szCs w:val="22"/>
          <w:color w:val="auto"/>
        </w:rPr>
        <w:t>” means the Term Loans and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90" w:name="page91"/>
    <w:bookmarkEnd w:id="9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Amount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Right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u w:val="single" w:color="auto"/>
          <w:color w:val="0000FF"/>
        </w:rPr>
        <w:t>“Daily Simple SOFR” means, for any day (a “SOFR Rate Day”), a rate per annum equal to the greater of (a) SOFR for the day (such day the “SOFR Determination Date”) that is five Business Days (or such other period as determined by the Borrower and the Administrative Agent based on then prevailing market conventions) prior to (i) if such SOFR Rate Day is a Business Day, such SOFR Rate Day or (ii) if such SOFR Rate Day is not a Business Day, the Business Day immediately preceding such SOFR Rate Day, and (b) the Applicable Term SOFR Floor. If by 5:00 p.m. (New York City time) on the second Business Day immediately following any SOFR Determination Date, the SOFR in respect of such SOFR Determination Date has not been published on the Federal Reserve Bank of New York’s Website and a Replacement Event with respect to the Daily Simple SOFR has not occurred, then the SOFR for such SOFR Determination Date will be the SOFR as published in respect of the first preceding Business Day for which such SOFR was published on the Federal Reserve Bank of New York’s Website; provided that any SOFR determined pursuant to this sentence shall be utilized for purposes of calculation of Daily Simple SOFR for no more than five consecutive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-764540</wp:posOffset>
            </wp:positionV>
            <wp:extent cx="304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30480" cy="8255"/>
                    </a:xfrm>
                    <a:prstGeom prst="rect">
                      <a:avLst/>
                    </a:prstGeom>
                    <a:noFill/>
                  </pic:spPr>
                </pic:pic>
              </a:graphicData>
            </a:graphic>
          </wp:anchor>
        </w:drawing>
      </w:r>
    </w:p>
    <w:p>
      <w:pPr>
        <w:spacing w:after="0" w:line="36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u w:val="single" w:color="auto"/>
          <w:color w:val="0000FF"/>
        </w:rPr>
        <w:t>“Daily SOFR Loan” means any Loan bearing interest at a rate determined by reference to Daily Simple SOFR and made pursuant to clause (a)(ii) of the definition of “Term SOFR” or Section 2.14 (</w:t>
      </w:r>
      <w:r>
        <w:rPr>
          <w:rFonts w:ascii="Arial" w:cs="Arial" w:eastAsia="Arial" w:hAnsi="Arial"/>
          <w:sz w:val="21"/>
          <w:szCs w:val="21"/>
          <w:i w:val="1"/>
          <w:iCs w:val="1"/>
          <w:u w:val="single" w:color="auto"/>
          <w:color w:val="0000FF"/>
        </w:rPr>
        <w:t>Alternate Rate of Interest</w:t>
      </w:r>
      <w:r>
        <w:rPr>
          <w:rFonts w:ascii="Arial" w:cs="Arial" w:eastAsia="Arial" w:hAnsi="Arial"/>
          <w:sz w:val="21"/>
          <w:szCs w:val="21"/>
          <w:u w:val="single" w:color="auto"/>
          <w:color w:val="0000FF"/>
        </w:rPr>
        <w:t>).</w:t>
      </w:r>
    </w:p>
    <w:p>
      <w:pPr>
        <w:spacing w:after="0" w:line="15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Debtor Relief Laws</w:t>
      </w:r>
      <w:r>
        <w:rPr>
          <w:rFonts w:ascii="Arial" w:cs="Arial" w:eastAsia="Arial" w:hAnsi="Arial"/>
          <w:sz w:val="22"/>
          <w:szCs w:val="22"/>
          <w:color w:val="auto"/>
        </w:rPr>
        <w:t>” means the Bankruptcy Code and all other liquidation, conservatorship, bankruptcy, assignment for the benefit of creditors, moratorium, rearrangement, receivership, examinership, insolvency, reorganization or similar debtor relief laws of the United States or other applicable jurisdictions from time to time in effect and affecting the rights of creditors generally.</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Declined Proceeds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2.11(g)</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xml:space="preserve">” means any event or condition specified in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that after notice, lapse of applicable grace periods or both would, unless cured or waived hereunder, constitute an Event of Default;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spacing w:after="0" w:line="161"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2.22(b)</w:t>
      </w:r>
      <w:r>
        <w:rPr>
          <w:rFonts w:ascii="Arial" w:cs="Arial" w:eastAsia="Arial" w:hAnsi="Arial"/>
          <w:sz w:val="19"/>
          <w:szCs w:val="19"/>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one or more conditions precedent to funding (each of which conditions precedent, together with any applicable default, shall be specifically identified in such writing) not being satisfied, or (ii) pay to the Administrative Agent, any Issuing Bank, or any other Lender any other amount required to be paid by it hereunder (including in respect of its participation in Letters of Credit) within two Business Days of the date when due, (b) has notified the Borrower, the Administrative Agent or any Issuing Bank in writing that it does not intend to comply with its funding obligations hereunder, or has made a public statement to that effect,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receipt of such written confirmation by the Administrative Agent and the Borrower), or</w:t>
      </w:r>
    </w:p>
    <w:p>
      <w:pPr>
        <w:ind w:left="320" w:hanging="312"/>
        <w:spacing w:after="0" w:line="237" w:lineRule="auto"/>
        <w:tabs>
          <w:tab w:leader="none" w:pos="3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has, or has a direct or indirect parent company that has, (i) become the subject of a proceeding under the Bankruptcy Code,</w:t>
      </w:r>
    </w:p>
    <w:p>
      <w:pPr>
        <w:ind w:left="320" w:hanging="312"/>
        <w:spacing w:after="0"/>
        <w:tabs>
          <w:tab w:leader="none" w:pos="3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had appointed for it a receiver, interim receiver, receiver-manager,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91" w:name="page92"/>
    <w:bookmarkEnd w:id="91"/>
    <w:p>
      <w:pPr>
        <w:jc w:val="both"/>
        <w:spacing w:after="0" w:line="243" w:lineRule="auto"/>
        <w:rPr>
          <w:sz w:val="20"/>
          <w:szCs w:val="20"/>
          <w:color w:val="auto"/>
        </w:rPr>
      </w:pPr>
      <w:r>
        <w:rPr>
          <w:rFonts w:ascii="Arial" w:cs="Arial" w:eastAsia="Arial" w:hAnsi="Arial"/>
          <w:sz w:val="19"/>
          <w:szCs w:val="19"/>
          <w:color w:val="auto"/>
        </w:rPr>
        <w:t xml:space="preserve">custodian, conservator, trustee, administrator, assignee for the benefit of creditors or similar Person charged with reorganization or liquidation of its business or assets (other than via an Undisclosed Administration), including the Federal Deposit Insurance Corporation or any other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made in good faith by the Administrative Agent that a Lender is a Defaulting Lender under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shall be conclusive and binding absent manifest error, and such Lender shall be deemed to be a Defaulting Lender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2.22(b)</w:t>
      </w:r>
      <w:r>
        <w:rPr>
          <w:rFonts w:ascii="Arial" w:cs="Arial" w:eastAsia="Arial" w:hAnsi="Arial"/>
          <w:sz w:val="19"/>
          <w:szCs w:val="19"/>
          <w:color w:val="auto"/>
        </w:rPr>
        <w:t>) upon delivery of written notice of such determination to the Borrower, each of the Issuing Banks and each Lender.</w:t>
      </w:r>
    </w:p>
    <w:p>
      <w:pPr>
        <w:spacing w:after="0" w:line="15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Non-Cash Consideration</w:t>
      </w:r>
      <w:r>
        <w:rPr>
          <w:rFonts w:ascii="Arial" w:cs="Arial" w:eastAsia="Arial" w:hAnsi="Arial"/>
          <w:sz w:val="21"/>
          <w:szCs w:val="21"/>
          <w:color w:val="auto"/>
        </w:rPr>
        <w:t xml:space="preserve">” means the fair market value (as determined in good faith by the Borrower) of non-cash consideration received by the Borrower or one of the Restricted Subsidiaries in connection with a Disposition that is so designated as Designated Non-Cash Consideration pursuant to an officer’s certificate, setting forth the basis of such valuation,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Arial" w:cs="Arial" w:eastAsia="Arial" w:hAnsi="Arial"/>
          <w:sz w:val="21"/>
          <w:szCs w:val="21"/>
          <w:u w:val="single" w:color="auto"/>
          <w:color w:val="auto"/>
        </w:rPr>
        <w:t>Section 6.05</w:t>
      </w:r>
      <w:r>
        <w:rPr>
          <w:rFonts w:ascii="Arial" w:cs="Arial" w:eastAsia="Arial" w:hAnsi="Arial"/>
          <w:sz w:val="21"/>
          <w:szCs w:val="21"/>
          <w:color w:val="auto"/>
        </w:rPr>
        <w: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Disclosed Matters</w:t>
      </w:r>
      <w:r>
        <w:rPr>
          <w:rFonts w:ascii="Arial" w:cs="Arial" w:eastAsia="Arial" w:hAnsi="Arial"/>
          <w:sz w:val="21"/>
          <w:szCs w:val="21"/>
          <w:color w:val="auto"/>
        </w:rPr>
        <w:t>” means the actions, suits and proceedings and the environmental matters disclosed on</w:t>
      </w:r>
    </w:p>
    <w:p>
      <w:pPr>
        <w:spacing w:after="0"/>
        <w:rPr>
          <w:sz w:val="20"/>
          <w:szCs w:val="20"/>
          <w:color w:val="auto"/>
        </w:rPr>
      </w:pPr>
      <w:r>
        <w:rPr>
          <w:rFonts w:ascii="Arial" w:cs="Arial" w:eastAsia="Arial" w:hAnsi="Arial"/>
          <w:sz w:val="22"/>
          <w:szCs w:val="22"/>
          <w:u w:val="single" w:color="auto"/>
          <w:color w:val="auto"/>
        </w:rPr>
        <w:t>Schedule 3.06</w:t>
      </w:r>
      <w:r>
        <w:rPr>
          <w:rFonts w:ascii="Arial" w:cs="Arial" w:eastAsia="Arial" w:hAnsi="Arial"/>
          <w:sz w:val="22"/>
          <w:szCs w:val="22"/>
          <w:color w:val="auto"/>
        </w:rPr>
        <w:t>.</w:t>
      </w:r>
    </w:p>
    <w:p>
      <w:pPr>
        <w:spacing w:after="0" w:line="161"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Disposition</w:t>
      </w:r>
      <w:r>
        <w:rPr>
          <w:rFonts w:ascii="Arial" w:cs="Arial" w:eastAsia="Arial" w:hAnsi="Arial"/>
          <w:sz w:val="22"/>
          <w:szCs w:val="22"/>
          <w:color w:val="auto"/>
        </w:rPr>
        <w:t>” or “</w:t>
      </w:r>
      <w:r>
        <w:rPr>
          <w:rFonts w:ascii="Arial" w:cs="Arial" w:eastAsia="Arial" w:hAnsi="Arial"/>
          <w:sz w:val="22"/>
          <w:szCs w:val="22"/>
          <w:u w:val="single" w:color="auto"/>
          <w:color w:val="auto"/>
        </w:rPr>
        <w:t>Dispose</w:t>
      </w:r>
      <w:r>
        <w:rPr>
          <w:rFonts w:ascii="Arial" w:cs="Arial" w:eastAsia="Arial" w:hAnsi="Arial"/>
          <w:sz w:val="22"/>
          <w:szCs w:val="22"/>
          <w:color w:val="auto"/>
        </w:rPr>
        <w:t xml:space="preserve">” means the sale, transfer, license, lease (as lessor) or other disposition (including any Sale Leaseback transaction) of any property by any Person, including any sale, assignment, transfer or other disposal, with or without recourse, of any Equity Interests owned by such Person, or any notes or accounts receivable or any rights and claims associated therewith;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t>
      </w:r>
      <w:r>
        <w:rPr>
          <w:rFonts w:ascii="Arial" w:cs="Arial" w:eastAsia="Arial" w:hAnsi="Arial"/>
          <w:sz w:val="22"/>
          <w:szCs w:val="22"/>
          <w:u w:val="single" w:color="auto"/>
          <w:color w:val="auto"/>
        </w:rPr>
        <w:t>Disposition</w:t>
      </w:r>
      <w:r>
        <w:rPr>
          <w:rFonts w:ascii="Arial" w:cs="Arial" w:eastAsia="Arial" w:hAnsi="Arial"/>
          <w:sz w:val="22"/>
          <w:szCs w:val="22"/>
          <w:color w:val="auto"/>
        </w:rPr>
        <w:t xml:space="preserve"> ” and “</w:t>
      </w:r>
      <w:r>
        <w:rPr>
          <w:rFonts w:ascii="Arial" w:cs="Arial" w:eastAsia="Arial" w:hAnsi="Arial"/>
          <w:sz w:val="22"/>
          <w:szCs w:val="22"/>
          <w:u w:val="single" w:color="auto"/>
          <w:color w:val="auto"/>
        </w:rPr>
        <w:t>Dispose</w:t>
      </w:r>
      <w:r>
        <w:rPr>
          <w:rFonts w:ascii="Arial" w:cs="Arial" w:eastAsia="Arial" w:hAnsi="Arial"/>
          <w:sz w:val="22"/>
          <w:szCs w:val="22"/>
          <w:color w:val="auto"/>
        </w:rPr>
        <w:t xml:space="preserve">” shall be deemed not to include any issuance or sale by such Person of its Equity Interests or other securities to another Person, except for purposes of </w:t>
      </w:r>
      <w:r>
        <w:rPr>
          <w:rFonts w:ascii="Arial" w:cs="Arial" w:eastAsia="Arial" w:hAnsi="Arial"/>
          <w:sz w:val="22"/>
          <w:szCs w:val="22"/>
          <w:u w:val="single" w:color="auto"/>
          <w:color w:val="auto"/>
        </w:rPr>
        <w:t>Section 2.11(c)</w:t>
      </w:r>
      <w:r>
        <w:rPr>
          <w:rFonts w:ascii="Arial" w:cs="Arial" w:eastAsia="Arial" w:hAnsi="Arial"/>
          <w:sz w:val="22"/>
          <w:szCs w:val="22"/>
          <w:color w:val="auto"/>
        </w:rPr>
        <w:t xml:space="preserve"> and the definition of “Prepayment Event”, where the term “Disposition” and “Dispose” shall include any issuance or sale by a Restricted Subsidiary of Equity Interests.</w:t>
      </w:r>
    </w:p>
    <w:p>
      <w:pPr>
        <w:spacing w:after="0" w:line="164"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Disqualified Equity Interests</w:t>
      </w:r>
      <w:r>
        <w:rPr>
          <w:rFonts w:ascii="Arial" w:cs="Arial" w:eastAsia="Arial" w:hAnsi="Arial"/>
          <w:sz w:val="21"/>
          <w:szCs w:val="21"/>
          <w:color w:val="auto"/>
        </w:rPr>
        <w:t xml:space="preserve">” means Equity Interests that by their terms (or by the terms of any security into which they are convertible or for which they are exchangeable) (a) require the payment of any cash dividends (other than dividends payable solely in shares of Qualified Equity Interests), (b) mature or are mandatorily redeemable or subject to mandatory repurchase or redemption or repurchase at the option of the holders thereof, in whole or in part and whether upon the occurrence of any event, pursuant to a sinking fund obligation, on a fixed date or otherwise, prior to the date that is 91 days after the then Latest Maturity Date at such time of then outstanding Loans (other than (i) upon payment in full of the Obligations (other than contingent indemnification obligations for which no claim has been made), reduction of the LC Exposure to zero and termination of the Commitments or (ii) upon a “change in control”, asset sale, IPO or similar event) or (c) are convertible or exchangeable, automatically or at the option of any holder thereof, into any Indebtedness other than Indebtedness otherwise permitted under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Equity Interests are issued pursuant to a plan for the benefit of employees of any Parent Entity, any Holding Company, the Borrower or any Restricted Subsidiary or by any such plan to such employees, such Equity Interests shall not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92" w:name="page93"/>
    <w:bookmarkEnd w:id="92"/>
    <w:p>
      <w:pPr>
        <w:jc w:val="both"/>
        <w:spacing w:after="0" w:line="247" w:lineRule="auto"/>
        <w:rPr>
          <w:sz w:val="20"/>
          <w:szCs w:val="20"/>
          <w:color w:val="auto"/>
        </w:rPr>
      </w:pPr>
      <w:r>
        <w:rPr>
          <w:rFonts w:ascii="Arial" w:cs="Arial" w:eastAsia="Arial" w:hAnsi="Arial"/>
          <w:sz w:val="21"/>
          <w:szCs w:val="21"/>
          <w:color w:val="auto"/>
        </w:rPr>
        <w:t>Disqualified Equity Interests solely because they may be required to be repurchased by such entity in order to satisfy applicable statutory or regulatory obligations or as a result of such employee’s termination, death or disability.</w:t>
      </w:r>
    </w:p>
    <w:p>
      <w:pPr>
        <w:spacing w:after="0" w:line="151"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Lender</w:t>
      </w:r>
      <w:r>
        <w:rPr>
          <w:rFonts w:ascii="Arial" w:cs="Arial" w:eastAsia="Arial" w:hAnsi="Arial"/>
          <w:sz w:val="19"/>
          <w:szCs w:val="19"/>
          <w:color w:val="auto"/>
        </w:rPr>
        <w:t xml:space="preserve">” means (a) those Persons that are bona fide competitors of Holdings and its Subsidiaries that are identified by the Borrower in writing from time to time (or Affiliates of any such competitors (other than Bona Fide Debt Funds) that are (x) clearly identifiable as Affiliates solely on the basis of similarity of name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have no obligation to carry out due diligence in order to identify such Affiliates) or (y) identified by the Borrower in writing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identification of any such Disqualified Lender after the Closing Date shall become effective three Business Days after delivery to the Administrative Agent;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supplement shall not apply retroactively to disqualify any Person that previously acquired an assignment or participation in any Credit Facility, but shall prevent any such Person from acquiring further Loans or Commitments), (b) those banks, financial institutions and other Persons separately identified by Holdings or any Sponsor to the Administrative Agent prior to August 3, 2018 (and, in each case, such specified entities’ Affiliates that are clearly identifiable as Affiliates solely on the basis of similarity of name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have no obligation to carry out due diligence in order to identify such Affiliates)) and (c) Excluded Affiliates. A list of the Disqualified Lenders shall be provided by the Administrative Agent to a Lender upon its request in connection with an assignment or participation.</w:t>
      </w:r>
    </w:p>
    <w:p>
      <w:pPr>
        <w:spacing w:after="0" w:line="3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Division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Equivalent</w:t>
      </w:r>
      <w:r>
        <w:rPr>
          <w:rFonts w:ascii="Arial" w:cs="Arial" w:eastAsia="Arial" w:hAnsi="Arial"/>
          <w:sz w:val="19"/>
          <w:szCs w:val="19"/>
          <w:color w:val="auto"/>
        </w:rPr>
        <w:t>” means, on any date of determination, (a) with respect to any amount in Dollars, such amount, and (b) with respect to any amount in an Alternative Currency, the equivalent in Dollars of such amount, determined by using the rate of exchange for the purchase of Dollars with respect to such Alternative Currency in the London foreign exchange market at or about 11:00 a.m. London time (or New York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the lawful money of the United States.</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that is incorporated or organized under the laws of the United States, any State thereof or the District of Columbia.</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Dutch Auction</w:t>
      </w:r>
      <w:r>
        <w:rPr>
          <w:rFonts w:ascii="Arial" w:cs="Arial" w:eastAsia="Arial" w:hAnsi="Arial"/>
          <w:sz w:val="22"/>
          <w:szCs w:val="22"/>
          <w:color w:val="auto"/>
        </w:rPr>
        <w:t xml:space="preserve"> ” means an auction (an “</w:t>
      </w:r>
      <w:r>
        <w:rPr>
          <w:rFonts w:ascii="Arial" w:cs="Arial" w:eastAsia="Arial" w:hAnsi="Arial"/>
          <w:sz w:val="22"/>
          <w:szCs w:val="22"/>
          <w:u w:val="single" w:color="auto"/>
          <w:color w:val="auto"/>
        </w:rPr>
        <w:t>Auction</w:t>
      </w:r>
      <w:r>
        <w:rPr>
          <w:rFonts w:ascii="Arial" w:cs="Arial" w:eastAsia="Arial" w:hAnsi="Arial"/>
          <w:sz w:val="22"/>
          <w:szCs w:val="22"/>
          <w:color w:val="auto"/>
        </w:rPr>
        <w:t>”) conducted by Holdings or one or more of its Restricted Subsidiaries (in such capacity, as applicable, the “</w:t>
      </w:r>
      <w:r>
        <w:rPr>
          <w:rFonts w:ascii="Arial" w:cs="Arial" w:eastAsia="Arial" w:hAnsi="Arial"/>
          <w:sz w:val="22"/>
          <w:szCs w:val="22"/>
          <w:u w:val="single" w:color="auto"/>
          <w:color w:val="auto"/>
        </w:rPr>
        <w:t>Auction Party</w:t>
      </w:r>
      <w:r>
        <w:rPr>
          <w:rFonts w:ascii="Arial" w:cs="Arial" w:eastAsia="Arial" w:hAnsi="Arial"/>
          <w:sz w:val="22"/>
          <w:szCs w:val="22"/>
          <w:color w:val="auto"/>
        </w:rPr>
        <w:t>”) in their sole discretion in order to purchase Term Loans in accordance with the following procedures:</w:t>
      </w:r>
    </w:p>
    <w:p>
      <w:pPr>
        <w:spacing w:after="0" w:line="159" w:lineRule="exact"/>
        <w:rPr>
          <w:sz w:val="20"/>
          <w:szCs w:val="20"/>
          <w:color w:val="auto"/>
        </w:rPr>
      </w:pPr>
    </w:p>
    <w:p>
      <w:pPr>
        <w:jc w:val="both"/>
        <w:ind w:left="1300" w:firstLine="652"/>
        <w:spacing w:after="0" w:line="252" w:lineRule="auto"/>
        <w:tabs>
          <w:tab w:leader="none" w:pos="2496"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Notice Procedures</w:t>
      </w:r>
      <w:r>
        <w:rPr>
          <w:rFonts w:ascii="Arial" w:cs="Arial" w:eastAsia="Arial" w:hAnsi="Arial"/>
          <w:sz w:val="19"/>
          <w:szCs w:val="19"/>
          <w:color w:val="auto"/>
        </w:rPr>
        <w:t>. In connection with an Auction, the Auction Party will provide notification to the auction manager (for distribution to the Term Lenders of the relevant Class of Term Loans that are the subject of the Auction (the “</w:t>
      </w:r>
      <w:r>
        <w:rPr>
          <w:rFonts w:ascii="Arial" w:cs="Arial" w:eastAsia="Arial" w:hAnsi="Arial"/>
          <w:sz w:val="19"/>
          <w:szCs w:val="19"/>
          <w:u w:val="single" w:color="auto"/>
          <w:color w:val="auto"/>
        </w:rPr>
        <w:t>Eligible Auction Lenders</w:t>
      </w:r>
      <w:r>
        <w:rPr>
          <w:rFonts w:ascii="Arial" w:cs="Arial" w:eastAsia="Arial" w:hAnsi="Arial"/>
          <w:sz w:val="19"/>
          <w:szCs w:val="19"/>
          <w:color w:val="auto"/>
        </w:rPr>
        <w:t>”) and the Administrative Agent) of the Class and principal amount of Term Loans that will be the subject of the Auction (an “</w:t>
      </w:r>
      <w:r>
        <w:rPr>
          <w:rFonts w:ascii="Arial" w:cs="Arial" w:eastAsia="Arial" w:hAnsi="Arial"/>
          <w:sz w:val="19"/>
          <w:szCs w:val="19"/>
          <w:u w:val="single" w:color="auto"/>
          <w:color w:val="auto"/>
        </w:rPr>
        <w:t>Auction Notice</w:t>
      </w:r>
      <w:r>
        <w:rPr>
          <w:rFonts w:ascii="Arial" w:cs="Arial" w:eastAsia="Arial" w:hAnsi="Arial"/>
          <w:sz w:val="19"/>
          <w:szCs w:val="19"/>
          <w:color w:val="auto"/>
        </w:rPr>
        <w:t>”). Each Auction Notice shall contain (i) the Class of Term Loans that will be the subject of the Auction, (ii) the total cash value of the bid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93" w:name="page94"/>
    <w:bookmarkEnd w:id="93"/>
    <w:p>
      <w:pPr>
        <w:jc w:val="both"/>
        <w:ind w:left="1300"/>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Auction Amount</w:t>
      </w:r>
      <w:r>
        <w:rPr>
          <w:rFonts w:ascii="Arial" w:cs="Arial" w:eastAsia="Arial" w:hAnsi="Arial"/>
          <w:sz w:val="19"/>
          <w:szCs w:val="19"/>
          <w:color w:val="auto"/>
        </w:rPr>
        <w:t>”), in a minimum amount of $1,000,000 with minimum increments of $500,000, (iii) the discount to par, which shall be a range (the “</w:t>
      </w:r>
      <w:r>
        <w:rPr>
          <w:rFonts w:ascii="Arial" w:cs="Arial" w:eastAsia="Arial" w:hAnsi="Arial"/>
          <w:sz w:val="19"/>
          <w:szCs w:val="19"/>
          <w:u w:val="single" w:color="auto"/>
          <w:color w:val="auto"/>
        </w:rPr>
        <w:t>Discount Range</w:t>
      </w:r>
      <w:r>
        <w:rPr>
          <w:rFonts w:ascii="Arial" w:cs="Arial" w:eastAsia="Arial" w:hAnsi="Arial"/>
          <w:sz w:val="19"/>
          <w:szCs w:val="19"/>
          <w:color w:val="auto"/>
        </w:rPr>
        <w:t>”) of percentages of the par principal amount of the Term Loans (</w:t>
      </w:r>
      <w:r>
        <w:rPr>
          <w:rFonts w:ascii="Arial" w:cs="Arial" w:eastAsia="Arial" w:hAnsi="Arial"/>
          <w:sz w:val="19"/>
          <w:szCs w:val="19"/>
          <w:u w:val="single" w:color="auto"/>
          <w:color w:val="auto"/>
        </w:rPr>
        <w:t>i.e.</w:t>
      </w:r>
      <w:r>
        <w:rPr>
          <w:rFonts w:ascii="Arial" w:cs="Arial" w:eastAsia="Arial" w:hAnsi="Arial"/>
          <w:sz w:val="19"/>
          <w:szCs w:val="19"/>
          <w:color w:val="auto"/>
        </w:rPr>
        <w:t xml:space="preserve">, a 5% to 10% Discount Range would represent $50,000 to $100,000 per $1,000,000 principal amount of Term Loans, with a 10% discount being deemed a “higher” discount than 5% for purposes of an Auction) at issue that represents the discounts applied to calculate the range of purchase prices that could be paid in the Auction;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Discount Range may, at the option of the Auction Party, be a single percentage,</w:t>
      </w:r>
    </w:p>
    <w:p>
      <w:pPr>
        <w:spacing w:after="0" w:line="3" w:lineRule="exact"/>
        <w:rPr>
          <w:sz w:val="20"/>
          <w:szCs w:val="20"/>
          <w:color w:val="auto"/>
        </w:rPr>
      </w:pPr>
    </w:p>
    <w:p>
      <w:pPr>
        <w:jc w:val="both"/>
        <w:ind w:left="1300" w:firstLine="4"/>
        <w:spacing w:after="0" w:line="247" w:lineRule="auto"/>
        <w:tabs>
          <w:tab w:leader="none" w:pos="1666"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date on which the Auction will conclude, on which date Return Bids will be due at the time provided in the Auction Notice (such time, the “</w:t>
      </w:r>
      <w:r>
        <w:rPr>
          <w:rFonts w:ascii="Arial" w:cs="Arial" w:eastAsia="Arial" w:hAnsi="Arial"/>
          <w:sz w:val="19"/>
          <w:szCs w:val="19"/>
          <w:u w:val="single" w:color="auto"/>
          <w:color w:val="auto"/>
        </w:rPr>
        <w:t>Auction Expiration Time</w:t>
      </w:r>
      <w:r>
        <w:rPr>
          <w:rFonts w:ascii="Arial" w:cs="Arial" w:eastAsia="Arial" w:hAnsi="Arial"/>
          <w:sz w:val="19"/>
          <w:szCs w:val="19"/>
          <w:color w:val="auto"/>
        </w:rPr>
        <w:t>”), as such date and time may be extended upon notice by the Auction Party to the auction manager before any prior Auction Expiration Time, and (v) the identity of the auction manager, and shall indicate if such auction manager is an Affiliate of Holdings. Each offer to purchase Term Loans in an Auction shall be offered on a pro rata basis to all the Eligible Auction Lenders.</w:t>
      </w:r>
    </w:p>
    <w:p>
      <w:pPr>
        <w:spacing w:after="0" w:line="153" w:lineRule="exact"/>
        <w:rPr>
          <w:rFonts w:ascii="Arial" w:cs="Arial" w:eastAsia="Arial" w:hAnsi="Arial"/>
          <w:sz w:val="19"/>
          <w:szCs w:val="19"/>
          <w:color w:val="auto"/>
        </w:rPr>
      </w:pPr>
    </w:p>
    <w:p>
      <w:pPr>
        <w:jc w:val="both"/>
        <w:ind w:left="1300" w:firstLine="652"/>
        <w:spacing w:after="0"/>
        <w:tabs>
          <w:tab w:leader="none" w:pos="2547"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Reply Procedures</w:t>
      </w:r>
      <w:r>
        <w:rPr>
          <w:rFonts w:ascii="Arial" w:cs="Arial" w:eastAsia="Arial" w:hAnsi="Arial"/>
          <w:sz w:val="19"/>
          <w:szCs w:val="19"/>
          <w:color w:val="auto"/>
        </w:rPr>
        <w:t>. In connection with any Auction, each Eligible Auction Lender may, in its sole discretion, participate in such Auction and, if it elects to do so (any such participating Eligible Auction Lender, a “</w:t>
      </w:r>
      <w:r>
        <w:rPr>
          <w:rFonts w:ascii="Arial" w:cs="Arial" w:eastAsia="Arial" w:hAnsi="Arial"/>
          <w:sz w:val="19"/>
          <w:szCs w:val="19"/>
          <w:u w:val="single" w:color="auto"/>
          <w:color w:val="auto"/>
        </w:rPr>
        <w:t>Participating Lender</w:t>
      </w:r>
      <w:r>
        <w:rPr>
          <w:rFonts w:ascii="Arial" w:cs="Arial" w:eastAsia="Arial" w:hAnsi="Arial"/>
          <w:sz w:val="19"/>
          <w:szCs w:val="19"/>
          <w:color w:val="auto"/>
        </w:rPr>
        <w:t>”), shall provide, prior to the Auction Expiration Time, the auction manager with a notice of participation (the “</w:t>
      </w:r>
      <w:r>
        <w:rPr>
          <w:rFonts w:ascii="Arial" w:cs="Arial" w:eastAsia="Arial" w:hAnsi="Arial"/>
          <w:sz w:val="19"/>
          <w:szCs w:val="19"/>
          <w:u w:val="single" w:color="auto"/>
          <w:color w:val="auto"/>
        </w:rPr>
        <w:t>Return Bid</w:t>
      </w:r>
      <w:r>
        <w:rPr>
          <w:rFonts w:ascii="Arial" w:cs="Arial" w:eastAsia="Arial" w:hAnsi="Arial"/>
          <w:sz w:val="19"/>
          <w:szCs w:val="19"/>
          <w:color w:val="auto"/>
        </w:rPr>
        <w:t>”) which shall be in a form and substance prepared by the Borrower and shall specify (i) a discount to par that must be expressed as a percentage of par principal amount of Term Loans of the relevant Class expressed in percentages (the “</w:t>
      </w:r>
      <w:r>
        <w:rPr>
          <w:rFonts w:ascii="Arial" w:cs="Arial" w:eastAsia="Arial" w:hAnsi="Arial"/>
          <w:sz w:val="19"/>
          <w:szCs w:val="19"/>
          <w:u w:val="single" w:color="auto"/>
          <w:color w:val="auto"/>
        </w:rPr>
        <w:t>Reply Discount</w:t>
      </w:r>
      <w:r>
        <w:rPr>
          <w:rFonts w:ascii="Arial" w:cs="Arial" w:eastAsia="Arial" w:hAnsi="Arial"/>
          <w:sz w:val="19"/>
          <w:szCs w:val="19"/>
          <w:color w:val="auto"/>
        </w:rPr>
        <w:t>”), which must be within the Discount Range, and</w:t>
      </w:r>
    </w:p>
    <w:p>
      <w:pPr>
        <w:spacing w:after="0" w:line="3" w:lineRule="exact"/>
        <w:rPr>
          <w:rFonts w:ascii="Arial" w:cs="Arial" w:eastAsia="Arial" w:hAnsi="Arial"/>
          <w:sz w:val="19"/>
          <w:szCs w:val="19"/>
          <w:color w:val="auto"/>
        </w:rPr>
      </w:pPr>
    </w:p>
    <w:p>
      <w:pPr>
        <w:jc w:val="both"/>
        <w:ind w:left="1300" w:firstLine="4"/>
        <w:spacing w:after="0" w:line="218" w:lineRule="auto"/>
        <w:tabs>
          <w:tab w:leader="none" w:pos="1633" w:val="left"/>
        </w:tabs>
        <w:numPr>
          <w:ilvl w:val="0"/>
          <w:numId w:val="49"/>
        </w:numPr>
        <w:rPr>
          <w:rFonts w:ascii="Arial" w:cs="Arial" w:eastAsia="Arial" w:hAnsi="Arial"/>
          <w:sz w:val="21"/>
          <w:szCs w:val="21"/>
          <w:color w:val="auto"/>
        </w:rPr>
      </w:pPr>
      <w:r>
        <w:rPr>
          <w:rFonts w:ascii="Arial" w:cs="Arial" w:eastAsia="Arial" w:hAnsi="Arial"/>
          <w:sz w:val="21"/>
          <w:szCs w:val="21"/>
          <w:color w:val="auto"/>
        </w:rPr>
        <w:t>a principal amount of Term Loans of the relevant Class, which must be in increments of $500,000, that such Eligible Auction Lender is willing to offer for sale at its Reply Discount (the “</w:t>
      </w:r>
      <w:r>
        <w:rPr>
          <w:rFonts w:ascii="Arial" w:cs="Arial" w:eastAsia="Arial" w:hAnsi="Arial"/>
          <w:sz w:val="21"/>
          <w:szCs w:val="21"/>
          <w:u w:val="single" w:color="auto"/>
          <w:color w:val="auto"/>
        </w:rPr>
        <w:t>Reply Amount</w:t>
      </w:r>
      <w:r>
        <w:rPr>
          <w:rFonts w:ascii="Arial" w:cs="Arial" w:eastAsia="Arial" w:hAnsi="Arial"/>
          <w:sz w:val="21"/>
          <w:szCs w:val="21"/>
          <w:color w:val="auto"/>
        </w:rPr>
        <w:t xml:space="preserve">”). An Eligible Auction Lender may avoid the minimum increment amount condition solely when submitting a Reply Amount equal to such Eligible Auction Lender’s entire remaining amount of such Term Loans. Eligible Auction Lenders may only submit one Return Bid per Auction but each Return Bid may contain up to three bids, only one of which can result in a Qualifying Bid (as defined below). In addition to the Return Bid, each Participating Lender must execute and deliver, to be irrevocable during the pendency of the Auction and held in escrow by the auction manager, an assignment agreement pursuant to which such Participating Lender shall make the representations and agreements substantially consistent with the terms of </w:t>
      </w:r>
      <w:r>
        <w:rPr>
          <w:rFonts w:ascii="Arial" w:cs="Arial" w:eastAsia="Arial" w:hAnsi="Arial"/>
          <w:sz w:val="21"/>
          <w:szCs w:val="21"/>
          <w:u w:val="single" w:color="auto"/>
          <w:color w:val="auto"/>
        </w:rPr>
        <w:t>Section 2.11(i)(C)</w:t>
      </w:r>
      <w:r>
        <w:rPr>
          <w:rFonts w:ascii="Arial" w:cs="Arial" w:eastAsia="Arial" w:hAnsi="Arial"/>
          <w:sz w:val="21"/>
          <w:szCs w:val="21"/>
          <w:color w:val="auto"/>
        </w:rPr>
        <w:t>. Any Eligible Auction Lender that fails to submit a Return Bid at or prior to the Auction Expiration Time shall be deemed to have declined to participate in the Auction.</w:t>
      </w:r>
    </w:p>
    <w:p>
      <w:pPr>
        <w:spacing w:after="0" w:line="161" w:lineRule="exact"/>
        <w:rPr>
          <w:rFonts w:ascii="Arial" w:cs="Arial" w:eastAsia="Arial" w:hAnsi="Arial"/>
          <w:sz w:val="21"/>
          <w:szCs w:val="21"/>
          <w:color w:val="auto"/>
        </w:rPr>
      </w:pPr>
    </w:p>
    <w:p>
      <w:pPr>
        <w:jc w:val="both"/>
        <w:ind w:left="1300" w:firstLine="652"/>
        <w:spacing w:after="0"/>
        <w:tabs>
          <w:tab w:leader="none" w:pos="2503"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Acceptance Procedures</w:t>
      </w:r>
      <w:r>
        <w:rPr>
          <w:rFonts w:ascii="Arial" w:cs="Arial" w:eastAsia="Arial" w:hAnsi="Arial"/>
          <w:sz w:val="19"/>
          <w:szCs w:val="19"/>
          <w:color w:val="auto"/>
        </w:rPr>
        <w:t>. Based on the Reply Discounts and Reply Amounts received by the auction manager, the auction manager, with the consent of the Auction Party, will, within ten (10) Business Days of the Auction Notice (or such other time agreed by the Borrower), determine the applicable discount (the “</w:t>
      </w:r>
      <w:r>
        <w:rPr>
          <w:rFonts w:ascii="Arial" w:cs="Arial" w:eastAsia="Arial" w:hAnsi="Arial"/>
          <w:sz w:val="19"/>
          <w:szCs w:val="19"/>
          <w:u w:val="single" w:color="auto"/>
          <w:color w:val="auto"/>
        </w:rPr>
        <w:t>Applicable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Discount</w:t>
      </w:r>
      <w:r>
        <w:rPr>
          <w:rFonts w:ascii="Arial" w:cs="Arial" w:eastAsia="Arial" w:hAnsi="Arial"/>
          <w:sz w:val="19"/>
          <w:szCs w:val="19"/>
          <w:color w:val="auto"/>
        </w:rPr>
        <w:t xml:space="preserve">”) for the Auction, which will be the highest Reply Discount at which the Auction Party can complete the Auction at the Auction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Reply Amounts are insufficient to allow the Auction Party to complete a purchase of the entire Auction Amount, the Auction Party shall either, at its election,</w:t>
      </w:r>
    </w:p>
    <w:p>
      <w:pPr>
        <w:spacing w:after="0" w:line="3" w:lineRule="exact"/>
        <w:rPr>
          <w:rFonts w:ascii="Arial" w:cs="Arial" w:eastAsia="Arial" w:hAnsi="Arial"/>
          <w:sz w:val="19"/>
          <w:szCs w:val="19"/>
          <w:color w:val="auto"/>
        </w:rPr>
      </w:pPr>
    </w:p>
    <w:p>
      <w:pPr>
        <w:jc w:val="both"/>
        <w:ind w:left="1300" w:firstLine="4"/>
        <w:spacing w:after="0" w:line="214" w:lineRule="auto"/>
        <w:tabs>
          <w:tab w:leader="none" w:pos="1559" w:val="left"/>
        </w:tabs>
        <w:numPr>
          <w:ilvl w:val="0"/>
          <w:numId w:val="50"/>
        </w:numPr>
        <w:rPr>
          <w:rFonts w:ascii="Arial" w:cs="Arial" w:eastAsia="Arial" w:hAnsi="Arial"/>
          <w:sz w:val="22"/>
          <w:szCs w:val="22"/>
          <w:color w:val="auto"/>
        </w:rPr>
      </w:pPr>
      <w:r>
        <w:rPr>
          <w:rFonts w:ascii="Arial" w:cs="Arial" w:eastAsia="Arial" w:hAnsi="Arial"/>
          <w:sz w:val="22"/>
          <w:szCs w:val="22"/>
          <w:color w:val="auto"/>
        </w:rPr>
        <w:t>withdraw the Auction or (ii) complete the Auction as set forth below. Unless withdrawn, the Auction Party shall notify the Participating Lenders of the Applicable Discount no later than one Business Day after it is determined (the “</w:t>
      </w:r>
      <w:r>
        <w:rPr>
          <w:rFonts w:ascii="Arial" w:cs="Arial" w:eastAsia="Arial" w:hAnsi="Arial"/>
          <w:sz w:val="22"/>
          <w:szCs w:val="22"/>
          <w:u w:val="single" w:color="auto"/>
          <w:color w:val="auto"/>
        </w:rPr>
        <w:t>Applicable Discount Notice</w:t>
      </w:r>
      <w:r>
        <w:rPr>
          <w:rFonts w:ascii="Arial" w:cs="Arial" w:eastAsia="Arial" w:hAnsi="Arial"/>
          <w:sz w:val="22"/>
          <w:szCs w:val="22"/>
          <w:color w:val="auto"/>
        </w:rPr>
        <w:t>”). The Auction Party shall, within three Business Days of the Applicable Discount Notice,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94" w:name="page95"/>
    <w:bookmarkEnd w:id="94"/>
    <w:p>
      <w:pPr>
        <w:jc w:val="both"/>
        <w:ind w:left="1300"/>
        <w:spacing w:after="0" w:line="242" w:lineRule="auto"/>
        <w:rPr>
          <w:sz w:val="20"/>
          <w:szCs w:val="20"/>
          <w:color w:val="auto"/>
        </w:rPr>
      </w:pPr>
      <w:r>
        <w:rPr>
          <w:rFonts w:ascii="Arial" w:cs="Arial" w:eastAsia="Arial" w:hAnsi="Arial"/>
          <w:sz w:val="19"/>
          <w:szCs w:val="19"/>
          <w:color w:val="auto"/>
        </w:rPr>
        <w:t>Term Loans from each Participating Lender with a Reply Discount that is equal to or higher than the Applicable Discount (“</w:t>
      </w:r>
      <w:r>
        <w:rPr>
          <w:rFonts w:ascii="Arial" w:cs="Arial" w:eastAsia="Arial" w:hAnsi="Arial"/>
          <w:sz w:val="19"/>
          <w:szCs w:val="19"/>
          <w:u w:val="single" w:color="auto"/>
          <w:color w:val="auto"/>
        </w:rPr>
        <w:t>Qualifying Bids</w:t>
      </w:r>
      <w:r>
        <w:rPr>
          <w:rFonts w:ascii="Arial" w:cs="Arial" w:eastAsia="Arial" w:hAnsi="Arial"/>
          <w:sz w:val="19"/>
          <w:szCs w:val="19"/>
          <w:color w:val="auto"/>
        </w:rPr>
        <w:t>”) at a discount to par equal to the Reply Discount of such Participating Lender, with the applicable Term Loans of the Participating Lender(s) with the highest Reply Discount being purchased first and then in descending order from such highest Reply Discount to and including the applicable Term Loans of the Participating Lenders with a Reply Discount equal to the Applicable Discount (the “</w:t>
      </w:r>
      <w:r>
        <w:rPr>
          <w:rFonts w:ascii="Arial" w:cs="Arial" w:eastAsia="Arial" w:hAnsi="Arial"/>
          <w:sz w:val="19"/>
          <w:szCs w:val="19"/>
          <w:u w:val="single" w:color="auto"/>
          <w:color w:val="auto"/>
        </w:rPr>
        <w:t>Applicable Order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aggregate proceeds required to purchase all Term Loans of the relevant Class subject to Qualifying Bids would exceed the Auction Amount for such Auction, the Auction Party shall purchase such Term Loans of the Participating Lenders in the Applicable Order of Purchase, but with the Term Loans of Participating Lenders with Reply Discounts equal to the Applicable Discount being purchased pro rata until the Auction Amount has been so expended on such purchases. If a Participating Lender has submitted a Return Bid containing multiple bids at different Reply Discounts, only the bid with the highest Reply Discount that is equal to or more than the Applicable Discount will be deemed the Qualifying Bid of such Participating Lender. In no event shall any purchase of Term Loans in an Auction be made at a Reply Discount lower than the Applicable Discount for such Auction.</w:t>
      </w:r>
    </w:p>
    <w:p>
      <w:pPr>
        <w:spacing w:after="0" w:line="376" w:lineRule="exact"/>
        <w:rPr>
          <w:sz w:val="20"/>
          <w:szCs w:val="20"/>
          <w:color w:val="auto"/>
        </w:rPr>
      </w:pPr>
    </w:p>
    <w:p>
      <w:pPr>
        <w:jc w:val="both"/>
        <w:ind w:left="1300" w:firstLine="652"/>
        <w:spacing w:after="0" w:line="212" w:lineRule="auto"/>
        <w:tabs>
          <w:tab w:leader="none" w:pos="2573"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Additional Procedures</w:t>
      </w:r>
      <w:r>
        <w:rPr>
          <w:rFonts w:ascii="Arial" w:cs="Arial" w:eastAsia="Arial" w:hAnsi="Arial"/>
          <w:sz w:val="22"/>
          <w:szCs w:val="22"/>
          <w:color w:val="auto"/>
        </w:rPr>
        <w:t>. Once initiated by an Auction Notice, the Auction Party may withdraw or modify an Auction only prior to the delivery of the Applicable Discount Notice (and if any Auction is withdrawn or modified, notice thereof shall be delivered to the Administrative Agent and the Eligible Auction Lenders no later than the first Business Day after such withdrawal). Furthermore, in connection with any Auction, upon submission by a Participating Lender of the relevant Class of a Qualifying Bid, such Term Lender will be obligated to sell the entirety or its allocable portion of the Reply Amount, as the case may be, at the Reply Discount.</w:t>
      </w:r>
    </w:p>
    <w:p>
      <w:pPr>
        <w:spacing w:after="0" w:line="163" w:lineRule="exact"/>
        <w:rPr>
          <w:rFonts w:ascii="Arial" w:cs="Arial" w:eastAsia="Arial" w:hAnsi="Arial"/>
          <w:sz w:val="22"/>
          <w:szCs w:val="22"/>
          <w:color w:val="auto"/>
        </w:rPr>
      </w:pPr>
    </w:p>
    <w:p>
      <w:pPr>
        <w:ind w:left="1300" w:firstLine="652"/>
        <w:spacing w:after="0" w:line="247" w:lineRule="auto"/>
        <w:tabs>
          <w:tab w:leader="none" w:pos="2473"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Any failure by such Loan Party or such Subsidiary to make any prepayment to a Lender pursuant to this definition shall not constitute a Default or Event of Default under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or otherwise.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ECF Due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2.11(d)</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this definition, or (c) any financial institution established in an EEA Member Country which is a subsidiary of an institution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definition and is subject to consolidated supervision with its parent.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xml:space="preserve"> means any of the member states of the European Union, Iceland, Liechtenstein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Electing Guarantors</w:t>
      </w:r>
      <w:r>
        <w:rPr>
          <w:rFonts w:ascii="Arial" w:cs="Arial" w:eastAsia="Arial" w:hAnsi="Arial"/>
          <w:sz w:val="22"/>
          <w:szCs w:val="22"/>
          <w:color w:val="auto"/>
        </w:rPr>
        <w:t>” means any Excluded Subsidiary that, at the option, and in the sole discretion, of the Borrower has been designated a Loan Party and is reasonably acceptable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95" w:name="page96"/>
    <w:bookmarkEnd w:id="95"/>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means (i) any Lender, any Affiliate of any Lender and any Approved Fund of any Lender; (ii)</w:t>
      </w:r>
    </w:p>
    <w:p>
      <w:pPr>
        <w:spacing w:after="0" w:line="16" w:lineRule="exact"/>
        <w:rPr>
          <w:sz w:val="20"/>
          <w:szCs w:val="20"/>
          <w:color w:val="auto"/>
        </w:rPr>
      </w:pPr>
    </w:p>
    <w:p>
      <w:pPr>
        <w:jc w:val="both"/>
        <w:ind w:firstLine="8"/>
        <w:spacing w:after="0" w:line="237" w:lineRule="auto"/>
        <w:tabs>
          <w:tab w:leader="none" w:pos="356"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any commercial bank organized under the laws of the United States or any state thereof, (B) any savings and loan association or savings bank organized under the laws of the United States or any state thereof, (C) any commercial bank organized under the laws of any other country or a political subdivision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such bank is acting through a branch or agency located in the United States or (2) such bank is organized under the laws of a country that is a member of the Organization for Economic Cooperation and Development or a political subdivision of such country, and (D) any other entity (other than a natural person) that is an “accredited investor” (as defined in Regulation D under the Securities Act) that extends credit or buys loans as one of its businesses including insurance companies, investment or mutual funds and lease financing companies; (iii) subject to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any Affiliated Lender and any Person who would be an Affiliated Lender upon completion of the relevant assignment; and (iv) any Holding Company, the Borrower and any Restricted Subsidiary, subject to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2.11(i)</w:t>
      </w:r>
      <w:r>
        <w:rPr>
          <w:rFonts w:ascii="Arial" w:cs="Arial" w:eastAsia="Arial" w:hAnsi="Arial"/>
          <w:sz w:val="19"/>
          <w:szCs w:val="19"/>
          <w:color w:val="auto"/>
        </w:rPr>
        <w:t xml:space="preserve"> (so long as the Loans and Commitments obtained by any Holding Company, the Borrower or any other Restricted Subsidiary are immediately cancelled);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any event, Eligible Assignees shall not include (x) any natural person,</w:t>
      </w:r>
    </w:p>
    <w:p>
      <w:pPr>
        <w:spacing w:after="0" w:line="2" w:lineRule="exact"/>
        <w:rPr>
          <w:rFonts w:ascii="Arial" w:cs="Arial" w:eastAsia="Arial" w:hAnsi="Arial"/>
          <w:sz w:val="19"/>
          <w:szCs w:val="19"/>
          <w:color w:val="auto"/>
        </w:rPr>
      </w:pPr>
    </w:p>
    <w:p>
      <w:pPr>
        <w:jc w:val="both"/>
        <w:spacing w:after="0" w:line="214" w:lineRule="auto"/>
        <w:rPr>
          <w:rFonts w:ascii="Arial" w:cs="Arial" w:eastAsia="Arial" w:hAnsi="Arial"/>
          <w:sz w:val="19"/>
          <w:szCs w:val="19"/>
          <w:color w:val="auto"/>
        </w:rPr>
      </w:pPr>
      <w:r>
        <w:rPr>
          <w:rFonts w:ascii="Arial" w:cs="Arial" w:eastAsia="Arial" w:hAnsi="Arial"/>
          <w:sz w:val="22"/>
          <w:szCs w:val="22"/>
          <w:color w:val="auto"/>
        </w:rPr>
        <w:t>(y) any Disqualified Lender to the extent the list of Disqualified Lenders is provided to each Lender upon request in connection with an assignment or participation, or Excluded Affiliate unless, in each case, consented to in writing by the Borrower in its sole discretion (such consent shall be required regardless of whether a Default or Event of Default shall be continuing), or (z) any Defaulting Lender or any Affiliate thereof.</w:t>
      </w:r>
    </w:p>
    <w:p>
      <w:pPr>
        <w:spacing w:after="0" w:line="16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EMU Legislation</w:t>
      </w:r>
      <w:r>
        <w:rPr>
          <w:rFonts w:ascii="Arial" w:cs="Arial" w:eastAsia="Arial" w:hAnsi="Arial"/>
          <w:sz w:val="22"/>
          <w:szCs w:val="22"/>
          <w:color w:val="auto"/>
        </w:rPr>
        <w:t>” means the legislative measures of the European Council for the introduction of, changeover to or operation of a single or unified European currency.</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all applicable treaties, laws (including common law), rules, regulations, codes, ordinances, orders, decrees, judgments, injunctions, notices or binding agreements issued, promulgated or entered into by or with any Governmental Authority, relating to the protection of the environment, the preservation or reclamation of natural resources, the generation, management, Release or threatened Release of, or exposure to, any Hazardous Material or to workplace health and safety matters (to the extent related to exposure to Hazardous Materials).</w:t>
      </w:r>
    </w:p>
    <w:p>
      <w:pPr>
        <w:spacing w:after="0" w:line="15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Liability</w:t>
      </w:r>
      <w:r>
        <w:rPr>
          <w:rFonts w:ascii="Arial" w:cs="Arial" w:eastAsia="Arial" w:hAnsi="Arial"/>
          <w:sz w:val="21"/>
          <w:szCs w:val="21"/>
          <w:color w:val="auto"/>
        </w:rPr>
        <w:t>” means any liability, contingent or otherwise (including any liability for damages, costs of medical monitoring, costs of environmental remediation or restoration, administrative oversight costs, consultants’ fees, fines, penalties or indemnities),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6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Permits</w:t>
      </w:r>
      <w:r>
        <w:rPr>
          <w:rFonts w:ascii="Arial" w:cs="Arial" w:eastAsia="Arial" w:hAnsi="Arial"/>
          <w:sz w:val="22"/>
          <w:szCs w:val="22"/>
          <w:color w:val="auto"/>
        </w:rPr>
        <w:t>” means any and all permits, licenses, approvals, registrations, notifications, exemptions and other authorizations required under any Environmental Law.</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shares of capital stock or other share capital, partnership interests, membership interests (including shares) in a limited liability or exempted company, beneficial interests in a trust or other equity ownership interests in a Person, and any option, warrant or other right entitling the holder thereof to purchase or otherwise acquire any such equity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96" w:name="page97"/>
    <w:bookmarkEnd w:id="96"/>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 from time to time.</w:t>
      </w:r>
    </w:p>
    <w:p>
      <w:pPr>
        <w:spacing w:after="0" w:line="19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trade or business (whether or not incorporated) that, together with the Holding Companies and the Borrower, is treated as a single employer under Section 414(b) or (c) of the Code or, solely for purposes of Section 302 of ERISA and Section 412 of the Code, is treated as a single employer under Section 414 of the Code.</w:t>
      </w:r>
    </w:p>
    <w:p>
      <w:pPr>
        <w:spacing w:after="0" w:line="132"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30-day notice period is waived), (b) the requirements of Section 4043(b) of ERISA apply with respect to a contributing sponsor, as defined in Section 4001(a)(13) of ERISA, of a Plan, and an event described in paragraph (9), (10), (11), (12) or (13) of Section 4043(c) of ERISA is reasonably expected to occur with respect to such Plan, (c) a determination that any Plan is or is reasonably expected to be in “at risk” status (within the meaning of Section 430 of the Code or Section 303 of ERISA), (d) the cessation of operations at a facility of any Holding Company or any ERISA Affiliate in the circumstances described in Section 4062(e) of ERISA, (e) conditions contained in Section 303(k)(1)(A) of ERISA for imposition of a lien shall have been met with respect to any Plan, (f) with respect to any Plan, a failure to satisfy the minimum funding standard under Section 412 of the Code or Section 302 of ERISA, whether or not waived, (g) the filing pursuant to Section 412(c) of the Code or Section 302(c) of ERISA of an application for a waiver of the minimum funding standard with respect to any Plan, (h) the incurrence by any Holding Company or any of their ERISA Affiliates of any liability under Title IV of ERISA with respect to the termination of any Plan, (i) the receipt by any Holding Company or any ERISA Affiliate from the PBGC or a plan administrator of any notice relating to an intention to terminate any Plan or Plans or to appoint a trustee to administer any Plan, (j) the incurrence by any Holding Company or any of their respective ERISA Affiliates of any liability with respect to the withdrawal or partial withdrawal from any Plan or Multiemployer Plan, (k) the receipt by any Holding Company or any ERISA Affiliate of any notice, or the receipt by any Multiemployer Plan from any Holding Company or any ERISA Affiliate of any notice, concerning the imposition of Withdrawal Liability or a determination that a Multiemployer Plan is, or is expected to be, “insolvent” or in “endangered” or “critical” status within the meaning of Section 432 of the Code or Section 304 of ERISA, (l) the occurrence of a non-exempt “prohibited transaction” with respect to which any Holding Company or any of the Subsidiaries is a “disqualified person” (within the meaning of Section 4975 of the Code) or a “party in interest” (within the meaning of Section 406 of ERISA) or with respect to which any Holding Company or any such Subsidiary could otherwise be liable, (m) any Foreign Benefit Event or (n) any other event or condition with respect to a Plan or Multiemployer Plan that could result in liability of any Holding Company or any Subsidiary.</w:t>
      </w:r>
    </w:p>
    <w:p>
      <w:pPr>
        <w:spacing w:after="0" w:line="37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Escrowed Proceeds</w:t>
      </w:r>
      <w:r>
        <w:rPr>
          <w:rFonts w:ascii="Arial" w:cs="Arial" w:eastAsia="Arial" w:hAnsi="Arial"/>
          <w:sz w:val="19"/>
          <w:szCs w:val="19"/>
          <w:color w:val="auto"/>
        </w:rPr>
        <w:t>”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includes any interest earned on the amounts held in escrow.</w:t>
      </w:r>
    </w:p>
    <w:p>
      <w:pPr>
        <w:spacing w:after="0" w:line="14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w:t>
      </w:r>
      <w:r>
        <w:rPr>
          <w:rFonts w:ascii="Arial" w:cs="Arial" w:eastAsia="Arial" w:hAnsi="Arial"/>
          <w:sz w:val="19"/>
          <w:szCs w:val="19"/>
          <w:color w:val="auto"/>
        </w:rPr>
        <w:t>” means the lawful currency of the Participating Member States introduced in accordance with the EMU</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97" w:name="page98"/>
    <w:bookmarkEnd w:id="97"/>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w:t>
      </w:r>
      <w:r>
        <w:rPr>
          <w:rFonts w:ascii="Arial" w:cs="Arial" w:eastAsia="Arial" w:hAnsi="Arial"/>
          <w:sz w:val="19"/>
          <w:szCs w:val="19"/>
          <w:color w:val="auto"/>
        </w:rPr>
        <w:t>”, when used in reference to any Loan or Borrowing, refers to whether such Loan, or the Loans comprising such Borrowing, is bearing interest at a rate determined by reference to the Adjusted Eurocurrency Rate.</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Borrowing</w:t>
      </w:r>
      <w:r>
        <w:rPr>
          <w:rFonts w:ascii="Arial" w:cs="Arial" w:eastAsia="Arial" w:hAnsi="Arial"/>
          <w:sz w:val="19"/>
          <w:szCs w:val="19"/>
          <w:color w:val="auto"/>
        </w:rPr>
        <w:t>” means a Loan that bears interest at a rate based on the Adjusted Eurocurrency Rate.</w:t>
      </w:r>
    </w:p>
    <w:p>
      <w:pPr>
        <w:spacing w:after="0" w:line="214"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Rate</w:t>
      </w:r>
      <w:r>
        <w:rPr>
          <w:rFonts w:ascii="Arial" w:cs="Arial" w:eastAsia="Arial" w:hAnsi="Arial"/>
          <w:sz w:val="22"/>
          <w:szCs w:val="22"/>
          <w:color w:val="auto"/>
        </w:rPr>
        <w:t xml:space="preserve">” means, for any Interest Period with respect to any Loan in any LIBOR Quoted Currency, the LIBO Screen Rate as of the Applicable Time on the date that is two (2) Business Days prior to the commencement of such Interest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 LIBO Screen Rate shall not be available at the applicable time for the applicable Interest Period (an “</w:t>
      </w:r>
      <w:r>
        <w:rPr>
          <w:rFonts w:ascii="Arial" w:cs="Arial" w:eastAsia="Arial" w:hAnsi="Arial"/>
          <w:sz w:val="22"/>
          <w:szCs w:val="22"/>
          <w:u w:val="single" w:color="auto"/>
          <w:color w:val="auto"/>
        </w:rPr>
        <w:t>Impacted Interest Period</w:t>
      </w:r>
      <w:r>
        <w:rPr>
          <w:rFonts w:ascii="Arial" w:cs="Arial" w:eastAsia="Arial" w:hAnsi="Arial"/>
          <w:sz w:val="22"/>
          <w:szCs w:val="22"/>
          <w:color w:val="auto"/>
        </w:rPr>
        <w:t xml:space="preserve">”), then the Eurocurrency Rate for such currency and Interest Period shall be the Interpolated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if any Eurocurrency Rate shall be less than zero, such rate shall be deemed to be zero for purposes of this Agreement.</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Reserve Percentage</w:t>
      </w:r>
      <w:r>
        <w:rPr>
          <w:rFonts w:ascii="Arial" w:cs="Arial" w:eastAsia="Arial" w:hAnsi="Arial"/>
          <w:sz w:val="19"/>
          <w:szCs w:val="19"/>
          <w:color w:val="auto"/>
        </w:rPr>
        <w:t>” means, for any day during any Interest Period, the reserve percentage (expressed as a decimal, carried out to five decimal places) in effect on such day, whether or not applicable to any Lender, under regulations issued from time to time by the Board for determining the maximum reserve requirement (including any emergency, supplemental or other marginal reserve requirement) with respect to the Eurocurrency funding (currently referred to as “</w:t>
      </w:r>
      <w:r>
        <w:rPr>
          <w:rFonts w:ascii="Arial" w:cs="Arial" w:eastAsia="Arial" w:hAnsi="Arial"/>
          <w:sz w:val="19"/>
          <w:szCs w:val="19"/>
          <w:u w:val="single" w:color="auto"/>
          <w:color w:val="auto"/>
        </w:rPr>
        <w:t>Eurocurrency liabilities</w:t>
      </w:r>
      <w:r>
        <w:rPr>
          <w:rFonts w:ascii="Arial" w:cs="Arial" w:eastAsia="Arial" w:hAnsi="Arial"/>
          <w:sz w:val="19"/>
          <w:szCs w:val="19"/>
          <w:color w:val="auto"/>
        </w:rPr>
        <w:t>”). The Adjusted Eurocurrency Rate for each outstanding Eurocurrency Borrowing shall be adjusted automatically as of the effective date of any change in the Eurocurrency Reserve Percentage.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w:t>
      </w:r>
      <w:r>
        <w:rPr>
          <w:rFonts w:ascii="Arial" w:cs="Arial" w:eastAsia="Arial" w:hAnsi="Arial"/>
          <w:sz w:val="22"/>
          <w:szCs w:val="22"/>
          <w:color w:val="auto"/>
        </w:rPr>
        <w:t>” means, for any period, an amount (to the extent positive) equal to the excess of</w:t>
      </w:r>
    </w:p>
    <w:p>
      <w:pPr>
        <w:spacing w:after="0" w:line="179" w:lineRule="exact"/>
        <w:rPr>
          <w:sz w:val="20"/>
          <w:szCs w:val="20"/>
          <w:color w:val="auto"/>
        </w:rPr>
      </w:pPr>
    </w:p>
    <w:p>
      <w:pPr>
        <w:ind w:left="1120" w:hanging="464"/>
        <w:spacing w:after="0"/>
        <w:tabs>
          <w:tab w:leader="none" w:pos="11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sum, without duplication, of</w:t>
      </w:r>
    </w:p>
    <w:p>
      <w:pPr>
        <w:spacing w:after="0" w:line="179" w:lineRule="exact"/>
        <w:rPr>
          <w:rFonts w:ascii="Arial" w:cs="Arial" w:eastAsia="Arial" w:hAnsi="Arial"/>
          <w:sz w:val="22"/>
          <w:szCs w:val="22"/>
          <w:color w:val="auto"/>
        </w:rPr>
      </w:pPr>
    </w:p>
    <w:p>
      <w:pPr>
        <w:ind w:left="1720" w:hanging="416"/>
        <w:spacing w:after="0"/>
        <w:tabs>
          <w:tab w:leader="none" w:pos="1720" w:val="left"/>
        </w:tabs>
        <w:numPr>
          <w:ilvl w:val="1"/>
          <w:numId w:val="53"/>
        </w:numPr>
        <w:rPr>
          <w:rFonts w:ascii="Arial" w:cs="Arial" w:eastAsia="Arial" w:hAnsi="Arial"/>
          <w:sz w:val="22"/>
          <w:szCs w:val="22"/>
          <w:color w:val="auto"/>
        </w:rPr>
      </w:pPr>
      <w:r>
        <w:rPr>
          <w:rFonts w:ascii="Arial" w:cs="Arial" w:eastAsia="Arial" w:hAnsi="Arial"/>
          <w:sz w:val="22"/>
          <w:szCs w:val="22"/>
          <w:color w:val="auto"/>
        </w:rPr>
        <w:t>Consolidated Net Income for such period,</w:t>
      </w:r>
    </w:p>
    <w:p>
      <w:pPr>
        <w:spacing w:after="0" w:line="179" w:lineRule="exact"/>
        <w:rPr>
          <w:rFonts w:ascii="Arial" w:cs="Arial" w:eastAsia="Arial" w:hAnsi="Arial"/>
          <w:sz w:val="22"/>
          <w:szCs w:val="22"/>
          <w:color w:val="auto"/>
        </w:rPr>
      </w:pPr>
    </w:p>
    <w:p>
      <w:pPr>
        <w:jc w:val="both"/>
        <w:ind w:left="660" w:firstLine="644"/>
        <w:spacing w:after="0" w:line="223" w:lineRule="auto"/>
        <w:tabs>
          <w:tab w:leader="none" w:pos="2010"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 amount equal to the amount of all non-cash charges to the extent deducted in arriving at such Consolidated Net Income (excluding any such charges that represent an accrual or reserve for potential future cash payments) and</w:t>
      </w:r>
    </w:p>
    <w:p>
      <w:pPr>
        <w:spacing w:after="0" w:line="158" w:lineRule="exact"/>
        <w:rPr>
          <w:rFonts w:ascii="Arial" w:cs="Arial" w:eastAsia="Arial" w:hAnsi="Arial"/>
          <w:sz w:val="22"/>
          <w:szCs w:val="22"/>
          <w:color w:val="auto"/>
        </w:rPr>
      </w:pPr>
    </w:p>
    <w:p>
      <w:pPr>
        <w:ind w:left="1840" w:hanging="536"/>
        <w:spacing w:after="0"/>
        <w:tabs>
          <w:tab w:leader="none" w:pos="1840" w:val="left"/>
        </w:tabs>
        <w:numPr>
          <w:ilvl w:val="1"/>
          <w:numId w:val="53"/>
        </w:numPr>
        <w:rPr>
          <w:rFonts w:ascii="Arial" w:cs="Arial" w:eastAsia="Arial" w:hAnsi="Arial"/>
          <w:sz w:val="22"/>
          <w:szCs w:val="22"/>
          <w:color w:val="auto"/>
        </w:rPr>
      </w:pPr>
      <w:r>
        <w:rPr>
          <w:rFonts w:ascii="Arial" w:cs="Arial" w:eastAsia="Arial" w:hAnsi="Arial"/>
          <w:sz w:val="22"/>
          <w:szCs w:val="22"/>
          <w:color w:val="auto"/>
        </w:rPr>
        <w:t>decreases in Consolidated Working Capital for such period;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the sum, without duplication, of</w:t>
      </w:r>
    </w:p>
    <w:p>
      <w:pPr>
        <w:spacing w:after="0" w:line="179" w:lineRule="exact"/>
        <w:rPr>
          <w:sz w:val="20"/>
          <w:szCs w:val="20"/>
          <w:color w:val="auto"/>
        </w:rPr>
      </w:pPr>
    </w:p>
    <w:p>
      <w:pPr>
        <w:ind w:left="1960" w:hanging="656"/>
        <w:spacing w:after="0" w:line="216" w:lineRule="auto"/>
        <w:tabs>
          <w:tab w:leader="none" w:pos="1813"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an amount equal to the amount of all non-cash gains and credits to the extent included in arriving at such Consolidated Net Income and all cash, losses, expenses or charges excluded from Consolidated Net Income (including in the case of this clause (i) any such non-cash gains and credits and cash, losses, expenses or charges to the extent attributable to the items described in clauses </w:t>
      </w:r>
      <w:r>
        <w:rPr>
          <w:rFonts w:ascii="Arial" w:cs="Arial" w:eastAsia="Arial" w:hAnsi="Arial"/>
          <w:sz w:val="22"/>
          <w:szCs w:val="22"/>
          <w:u w:val="single" w:color="auto"/>
          <w:color w:val="auto"/>
        </w:rPr>
        <w:t>(s)</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(t)</w:t>
      </w:r>
      <w:r>
        <w:rPr>
          <w:rFonts w:ascii="Arial" w:cs="Arial" w:eastAsia="Arial" w:hAnsi="Arial"/>
          <w:sz w:val="22"/>
          <w:szCs w:val="22"/>
          <w:color w:val="auto"/>
        </w:rPr>
        <w:t xml:space="preserve"> of Consolidated Net Income),</w:t>
      </w:r>
    </w:p>
    <w:p>
      <w:pPr>
        <w:spacing w:after="0" w:line="157" w:lineRule="exact"/>
        <w:rPr>
          <w:rFonts w:ascii="Arial" w:cs="Arial" w:eastAsia="Arial" w:hAnsi="Arial"/>
          <w:sz w:val="22"/>
          <w:szCs w:val="22"/>
          <w:color w:val="auto"/>
        </w:rPr>
      </w:pPr>
    </w:p>
    <w:p>
      <w:pPr>
        <w:ind w:left="1960" w:hanging="656"/>
        <w:spacing w:after="0" w:line="216" w:lineRule="auto"/>
        <w:tabs>
          <w:tab w:leader="none" w:pos="1871" w:val="left"/>
        </w:tabs>
        <w:numPr>
          <w:ilvl w:val="0"/>
          <w:numId w:val="54"/>
        </w:numPr>
        <w:rPr>
          <w:rFonts w:ascii="Arial" w:cs="Arial" w:eastAsia="Arial" w:hAnsi="Arial"/>
          <w:sz w:val="22"/>
          <w:szCs w:val="22"/>
          <w:color w:val="auto"/>
        </w:rPr>
      </w:pPr>
      <w:r>
        <w:rPr>
          <w:rFonts w:ascii="Arial" w:cs="Arial" w:eastAsia="Arial" w:hAnsi="Arial"/>
          <w:sz w:val="22"/>
          <w:szCs w:val="22"/>
          <w:color w:val="auto"/>
        </w:rPr>
        <w:t>without duplication of amounts deducted in calculating Excess Cash Flow with respect to prior years, the amount of Capital Expenditures, Capitalized Software Expenditures, acquisitions of Intellectual Property and other expenditures that are capitalized, in each case, made in cash during such period or after the end of such period and on or prior to the ECF Due Date with respect to such period, except to the extent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98" w:name="page99"/>
    <w:bookmarkEnd w:id="98"/>
    <w:p>
      <w:pPr>
        <w:jc w:val="both"/>
        <w:ind w:left="1960"/>
        <w:spacing w:after="0" w:line="223" w:lineRule="auto"/>
        <w:rPr>
          <w:sz w:val="20"/>
          <w:szCs w:val="20"/>
          <w:color w:val="auto"/>
        </w:rPr>
      </w:pPr>
      <w:r>
        <w:rPr>
          <w:rFonts w:ascii="Arial" w:cs="Arial" w:eastAsia="Arial" w:hAnsi="Arial"/>
          <w:sz w:val="22"/>
          <w:szCs w:val="22"/>
          <w:color w:val="auto"/>
        </w:rPr>
        <w:t>Capital Expenditures, Capitalized Software Expenditures, other cash expenditures that are capitalized or acquisitions were financed with the proceeds of Indebtedness of the Borrower or the Restricted Subsidiaries (other than Revolving Loans or intercompany loans),</w:t>
      </w:r>
    </w:p>
    <w:p>
      <w:pPr>
        <w:spacing w:after="0" w:line="159" w:lineRule="exact"/>
        <w:rPr>
          <w:sz w:val="20"/>
          <w:szCs w:val="20"/>
          <w:color w:val="auto"/>
        </w:rPr>
      </w:pPr>
    </w:p>
    <w:p>
      <w:pPr>
        <w:jc w:val="both"/>
        <w:ind w:left="1960" w:hanging="656"/>
        <w:spacing w:after="0" w:line="220" w:lineRule="auto"/>
        <w:tabs>
          <w:tab w:leader="none" w:pos="2045"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the aggregate amount of all principal payments of Indebtedness of the Borrower and the Restricted Subsidiaries made in cash during such period but excluding (x) all prepayments of Term Loans made during such period (other than prepayments pursuant to </w:t>
      </w:r>
      <w:r>
        <w:rPr>
          <w:rFonts w:ascii="Arial" w:cs="Arial" w:eastAsia="Arial" w:hAnsi="Arial"/>
          <w:sz w:val="21"/>
          <w:szCs w:val="21"/>
          <w:u w:val="single" w:color="auto"/>
          <w:color w:val="auto"/>
        </w:rPr>
        <w:t>Section 2.11(c)</w:t>
      </w:r>
      <w:r>
        <w:rPr>
          <w:rFonts w:ascii="Arial" w:cs="Arial" w:eastAsia="Arial" w:hAnsi="Arial"/>
          <w:sz w:val="21"/>
          <w:szCs w:val="21"/>
          <w:color w:val="auto"/>
        </w:rPr>
        <w:t xml:space="preserve">, but solely to the extent that the Disposition in question increased Consolidated Net Income, and not in excess of such increase, (y) all prepayments of Revolving Loans made during such period and (z) all prepayments of any other revolving credit facility to the extent there is not an equivalent permanent reduction in commitments thereunder, and except, in each case, to the extent financed with the proceeds of other Indebtedness of the Borrower or the Restricted Subsidiaries (other than Revolving Loans or intercompany loans, and excluding any such prepayments applied to reduce the amount of Excess Cash Flow prepayment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2.11(d)</w:t>
      </w:r>
      <w:r>
        <w:rPr>
          <w:rFonts w:ascii="Arial" w:cs="Arial" w:eastAsia="Arial" w:hAnsi="Arial"/>
          <w:sz w:val="21"/>
          <w:szCs w:val="21"/>
          <w:color w:val="auto"/>
        </w:rPr>
        <w:t>),</w:t>
      </w:r>
    </w:p>
    <w:p>
      <w:pPr>
        <w:spacing w:after="0" w:line="162" w:lineRule="exact"/>
        <w:rPr>
          <w:rFonts w:ascii="Arial" w:cs="Arial" w:eastAsia="Arial" w:hAnsi="Arial"/>
          <w:sz w:val="21"/>
          <w:szCs w:val="21"/>
          <w:color w:val="auto"/>
        </w:rPr>
      </w:pPr>
    </w:p>
    <w:p>
      <w:pPr>
        <w:ind w:left="1960" w:hanging="656"/>
        <w:spacing w:after="0" w:line="223" w:lineRule="auto"/>
        <w:tabs>
          <w:tab w:leader="none" w:pos="1881"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 amount equal to the aggregate net gain on Dispositions by the Borrower and the Restricted Subsidiaries during such period (other than Dispositions in the ordinary course of business) to the extent included in arriving at Consolidated Net Income,</w:t>
      </w:r>
    </w:p>
    <w:p>
      <w:pPr>
        <w:spacing w:after="0" w:line="158" w:lineRule="exact"/>
        <w:rPr>
          <w:rFonts w:ascii="Arial" w:cs="Arial" w:eastAsia="Arial" w:hAnsi="Arial"/>
          <w:sz w:val="22"/>
          <w:szCs w:val="22"/>
          <w:color w:val="auto"/>
        </w:rPr>
      </w:pPr>
    </w:p>
    <w:p>
      <w:pPr>
        <w:jc w:val="both"/>
        <w:ind w:left="1960" w:hanging="656"/>
        <w:spacing w:after="0" w:line="218" w:lineRule="auto"/>
        <w:tabs>
          <w:tab w:leader="none" w:pos="1897"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increases in Consolidated Working Capital for such period (other than (1) reclassification of items from short-term to long-term or vice versa and (2) any such increases arising from acquisitions or Dispositions by the Borrower and the Restricted Subsidiaries completed during such period or the application of purchase accounting),</w:t>
      </w:r>
    </w:p>
    <w:p>
      <w:pPr>
        <w:spacing w:after="0" w:line="160" w:lineRule="exact"/>
        <w:rPr>
          <w:rFonts w:ascii="Arial" w:cs="Arial" w:eastAsia="Arial" w:hAnsi="Arial"/>
          <w:sz w:val="22"/>
          <w:szCs w:val="22"/>
          <w:color w:val="auto"/>
        </w:rPr>
      </w:pPr>
    </w:p>
    <w:p>
      <w:pPr>
        <w:ind w:left="1960" w:hanging="656"/>
        <w:spacing w:after="0" w:line="229" w:lineRule="auto"/>
        <w:tabs>
          <w:tab w:leader="none" w:pos="1862" w:val="left"/>
        </w:tabs>
        <w:numPr>
          <w:ilvl w:val="0"/>
          <w:numId w:val="55"/>
        </w:numPr>
        <w:rPr>
          <w:rFonts w:ascii="Arial" w:cs="Arial" w:eastAsia="Arial" w:hAnsi="Arial"/>
          <w:sz w:val="21"/>
          <w:szCs w:val="21"/>
          <w:color w:val="auto"/>
        </w:rPr>
      </w:pPr>
      <w:r>
        <w:rPr>
          <w:rFonts w:ascii="Arial" w:cs="Arial" w:eastAsia="Arial" w:hAnsi="Arial"/>
          <w:sz w:val="21"/>
          <w:szCs w:val="21"/>
          <w:color w:val="auto"/>
        </w:rPr>
        <w:t>payments by the Borrower and the Restricted Subsidiaries during such period in cash in respect of (x) long-term liabilities of the Borrower and the Restricted Subsidiaries other than Indebtedness, to the extent not already deducted from Consolidated Net Income, or (y) non-cash charges incurred in a prior period, to the extent not already deducted from Consolidated Net Income,</w:t>
      </w:r>
    </w:p>
    <w:p>
      <w:pPr>
        <w:spacing w:after="0" w:line="158" w:lineRule="exact"/>
        <w:rPr>
          <w:rFonts w:ascii="Arial" w:cs="Arial" w:eastAsia="Arial" w:hAnsi="Arial"/>
          <w:sz w:val="21"/>
          <w:szCs w:val="21"/>
          <w:color w:val="auto"/>
        </w:rPr>
      </w:pPr>
    </w:p>
    <w:p>
      <w:pPr>
        <w:jc w:val="both"/>
        <w:ind w:left="1960" w:hanging="656"/>
        <w:spacing w:after="0" w:line="211" w:lineRule="auto"/>
        <w:tabs>
          <w:tab w:leader="none" w:pos="1954"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without duplication of amounts deducted pursuant to </w:t>
      </w:r>
      <w:r>
        <w:rPr>
          <w:rFonts w:ascii="Arial" w:cs="Arial" w:eastAsia="Arial" w:hAnsi="Arial"/>
          <w:sz w:val="22"/>
          <w:szCs w:val="22"/>
          <w:u w:val="single" w:color="auto"/>
          <w:color w:val="auto"/>
        </w:rPr>
        <w:t>clause (xi)</w:t>
      </w:r>
      <w:r>
        <w:rPr>
          <w:rFonts w:ascii="Arial" w:cs="Arial" w:eastAsia="Arial" w:hAnsi="Arial"/>
          <w:sz w:val="22"/>
          <w:szCs w:val="22"/>
          <w:color w:val="auto"/>
        </w:rPr>
        <w:t xml:space="preserve"> below in prior fiscal years, the aggregate amount of cash consideration paid by the Borrower and the Restricted Subsidiaries (on a consolidated basis) in connection with Investments (including acquisitions, holdback payments and earnout payments) pursuant to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(other than Investments made in the Borrower or a Restricted Subsidiary) made during such period (to the extent permitted to be made hereunder) or after the end of such period and on or prior to the ECF Due Date with respect to such period, except to the extent financed with the proceeds of Indebtedness of the Borrower or the Restricted Subsidiaries (other than Revolving Loans or intercompany loans),</w:t>
      </w:r>
    </w:p>
    <w:p>
      <w:pPr>
        <w:spacing w:after="0" w:line="164" w:lineRule="exact"/>
        <w:rPr>
          <w:rFonts w:ascii="Arial" w:cs="Arial" w:eastAsia="Arial" w:hAnsi="Arial"/>
          <w:sz w:val="22"/>
          <w:szCs w:val="22"/>
          <w:color w:val="auto"/>
        </w:rPr>
      </w:pPr>
    </w:p>
    <w:p>
      <w:pPr>
        <w:jc w:val="both"/>
        <w:ind w:left="1960" w:hanging="656"/>
        <w:spacing w:after="0" w:line="218" w:lineRule="auto"/>
        <w:tabs>
          <w:tab w:leader="none" w:pos="1972"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aggregate amount of Restricted Payments paid to any Person other than the Borrower or any Restricted Subsidiary in cash during such period pursuant to </w:t>
      </w:r>
      <w:r>
        <w:rPr>
          <w:rFonts w:ascii="Arial" w:cs="Arial" w:eastAsia="Arial" w:hAnsi="Arial"/>
          <w:sz w:val="22"/>
          <w:szCs w:val="22"/>
          <w:u w:val="single" w:color="auto"/>
          <w:color w:val="auto"/>
        </w:rPr>
        <w:t>clauses (v)</w:t>
      </w:r>
      <w:r>
        <w:rPr>
          <w:rFonts w:ascii="Arial" w:cs="Arial" w:eastAsia="Arial" w:hAnsi="Arial"/>
          <w:sz w:val="22"/>
          <w:szCs w:val="22"/>
          <w:color w:val="auto"/>
        </w:rPr>
        <w:t xml:space="preserve"> (other than with the proceeds of key man life insurance, except to the extent included in Consolidated Net Income for such period), </w:t>
      </w:r>
      <w:r>
        <w:rPr>
          <w:rFonts w:ascii="Arial" w:cs="Arial" w:eastAsia="Arial" w:hAnsi="Arial"/>
          <w:sz w:val="22"/>
          <w:szCs w:val="22"/>
          <w:u w:val="single" w:color="auto"/>
          <w:color w:val="auto"/>
        </w:rPr>
        <w:t>(x)(i)</w:t>
      </w:r>
      <w:r>
        <w:rPr>
          <w:rFonts w:ascii="Arial" w:cs="Arial" w:eastAsia="Arial" w:hAnsi="Arial"/>
          <w:sz w:val="22"/>
          <w:szCs w:val="22"/>
          <w:color w:val="auto"/>
        </w:rPr>
        <w:t xml:space="preserve">, </w:t>
      </w:r>
      <w:r>
        <w:rPr>
          <w:rFonts w:ascii="Arial" w:cs="Arial" w:eastAsia="Arial" w:hAnsi="Arial"/>
          <w:sz w:val="22"/>
          <w:szCs w:val="22"/>
          <w:u w:val="single" w:color="auto"/>
          <w:color w:val="auto"/>
        </w:rPr>
        <w:t>(xi)</w:t>
      </w:r>
      <w:r>
        <w:rPr>
          <w:rFonts w:ascii="Arial" w:cs="Arial" w:eastAsia="Arial" w:hAnsi="Arial"/>
          <w:sz w:val="22"/>
          <w:szCs w:val="22"/>
          <w:color w:val="auto"/>
        </w:rPr>
        <w:t xml:space="preserve">, </w:t>
      </w:r>
      <w:r>
        <w:rPr>
          <w:rFonts w:ascii="Arial" w:cs="Arial" w:eastAsia="Arial" w:hAnsi="Arial"/>
          <w:sz w:val="22"/>
          <w:szCs w:val="22"/>
          <w:u w:val="single" w:color="auto"/>
          <w:color w:val="auto"/>
        </w:rPr>
        <w:t>(xiii)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(xiv)</w:t>
      </w:r>
      <w:r>
        <w:rPr>
          <w:rFonts w:ascii="Arial" w:cs="Arial" w:eastAsia="Arial" w:hAnsi="Arial"/>
          <w:sz w:val="22"/>
          <w:szCs w:val="22"/>
          <w:color w:val="auto"/>
        </w:rPr>
        <w:t xml:space="preserve">, </w:t>
      </w:r>
      <w:r>
        <w:rPr>
          <w:rFonts w:ascii="Arial" w:cs="Arial" w:eastAsia="Arial" w:hAnsi="Arial"/>
          <w:sz w:val="22"/>
          <w:szCs w:val="22"/>
          <w:u w:val="single" w:color="auto"/>
          <w:color w:val="auto"/>
        </w:rPr>
        <w:t>(xvi)</w:t>
      </w:r>
      <w:r>
        <w:rPr>
          <w:rFonts w:ascii="Arial" w:cs="Arial" w:eastAsia="Arial" w:hAnsi="Arial"/>
          <w:sz w:val="22"/>
          <w:szCs w:val="22"/>
          <w:color w:val="auto"/>
        </w:rPr>
        <w:t xml:space="preserve">, </w:t>
      </w:r>
      <w:r>
        <w:rPr>
          <w:rFonts w:ascii="Arial" w:cs="Arial" w:eastAsia="Arial" w:hAnsi="Arial"/>
          <w:sz w:val="22"/>
          <w:szCs w:val="22"/>
          <w:u w:val="single" w:color="auto"/>
          <w:color w:val="auto"/>
        </w:rPr>
        <w:t>(xvii)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(xix)</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99" w:name="page100"/>
    <w:bookmarkEnd w:id="99"/>
    <w:p>
      <w:pPr>
        <w:ind w:left="1960"/>
        <w:spacing w:after="0" w:line="232" w:lineRule="auto"/>
        <w:rPr>
          <w:sz w:val="20"/>
          <w:szCs w:val="20"/>
          <w:color w:val="auto"/>
        </w:rPr>
      </w:pPr>
      <w:r>
        <w:rPr>
          <w:rFonts w:ascii="Arial" w:cs="Arial" w:eastAsia="Arial" w:hAnsi="Arial"/>
          <w:sz w:val="22"/>
          <w:szCs w:val="22"/>
          <w:u w:val="single" w:color="auto"/>
          <w:color w:val="auto"/>
        </w:rPr>
        <w:t>6.06(a)</w:t>
      </w:r>
      <w:r>
        <w:rPr>
          <w:rFonts w:ascii="Arial" w:cs="Arial" w:eastAsia="Arial" w:hAnsi="Arial"/>
          <w:sz w:val="22"/>
          <w:szCs w:val="22"/>
          <w:color w:val="auto"/>
        </w:rPr>
        <w:t>, except to the extent financed with the proceeds of Indebtedness of the Borrower and the Restricted Subsidiaries (other than Revolving Loans or intercompany loans),</w:t>
      </w:r>
    </w:p>
    <w:p>
      <w:pPr>
        <w:spacing w:after="0" w:line="159" w:lineRule="exact"/>
        <w:rPr>
          <w:sz w:val="20"/>
          <w:szCs w:val="20"/>
          <w:color w:val="auto"/>
        </w:rPr>
      </w:pPr>
    </w:p>
    <w:p>
      <w:pPr>
        <w:jc w:val="both"/>
        <w:ind w:left="1960" w:hanging="656"/>
        <w:spacing w:after="0" w:line="268" w:lineRule="auto"/>
        <w:tabs>
          <w:tab w:leader="none" w:pos="1931"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aggregate amount of expenditures, fees, costs, charges and expenses in respect of long-term reserves (including litigation reserves) actually made by the Borrower and the Restricted Subsidiaries in cash during such period to the extent that such expenditures are not deducted in calculating Consolidated Net Income,</w:t>
      </w:r>
    </w:p>
    <w:p>
      <w:pPr>
        <w:spacing w:after="0" w:line="132" w:lineRule="exact"/>
        <w:rPr>
          <w:rFonts w:ascii="Arial" w:cs="Arial" w:eastAsia="Arial" w:hAnsi="Arial"/>
          <w:sz w:val="19"/>
          <w:szCs w:val="19"/>
          <w:color w:val="auto"/>
        </w:rPr>
      </w:pPr>
    </w:p>
    <w:p>
      <w:pPr>
        <w:jc w:val="both"/>
        <w:ind w:left="1960" w:hanging="656"/>
        <w:spacing w:after="0" w:line="218" w:lineRule="auto"/>
        <w:tabs>
          <w:tab w:leader="none" w:pos="1945"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aggregate amount of any premium, make-whole or penalty payments actually paid in cash by the Borrower and the Restricted Subsidiaries during such period that are made in connection with any prepayment of Indebtedness to the extent that such payments are not deducted in calculating Consolidated Net Income,</w:t>
      </w:r>
    </w:p>
    <w:p>
      <w:pPr>
        <w:spacing w:after="0" w:line="160" w:lineRule="exact"/>
        <w:rPr>
          <w:rFonts w:ascii="Arial" w:cs="Arial" w:eastAsia="Arial" w:hAnsi="Arial"/>
          <w:sz w:val="22"/>
          <w:szCs w:val="22"/>
          <w:color w:val="auto"/>
        </w:rPr>
      </w:pPr>
    </w:p>
    <w:p>
      <w:pPr>
        <w:ind w:left="1960" w:hanging="656"/>
        <w:spacing w:after="0" w:line="220" w:lineRule="auto"/>
        <w:tabs>
          <w:tab w:leader="none" w:pos="1876" w:val="left"/>
        </w:tabs>
        <w:numPr>
          <w:ilvl w:val="0"/>
          <w:numId w:val="56"/>
        </w:numPr>
        <w:rPr>
          <w:rFonts w:ascii="Arial" w:cs="Arial" w:eastAsia="Arial" w:hAnsi="Arial"/>
          <w:sz w:val="21"/>
          <w:szCs w:val="21"/>
          <w:color w:val="auto"/>
        </w:rPr>
      </w:pPr>
      <w:r>
        <w:rPr>
          <w:rFonts w:ascii="Arial" w:cs="Arial" w:eastAsia="Arial" w:hAnsi="Arial"/>
          <w:sz w:val="21"/>
          <w:szCs w:val="21"/>
          <w:color w:val="auto"/>
        </w:rPr>
        <w:t>without duplication of amounts deducted from Excess Cash Flow in prior periods, the aggregate amount of cash that is reasonably expected to be paid in respect of planned cash expenditures by the Borrower or any of the Restricted Subsidiaries (the “</w:t>
      </w:r>
      <w:r>
        <w:rPr>
          <w:rFonts w:ascii="Arial" w:cs="Arial" w:eastAsia="Arial" w:hAnsi="Arial"/>
          <w:sz w:val="21"/>
          <w:szCs w:val="21"/>
          <w:u w:val="single" w:color="auto"/>
          <w:color w:val="auto"/>
        </w:rPr>
        <w:t>Planned Expenditures</w:t>
      </w:r>
      <w:r>
        <w:rPr>
          <w:rFonts w:ascii="Arial" w:cs="Arial" w:eastAsia="Arial" w:hAnsi="Arial"/>
          <w:sz w:val="21"/>
          <w:szCs w:val="21"/>
          <w:color w:val="auto"/>
        </w:rPr>
        <w:t xml:space="preserve">”) relating to Permitted Acquisitions, other Investments (other than intercompany Investments) or Capital Expenditures to be consummated or made during the period of four consecutive fiscal quarters of the Borrower following the end of such period; </w:t>
      </w:r>
      <w:r>
        <w:rPr>
          <w:rFonts w:ascii="Arial" w:cs="Arial" w:eastAsia="Arial" w:hAnsi="Arial"/>
          <w:sz w:val="21"/>
          <w:szCs w:val="21"/>
          <w:u w:val="single" w:color="auto"/>
          <w:color w:val="auto"/>
        </w:rPr>
        <w:t>provided</w:t>
      </w:r>
      <w:r>
        <w:rPr>
          <w:rFonts w:ascii="Arial" w:cs="Arial" w:eastAsia="Arial" w:hAnsi="Arial"/>
          <w:sz w:val="21"/>
          <w:szCs w:val="21"/>
          <w:color w:val="auto"/>
        </w:rPr>
        <w:t>, that to the extent the aggregate amount of cash actually utilized to finance such Planned Expenditures during such period of four consecutive fiscal quarters (or to the extent such payments are financed with long term Indebtedness (other than revolving loans)) is less than the Planned Expenditures, the amount of such shortfall shall be added to the calculation of Excess Cash Flow at the end of such period of four consecutive fiscal quarters,</w:t>
      </w:r>
    </w:p>
    <w:p>
      <w:pPr>
        <w:spacing w:after="0" w:line="162" w:lineRule="exact"/>
        <w:rPr>
          <w:rFonts w:ascii="Arial" w:cs="Arial" w:eastAsia="Arial" w:hAnsi="Arial"/>
          <w:sz w:val="21"/>
          <w:szCs w:val="21"/>
          <w:color w:val="auto"/>
        </w:rPr>
      </w:pPr>
    </w:p>
    <w:p>
      <w:pPr>
        <w:jc w:val="both"/>
        <w:ind w:left="1960" w:hanging="656"/>
        <w:spacing w:after="0" w:line="223" w:lineRule="auto"/>
        <w:tabs>
          <w:tab w:leader="none" w:pos="197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amount of taxes (including penalties and interest) paid in cash or tax reserves set aside or payable in each case in such period to the extent not deducted in determining Consolidated Net Income for such period, and</w:t>
      </w:r>
    </w:p>
    <w:p>
      <w:pPr>
        <w:spacing w:after="0" w:line="158" w:lineRule="exact"/>
        <w:rPr>
          <w:rFonts w:ascii="Arial" w:cs="Arial" w:eastAsia="Arial" w:hAnsi="Arial"/>
          <w:sz w:val="22"/>
          <w:szCs w:val="22"/>
          <w:color w:val="auto"/>
        </w:rPr>
      </w:pPr>
    </w:p>
    <w:p>
      <w:pPr>
        <w:jc w:val="both"/>
        <w:ind w:left="1960" w:hanging="656"/>
        <w:spacing w:after="0" w:line="223" w:lineRule="auto"/>
        <w:tabs>
          <w:tab w:leader="none" w:pos="2011"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aggregate amount paid in cash by the Borrower and the Restricted Subsidiaries during such period in respect of the Transaction Costs to the extent that such payments are not deducted in calculating Consolidated Net Income.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17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Rate</w:t>
      </w:r>
      <w:r>
        <w:rPr>
          <w:rFonts w:ascii="Arial" w:cs="Arial" w:eastAsia="Arial" w:hAnsi="Arial"/>
          <w:sz w:val="19"/>
          <w:szCs w:val="19"/>
          <w:color w:val="auto"/>
        </w:rPr>
        <w:t>” means, on any day, for purposes of determining the Dollar Equivalent of any currency, the rate at which such other currency may be exchanged into Dollars at the time of determination as displayed by ICE Data Services as the “ask price” or as displayed on such other information service which publishes that rate from time to time in place of ICE Data Services (or another commercially available source providing quotations of such rate as designated by the Administrative Agent from time to time) for such currency (or to the extent applicable, the rate at which Dollars may be exchanged into such other currency). In the event that such rate does not appear on such applicable ICE Data Services screen (or another commercially available source providing quotations of such rate as designated by the Administrative Agent from time to time), the Exchange Rate shall be determined by reference to such other publicly available service for displaying exchange rates as may be agreed upon by the Administrative Agent and the Borrower (or, with respect to calculations to be made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00" w:name="page101"/>
    <w:bookmarkEnd w:id="100"/>
    <w:p>
      <w:pPr>
        <w:jc w:val="both"/>
        <w:spacing w:after="0" w:line="244" w:lineRule="auto"/>
        <w:rPr>
          <w:sz w:val="20"/>
          <w:szCs w:val="20"/>
          <w:color w:val="auto"/>
        </w:rPr>
      </w:pPr>
      <w:r>
        <w:rPr>
          <w:rFonts w:ascii="Arial" w:cs="Arial" w:eastAsia="Arial" w:hAnsi="Arial"/>
          <w:sz w:val="19"/>
          <w:szCs w:val="19"/>
          <w:color w:val="auto"/>
        </w:rPr>
        <w:t xml:space="preserve">relevant Issuing Bank, such Issuing Bank and the Borrower), or, in the absence of such an agreement, such Exchange Rate shall instead be the arithmetic average of the spot rates of exchange of the Administrative Agent (or, with respect to calculations to be made by the relevant Issuing Bank, such Issuing Bank) in the market where its foreign currency exchange operations in respect of such currency are then being conducted, at or about such time as the Administrative Agent (or, with respect to calculations to be made by the relevant Issuing Bank, such Issuing Bank) shall elect after determining that such rates shall be the basis for determining the Exchange Rate, on such date for the purchase of Dollars for delivery two Business Days later;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of any such determination, for any reason, no such spot rate is being quoted, the Administrative Agent (or, with respect to calculations to be made by the relevant Issuing Bank, such Issuing Bank) may use any reasonable method it deems appropriate to determine such rate, and such determination shall be conclusive absent manifest error.</w:t>
      </w:r>
    </w:p>
    <w:p>
      <w:pPr>
        <w:spacing w:after="0" w:line="161"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Affiliate</w:t>
      </w:r>
      <w:r>
        <w:rPr>
          <w:rFonts w:ascii="Arial" w:cs="Arial" w:eastAsia="Arial" w:hAnsi="Arial"/>
          <w:sz w:val="21"/>
          <w:szCs w:val="21"/>
          <w:color w:val="auto"/>
        </w:rPr>
        <w:t>” means any Affiliates of the Joint Lead Arrangers or Joint Bookrunners that are engaged as principals primarily in private equity, mezzanine financing or venture capital or are engaged, directly or indirectly, in the sale of the Borrower, including through the provision of advisory services, other than a limited number of senior employees who are required, in accordance with industry regulations or such Joint Lead Arranger’s or Joint Bookrunner’s internal policies and procedures, to act in a supervisory capacity and such Joint Lead Arranger’s or Joint Bookrunner’s internal legal, compliance, risk management, credit or investment committee members.</w:t>
      </w:r>
    </w:p>
    <w:p>
      <w:pPr>
        <w:spacing w:after="0" w:line="16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Contribution</w:t>
      </w:r>
      <w:r>
        <w:rPr>
          <w:rFonts w:ascii="Arial" w:cs="Arial" w:eastAsia="Arial" w:hAnsi="Arial"/>
          <w:sz w:val="22"/>
          <w:szCs w:val="22"/>
          <w:color w:val="auto"/>
        </w:rPr>
        <w:t>” has the meaning assigned to such term in the definition of “Available Excluded Contribution Amount”.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Information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2.11(i)(C)</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Property</w:t>
      </w:r>
      <w:r>
        <w:rPr>
          <w:rFonts w:ascii="Arial" w:cs="Arial" w:eastAsia="Arial" w:hAnsi="Arial"/>
          <w:sz w:val="19"/>
          <w:szCs w:val="19"/>
          <w:color w:val="auto"/>
        </w:rPr>
        <w:t xml:space="preserve">” means (i) any lease, lease in respect of a Capital Lease Obligation, license, contract, permit, Instrument, Security or franchise agreement to which such Loan Party is a party, or any property subject to a purchase money security interest, or any property governed by any such lease, lease in respect of a Capital Lease Obligation to which such Loan Party is a party and any of its rights or interest thereunder, to the extent, but only to the extent, that a grant of a security interest therein in favor of the Collateral Agent would, under the terms of such lease, lease in respect of a Capital Lease Obligation, license, contract, permit, Instrument, Security or franchise agreement or purchase money arrangement, be prohibited by or result in a violation of law, rule or regulation or a breach of the terms or a condition of, or constitute a default or forfeiture under, or create a right of termination in favor of, or require a consent (other than the consent of any Loan Party and any such consent which has been obtained (it being understood and agreed that no Loan Party or Restricted Subsidiary shall be required to seek any such consent)) of, any other party to, such lease, lease in respect of a Capital Lease Obligation, license, contract, permit, Instrument, Security or franchise agreement or purchase money arrangement, in each case, solely to the extent such prohibition was not created in contemplation of this Agreement or the other Loan Documents (except in the case of a lease in respect of a Capital Lease Obligation or property subject to a Lien permitted pursuant to </w:t>
      </w:r>
      <w:r>
        <w:rPr>
          <w:rFonts w:ascii="Arial" w:cs="Arial" w:eastAsia="Arial" w:hAnsi="Arial"/>
          <w:sz w:val="19"/>
          <w:szCs w:val="19"/>
          <w:u w:val="single" w:color="auto"/>
          <w:color w:val="auto"/>
        </w:rPr>
        <w:t>Sections 6.02(c)</w:t>
      </w:r>
      <w:r>
        <w:rPr>
          <w:rFonts w:ascii="Arial" w:cs="Arial" w:eastAsia="Arial" w:hAnsi="Arial"/>
          <w:sz w:val="19"/>
          <w:szCs w:val="19"/>
          <w:color w:val="auto"/>
        </w:rPr>
        <w:t xml:space="preserve"> (to the extent liens are of the type described in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6.02</w:t>
      </w:r>
      <w:r>
        <w:rPr>
          <w:rFonts w:ascii="Arial" w:cs="Arial" w:eastAsia="Arial" w:hAnsi="Arial"/>
          <w:sz w:val="19"/>
          <w:szCs w:val="19"/>
          <w:color w:val="auto"/>
        </w:rPr>
        <w:t>),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other than to the extent that any such law, rule, regulation, term, prohibition, restriction or condition would be rendered ineffective pursuant to Sections 9-406, 9-407, 9-408 or 9-409 of the UCC (or any successor provision or provisions) of any relevant jurisdiction or any other applicable law (including the Bankruptcy Code) or principles of equity, and other than receivables and proceeds of any of the foregoing the assignment of which is expressly deemed effective under the UCC or other applicable law notwithstanding such law, rule, regulation, term prohibition or condition);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upon the ineffectiveness, lapse or termination of any such law, rule, regulation, term, prohibition, restriction or condition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01" w:name="page102"/>
    <w:bookmarkEnd w:id="101"/>
    <w:p>
      <w:pPr>
        <w:spacing w:after="0" w:line="247" w:lineRule="auto"/>
        <w:rPr>
          <w:sz w:val="20"/>
          <w:szCs w:val="20"/>
          <w:color w:val="auto"/>
        </w:rPr>
      </w:pPr>
      <w:r>
        <w:rPr>
          <w:rFonts w:ascii="Arial" w:cs="Arial" w:eastAsia="Arial" w:hAnsi="Arial"/>
          <w:sz w:val="19"/>
          <w:szCs w:val="19"/>
          <w:color w:val="auto"/>
        </w:rPr>
        <w:t>Collateral shall include, and such Person shall be deemed to have granted a security interest in, all such rights and interests as if such law, rule, regulation, term, prohibition, restriction or condition had never been in effect; (ii) any of the outstanding</w:t>
      </w:r>
    </w:p>
    <w:p>
      <w:pPr>
        <w:jc w:val="both"/>
        <w:ind w:firstLine="8"/>
        <w:spacing w:after="0"/>
        <w:tabs>
          <w:tab w:leader="none" w:pos="307"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Equity Interests issued by a Subsidiary of any Holding Company that is a CFC or a CFC Holding Company other than 65% of the voting capital stock and 100% of the non-voting capital stock of such Subsidiary or (2) Equity Interests issued by a Subsidiary of any Holding Company that is a Subsidiary of a CFC; (iii) any Equity Interests or assets of a Person to the extent that, and for so long as (x) such Equity Interests constitute less than 100% of all Equity Interests of such Person, and the Person or Persons holding the remainder of such Equity Interests are not Subsidiaries of any Holding Company and (y) the granting of a security interest in such Equity Interests in favor of the Collateral Agent is not permitted by the terms of such issuing Person’s organizational or joint venture documents or otherwise requires the consent of a Person or Persons who are not Subsidiaries of any Holding Company (after giving effect to other than to the extent that any such restriction or requirement would be rendered ineffective pursuant to Sections 9-406, 9-407, 9-408 or 9-409 of the UCC (or any successor provision or provisions) of any relevant jurisdiction or any other applicable law (including the Bankruptcy Code)); (iv) any Equity Interests in and assets of an Unrestricted Subsidiary, an Immaterial Subsidiary or a Captive Insurance Subsidiary or other special purpose entity (except to the extent perfection can be achieved by filing of a UCC financing statement); (v) (A) any motor vehicles and other assets subject to certificates of title (except to the extent a security interest therein can be perfected by the filing of UCC financing statements), (B) letter of credit rights (other than those constituting supporting obligations of other Collateral) with a value of less than $10,000,000 individually (except to the extent a security interest therein can be perfected by the filing of UCC financing statements), and (C) Commercial Tort Claims (as defined in the UCC) with a claim value of less than $10,000,000 individually; (vi) any “intent-to-use” trademark or service mark applications for which a statement of use or an amendment to allege use has not been filed with the United States Patent and Trademark Office (but only until such statement or amendment is filed with the United States Patent and Trademark Office), and solely to the extent, if any, that, and solely during the period, if any, in which, the grant of a security interest therein would impair the validity or enforceability of, or void or cause the abandonment or lapse of, such application or any registration that issues from such intent-to-use application under applicable U.S. law; (vii) those assets to the extent that a security interest in or perfection thereof would result in adverse tax consequences that are not de minimis (other than a result of the application of Sections 951 and/or 956 of the Code (or any successor provisions)) as reasonably determined by the Borrower in good faith; (viii) those assets as to which the Administrative Agent and the Borrower reasonably determine, in writing, that the cost of obtaining a security interest in or perfection thereof are excessive in relation to the benefit to the Lenders of the security to be afforded thereby; (ix) any real property leasehold interests (including any requirement to obtain any landlord waivers, estoppels and consents); (x) [reserved]; (xi) those assets with respect to which the granting of security interests in such assets would be prohibited by any contract permitted under the terms of this Agreement (not entered into in contemplation thereof and solely with respect to assets that are subject to such contract), applicable law or regulation (other than to the extent that any such law, rule, regulation, term, prohibition or condition would be rendered ineffective pursuant to Sections 9-406, 9-407, 9-408 or 9-409 of the UCC (or any successor provision or provisions) of any relevant jurisdiction or any other applicable law (including the Bankruptcy Code) or principles of equity, and other than receivables and Proceeds of any of the foregoing the assignment of which is expressly deemed effective under the UCC or other applicable law notwithstanding such law, rule, regulation, term, prohibition or condition), or would require governmental or third-party (other than any Loan Party) consent, approval, license or authorization or create a right of termination in favor of any Person (other than any Loan Party) party to any such contract (after giving effect to the applicable anti-assignment provisions of the UCC or other applicable law other than Proceeds and receivables thereof, the assignment of which is expressly deemed effective under the UCC or other applicable law notwithstanding such prohibition);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upon the ineffectiveness, lapse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02" w:name="page103"/>
    <w:bookmarkEnd w:id="102"/>
    <w:p>
      <w:pPr>
        <w:jc w:val="both"/>
        <w:spacing w:after="0" w:line="242" w:lineRule="auto"/>
        <w:rPr>
          <w:sz w:val="20"/>
          <w:szCs w:val="20"/>
          <w:color w:val="auto"/>
        </w:rPr>
      </w:pPr>
      <w:r>
        <w:rPr>
          <w:rFonts w:ascii="Arial" w:cs="Arial" w:eastAsia="Arial" w:hAnsi="Arial"/>
          <w:sz w:val="19"/>
          <w:szCs w:val="19"/>
          <w:color w:val="auto"/>
        </w:rPr>
        <w:t xml:space="preserve">termination of any such law, rule, regulation, term, prohibition, condition or provision the Collateral shall include, and such Person shall be deemed to have granted a security interest in, all such rights and interests as if such law, rule, regulation, term, prohibition, condition or provision had never been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exclusions referred to in this </w:t>
      </w:r>
      <w:r>
        <w:rPr>
          <w:rFonts w:ascii="Arial" w:cs="Arial" w:eastAsia="Arial" w:hAnsi="Arial"/>
          <w:sz w:val="19"/>
          <w:szCs w:val="19"/>
          <w:u w:val="single" w:color="auto"/>
          <w:color w:val="auto"/>
        </w:rPr>
        <w:t>clause (xi)</w:t>
      </w:r>
      <w:r>
        <w:rPr>
          <w:rFonts w:ascii="Arial" w:cs="Arial" w:eastAsia="Arial" w:hAnsi="Arial"/>
          <w:sz w:val="19"/>
          <w:szCs w:val="19"/>
          <w:color w:val="auto"/>
        </w:rPr>
        <w:t xml:space="preserve"> shall not include any Proceeds of any such assets except to the extent such Proceeds constitute Excluded Property; (xii) all owned real property not constituting Material Real Property; (xiii) Margin Stock; and (xiv) any assets (other than Equity Interests in a Foreign Subsidiary) that are located outside of the United States or are governed by or arise under the law of any jurisdiction outside of the United States (other than to the extent no action needs to be taken outside of the United States with respect to any such assets to create or perfect a security interest in any such assets). Notwithstanding anything to the contrary, “Excluded Property” shall not include any Proceeds, substitutions or replacements of any “Excluded Property” referred to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(xiv)</w:t>
      </w:r>
      <w:r>
        <w:rPr>
          <w:rFonts w:ascii="Arial" w:cs="Arial" w:eastAsia="Arial" w:hAnsi="Arial"/>
          <w:sz w:val="19"/>
          <w:szCs w:val="19"/>
          <w:color w:val="auto"/>
        </w:rPr>
        <w:t xml:space="preserve"> (unless such Proceeds, substitutions or replacements would itself or themselves independently constitute “Excluded Property” referred to in any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(xiv)</w:t>
      </w:r>
      <w:r>
        <w:rPr>
          <w:rFonts w:ascii="Arial" w:cs="Arial" w:eastAsia="Arial" w:hAnsi="Arial"/>
          <w:sz w:val="19"/>
          <w:szCs w:val="19"/>
          <w:color w:val="auto"/>
        </w:rPr>
        <w:t>). Each category of Collateral set forth above shall have the meaning set forth in the UCC (to the extent such term is defined in the UCC).</w:t>
      </w:r>
    </w:p>
    <w:p>
      <w:pPr>
        <w:spacing w:after="0" w:line="164"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Subsidiaries</w:t>
      </w:r>
      <w:r>
        <w:rPr>
          <w:rFonts w:ascii="Arial" w:cs="Arial" w:eastAsia="Arial" w:hAnsi="Arial"/>
          <w:sz w:val="19"/>
          <w:szCs w:val="19"/>
          <w:color w:val="auto"/>
        </w:rPr>
        <w:t xml:space="preserve">” means any Subsidiary of any Holding Company that is not itself a Holding Company or the Borrower and that is: (a) listed on </w:t>
      </w:r>
      <w:r>
        <w:rPr>
          <w:rFonts w:ascii="Arial" w:cs="Arial" w:eastAsia="Arial" w:hAnsi="Arial"/>
          <w:sz w:val="19"/>
          <w:szCs w:val="19"/>
          <w:u w:val="single" w:color="auto"/>
          <w:color w:val="auto"/>
        </w:rPr>
        <w:t>Schedule 1.02</w:t>
      </w:r>
      <w:r>
        <w:rPr>
          <w:rFonts w:ascii="Arial" w:cs="Arial" w:eastAsia="Arial" w:hAnsi="Arial"/>
          <w:sz w:val="19"/>
          <w:szCs w:val="19"/>
          <w:color w:val="auto"/>
        </w:rPr>
        <w:t xml:space="preserve"> as of the Closing Date; (b) a CFC or a CFC Holding Company; (c) any not-for-profit Subsidiary; (d) a Joint Venture or a Subsidiary that is not otherwise a wholly-owned Restricted Subsidiary; (e) an Immaterial Subsidiary; (f) an Unrestricted Subsidiary; (g) a Captive Insurance Subsidiary or other special purpose entity; (h) prohibited by any applicable Requirement of Law or contractual obligation from guaranteeing or granting Liens to secure any of the Secured Obligations or with respect to which any consent, approval, license or authorization from any Governmental Authority would be required for the provision of any such guaranty (but in the case of such guaranty being prohibited due to a contractual obligation, such contractual obligation shall have been in place at the Closing Date or at the time such Subsidiary became a Subsidiary and is not created in contemplation of or in connection with such Person becoming a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Restricted Subsidiary shall cease to be an Excluded Subsidiary solely pursuant to this </w:t>
      </w:r>
      <w:r>
        <w:rPr>
          <w:rFonts w:ascii="Arial" w:cs="Arial" w:eastAsia="Arial" w:hAnsi="Arial"/>
          <w:sz w:val="19"/>
          <w:szCs w:val="19"/>
          <w:u w:val="single" w:color="auto"/>
          <w:color w:val="auto"/>
        </w:rPr>
        <w:t>clause (h)</w:t>
      </w:r>
      <w:r>
        <w:rPr>
          <w:rFonts w:ascii="Arial" w:cs="Arial" w:eastAsia="Arial" w:hAnsi="Arial"/>
          <w:sz w:val="19"/>
          <w:szCs w:val="19"/>
          <w:color w:val="auto"/>
        </w:rPr>
        <w:t xml:space="preserve"> if such consent, approval, license or authorization has been obtained (it being understood and agreed that no Loan Party or Restricted Subsidiary shall be required to seek any such consent, approval, license or authorization); (i) with respect to which the Borrower (in consultation with the Administrative Agent) reasonably determines that guaranteeing or granting Liens to secure any of the Secured Obligations would result in material adverse tax consequences; (j) with respect to which the Borrower and the Administrative Agent reasonably agree that the cost and/or burden of providing a guaranty of the Secured Obligations outweighs the benefits to the Lenders; (k) a direct or indirect Subsidiary of an Excluded Subsidiary; (l) a Securitization Subsidiary; (m) organized or incorporated outside of the United States or any state, province, territory or jurisdiction thereof, (n) [reserved] and</w:t>
      </w:r>
    </w:p>
    <w:p>
      <w:pPr>
        <w:spacing w:after="0" w:line="7" w:lineRule="exact"/>
        <w:rPr>
          <w:sz w:val="20"/>
          <w:szCs w:val="20"/>
          <w:color w:val="auto"/>
        </w:rPr>
      </w:pPr>
    </w:p>
    <w:p>
      <w:pPr>
        <w:jc w:val="both"/>
        <w:ind w:firstLine="8"/>
        <w:spacing w:after="0" w:line="244" w:lineRule="auto"/>
        <w:tabs>
          <w:tab w:leader="none" w:pos="31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Restricted Subsidiary acquired pursuant to a Permitted Acquisition or other permitted Investment that, at the time of such Permitted Acquisition or other permitted Investment, has assumed secured Indebtedness permitted hereunder and not incurred in contemplation of such Permitted Acquisition or other Investment and each Restricted Subsidiary that is a Subsidiary thereof that guarantees such Indebtedness, in each case to the extent (and solely for so long as) such secured Indebtedness prohibits such Restricted Subsidiary from becoming a 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Subsidiary shall cease to be an Excluded Subsidiary under this </w:t>
      </w:r>
      <w:r>
        <w:rPr>
          <w:rFonts w:ascii="Arial" w:cs="Arial" w:eastAsia="Arial" w:hAnsi="Arial"/>
          <w:sz w:val="19"/>
          <w:szCs w:val="19"/>
          <w:u w:val="single" w:color="auto"/>
          <w:color w:val="auto"/>
        </w:rPr>
        <w:t>clause (o)</w:t>
      </w:r>
      <w:r>
        <w:rPr>
          <w:rFonts w:ascii="Arial" w:cs="Arial" w:eastAsia="Arial" w:hAnsi="Arial"/>
          <w:sz w:val="19"/>
          <w:szCs w:val="19"/>
          <w:color w:val="auto"/>
        </w:rPr>
        <w:t xml:space="preserve"> if such secured Indebtedness is repaid or becomes unsecured, if such Restricted Subsidiary ceases to be an obligor with respect to such secured Indebtedness or such prohibition no longer exists, as applicable).</w:t>
      </w:r>
    </w:p>
    <w:p>
      <w:pPr>
        <w:spacing w:after="0" w:line="15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Swap Obligation</w:t>
      </w:r>
      <w:r>
        <w:rPr>
          <w:rFonts w:ascii="Arial" w:cs="Arial" w:eastAsia="Arial" w:hAnsi="Arial"/>
          <w:sz w:val="22"/>
          <w:szCs w:val="22"/>
          <w:color w:val="auto"/>
        </w:rPr>
        <w:t>” means, with respect to any Loan Party, any Swap Obligation if, and to the extent that, all or a portion of the Guarantee of such Loan Party of, or the grant by such Loan Party of a security interest pursuant to the Security Documents to 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03" w:name="page104"/>
    <w:bookmarkEnd w:id="103"/>
    <w:p>
      <w:pPr>
        <w:jc w:val="both"/>
        <w:spacing w:after="0" w:line="214" w:lineRule="auto"/>
        <w:rPr>
          <w:sz w:val="20"/>
          <w:szCs w:val="20"/>
          <w:color w:val="auto"/>
        </w:rPr>
      </w:pPr>
      <w:r>
        <w:rPr>
          <w:rFonts w:ascii="Arial" w:cs="Arial" w:eastAsia="Arial" w:hAnsi="Arial"/>
          <w:sz w:val="22"/>
          <w:szCs w:val="22"/>
          <w:color w:val="auto"/>
        </w:rPr>
        <w:t>such Swap Obligation (or any Guarantee thereof) is or becomes illegal or unlawful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at the time the Guarantee of such Loan Party or the grant of such security interest would otherwise have become effective with respect to such related Swap Obligation but for such Loan Party’s failure to constitute an “eligible contract participant” at such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Taxes</w:t>
      </w:r>
      <w:r>
        <w:rPr>
          <w:rFonts w:ascii="Arial" w:cs="Arial" w:eastAsia="Arial" w:hAnsi="Arial"/>
          <w:sz w:val="22"/>
          <w:szCs w:val="22"/>
          <w:color w:val="auto"/>
        </w:rPr>
        <w:t>” means, with respect to any Recipient:</w:t>
      </w:r>
    </w:p>
    <w:p>
      <w:pPr>
        <w:spacing w:after="0" w:line="179" w:lineRule="exact"/>
        <w:rPr>
          <w:sz w:val="20"/>
          <w:szCs w:val="20"/>
          <w:color w:val="auto"/>
        </w:rPr>
      </w:pPr>
    </w:p>
    <w:p>
      <w:pPr>
        <w:jc w:val="both"/>
        <w:ind w:firstLine="1304"/>
        <w:spacing w:after="0" w:line="249" w:lineRule="auto"/>
        <w:tabs>
          <w:tab w:leader="none" w:pos="1906" w:val="left"/>
        </w:tabs>
        <w:numPr>
          <w:ilvl w:val="0"/>
          <w:numId w:val="59"/>
        </w:numPr>
        <w:rPr>
          <w:rFonts w:ascii="Arial" w:cs="Arial" w:eastAsia="Arial" w:hAnsi="Arial"/>
          <w:sz w:val="19"/>
          <w:szCs w:val="19"/>
          <w:color w:val="auto"/>
        </w:rPr>
      </w:pPr>
      <w:r>
        <w:rPr>
          <w:rFonts w:ascii="Arial" w:cs="Arial" w:eastAsia="Arial" w:hAnsi="Arial"/>
          <w:sz w:val="19"/>
          <w:szCs w:val="19"/>
          <w:color w:val="auto"/>
        </w:rPr>
        <w:t>Taxes imposed on or measured by such Recipient’s overall net income or profits, and franchise Taxes imposed in lieu of overall net income or profits Taxes, as a result of a present or former connection between the Recipient and the jurisdiction of the Governmental Authority imposing such Tax (other than any such connection arising solely from (i) such Recipient having executed, delivered, enforced, become a party to, performed its obligations under, received payments under, received or perfected a security interest under, and/or engaged in any other transaction pursuant to, any Loan Document, or (ii) such Recipient having sold or assigned an interest in any Loan or Loan Document);</w:t>
      </w:r>
    </w:p>
    <w:p>
      <w:pPr>
        <w:spacing w:after="0" w:line="151" w:lineRule="exact"/>
        <w:rPr>
          <w:rFonts w:ascii="Arial" w:cs="Arial" w:eastAsia="Arial" w:hAnsi="Arial"/>
          <w:sz w:val="19"/>
          <w:szCs w:val="19"/>
          <w:color w:val="auto"/>
        </w:rPr>
      </w:pPr>
    </w:p>
    <w:p>
      <w:pPr>
        <w:ind w:left="1780" w:hanging="476"/>
        <w:spacing w:after="0"/>
        <w:tabs>
          <w:tab w:leader="none" w:pos="17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any branch profits Taxes imposed by any jurisdiction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52" w:lineRule="auto"/>
        <w:tabs>
          <w:tab w:leader="none" w:pos="1759"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any United States federal withholding Taxes that are imposed on a Recipient pursuant to a law in effect at the time such Recipient becomes a party to this Agreement (or designates a new lending office) except, in each case, (i) to the extent that such Recipient (or its assignor, if any) was entitled, immediately prior to the designation of a new lending office (or assignment), to receive additional amounts from any Loan Party with respect to such withholding Tax pursuant to Section 2.17 of this Agreement or (ii) if such Recipient is an assignee pursuant to a request by the Borrower under </w:t>
      </w:r>
      <w:r>
        <w:rPr>
          <w:rFonts w:ascii="Arial" w:cs="Arial" w:eastAsia="Arial" w:hAnsi="Arial"/>
          <w:sz w:val="19"/>
          <w:szCs w:val="19"/>
          <w:u w:val="single" w:color="auto"/>
          <w:color w:val="auto"/>
        </w:rPr>
        <w:t>Section 2.19</w:t>
      </w:r>
      <w:r>
        <w:rPr>
          <w:rFonts w:ascii="Arial" w:cs="Arial" w:eastAsia="Arial" w:hAnsi="Arial"/>
          <w:sz w:val="19"/>
          <w:szCs w:val="19"/>
          <w:color w:val="auto"/>
        </w:rPr>
        <w:t>;</w:t>
      </w:r>
    </w:p>
    <w:p>
      <w:pPr>
        <w:spacing w:after="0" w:line="148" w:lineRule="exact"/>
        <w:rPr>
          <w:rFonts w:ascii="Arial" w:cs="Arial" w:eastAsia="Arial" w:hAnsi="Arial"/>
          <w:sz w:val="19"/>
          <w:szCs w:val="19"/>
          <w:color w:val="auto"/>
        </w:rPr>
      </w:pPr>
    </w:p>
    <w:p>
      <w:pPr>
        <w:ind w:left="1780" w:hanging="476"/>
        <w:spacing w:after="0"/>
        <w:tabs>
          <w:tab w:leader="none" w:pos="17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any withholding Taxes attributable to a Recipient’s failure to comply with </w:t>
      </w:r>
      <w:r>
        <w:rPr>
          <w:rFonts w:ascii="Arial" w:cs="Arial" w:eastAsia="Arial" w:hAnsi="Arial"/>
          <w:sz w:val="22"/>
          <w:szCs w:val="22"/>
          <w:u w:val="single" w:color="auto"/>
          <w:color w:val="auto"/>
        </w:rPr>
        <w:t>Section 2.17(e)</w:t>
      </w:r>
      <w:r>
        <w:rPr>
          <w:rFonts w:ascii="Arial" w:cs="Arial" w:eastAsia="Arial" w:hAnsi="Arial"/>
          <w:sz w:val="22"/>
          <w:szCs w:val="22"/>
          <w:color w:val="auto"/>
        </w:rPr>
        <w:t>; and</w:t>
      </w:r>
    </w:p>
    <w:p>
      <w:pPr>
        <w:spacing w:after="0" w:line="179" w:lineRule="exact"/>
        <w:rPr>
          <w:rFonts w:ascii="Arial" w:cs="Arial" w:eastAsia="Arial" w:hAnsi="Arial"/>
          <w:sz w:val="22"/>
          <w:szCs w:val="22"/>
          <w:color w:val="auto"/>
        </w:rPr>
      </w:pPr>
    </w:p>
    <w:p>
      <w:pPr>
        <w:ind w:left="1760" w:hanging="456"/>
        <w:spacing w:after="0"/>
        <w:tabs>
          <w:tab w:leader="none" w:pos="17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any U.S. federal withholding Taxes imposed under FATCA.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6711315</wp:posOffset>
            </wp:positionH>
            <wp:positionV relativeFrom="paragraph">
              <wp:posOffset>-703580</wp:posOffset>
            </wp:positionV>
            <wp:extent cx="276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276225" cy="8255"/>
                    </a:xfrm>
                    <a:prstGeom prst="rect">
                      <a:avLst/>
                    </a:prstGeom>
                    <a:noFill/>
                  </pic:spPr>
                </pic:pic>
              </a:graphicData>
            </a:graphic>
          </wp:anchor>
        </w:drawing>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means that certain Credit Agreement, dated as of April 14, 2017 (as amended, amended and restated, supplemented or otherwise modified from time to time), by and among Borrower, Holdings, the lenders and issuing banks from time to time party thereto and JPMorgan Chase Bank, N.A., as administrative agent.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Commitment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Loans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Term Loans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Revolving Loan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04" w:name="page105"/>
    <w:bookmarkEnd w:id="104"/>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Term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Amendment</w:t>
      </w:r>
      <w:r>
        <w:rPr>
          <w:rFonts w:ascii="Arial" w:cs="Arial" w:eastAsia="Arial" w:hAnsi="Arial"/>
          <w:sz w:val="22"/>
          <w:szCs w:val="22"/>
          <w:color w:val="auto"/>
        </w:rPr>
        <w:t>” means an amendment to this Agreement in form reasonably satisfactory to the Borrower and the Administrative Agent, executed by each of (a) the Holding Companies, (b) the Borrower, (c) the other Loan Parties, (d) the Administrative Agent and (e) each Extending Revolving Loan Lender and Extending Term Lender, as the case may be, in connection with any Extension.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Offer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Closing Date (or any amended or successor version that is substantively comparable and not materially more onerous to comply with) and any current or future Treasury regulations or official administrative interpretations thereof, any agreements entered into pursuant to Section 1471(b)(1) of the Code, and any fiscal or regulatory legislation, rules or practices adopted pursuant to any intergovernmental agreement entered into in connection with the implementation of such sections of the Code.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3.19</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rate shall be less than zero, such rate shall be deemed to be zero for all purposes of this Agreement.</w:t>
      </w:r>
    </w:p>
    <w:p>
      <w:pPr>
        <w:spacing w:after="0" w:line="14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u w:val="single" w:color="auto"/>
          <w:color w:val="0000FF"/>
        </w:rPr>
        <w:t>“Federal Reserve Bank of New York’s Website” means the website of the Federal Reserve Bank of New York at http://www.newyorkfed.org, or any successor source.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means the Amended and Restated Fee Letter dated August 31, 2018 by and among the Borrower, GS Bank, Barclays, Bank of America, N.A., MLPFS, Credit Suisse AG, KKR Corporate Lending LLC, KKR Corporate Funding LLC, Citizens Bank, N.A., SunTrust Bank and SunTrust Robinson Humphrey, Inc.</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of any Person means the chief financial officer, vice president of finance, principal accounting officer or treasurer of such Person (or, in the case of any Person that is a Foreign Subsidiary, a director of such Person).</w:t>
      </w:r>
    </w:p>
    <w:p>
      <w:pPr>
        <w:spacing w:after="0" w:line="10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Amendment Funding Date</w:t>
      </w:r>
      <w:r>
        <w:rPr>
          <w:rFonts w:ascii="Arial" w:cs="Arial" w:eastAsia="Arial" w:hAnsi="Arial"/>
          <w:sz w:val="22"/>
          <w:szCs w:val="22"/>
          <w:color w:val="auto"/>
        </w:rPr>
        <w:t>” has the meaning assigned to such term in Section III of the First Incremental Credit Facility Amendment.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Incremental Credit Facility Amendment</w:t>
      </w:r>
      <w:r>
        <w:rPr>
          <w:rFonts w:ascii="Arial" w:cs="Arial" w:eastAsia="Arial" w:hAnsi="Arial"/>
          <w:sz w:val="22"/>
          <w:szCs w:val="22"/>
          <w:color w:val="auto"/>
        </w:rPr>
        <w:t>” means the First Incremental Credit Facility Amendment to First Lien Credit Agreement, dated as of November 1, 2019, among the Borrower, Holdings, the other Loan Parties party thereto, the Lenders party thereto and the Administrative Agent.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Indebtedness</w:t>
      </w:r>
      <w:r>
        <w:rPr>
          <w:rFonts w:ascii="Arial" w:cs="Arial" w:eastAsia="Arial" w:hAnsi="Arial"/>
          <w:sz w:val="22"/>
          <w:szCs w:val="22"/>
          <w:color w:val="auto"/>
        </w:rPr>
        <w:t>” means Total Indebtedness that is secured by a Lien on the Collateral, except by a Lien that is junior to the Liens on the Collateral securing the Obligations. For the avoidance of doubt, First Lien Indebtedness includes any First Lien Senior Secured Notes, the Term Loans and the Revolving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05" w:name="page106"/>
    <w:bookmarkEnd w:id="105"/>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Net Leverage Ratio</w:t>
      </w:r>
      <w:r>
        <w:rPr>
          <w:rFonts w:ascii="Arial" w:cs="Arial" w:eastAsia="Arial" w:hAnsi="Arial"/>
          <w:sz w:val="22"/>
          <w:szCs w:val="22"/>
          <w:color w:val="auto"/>
        </w:rPr>
        <w:t>” means, on any date of determination, the ratio of (a) First Lien Indebtedness, less the aggregate amount of Unrestricted Cash, to (b) LTM EBITDA.</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Lien Senior Secured Notes</w:t>
      </w:r>
      <w:r>
        <w:rPr>
          <w:rFonts w:ascii="Arial" w:cs="Arial" w:eastAsia="Arial" w:hAnsi="Arial"/>
          <w:sz w:val="21"/>
          <w:szCs w:val="21"/>
          <w:color w:val="auto"/>
        </w:rPr>
        <w:t xml:space="preserve"> ” means Additional Debt, Term Loan Exchange Notes or Refinancing Notes, in each case that are secured by any Lien except by any Lien that is junior to the Lien securing the Obligations.</w:t>
      </w:r>
    </w:p>
    <w:p>
      <w:pPr>
        <w:spacing w:after="0" w:line="151"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Fixed Charges</w:t>
      </w:r>
      <w:r>
        <w:rPr>
          <w:rFonts w:ascii="Arial" w:cs="Arial" w:eastAsia="Arial" w:hAnsi="Arial"/>
          <w:sz w:val="21"/>
          <w:szCs w:val="21"/>
          <w:color w:val="auto"/>
        </w:rPr>
        <w:t xml:space="preserve">” means, for any period, the sum of: (i) Consolidated Interest Expense for such period, to the extent payable in cash in such period,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(ii) without duplication, all cash dividends or distributions paid (excluding items eliminated in consolidation) on any series of preferred stock or Disqualified Equity Interests during such period.</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Flood Hazard Property</w:t>
      </w:r>
      <w:r>
        <w:rPr>
          <w:rFonts w:ascii="Arial" w:cs="Arial" w:eastAsia="Arial" w:hAnsi="Arial"/>
          <w:sz w:val="22"/>
          <w:szCs w:val="22"/>
          <w:color w:val="auto"/>
        </w:rPr>
        <w:t>” means a Mortgaged Property to the extent any building comprising any part of the Mortgaged Property is located in an area designated by the Federal Emergency Management Agency as having special flood hazards.</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Flood Insurance Laws</w:t>
      </w:r>
      <w:r>
        <w:rPr>
          <w:rFonts w:ascii="Arial" w:cs="Arial" w:eastAsia="Arial" w:hAnsi="Arial"/>
          <w:sz w:val="19"/>
          <w:szCs w:val="19"/>
          <w:color w:val="auto"/>
        </w:rPr>
        <w:t>” means,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statue thereto and (iii) the Biggert-Waters Flood Insurance Reform Act of 2012 as now or hereafter in effect or any successor statute thereto and any and all official rulings and interpretation thereunder or thereof.</w:t>
      </w:r>
    </w:p>
    <w:p>
      <w:pPr>
        <w:spacing w:after="0" w:line="14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Foreign Benefit Event</w:t>
      </w:r>
      <w:r>
        <w:rPr>
          <w:rFonts w:ascii="Arial" w:cs="Arial" w:eastAsia="Arial" w:hAnsi="Arial"/>
          <w:sz w:val="19"/>
          <w:szCs w:val="19"/>
          <w:color w:val="auto"/>
        </w:rPr>
        <w:t>” means, with respect to any Foreign Pension Plan, (a) the existence of unfunded liabilities in excess of the amount permitted under any applicable law, or in excess of the amount that would be permitted absent a waiver from a Governmental Authority, (b) the failure to make the required contributions or payments, under any applicable law, on or before the due date for such contributions or payments, (c) the receipt of a notice by a Governmental Authority relating to the intention to terminate any such Foreign Pension Plan or to appoint a trustee or similar official to administer any such Foreign Pension Plan, or alleging the insolvency of any such Foreign Pension Plan, (d) the incurrence of any liability by any Holding Company or any Subsidiary under applicable law on account of the complete or partial termination of such Foreign Pension Plan or the complete or partial withdrawal of any participating employer therein that would reasonably be expected to result in a Material Adverse Effect, or (e) the occurrence of any transaction that is prohibited under any applicable law and that could reasonably be expected to result in the incurrence of any liability by any Holding Company or any of the Subsidiaries, or the imposition on any Holding Company or any of the Subsidiaries of any fine, excise tax or penalty resulting from any noncompliance with any applicable law, in each case that would reasonably be expected to result in a Material Adverse Effect.</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 Lender that is not a U.S. Person.</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Pension Plan</w:t>
      </w:r>
      <w:r>
        <w:rPr>
          <w:rFonts w:ascii="Arial" w:cs="Arial" w:eastAsia="Arial" w:hAnsi="Arial"/>
          <w:sz w:val="22"/>
          <w:szCs w:val="22"/>
          <w:color w:val="auto"/>
        </w:rPr>
        <w:t>” means any benefit plan that under applicable law other than the laws of the United States or any political subdivision thereof, is required to be funded through a trust or other funding vehicle other than a trust or funding vehicle maintained exclusively by a Governmental Authority.</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that is organized or incorporated under the laws of a jurisdiction other than the United States, any State thereof or the District of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06" w:name="page107"/>
    <w:bookmarkEnd w:id="106"/>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Francisco Partners</w:t>
      </w:r>
      <w:r>
        <w:rPr>
          <w:rFonts w:ascii="Arial" w:cs="Arial" w:eastAsia="Arial" w:hAnsi="Arial"/>
          <w:sz w:val="19"/>
          <w:szCs w:val="19"/>
          <w:color w:val="auto"/>
        </w:rPr>
        <w:t>” means Francisco Partners IV, L.P. and its Controlled Investment Affiliates and associated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funds.</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xml:space="preserve">” means, subject to the limitations set forth in </w:t>
      </w:r>
      <w:r>
        <w:rPr>
          <w:rFonts w:ascii="Arial" w:cs="Arial" w:eastAsia="Arial" w:hAnsi="Arial"/>
          <w:sz w:val="22"/>
          <w:szCs w:val="22"/>
          <w:u w:val="single" w:color="auto"/>
          <w:color w:val="auto"/>
        </w:rPr>
        <w:t>Section 1.04</w:t>
      </w:r>
      <w:r>
        <w:rPr>
          <w:rFonts w:ascii="Arial" w:cs="Arial" w:eastAsia="Arial" w:hAnsi="Arial"/>
          <w:sz w:val="22"/>
          <w:szCs w:val="22"/>
          <w:color w:val="auto"/>
        </w:rPr>
        <w:t>, generally accepted accounting principles in the United States as in effect from time to time.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Governing Body</w:t>
      </w:r>
      <w:r>
        <w:rPr>
          <w:rFonts w:ascii="Arial" w:cs="Arial" w:eastAsia="Arial" w:hAnsi="Arial"/>
          <w:sz w:val="22"/>
          <w:szCs w:val="22"/>
          <w:color w:val="auto"/>
        </w:rPr>
        <w:t>” means the board of directors or other body having the power to direct or cause the direction of the management and policies of a Person that is a corporation, company, partnership, trust, limited liability company, association, Joint Venture or other business entity.</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any other nation or any political subdivision thereof, whether state, county,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9.04(e)</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GS Bank</w:t>
      </w:r>
      <w:r>
        <w:rPr>
          <w:rFonts w:ascii="Arial" w:cs="Arial" w:eastAsia="Arial" w:hAnsi="Arial"/>
          <w:sz w:val="22"/>
          <w:szCs w:val="22"/>
          <w:color w:val="auto"/>
        </w:rPr>
        <w:t>” means Goldman Sachs Bank USA.</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xml:space="preserve"> ”)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the guarantor, direct or indirect,</w:t>
      </w:r>
    </w:p>
    <w:p>
      <w:pPr>
        <w:spacing w:after="0" w:line="2" w:lineRule="exact"/>
        <w:rPr>
          <w:sz w:val="20"/>
          <w:szCs w:val="20"/>
          <w:color w:val="auto"/>
        </w:rPr>
      </w:pPr>
    </w:p>
    <w:p>
      <w:pPr>
        <w:jc w:val="both"/>
        <w:ind w:firstLine="8"/>
        <w:spacing w:after="0"/>
        <w:tabs>
          <w:tab w:leader="none" w:pos="310"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w:t>
      </w:r>
      <w:r>
        <w:rPr>
          <w:rFonts w:ascii="Arial" w:cs="Arial" w:eastAsia="Arial" w:hAnsi="Arial"/>
          <w:sz w:val="19"/>
          <w:szCs w:val="19"/>
          <w:u w:val="single" w:color="auto"/>
          <w:color w:val="auto"/>
        </w:rPr>
        <w:t>Guarantee</w:t>
      </w:r>
      <w:r>
        <w:rPr>
          <w:rFonts w:ascii="Arial" w:cs="Arial" w:eastAsia="Arial" w:hAnsi="Arial"/>
          <w:sz w:val="19"/>
          <w:szCs w:val="19"/>
          <w:color w:val="auto"/>
        </w:rPr>
        <w:t xml:space="preserve">” does not include (x) endorsements for collection or deposit in the ordinary course of business and (y) standard contractual indemnities or product warranties provided in the ordinary course of business;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amount of any Guarantee shall be deemed to be the lower of (i) an amount equal to the stated or determinable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The term “</w:t>
      </w:r>
      <w:r>
        <w:rPr>
          <w:rFonts w:ascii="Arial" w:cs="Arial" w:eastAsia="Arial" w:hAnsi="Arial"/>
          <w:sz w:val="19"/>
          <w:szCs w:val="19"/>
          <w:u w:val="single" w:color="auto"/>
          <w:color w:val="auto"/>
        </w:rPr>
        <w:t>Guaranteed</w:t>
      </w:r>
      <w:r>
        <w:rPr>
          <w:rFonts w:ascii="Arial" w:cs="Arial" w:eastAsia="Arial" w:hAnsi="Arial"/>
          <w:sz w:val="19"/>
          <w:szCs w:val="19"/>
          <w:color w:val="auto"/>
        </w:rPr>
        <w:t>” has a meaning correlative thereto.</w:t>
      </w:r>
    </w:p>
    <w:p>
      <w:pPr>
        <w:spacing w:after="0" w:line="38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Guarantors</w:t>
      </w:r>
      <w:r>
        <w:rPr>
          <w:rFonts w:ascii="Arial" w:cs="Arial" w:eastAsia="Arial" w:hAnsi="Arial"/>
          <w:sz w:val="22"/>
          <w:szCs w:val="22"/>
          <w:color w:val="auto"/>
        </w:rPr>
        <w:t xml:space="preserve">” means (a) each Holding Company and (b) any Restricted Subsidiary that has Guaranteed the Obligations pursuant to the Guaranty;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anything herein to the contrary, no Restricted Subsidiary that is an Excluded Subsidiary shall be required to Guarantee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07" w:name="page108"/>
    <w:bookmarkEnd w:id="107"/>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w:t>
      </w:r>
      <w:r>
        <w:rPr>
          <w:rFonts w:ascii="Arial" w:cs="Arial" w:eastAsia="Arial" w:hAnsi="Arial"/>
          <w:sz w:val="19"/>
          <w:szCs w:val="19"/>
          <w:color w:val="auto"/>
        </w:rPr>
        <w:t xml:space="preserve">” means the First Lien Guaranty executed and delivered by the Loan Parties party thereto, together with each supplement to such Guaranty in respect of the Secured Obligations delivered pursuant to </w:t>
      </w:r>
      <w:r>
        <w:rPr>
          <w:rFonts w:ascii="Arial" w:cs="Arial" w:eastAsia="Arial" w:hAnsi="Arial"/>
          <w:sz w:val="19"/>
          <w:szCs w:val="19"/>
          <w:u w:val="single" w:color="auto"/>
          <w:color w:val="auto"/>
        </w:rPr>
        <w:t>Section 5.10</w:t>
      </w:r>
      <w:r>
        <w:rPr>
          <w:rFonts w:ascii="Arial" w:cs="Arial" w:eastAsia="Arial" w:hAnsi="Arial"/>
          <w:sz w:val="19"/>
          <w:szCs w:val="19"/>
          <w:color w:val="auto"/>
        </w:rPr>
        <w:t>.</w:t>
      </w:r>
    </w:p>
    <w:p>
      <w:pPr>
        <w:spacing w:after="0" w:line="10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xml:space="preserve"> ” means all explosive or radioactive substances, materials or wastes and all hazardous or toxic substances, materials, wastes or other pollutants, including petroleum or petroleum distillates, asbestos or asbestos containing materials, polychlorinated biphenyls, radon gas, infectious or medical wastes and all other substances, materials or wastes regulated by or for which liability may be imposed pursuant to any Environmental Law due to their dangerous or deleterious properties or characteristics.</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 Company</w:t>
      </w:r>
      <w:r>
        <w:rPr>
          <w:rFonts w:ascii="Arial" w:cs="Arial" w:eastAsia="Arial" w:hAnsi="Arial"/>
          <w:sz w:val="22"/>
          <w:szCs w:val="22"/>
          <w:color w:val="auto"/>
        </w:rPr>
        <w:t>” means (a) on the Closing Date, Holdings and (b) after the Closing Date, Holdings and any other Subsidiary of Holdings that, directly or indirectly, owns the Borrower.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w:t>
      </w:r>
      <w:r>
        <w:rPr>
          <w:rFonts w:ascii="Arial" w:cs="Arial" w:eastAsia="Arial" w:hAnsi="Arial"/>
          <w:sz w:val="22"/>
          <w:szCs w:val="22"/>
          <w:color w:val="auto"/>
        </w:rPr>
        <w:t>” has the meaning assigned to such term in the recitals to this Agreement.</w:t>
      </w:r>
    </w:p>
    <w:p>
      <w:pPr>
        <w:spacing w:after="0" w:line="17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means, at any date of determination, any Restricted Subsidiary that has been designated by the Borrower in writing to the Administrative Agent as an “</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xml:space="preserve">” for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for purposes of this Agreement, at no time shall (i) the consolidated total assets of all Immaterial Subsidiaries as of the last day of the then most recent fiscal year of the Borrower for which financial statements have been delivered equal or exceed 10.0% of the Consolidated Total Assets of the Borrower and the Restricted Subsidiaries at such date, determined on a Pro Forma Basis or (ii) the consolidated revenues (other than revenues generated from the sale or license of property between any of the Borrower and the Restricted Subsidiaries) of all Immaterial Subsidiaries for the then most recent fiscal year of the Borrower for which financial statements have been delivered equal or exceed 10.0% of the consolidated revenues (other than revenues generated from the sale or license of property between any of the Borrower and the Restricted Subsidiaries) of the Borrower and the Restricted Subsidiaries for such period, determined on a Pro Forma Basis, (b) at any time and from time to time, the Borrower may designate any Restricted Subsidiary as a new Immaterial Subsidiary so long as, after giving effect to such designation, the consolidated assets and consolidated revenues of all Immaterial Subsidiaries do not exceed the limits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at such time of designation and (c) if, as of the Applicable Date of Determination, the consolidated assets or revenues of all Restricted Subsidiaries so designated by the Borrower as “</w:t>
      </w:r>
      <w:r>
        <w:rPr>
          <w:rFonts w:ascii="Arial" w:cs="Arial" w:eastAsia="Arial" w:hAnsi="Arial"/>
          <w:sz w:val="19"/>
          <w:szCs w:val="19"/>
          <w:u w:val="single" w:color="auto"/>
          <w:color w:val="auto"/>
        </w:rPr>
        <w:t>Immaterial Subsidiaries</w:t>
      </w:r>
      <w:r>
        <w:rPr>
          <w:rFonts w:ascii="Arial" w:cs="Arial" w:eastAsia="Arial" w:hAnsi="Arial"/>
          <w:sz w:val="19"/>
          <w:szCs w:val="19"/>
          <w:color w:val="auto"/>
        </w:rPr>
        <w:t xml:space="preserve">” shall have, as of the last day of such fiscal year, exceeded the limits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then within ten (10) Business Days (or such later date as agreed by the Administrative Agent in its reasonable discretion) after the date such financial statements are so delivered (or so required to be delivered), the Borrower shall redesignate one or more Immaterial Subsidiaries, in each case in a written notice to the Administrative Agent, such that, as a result thereof, the consolidated assets and revenues of all Restricted Subsidiaries that are still designated as “</w:t>
      </w:r>
      <w:r>
        <w:rPr>
          <w:rFonts w:ascii="Arial" w:cs="Arial" w:eastAsia="Arial" w:hAnsi="Arial"/>
          <w:sz w:val="19"/>
          <w:szCs w:val="19"/>
          <w:u w:val="single" w:color="auto"/>
          <w:color w:val="auto"/>
        </w:rPr>
        <w:t>Immaterial Subsidiaries</w:t>
      </w:r>
      <w:r>
        <w:rPr>
          <w:rFonts w:ascii="Arial" w:cs="Arial" w:eastAsia="Arial" w:hAnsi="Arial"/>
          <w:sz w:val="19"/>
          <w:szCs w:val="19"/>
          <w:color w:val="auto"/>
        </w:rPr>
        <w:t xml:space="preserve">” do not exceed such limits. Upon any such Restricted Subsidiary ceasing to be an Immaterial Subsidiary pursuant to the preceding sentence, such Restricted Subsidiary, to the extent not otherwise qualifying as an Excluded Subsidiary, shall comply with </w:t>
      </w:r>
      <w:r>
        <w:rPr>
          <w:rFonts w:ascii="Arial" w:cs="Arial" w:eastAsia="Arial" w:hAnsi="Arial"/>
          <w:sz w:val="19"/>
          <w:szCs w:val="19"/>
          <w:u w:val="single" w:color="auto"/>
          <w:color w:val="auto"/>
        </w:rPr>
        <w:t>Section 5.10</w:t>
      </w:r>
      <w:r>
        <w:rPr>
          <w:rFonts w:ascii="Arial" w:cs="Arial" w:eastAsia="Arial" w:hAnsi="Arial"/>
          <w:sz w:val="19"/>
          <w:szCs w:val="19"/>
          <w:color w:val="auto"/>
        </w:rPr>
        <w:t>, to the extent applicable.</w:t>
      </w:r>
    </w:p>
    <w:p>
      <w:pPr>
        <w:spacing w:after="0" w:line="38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Impacted Interest Period</w:t>
      </w:r>
      <w:r>
        <w:rPr>
          <w:rFonts w:ascii="Arial" w:cs="Arial" w:eastAsia="Arial" w:hAnsi="Arial"/>
          <w:sz w:val="21"/>
          <w:szCs w:val="21"/>
          <w:color w:val="auto"/>
        </w:rPr>
        <w:t>” has the meaning assigned to such term in the definition of “Eurocurrency Rate”.</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Credit Facility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w:t>
      </w:r>
      <w:r>
        <w:rPr>
          <w:rFonts w:ascii="Arial" w:cs="Arial" w:eastAsia="Arial" w:hAnsi="Arial"/>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08" w:name="page109"/>
    <w:bookmarkEnd w:id="108"/>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Credit Facility Amendment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Facility Closing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Loans</w:t>
      </w:r>
      <w:r>
        <w:rPr>
          <w:rFonts w:ascii="Arial" w:cs="Arial" w:eastAsia="Arial" w:hAnsi="Arial"/>
          <w:sz w:val="19"/>
          <w:szCs w:val="19"/>
          <w:color w:val="auto"/>
        </w:rPr>
        <w:t>” means, collectively, the Incremental Revolving Loans and the Incremental Term Loans.</w:t>
      </w:r>
    </w:p>
    <w:p>
      <w:pPr>
        <w:spacing w:after="0" w:line="21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Revolving Commitment</w:t>
      </w:r>
      <w:r>
        <w:rPr>
          <w:rFonts w:ascii="Arial" w:cs="Arial" w:eastAsia="Arial" w:hAnsi="Arial"/>
          <w:sz w:val="19"/>
          <w:szCs w:val="19"/>
          <w:color w:val="auto"/>
        </w:rPr>
        <w:t xml:space="preserve">” means, with respect to each Lender, the commitment, if any, in respect of an Incremental Revolving Facility under any Incremental Credit Facility Amendment with respect thereto, expressed as an amount representing the maximum principal amount of the Incremental Revolving Facility to be made available by such Lender under such Incremental Credit Facility Amendment, as such commitment may be (a) reduced pursuant to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and (b) reduced or increased from time to time pursuant to assignments by or to such Lender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Facility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2.20(e)</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Loan</w:t>
      </w:r>
      <w:r>
        <w:rPr>
          <w:rFonts w:ascii="Arial" w:cs="Arial" w:eastAsia="Arial" w:hAnsi="Arial"/>
          <w:sz w:val="22"/>
          <w:szCs w:val="22"/>
          <w:color w:val="auto"/>
        </w:rPr>
        <w:t>” means a Loan made under an Incremental Revolving Facility.</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Second Lien Facility</w:t>
      </w:r>
      <w:r>
        <w:rPr>
          <w:rFonts w:ascii="Arial" w:cs="Arial" w:eastAsia="Arial" w:hAnsi="Arial"/>
          <w:sz w:val="22"/>
          <w:szCs w:val="22"/>
          <w:color w:val="auto"/>
        </w:rPr>
        <w:t>” has the meaning assigned to the term “Incremental Credit Facility” in the Second Lien Credit Agreement.</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Term Commitment</w:t>
      </w:r>
      <w:r>
        <w:rPr>
          <w:rFonts w:ascii="Arial" w:cs="Arial" w:eastAsia="Arial" w:hAnsi="Arial"/>
          <w:sz w:val="19"/>
          <w:szCs w:val="19"/>
          <w:color w:val="auto"/>
        </w:rPr>
        <w:t xml:space="preserve">” means, with respect to each Lender, the commitment, if any, of such Lender to make an Incremental Term Loan under any Incremental Credit Facility Amendment with respect thereto, expressed as an amount representing the maximum principal amount of the Incremental Term Loans to be made by such Lender under such Incremental Credit Facility Amendment, as such commitment may be (a) reduced from time to time pursuant to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and (b) reduced or increased from time to time pursuant to assignments by or to such Lender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Facility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w:t>
      </w:r>
      <w:r>
        <w:rPr>
          <w:rFonts w:ascii="Arial" w:cs="Arial" w:eastAsia="Arial" w:hAnsi="Arial"/>
          <w:sz w:val="22"/>
          <w:szCs w:val="22"/>
          <w:color w:val="auto"/>
        </w:rPr>
        <w:t>” means a Loan made under an Incremental Term Facility.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Incurrence-Based Amounts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1.05</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means, without duplication, (a) all obligations of such Person for borrowed money,</w:t>
      </w:r>
    </w:p>
    <w:p>
      <w:pPr>
        <w:spacing w:after="0" w:line="16" w:lineRule="exact"/>
        <w:rPr>
          <w:sz w:val="20"/>
          <w:szCs w:val="20"/>
          <w:color w:val="auto"/>
        </w:rPr>
      </w:pPr>
    </w:p>
    <w:p>
      <w:pPr>
        <w:jc w:val="both"/>
        <w:ind w:firstLine="8"/>
        <w:spacing w:after="0" w:line="237" w:lineRule="auto"/>
        <w:tabs>
          <w:tab w:leader="none" w:pos="310"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 all obligations of the type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w:t>
      </w:r>
    </w:p>
    <w:p>
      <w:pPr>
        <w:ind w:firstLine="8"/>
        <w:spacing w:after="0" w:line="278" w:lineRule="auto"/>
        <w:tabs>
          <w:tab w:leader="none" w:pos="240" w:val="left"/>
        </w:tabs>
        <w:numPr>
          <w:ilvl w:val="0"/>
          <w:numId w:val="61"/>
        </w:numPr>
        <w:rPr>
          <w:rFonts w:ascii="Arial" w:cs="Arial" w:eastAsia="Arial" w:hAnsi="Arial"/>
          <w:sz w:val="19"/>
          <w:szCs w:val="19"/>
          <w:u w:val="single" w:color="auto"/>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(k)</w:t>
      </w:r>
      <w:r>
        <w:rPr>
          <w:rFonts w:ascii="Arial" w:cs="Arial" w:eastAsia="Arial" w:hAnsi="Arial"/>
          <w:sz w:val="19"/>
          <w:szCs w:val="19"/>
          <w:color w:val="auto"/>
        </w:rPr>
        <w:t xml:space="preserve"> of this definition of “Indebtedness” of others secured by (or for which the holder of such Indebtedness has an existing unconditional right to be secured by) any Lien on property owned or acquired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09" w:name="page110"/>
    <w:bookmarkEnd w:id="109"/>
    <w:p>
      <w:pPr>
        <w:jc w:val="both"/>
        <w:spacing w:after="0"/>
        <w:rPr>
          <w:sz w:val="20"/>
          <w:szCs w:val="20"/>
          <w:color w:val="auto"/>
        </w:rPr>
      </w:pPr>
      <w:r>
        <w:rPr>
          <w:rFonts w:ascii="Arial" w:cs="Arial" w:eastAsia="Arial" w:hAnsi="Arial"/>
          <w:sz w:val="19"/>
          <w:szCs w:val="19"/>
          <w:color w:val="auto"/>
        </w:rPr>
        <w:t xml:space="preserve">such Person, whether or not the Indebtedness secured thereby has been assumed by such Person, (f) all Guarantees by such Person of obligations of the type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(k)</w:t>
      </w:r>
      <w:r>
        <w:rPr>
          <w:rFonts w:ascii="Arial" w:cs="Arial" w:eastAsia="Arial" w:hAnsi="Arial"/>
          <w:sz w:val="19"/>
          <w:szCs w:val="19"/>
          <w:color w:val="auto"/>
        </w:rPr>
        <w:t xml:space="preserve"> of this definition of “Indebtedness” of others, (g) the principal component of Capital Lease Obligations of such Person, (h) all reimbursement obligations of such Person as an account party in respect of letters of credit and letters of guaranty (except to the extent such letters of credit, or letters of guaranty relate to trade payables and such outstanding amounts are satisfied within thirty (30) days of incurrence), (i) all reimbursement obligations of such Person in respect of bankers’ acceptances (except to the extent such bankers’ acceptances relate to trade payables and such outstanding amounts are satisfied within thirty (30) days of incurrence), (j) all obligations of such Person, contingent or otherwise, to purchase, redeem, retire or otherwise acquire for value any Disqualified Equity Interests of such Person to the extent that such purchase, redemption, retirement or other acquisition is required to occur on or prior to the Latest Maturity Date in effect at the time of issuance of such Equity Interests (other than as a result of a Change in Control, asset sale or similar event), and (k) to the extent not otherwise included in this definition, net obligations of such Person under Swap Obligations (the amount of any such obligations to be equal at any time to the net payments under such agreement or arrangement giving rise to such obligation that would be payable by such Person at the termination of such agreement or arrangement);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intercompany Indebtedness and (B) obligations constituting non-recourse Indebtedness shall only constitute “Indebtedness” for purposes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not for any other purpose hereunder. The Indebtedness of any Person shall include the Indebtedness of any partnership in which such Person is a general partner to the extent such Person is liable therefor as a result of such Person’s ownership interest in such entity, except to the extent the terms of such Indebtedness provide that such Person is not liable therefor. Notwithstanding the foregoing, in no event shall the following constitute Indebtedness: (u) deferred obligations owing to the Investors and their Affiliates (including what would otherwise constitute Permitted Investor Payments), (v) amounts owed to dissenting stockholders in connection with, or as a result of, their exercise of appraisal rights and the settlement of any claims or actions (whether actual, contingent or potential) with respect thereto (including any accrued interest), with respect to the Transactions and any permitted Investments to the extent paid when due (unless being properly contested), (w) trade accounts payable, deferred revenues, liabilities associated with customer prepayments and deposits and any such obligations incurred under ERISA, and other accrued obligations (including transfer pricing), in each case incurred in the ordinary course of business, (x) operating leases, (y) customary obligations under employment agreements and deferred compensation and (z) deferred revenue and deferred tax liabilities. Notwithstanding the foregoing, the term “</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shall not include contingent post-closing purchase price adjustments, non-compete or consulting obligations or earn-outs to which the seller in an Acquisition or Investment may become entitled. The amount of Indebtedness of any Person for purposes of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above shall (unless such Indebtedness has been assumed by such Person) be deemed to be equal to the lesser of (i) the aggregate unpaid amount of such Indebtedness and (ii) the fair market value of the property encumbered thereby as determined by such Person in good faith.</w:t>
      </w:r>
    </w:p>
    <w:p>
      <w:pPr>
        <w:spacing w:after="0" w:line="357"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9.03</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9.12</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Revolving Borrowing</w:t>
      </w:r>
      <w:r>
        <w:rPr>
          <w:rFonts w:ascii="Arial" w:cs="Arial" w:eastAsia="Arial" w:hAnsi="Arial"/>
          <w:sz w:val="22"/>
          <w:szCs w:val="22"/>
          <w:color w:val="auto"/>
        </w:rPr>
        <w:t>” means one or more borrowings of Revolving Loans or issuances or deemed issuances of Letters of Credit on the Closing Date as specified in the definition of the term “Permitted Initial Revolving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10" w:name="page111"/>
    <w:bookmarkEnd w:id="110"/>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Revolving Commitments</w:t>
      </w:r>
      <w:r>
        <w:rPr>
          <w:rFonts w:ascii="Arial" w:cs="Arial" w:eastAsia="Arial" w:hAnsi="Arial"/>
          <w:sz w:val="19"/>
          <w:szCs w:val="19"/>
          <w:color w:val="auto"/>
        </w:rPr>
        <w:t>” means the Revolving Commitments of the Revolving Lenders as of the Closing</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Revolving Loan</w:t>
      </w:r>
      <w:r>
        <w:rPr>
          <w:rFonts w:ascii="Arial" w:cs="Arial" w:eastAsia="Arial" w:hAnsi="Arial"/>
          <w:sz w:val="22"/>
          <w:szCs w:val="22"/>
          <w:color w:val="auto"/>
        </w:rPr>
        <w:t xml:space="preserve">” means (a) a Revolving Loan made by a Lender to the Borrower in respect of an Initial Revolving Commitment pursuant to </w:t>
      </w:r>
      <w:r>
        <w:rPr>
          <w:rFonts w:ascii="Arial" w:cs="Arial" w:eastAsia="Arial" w:hAnsi="Arial"/>
          <w:sz w:val="22"/>
          <w:szCs w:val="22"/>
          <w:u w:val="single" w:color="auto"/>
          <w:color w:val="auto"/>
        </w:rPr>
        <w:t>Section 2.01(b)</w:t>
      </w:r>
      <w:r>
        <w:rPr>
          <w:rFonts w:ascii="Arial" w:cs="Arial" w:eastAsia="Arial" w:hAnsi="Arial"/>
          <w:sz w:val="22"/>
          <w:szCs w:val="22"/>
          <w:color w:val="auto"/>
        </w:rPr>
        <w:t xml:space="preserve"> and (b) the 2020 Incremental Revolving Loans (other than for purposes of (i) the first paragraph of Section 2.01, (ii) Section 4.01 and (iii) Section 5.09(a)).</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Loan Lender</w:t>
      </w:r>
      <w:r>
        <w:rPr>
          <w:rFonts w:ascii="Arial" w:cs="Arial" w:eastAsia="Arial" w:hAnsi="Arial"/>
          <w:sz w:val="21"/>
          <w:szCs w:val="21"/>
          <w:color w:val="auto"/>
        </w:rPr>
        <w:t xml:space="preserve"> ” shall mean each Term Lender with (a) a Term Commitment to make or otherwise fund an Initial Term Loan hereunder pursuant to </w:t>
      </w:r>
      <w:r>
        <w:rPr>
          <w:rFonts w:ascii="Arial" w:cs="Arial" w:eastAsia="Arial" w:hAnsi="Arial"/>
          <w:sz w:val="21"/>
          <w:szCs w:val="21"/>
          <w:u w:val="single" w:color="auto"/>
          <w:color w:val="auto"/>
        </w:rPr>
        <w:t>Section 2.01(a)</w:t>
      </w:r>
      <w:r>
        <w:rPr>
          <w:rFonts w:ascii="Arial" w:cs="Arial" w:eastAsia="Arial" w:hAnsi="Arial"/>
          <w:sz w:val="21"/>
          <w:szCs w:val="21"/>
          <w:color w:val="auto"/>
        </w:rPr>
        <w:t xml:space="preserve"> on the Closing Date or with outstanding Initial Term Loans or (b) a 2019 Incremental Funding Term Loan Commitment (including each 2019 Incremental Lender).</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Term Loans</w:t>
      </w:r>
      <w:r>
        <w:rPr>
          <w:rFonts w:ascii="Arial" w:cs="Arial" w:eastAsia="Arial" w:hAnsi="Arial"/>
          <w:sz w:val="22"/>
          <w:szCs w:val="22"/>
          <w:color w:val="auto"/>
        </w:rPr>
        <w:t xml:space="preserve">” means (a) the Term Loans made on the Closing Date pursuant to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and (b) the 2019 Incremental Term Loans (other than for purposes of (i) the first paragraph of Section 2.01, (ii) Section 4.01 and (iii) Section 5.09(a)).</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means all rights, priorities and privileges in or to intellectual property, whether arising under United States, multinational or foreign laws or otherwise, including copyrights, patents, trademarks, service marks, trade names, technology, know-how, trade secrets and processes, all registrations and applications for registration of any of the foregoing, and all goodwill associated with any of the foregoing.</w:t>
      </w:r>
    </w:p>
    <w:p>
      <w:pPr>
        <w:spacing w:after="0" w:line="16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Intercompany License Agreement</w:t>
      </w:r>
      <w:r>
        <w:rPr>
          <w:rFonts w:ascii="Arial" w:cs="Arial" w:eastAsia="Arial" w:hAnsi="Arial"/>
          <w:sz w:val="19"/>
          <w:szCs w:val="19"/>
          <w:color w:val="auto"/>
        </w:rPr>
        <w:t xml:space="preserve">” means any cost sharing agreement, commission or royalty agreement, license or sub-license agreement, distribution agreement, services agreement, Intellectual Property rights transfer agreement or any related agreements, in each case where all the parties to such agreement are the Borrower and/or the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agreement between a Loan Party and a non-Loan Party shall be on arm’s length terms.</w:t>
      </w:r>
    </w:p>
    <w:p>
      <w:pPr>
        <w:spacing w:after="0" w:line="14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Coverage Ratio</w:t>
      </w:r>
      <w:r>
        <w:rPr>
          <w:rFonts w:ascii="Arial" w:cs="Arial" w:eastAsia="Arial" w:hAnsi="Arial"/>
          <w:sz w:val="22"/>
          <w:szCs w:val="22"/>
          <w:color w:val="auto"/>
        </w:rPr>
        <w:t>” means, as of any date of determination, the ratio of (a) LTM EBITDA to (b) Consolidated Interest Expense of the Borrower and the Restricted Subsidiaries with respect to their Total Indebtedness for the most recently ended Test Period to the extent paid in cash.</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xml:space="preserve">” means a request by the Borrower to convert or continue a Revolving Loan Borrowing or Term Loan Borrowing in accordance with </w:t>
      </w:r>
      <w:r>
        <w:rPr>
          <w:rFonts w:ascii="Arial" w:cs="Arial" w:eastAsia="Arial" w:hAnsi="Arial"/>
          <w:sz w:val="22"/>
          <w:szCs w:val="22"/>
          <w:u w:val="single" w:color="auto"/>
          <w:color w:val="auto"/>
        </w:rPr>
        <w:t>Section 2.07</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xml:space="preserve">” means (a) with respect to any ABR Loan (other than a Swingline Loan), (i) the last Business Day of each March, June, September and December and (ii) the Revolving Termination Date or Term Loan Maturity Date, as applicable, (b) with respect to any Eurocurrency Loan, (i)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(ii) the Revolving Termination Date or Term Loan Maturity Date, as applicable </w:t>
      </w:r>
      <w:r>
        <w:rPr>
          <w:rFonts w:ascii="Arial" w:cs="Arial" w:eastAsia="Arial" w:hAnsi="Arial"/>
          <w:sz w:val="19"/>
          <w:szCs w:val="19"/>
          <w:color w:val="FF0000"/>
        </w:rPr>
        <w:t>and</w:t>
      </w:r>
      <w:r>
        <w:rPr>
          <w:rFonts w:ascii="Arial" w:cs="Arial" w:eastAsia="Arial" w:hAnsi="Arial"/>
          <w:sz w:val="19"/>
          <w:szCs w:val="19"/>
          <w:u w:val="single" w:color="auto"/>
          <w:color w:val="0000FF"/>
        </w:rPr>
        <w:t>,</w:t>
      </w:r>
      <w:r>
        <w:rPr>
          <w:rFonts w:ascii="Arial" w:cs="Arial" w:eastAsia="Arial" w:hAnsi="Arial"/>
          <w:sz w:val="19"/>
          <w:szCs w:val="19"/>
          <w:color w:val="auto"/>
        </w:rPr>
        <w:t xml:space="preserve"> (c</w:t>
      </w:r>
      <w:r>
        <w:rPr>
          <w:rFonts w:ascii="Arial" w:cs="Arial" w:eastAsia="Arial" w:hAnsi="Arial"/>
          <w:sz w:val="19"/>
          <w:szCs w:val="19"/>
          <w:u w:val="single" w:color="auto"/>
          <w:color w:val="0000FF"/>
        </w:rPr>
        <w:t>) with respect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to any Term SOFR Loan, the last day of each Interest Period applicable to such Loan and the Term Loan Maturity Date or Revolving Termination Date, as applicable, of the Credit Facility under which such Loan was made; provided that if any Interest Period for a Term SOFR Loan exceeds three months, the respective dates that fall every three months after the beginning of such Interest Period shall also be Interest Payment Dates, (d) with respect to any Daily SOFR Loan, each date that is on the numerically corresponding day in each calendar month that is one month (or, at the Borrower’s option, three months) after the borrowing date of such Daily SOFR Loan (or, if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-901700</wp:posOffset>
            </wp:positionV>
            <wp:extent cx="2393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239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11" w:name="page112"/>
    <w:bookmarkEnd w:id="111"/>
    <w:p>
      <w:pPr>
        <w:jc w:val="both"/>
        <w:spacing w:after="0" w:line="223" w:lineRule="auto"/>
        <w:rPr>
          <w:sz w:val="20"/>
          <w:szCs w:val="20"/>
          <w:color w:val="auto"/>
        </w:rPr>
      </w:pPr>
      <w:r>
        <w:rPr>
          <w:rFonts w:ascii="Arial" w:cs="Arial" w:eastAsia="Arial" w:hAnsi="Arial"/>
          <w:sz w:val="22"/>
          <w:szCs w:val="22"/>
          <w:u w:val="single" w:color="auto"/>
          <w:color w:val="0000FF"/>
        </w:rPr>
        <w:t>is no such numerically corresponding day in such month, then the last day of such month) and the date on which such Daily SOFR Loan is repaid or converted in full and (e</w:t>
      </w:r>
      <w:r>
        <w:rPr>
          <w:rFonts w:ascii="Arial" w:cs="Arial" w:eastAsia="Arial" w:hAnsi="Arial"/>
          <w:sz w:val="22"/>
          <w:szCs w:val="22"/>
          <w:color w:val="000000"/>
        </w:rPr>
        <w:t>) with respect to any Swingline Loan, the day that such Loan is required to be</w:t>
      </w:r>
      <w:r>
        <w:rPr>
          <w:rFonts w:ascii="Arial" w:cs="Arial" w:eastAsia="Arial" w:hAnsi="Arial"/>
          <w:sz w:val="22"/>
          <w:szCs w:val="22"/>
          <w:color w:val="0000FF"/>
        </w:rPr>
        <w:t xml:space="preserve"> </w:t>
      </w:r>
      <w:r>
        <w:rPr>
          <w:rFonts w:ascii="Arial" w:cs="Arial" w:eastAsia="Arial" w:hAnsi="Arial"/>
          <w:sz w:val="22"/>
          <w:szCs w:val="22"/>
          <w:color w:val="000000"/>
        </w:rPr>
        <w:t>repaid.</w:t>
      </w:r>
    </w:p>
    <w:p>
      <w:pPr>
        <w:spacing w:after="0" w:line="15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with respect to any Eurocurrency Borrowing, the period commencing on the date of such Borrowing and ending on the numerically corresponding day in the calendar month that is one, two, three or six months thereafter (or 12 months thereafter if, at the time of the relevant Borrowing or conversion or continuation thereof, all Lenders participating therein agree to make an interest period of such duration available), as the Borrower may elect</w:t>
      </w:r>
      <w:r>
        <w:rPr>
          <w:rFonts w:ascii="Arial" w:cs="Arial" w:eastAsia="Arial" w:hAnsi="Arial"/>
          <w:sz w:val="19"/>
          <w:szCs w:val="19"/>
          <w:u w:val="single" w:color="auto"/>
          <w:color w:val="0000FF"/>
        </w:rPr>
        <w:t>, or, if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Administrative Agent and the Borrower agrees, such other period whose end would coincide with a payment due date on the Term Loans pursuant to Section 2.10 or the payment under Swap Obligations and (b) with respect to any Term SOFR Borrowing, the period commencing on the date of such Borrowing and ending on the numerically corresponding day in the calendar month that is one, three or six months thereafter, as the Borrower may elect, or such other period that is twelve months or less requested by the Borrower and consented to by all the Lenders participating in the relevant Borrowing and the Administrative Agent (in the case of each requested Interest Period, subject to availability)</w:t>
      </w:r>
      <w:r>
        <w:rPr>
          <w:rFonts w:ascii="Arial" w:cs="Arial" w:eastAsia="Arial" w:hAnsi="Arial"/>
          <w:sz w:val="19"/>
          <w:szCs w:val="19"/>
          <w:color w:val="000000"/>
        </w:rPr>
        <w:t>, or, if the Administrative Agent and the Borrower agrees, such other</w:t>
      </w:r>
      <w:r>
        <w:rPr>
          <w:rFonts w:ascii="Arial" w:cs="Arial" w:eastAsia="Arial" w:hAnsi="Arial"/>
          <w:sz w:val="19"/>
          <w:szCs w:val="19"/>
          <w:color w:val="0000FF"/>
        </w:rPr>
        <w:t xml:space="preserve"> </w:t>
      </w:r>
      <w:r>
        <w:rPr>
          <w:rFonts w:ascii="Arial" w:cs="Arial" w:eastAsia="Arial" w:hAnsi="Arial"/>
          <w:sz w:val="19"/>
          <w:szCs w:val="19"/>
          <w:color w:val="000000"/>
        </w:rPr>
        <w:t xml:space="preserve">period whose end would coincide with a payment due date on the Term Loans pursuant to </w:t>
      </w:r>
      <w:r>
        <w:rPr>
          <w:rFonts w:ascii="Arial" w:cs="Arial" w:eastAsia="Arial" w:hAnsi="Arial"/>
          <w:sz w:val="19"/>
          <w:szCs w:val="19"/>
          <w:u w:val="single" w:color="auto"/>
          <w:color w:val="000000"/>
        </w:rPr>
        <w:t>Section 2.10</w:t>
      </w:r>
      <w:r>
        <w:rPr>
          <w:rFonts w:ascii="Arial" w:cs="Arial" w:eastAsia="Arial" w:hAnsi="Arial"/>
          <w:sz w:val="19"/>
          <w:szCs w:val="19"/>
          <w:color w:val="000000"/>
        </w:rPr>
        <w:t xml:space="preserve"> or the payment under Swap Obligations;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71"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Interpolated Rate</w:t>
      </w:r>
      <w:r>
        <w:rPr>
          <w:rFonts w:ascii="Arial" w:cs="Arial" w:eastAsia="Arial" w:hAnsi="Arial"/>
          <w:sz w:val="21"/>
          <w:szCs w:val="21"/>
          <w:color w:val="auto"/>
        </w:rPr>
        <w:t xml:space="preserve">” means, at any time, for any Interest Period, with respect to any Loan in any LIBOR Quoted Currency,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(i) the LIBO Screen Rate for the longest period (for which the LIBO Screen Rate is available for the applicable currency) that is shorter than the Impacted Interest Period and (ii) the LIBO Screen Rate for the shortest period (for which the LIBO Screen Rate is available for the applicable currency) that exceeds the Impacted Interest Period, in each case, at such time; </w:t>
      </w:r>
      <w:r>
        <w:rPr>
          <w:rFonts w:ascii="Arial" w:cs="Arial" w:eastAsia="Arial" w:hAnsi="Arial"/>
          <w:sz w:val="21"/>
          <w:szCs w:val="21"/>
          <w:u w:val="single" w:color="auto"/>
          <w:color w:val="auto"/>
        </w:rPr>
        <w:t>provided</w:t>
      </w:r>
      <w:r>
        <w:rPr>
          <w:rFonts w:ascii="Arial" w:cs="Arial" w:eastAsia="Arial" w:hAnsi="Arial"/>
          <w:sz w:val="21"/>
          <w:szCs w:val="21"/>
          <w:color w:val="auto"/>
        </w:rPr>
        <w:t>, that if the Interpolated Rate shall be less than zero, such rate shall be deemed to be zero for purposes of this Agreement.</w:t>
      </w:r>
    </w:p>
    <w:p>
      <w:pPr>
        <w:spacing w:after="0" w:line="165"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xml:space="preserve">” means (i) any purchase or other acquisition by the Borrower or any of the Restricted Subsidiaries of, or of a beneficial interest in, any Equity Interests or Indebtedness of any other Person (including any Subsidiary), (ii) any loan (by way of guarantee or otherwise) or advance constituting Indebtedness of such other Person (other than accounts receivable, trade credit, prepayments to, or deposits with, vendors), (iii) any other capital contribution by the Borrower or any of the Restricted Subsidiaries to any other Person (including any Subsidiary) or (iv) any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exclude, in the case of the Borrower and the Subsidiaries, their parent companies and their subsidiaries, intercompany advances arising from their cash management, tax, and accounting operations, in each case in the ordinary course of business. The amount of any Investment outstanding as of any time shall be the original cost of such Investment (which, in the case of any Investment constituting the contribution of an asset or property, shall be based on the Borrower’s good faith estimate of the fair market value of such asset or property at the time such Investment is made) plus the cost of all additions thereto, without any adjustments for increases or decreases in value, or write-ups,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12" w:name="page113"/>
    <w:bookmarkEnd w:id="112"/>
    <w:p>
      <w:pPr>
        <w:jc w:val="both"/>
        <w:spacing w:after="0"/>
        <w:rPr>
          <w:sz w:val="20"/>
          <w:szCs w:val="20"/>
          <w:color w:val="auto"/>
        </w:rPr>
      </w:pPr>
      <w:r>
        <w:rPr>
          <w:rFonts w:ascii="Arial" w:cs="Arial" w:eastAsia="Arial" w:hAnsi="Arial"/>
          <w:sz w:val="19"/>
          <w:szCs w:val="19"/>
          <w:color w:val="auto"/>
        </w:rPr>
        <w:t xml:space="preserve">write-downs or write-offs with respect to such Investment, less all Returns received by the Borrower or any Restricted Subsidiary in respect thereof. The amount, as of any date of determination, of (a) any Investment in the form of a loan or an advance shall be the principal amount thereof outstanding on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Returns or amounts increasing the Available Amount), but without any adjustment for write-downs or write-offs (including as a result of forgiveness of any portion thereof) with respect to such loan or advance after the date thereof, (b) any Investment in the form of a transfer of Equity Interests or other non-cash property by the investor to the investee, including any such transfer in the form of a capital contribution, shall be the fair market value of such Equity Interests or other property as of the time of the transfer,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Returns or amounts increasing the Available Amount), but without any other adjustment for increases or decreases in value of, or write-ups, write-downs or write-offs with respect to, such Investment after the date of such Investment, and (c) any Investment (other than any Investment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 the cost of all additions thereto and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do not, in the aggregate, exceed the original cost of such Investment plus the costs of additions thereto and without duplication of Returns or amounts increasing the Available Amount), but without any other adjustment for increases or decreases in value of, or write-ups, write-downs or write-offs with respect to, such Investment after the date of such Investment. For purposes of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if an Investment involves the acquisition of more than one Person, the amount of such Investment shall be allocated among the acquired Persons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pending the final determination of the amounts to be so allocated in accordance with GAAP, such allocation shall be as reasonably determined by a Financial Officer of the Borrower.</w:t>
      </w:r>
    </w:p>
    <w:p>
      <w:pPr>
        <w:spacing w:after="0" w:line="372"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Investor</w:t>
      </w:r>
      <w:r>
        <w:rPr>
          <w:rFonts w:ascii="Arial" w:cs="Arial" w:eastAsia="Arial" w:hAnsi="Arial"/>
          <w:sz w:val="21"/>
          <w:szCs w:val="21"/>
          <w:color w:val="auto"/>
        </w:rPr>
        <w:t>” means (i) Francisco Partners, Spectrum and the New Sponsor and certain other investors designated by Francisco Partners, Spectrum and the New Sponsor on or before the Closing Date, (ii) any Controlled Investment Affiliate of any Person identified in clause (i) above, (iii) any managing director, general partner, limited partner, director, officer or employee of any Person identified in clause (i) above or any of their respective Affiliates (collectively, the “</w:t>
      </w:r>
      <w:r>
        <w:rPr>
          <w:rFonts w:ascii="Arial" w:cs="Arial" w:eastAsia="Arial" w:hAnsi="Arial"/>
          <w:sz w:val="21"/>
          <w:szCs w:val="21"/>
          <w:u w:val="single" w:color="auto"/>
          <w:color w:val="auto"/>
        </w:rPr>
        <w:t>Investor Associates</w:t>
      </w:r>
      <w:r>
        <w:rPr>
          <w:rFonts w:ascii="Arial" w:cs="Arial" w:eastAsia="Arial" w:hAnsi="Arial"/>
          <w:sz w:val="21"/>
          <w:szCs w:val="21"/>
          <w:color w:val="auto"/>
        </w:rPr>
        <w:t>”), (iv) the heirs, executors, administrators, testamentary trustees, legatees or beneficiaries of any Investor Associate and (v) any trust, the beneficiaries of which, or a corporation or partnership, the stockholders or partners of which, include only an Investor Associate, his or her spouse, parents, siblings, members of his or her immediate family (including adopted children and step children) and/or direct lineal descendants.</w:t>
      </w:r>
    </w:p>
    <w:p>
      <w:pPr>
        <w:spacing w:after="0" w:line="16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IPO</w:t>
      </w:r>
      <w:r>
        <w:rPr>
          <w:rFonts w:ascii="Arial" w:cs="Arial" w:eastAsia="Arial" w:hAnsi="Arial"/>
          <w:sz w:val="19"/>
          <w:szCs w:val="19"/>
          <w:color w:val="auto"/>
        </w:rPr>
        <w:t>” means any transaction whereby, or upon the consummation of which, Holdings’ or the Public Company’s common Equity Interests are, or may thereafter be, offered or sold (whether through an initial primary underwritten public offering or otherwise) pursuant to an effective registration statement filed with the SEC in accordance with the Securities Act, or to the equivalent registration documents filed with the equivalent authority in the applicable foreign jurisdiction.</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13" w:name="page114"/>
    <w:bookmarkEnd w:id="113"/>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ISP</w:t>
      </w:r>
      <w:r>
        <w:rPr>
          <w:rFonts w:ascii="Arial" w:cs="Arial" w:eastAsia="Arial" w:hAnsi="Arial"/>
          <w:sz w:val="19"/>
          <w:szCs w:val="19"/>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0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Issuing Bank</w:t>
      </w:r>
      <w:r>
        <w:rPr>
          <w:rFonts w:ascii="Arial" w:cs="Arial" w:eastAsia="Arial" w:hAnsi="Arial"/>
          <w:sz w:val="19"/>
          <w:szCs w:val="19"/>
          <w:color w:val="auto"/>
        </w:rPr>
        <w:t xml:space="preserve"> ” means, as the context may require, (a) GS Bank, Barclays, Bank of America, N.A., Credit Suisse AG, Citizens Bank, N.A. and SunTrust Bank and (b) each other Lender appointed as an Issuing Bank pursuant to </w:t>
      </w:r>
      <w:r>
        <w:rPr>
          <w:rFonts w:ascii="Arial" w:cs="Arial" w:eastAsia="Arial" w:hAnsi="Arial"/>
          <w:sz w:val="19"/>
          <w:szCs w:val="19"/>
          <w:u w:val="single" w:color="auto"/>
          <w:color w:val="auto"/>
        </w:rPr>
        <w:t>Section 2.05(p)</w:t>
      </w:r>
      <w:r>
        <w:rPr>
          <w:rFonts w:ascii="Arial" w:cs="Arial" w:eastAsia="Arial" w:hAnsi="Arial"/>
          <w:sz w:val="19"/>
          <w:szCs w:val="19"/>
          <w:color w:val="auto"/>
        </w:rPr>
        <w:t xml:space="preserve">, each in its capacity as an issuer of Letters of Credit hereunder, and its successors in such capacity as provided in </w:t>
      </w:r>
      <w:r>
        <w:rPr>
          <w:rFonts w:ascii="Arial" w:cs="Arial" w:eastAsia="Arial" w:hAnsi="Arial"/>
          <w:sz w:val="19"/>
          <w:szCs w:val="19"/>
          <w:u w:val="single" w:color="auto"/>
          <w:color w:val="auto"/>
        </w:rPr>
        <w:t>Section 2.05(k)</w:t>
      </w:r>
      <w:r>
        <w:rPr>
          <w:rFonts w:ascii="Arial" w:cs="Arial" w:eastAsia="Arial" w:hAnsi="Arial"/>
          <w:sz w:val="19"/>
          <w:szCs w:val="19"/>
          <w:color w:val="auto"/>
        </w:rPr>
        <w:t>. Any Issuing Bank may, with the consent of the Borrower, arrange for one or more Letters of Credit to be issued by an Affiliate of such Issuing Bank, in which case the term “</w:t>
      </w:r>
      <w:r>
        <w:rPr>
          <w:rFonts w:ascii="Arial" w:cs="Arial" w:eastAsia="Arial" w:hAnsi="Arial"/>
          <w:sz w:val="19"/>
          <w:szCs w:val="19"/>
          <w:u w:val="single" w:color="auto"/>
          <w:color w:val="auto"/>
        </w:rPr>
        <w:t>Issuing Bank</w:t>
      </w:r>
      <w:r>
        <w:rPr>
          <w:rFonts w:ascii="Arial" w:cs="Arial" w:eastAsia="Arial" w:hAnsi="Arial"/>
          <w:sz w:val="19"/>
          <w:szCs w:val="19"/>
          <w:color w:val="auto"/>
        </w:rPr>
        <w:t>” includes any such Affiliate with respect to Letters of Credit issued by such Affiliate. Any Issuing Bank may cause Letters of Credit to be issued by unaffiliated financial institutions and such Letters of Credit shall be treated as issued by such Issuing Bank for all purposes under the Loan Documents.</w:t>
      </w:r>
    </w:p>
    <w:p>
      <w:pPr>
        <w:spacing w:after="0" w:line="15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Bookrunners</w:t>
      </w:r>
      <w:r>
        <w:rPr>
          <w:rFonts w:ascii="Arial" w:cs="Arial" w:eastAsia="Arial" w:hAnsi="Arial"/>
          <w:sz w:val="22"/>
          <w:szCs w:val="22"/>
          <w:color w:val="auto"/>
        </w:rPr>
        <w:t>” means GS Bank, Barclays, MLPFS, Citizens Bank, N.A., Credit Suisse Loan Funding LLC, KKR Capital Markets LLC and SunTrust Humphrey Robinson, Inc., each in its capacity as joint bookrunner in respect of the credit facilities provided herein.</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Lead Arrangers</w:t>
      </w:r>
      <w:r>
        <w:rPr>
          <w:rFonts w:ascii="Arial" w:cs="Arial" w:eastAsia="Arial" w:hAnsi="Arial"/>
          <w:sz w:val="22"/>
          <w:szCs w:val="22"/>
          <w:color w:val="auto"/>
        </w:rPr>
        <w:t>” means GS Bank, Barclays, MLPFS, Citizens Bank, N.A., Credit Suisse Loan Funding LLC, KKR Capital Markets LLC and SunTrust Humphrey Robinson, Inc., each in its capacity as a joint lead arranger in respect of the credit facilities provided herein.</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w:t>
      </w:r>
      <w:r>
        <w:rPr>
          <w:rFonts w:ascii="Arial" w:cs="Arial" w:eastAsia="Arial" w:hAnsi="Arial"/>
          <w:sz w:val="22"/>
          <w:szCs w:val="22"/>
          <w:color w:val="auto"/>
        </w:rPr>
        <w:t>” means a joint venture, partnership or similar arrangement, whether in corporate, partnership or other legal form.</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9.17</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Latest Maturity Date</w:t>
      </w:r>
      <w:r>
        <w:rPr>
          <w:rFonts w:ascii="Arial" w:cs="Arial" w:eastAsia="Arial" w:hAnsi="Arial"/>
          <w:sz w:val="21"/>
          <w:szCs w:val="21"/>
          <w:color w:val="auto"/>
        </w:rPr>
        <w:t>” means, at any date of determination, the latest maturity date applicable to any Loan or Commitment hereunder at such time, including the latest maturity date of any Incremental Term Loan, Incremental Revolving Commitment, Incremental Revolving Loan, Extended Term Loan, Extended Revolving Commitment, Extended Revolving Loan, Other Term Loan, any Other Term Commitment, any Other Revolving Loan or any Other Revolving Commitment, in each case as extended in accordance with this Agreement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an Issuing Bank pursuant to a Letter of Credit.</w:t>
      </w:r>
    </w:p>
    <w:p>
      <w:pPr>
        <w:spacing w:after="0" w:line="17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Exposure</w:t>
      </w:r>
      <w:r>
        <w:rPr>
          <w:rFonts w:ascii="Arial" w:cs="Arial" w:eastAsia="Arial" w:hAnsi="Arial"/>
          <w:sz w:val="21"/>
          <w:szCs w:val="21"/>
          <w:color w:val="auto"/>
        </w:rPr>
        <w:t>” means, at any time, the sum of (a) the aggregate undrawn amount of all outstanding Letters of Credit denominated in Dollars at such time and (b) the aggregate amount of all LC Disbursements in respect of Letters of Credit made in Dollars that have not yet been reimbursed by or on behalf of the Borrower at such time. The LC Exposure of any Revolving Lender shall be its Applicable Percentage of the aggregate LC Exposure at such time.</w:t>
      </w:r>
    </w:p>
    <w:p>
      <w:pPr>
        <w:spacing w:after="0" w:line="15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Sublimit</w:t>
      </w:r>
      <w:r>
        <w:rPr>
          <w:rFonts w:ascii="Arial" w:cs="Arial" w:eastAsia="Arial" w:hAnsi="Arial"/>
          <w:sz w:val="22"/>
          <w:szCs w:val="22"/>
          <w:color w:val="auto"/>
        </w:rPr>
        <w:t xml:space="preserve"> ” means the lesser of (x) $10,000,000 and (y) the aggregate amount of Revolving Commitments. The LC Sublimit is part of, and not in addition to, the Revolving Credit Facility. The LC Sublimit with respect to each Revolving Lender that is an Issuing Bank shall be no greater than its pro rata allocation with respect to the aggregate LC Sublimit in accordance with their Applicable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14" w:name="page115"/>
    <w:bookmarkEnd w:id="114"/>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LCA Election</w:t>
      </w:r>
      <w:r>
        <w:rPr>
          <w:rFonts w:ascii="Arial" w:cs="Arial" w:eastAsia="Arial" w:hAnsi="Arial"/>
          <w:sz w:val="22"/>
          <w:szCs w:val="22"/>
          <w:color w:val="auto"/>
        </w:rPr>
        <w:t>” means the Borrower’s election to exercise its right to designate any acquisition (or similar Investment) as a Limited Condition Acquisition pursuant to the terms hereof.</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LCA Test Date</w:t>
      </w:r>
      <w:r>
        <w:rPr>
          <w:rFonts w:ascii="Arial" w:cs="Arial" w:eastAsia="Arial" w:hAnsi="Arial"/>
          <w:sz w:val="19"/>
          <w:szCs w:val="19"/>
          <w:color w:val="auto"/>
        </w:rPr>
        <w:t>” means the date on which the definitive agreement for any such Limited Condition Acquisition is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entered into.</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Counterparty</w:t>
      </w:r>
      <w:r>
        <w:rPr>
          <w:rFonts w:ascii="Arial" w:cs="Arial" w:eastAsia="Arial" w:hAnsi="Arial"/>
          <w:sz w:val="22"/>
          <w:szCs w:val="22"/>
          <w:color w:val="auto"/>
        </w:rPr>
        <w:t>” means any counterparty to a Secured Swap Agreement or Secured Cash Management</w:t>
      </w:r>
    </w:p>
    <w:p>
      <w:pPr>
        <w:spacing w:after="0"/>
        <w:rPr>
          <w:sz w:val="20"/>
          <w:szCs w:val="20"/>
          <w:color w:val="auto"/>
        </w:rPr>
      </w:pPr>
      <w:r>
        <w:rPr>
          <w:rFonts w:ascii="Arial" w:cs="Arial" w:eastAsia="Arial" w:hAnsi="Arial"/>
          <w:sz w:val="22"/>
          <w:szCs w:val="22"/>
          <w:color w:val="auto"/>
        </w:rPr>
        <w:t>Agreement.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Financing Source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9.04(d)</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means the Persons who are “Lenders” under this Agreement on the Closing Date, any Additional Lenders, any Additional Refinancing Lenders and any other Person that shall have become a party hereto as a Lender pursuant to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other than any such Person that ceases to be a party hereto pursuant to </w:t>
      </w:r>
      <w:r>
        <w:rPr>
          <w:rFonts w:ascii="Arial" w:cs="Arial" w:eastAsia="Arial" w:hAnsi="Arial"/>
          <w:sz w:val="22"/>
          <w:szCs w:val="22"/>
          <w:u w:val="single" w:color="auto"/>
          <w:color w:val="auto"/>
        </w:rPr>
        <w:t>Section 9.04</w:t>
      </w:r>
      <w:r>
        <w:rPr>
          <w:rFonts w:ascii="Arial" w:cs="Arial" w:eastAsia="Arial" w:hAnsi="Arial"/>
          <w:sz w:val="22"/>
          <w:szCs w:val="22"/>
          <w:color w:val="auto"/>
        </w:rPr>
        <w:t>. Unless the context requires otherwise, the term “Lenders” includes the Swingline Lenders.</w:t>
      </w:r>
    </w:p>
    <w:p>
      <w:pPr>
        <w:spacing w:after="0" w:line="161"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w:t>
      </w:r>
      <w:r>
        <w:rPr>
          <w:rFonts w:ascii="Arial" w:cs="Arial" w:eastAsia="Arial" w:hAnsi="Arial"/>
          <w:sz w:val="21"/>
          <w:szCs w:val="21"/>
          <w:color w:val="auto"/>
        </w:rPr>
        <w:t xml:space="preserve">” means (a) any letter of credit issued pursuant to this Agreement or (b) any guarantee, indemnity or other instrument (including bank acceptances and bank guarantees), in each case in a form requested by the Borrower and agreed by the applicable Issuing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GS Bank, Barclays, Bank of America, N.A., Credit Suisse AG, Citizens Bank, N.A. or SunTrust Bank be required to issue letters of credit (other than standby letters of credit), bank acceptances, bank guarantees, indemnitees or other instruments.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Application</w:t>
      </w:r>
      <w:r>
        <w:rPr>
          <w:rFonts w:ascii="Arial" w:cs="Arial" w:eastAsia="Arial" w:hAnsi="Arial"/>
          <w:sz w:val="22"/>
          <w:szCs w:val="22"/>
          <w:color w:val="auto"/>
        </w:rPr>
        <w:t>” means an application and agreement for the issuance or amendment of a Letter of Credit in the form from time to time in use by the applicable Issuing Bank.</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Expiration Date</w:t>
      </w:r>
      <w:r>
        <w:rPr>
          <w:rFonts w:ascii="Arial" w:cs="Arial" w:eastAsia="Arial" w:hAnsi="Arial"/>
          <w:sz w:val="19"/>
          <w:szCs w:val="19"/>
          <w:color w:val="auto"/>
        </w:rPr>
        <w:t>” means the fifth Business Day prior to the Revolving Termination Date (unless cash collateralized or backstopped pursuant to arrangements reasonably satisfactory to the Issuing Bank thereof).</w:t>
      </w:r>
    </w:p>
    <w:p>
      <w:pPr>
        <w:spacing w:after="0" w:line="105"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 Screen Rate</w:t>
      </w:r>
      <w:r>
        <w:rPr>
          <w:rFonts w:ascii="Arial" w:cs="Arial" w:eastAsia="Arial" w:hAnsi="Arial"/>
          <w:sz w:val="21"/>
          <w:szCs w:val="21"/>
          <w:color w:val="auto"/>
        </w:rPr>
        <w:t>” means the London interbank offered rate administered by the ICE Benchmark Association Limited (or any other Person that takes over the administration of such rate) for the applicable LIBOR Quoted Currency for a period equal in length to such Interest Period as displayed on pages LIBOR01 or LIBOR02 of the Reuters screen or, in the event such rate does not appear on either of such Reuters pages, on any successor or substitute page on such screen that displays such rate, or on the appropriate page of such other information service that publishes such rate as shall be selected by the Administrative Agent from time to time in its reasonable discretion.</w:t>
      </w:r>
    </w:p>
    <w:p>
      <w:pPr>
        <w:spacing w:after="0" w:line="16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Quoted Currency</w:t>
      </w:r>
      <w:r>
        <w:rPr>
          <w:rFonts w:ascii="Arial" w:cs="Arial" w:eastAsia="Arial" w:hAnsi="Arial"/>
          <w:sz w:val="22"/>
          <w:szCs w:val="22"/>
          <w:color w:val="auto"/>
        </w:rPr>
        <w:t>” means Dollars, Euros and Sterling, in each case, as long as there is a published LIBOR rate with respect thereto.</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means, with respect to any asset, (a) any mortgage, deed of trust, lien, pledge, charge, assignment by way of security, hypothecation, security interest or similar encumbrance given in the nature of a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 whether or not filed, recorded or otherwise perfected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15" w:name="page116"/>
    <w:bookmarkEnd w:id="115"/>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Condition Acquisition</w:t>
      </w:r>
      <w:r>
        <w:rPr>
          <w:rFonts w:ascii="Arial" w:cs="Arial" w:eastAsia="Arial" w:hAnsi="Arial"/>
          <w:sz w:val="22"/>
          <w:szCs w:val="22"/>
          <w:color w:val="auto"/>
        </w:rPr>
        <w:t>” means any Permitted Acquisition (or similar Investment) by any Holding Company or one or more of the Restricted Subsidiaries, the consummation of which is not conditioned on the availability of, or on obtaining, third-party financing.</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means this Agreement, the Fee Letter, each Incremental Credit Facility Amendment, each Refinancing Amendment, each Extension Amendment, the Guaranty, the Second Lien Intercreditor Agreement, each Security Document, and each schedule, exhibit or annex to any of the foregoing, any letter of credit application, any agreement designating an additional Issuing Bank as contemplated by </w:t>
      </w:r>
      <w:r>
        <w:rPr>
          <w:rFonts w:ascii="Arial" w:cs="Arial" w:eastAsia="Arial" w:hAnsi="Arial"/>
          <w:sz w:val="22"/>
          <w:szCs w:val="22"/>
          <w:u w:val="single" w:color="auto"/>
          <w:color w:val="auto"/>
        </w:rPr>
        <w:t>Section 2.05(p)</w:t>
      </w:r>
      <w:r>
        <w:rPr>
          <w:rFonts w:ascii="Arial" w:cs="Arial" w:eastAsia="Arial" w:hAnsi="Arial"/>
          <w:sz w:val="22"/>
          <w:szCs w:val="22"/>
          <w:color w:val="auto"/>
        </w:rPr>
        <w:t>, and any Notes issued by the Borrower pursuant hereto.</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Party</w:t>
      </w:r>
      <w:r>
        <w:rPr>
          <w:rFonts w:ascii="Arial" w:cs="Arial" w:eastAsia="Arial" w:hAnsi="Arial"/>
          <w:sz w:val="22"/>
          <w:szCs w:val="22"/>
          <w:color w:val="auto"/>
        </w:rPr>
        <w:t>” means (a) the Borrower and (b) each Guarantor.</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Term Loans, the Revolving Loans, the Swingline Loans, the Other Revolving Loans and any other loans made by any Lenders to the Borrower pursuant to this Agreement, any Incremental Credit Facility Amendment, Extension Amendment or any Refinancing Amendment.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LTM EBITDA</w:t>
      </w:r>
      <w:r>
        <w:rPr>
          <w:rFonts w:ascii="Arial" w:cs="Arial" w:eastAsia="Arial" w:hAnsi="Arial"/>
          <w:sz w:val="22"/>
          <w:szCs w:val="22"/>
          <w:color w:val="auto"/>
        </w:rPr>
        <w:t>” means, at any time, Consolidated EBITDA of the Borrower and its Restricted Subsidiaries for the trailing four (4) quarter period most recently ended, as of the Applicable Date of Determination.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has the meaning assigned to such term in Regulation U of the Board.</w:t>
      </w:r>
    </w:p>
    <w:p>
      <w:pPr>
        <w:spacing w:after="0" w:line="17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Market Capitalization</w:t>
      </w:r>
      <w:r>
        <w:rPr>
          <w:rFonts w:ascii="Arial" w:cs="Arial" w:eastAsia="Arial" w:hAnsi="Arial"/>
          <w:sz w:val="21"/>
          <w:szCs w:val="21"/>
          <w:color w:val="auto"/>
        </w:rPr>
        <w:t>” means, with respect to the making of any Restricted Payment, an amount equal to (a) the total number of issued and outstanding shares of Equity Interests of Holdings or any direct or indirect parent company on the date of declaration of such Restricted Payment multiplied by (b) the arithmetic mean of the closing prices per share of such Equity Interests on the principal securities exchange on which such Equity Interests are listed for the thirty (30) consecutive trading days immediately preceding the date of declaration of such Restricted Payment.</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on the Closing Date, a Parent Material Adverse Effect or (b) after the Closing Date, a material and adverse effect on (i) the business, assets, results of operations or financial condition, in each case, of Holdings and its Restricted Subsidiaries, taken as a whole, (ii) the rights and remedies (taken as a whole) available to the Administrative Agent under the Loan Documents or (iii) the ability of the Loan Parties (taken as a whole) to perform their payment obligations under the Loan Documents.</w:t>
      </w:r>
    </w:p>
    <w:p>
      <w:pPr>
        <w:spacing w:after="0" w:line="158"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xml:space="preserve">” means any Indebtedness (other than the Loans and Letters of Credit) of the Borrower or any Restricted Subsidiary in an outstanding principal amount exceeding the greater of (a) $25,000,000 and (b) 25% of LTM EBITDA for the most recently ended Test Period at such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any Receivables Facility or Qualified Securitization Financing be considered Material Indebtedness for any purpose. For purposes of determining Material Indebtedness, the “principal amount” of the obligations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16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Real Property</w:t>
      </w:r>
      <w:r>
        <w:rPr>
          <w:rFonts w:ascii="Arial" w:cs="Arial" w:eastAsia="Arial" w:hAnsi="Arial"/>
          <w:sz w:val="22"/>
          <w:szCs w:val="22"/>
          <w:color w:val="auto"/>
        </w:rPr>
        <w:t>” means any real property and improvements thereto owned in fee simple by a Loan Party and which has a fair market value (estimated in good faith by such Loan Party) in excess of $10,000,000 as of the time such property is acquired (or,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 xml:space="preserve">property is owned by a Person at the time it becomes a Loan Party pursuant to </w:t>
      </w:r>
      <w:r>
        <w:rPr>
          <w:rFonts w:ascii="Arial" w:cs="Arial" w:eastAsia="Arial" w:hAnsi="Arial"/>
          <w:sz w:val="22"/>
          <w:szCs w:val="22"/>
          <w:u w:val="single" w:color="auto"/>
          <w:color w:val="auto"/>
        </w:rPr>
        <w:t>Section 5.10</w:t>
      </w:r>
      <w:r>
        <w:rPr>
          <w:rFonts w:ascii="Arial" w:cs="Arial" w:eastAsia="Arial" w:hAnsi="Arial"/>
          <w:sz w:val="22"/>
          <w:szCs w:val="22"/>
          <w:color w:val="auto"/>
        </w:rPr>
        <w:t>, as of such date).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Subsidiary</w:t>
      </w:r>
      <w:r>
        <w:rPr>
          <w:rFonts w:ascii="Arial" w:cs="Arial" w:eastAsia="Arial" w:hAnsi="Arial"/>
          <w:sz w:val="19"/>
          <w:szCs w:val="19"/>
          <w:color w:val="auto"/>
        </w:rPr>
        <w:t>” means, at any date of determination, each Restricted Subsidiary that is not an Immaterial</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Subsidiary.</w:t>
      </w:r>
    </w:p>
    <w:p>
      <w:pPr>
        <w:spacing w:after="0" w:line="161"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Maturity Limitation Excluded Amount</w:t>
      </w:r>
      <w:r>
        <w:rPr>
          <w:rFonts w:ascii="Arial" w:cs="Arial" w:eastAsia="Arial" w:hAnsi="Arial"/>
          <w:sz w:val="21"/>
          <w:szCs w:val="21"/>
          <w:color w:val="auto"/>
        </w:rPr>
        <w:t xml:space="preserve">” means, at any date of determination, a principal amount of Indebtedness in the form of Incremental Credit Facilities, Other Term Loans, Other Revolving Loans, Other Revolving Commitments, Additional Debt, Term Loan Exchange Notes, Refinancing Notes or any Permitted Refinancing of the foregoing (or any combination of the foregoing) (each, “ </w:t>
      </w:r>
      <w:r>
        <w:rPr>
          <w:rFonts w:ascii="Arial" w:cs="Arial" w:eastAsia="Arial" w:hAnsi="Arial"/>
          <w:sz w:val="21"/>
          <w:szCs w:val="21"/>
          <w:u w:val="single" w:color="auto"/>
          <w:color w:val="auto"/>
        </w:rPr>
        <w:t>Subject Indebtedness</w:t>
      </w:r>
      <w:r>
        <w:rPr>
          <w:rFonts w:ascii="Arial" w:cs="Arial" w:eastAsia="Arial" w:hAnsi="Arial"/>
          <w:sz w:val="21"/>
          <w:szCs w:val="21"/>
          <w:color w:val="auto"/>
        </w:rPr>
        <w:t>”) not to exceed, in the aggregate for all such Subject Indebtedness elected by the Borrowers to have been incurred in reliance on the Maturity Limitation Excluded Amount, $100,000,000, which Subject Indebtedness shall, at the election of the Borrowers, not be required to comply with any limitations on maturity date, Weighted Average Life to Maturity, scheduled amortization, mandatory commitment reductions or mandatory prepayment or redemption features, in each case that would otherwise be applicable to such Subject Indebtedness pursuant to the terms of this Agreement.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Additional Debt Amount</w:t>
      </w:r>
      <w:r>
        <w:rPr>
          <w:rFonts w:ascii="Arial" w:cs="Arial" w:eastAsia="Arial" w:hAnsi="Arial"/>
          <w:sz w:val="22"/>
          <w:szCs w:val="22"/>
          <w:color w:val="auto"/>
        </w:rPr>
        <w:t>” means, at any date of determination, the sum of:</w:t>
      </w:r>
    </w:p>
    <w:p>
      <w:pPr>
        <w:spacing w:after="0" w:line="179" w:lineRule="exact"/>
        <w:rPr>
          <w:sz w:val="20"/>
          <w:szCs w:val="20"/>
          <w:color w:val="auto"/>
        </w:rPr>
      </w:pPr>
    </w:p>
    <w:p>
      <w:pPr>
        <w:jc w:val="both"/>
        <w:ind w:firstLine="1304"/>
        <w:spacing w:after="0"/>
        <w:tabs>
          <w:tab w:leader="none" w:pos="1605"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(i) the greater of (x) $100,000,000 and (y) 100% of LTM EBITDA calculated on a Pro Forma Basis,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amount of any Additional Debt or Incremental Facilities incurred in reliance on this clause (i),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amount of any Incremental Second Lien Facility and/or Second Lien Additional Debt, in each case, incurred in reliance on clause (i) of the Second Lien Unrestricted Amount,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(x) the par value of any voluntary prepayments made pursuant to </w:t>
      </w:r>
      <w:r>
        <w:rPr>
          <w:rFonts w:ascii="Arial" w:cs="Arial" w:eastAsia="Arial" w:hAnsi="Arial"/>
          <w:sz w:val="19"/>
          <w:szCs w:val="19"/>
          <w:u w:val="single" w:color="auto"/>
          <w:color w:val="auto"/>
        </w:rPr>
        <w:t>Section 2.11(a)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payments or purchases of Revolving Loans are accompanied by permanent reductions of the Revolving Commitments), repurchases of Term Loans pursuant to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payments made pursuant to </w:t>
      </w:r>
      <w:r>
        <w:rPr>
          <w:rFonts w:ascii="Arial" w:cs="Arial" w:eastAsia="Arial" w:hAnsi="Arial"/>
          <w:sz w:val="19"/>
          <w:szCs w:val="19"/>
          <w:u w:val="single" w:color="auto"/>
          <w:color w:val="auto"/>
        </w:rPr>
        <w:t>Section 9.02(c)</w:t>
      </w:r>
      <w:r>
        <w:rPr>
          <w:rFonts w:ascii="Arial" w:cs="Arial" w:eastAsia="Arial" w:hAnsi="Arial"/>
          <w:sz w:val="19"/>
          <w:szCs w:val="19"/>
          <w:color w:val="auto"/>
        </w:rPr>
        <w:t xml:space="preserve"> or voluntary prepayments or redemptions of Additional Debt, Other Term Loans, Other Revolving Loans, Extended Term Loans, Extended Revolving Loans, Term Loan Exchange Notes, Refinancing Notes or any Permitted Refinancing of the foregoing, in each case to the extent secured on a pari passu basis with the Term Loans (and in the case of any such Indebtedness consisting of revolving indebtedness, to the extent accompanied by permanent reductions of the associated revolving commitments) and effected after the Closing Date that are not financed with the proceeds of long-term Indebtedness (other than Revolving Loans or other revolving indebtedness) and that do not reduce the amount of any payment otherwise due pursuant to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by operation of the proviso to such clause) and (y) the par value of any voluntary prepayments of the Second Lien Facility, any Incremental Second Lien Facility and Second Lien Additional Debt, to the extent such prepaid Second Lien Facility and/or Indebtedness were incurred under the Second Lien Unrestricted Amount (this clause (ii), together with clause (i), the “</w:t>
      </w:r>
      <w:r>
        <w:rPr>
          <w:rFonts w:ascii="Arial" w:cs="Arial" w:eastAsia="Arial" w:hAnsi="Arial"/>
          <w:sz w:val="19"/>
          <w:szCs w:val="19"/>
          <w:u w:val="single" w:color="auto"/>
          <w:color w:val="auto"/>
        </w:rPr>
        <w:t>Unrestricted Amount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amount of any Additional Debt and/or Incremental Credit Facilities incurred in reliance on clause (ii) of the Unrestricted Amount, less the amount of any Second Lien Additional Debt and/or Second Lien Incremental Facility incurred in reliance on clause (ii) of the Second Lien Unrestricted Amount; </w:t>
      </w:r>
      <w:r>
        <w:rPr>
          <w:rFonts w:ascii="Arial" w:cs="Arial" w:eastAsia="Arial" w:hAnsi="Arial"/>
          <w:sz w:val="19"/>
          <w:szCs w:val="19"/>
          <w:u w:val="single" w:color="auto"/>
          <w:color w:val="auto"/>
        </w:rPr>
        <w:t>plus</w:t>
      </w:r>
    </w:p>
    <w:p>
      <w:pPr>
        <w:spacing w:after="0" w:line="171" w:lineRule="exact"/>
        <w:rPr>
          <w:rFonts w:ascii="Arial" w:cs="Arial" w:eastAsia="Arial" w:hAnsi="Arial"/>
          <w:sz w:val="19"/>
          <w:szCs w:val="19"/>
          <w:color w:val="auto"/>
        </w:rPr>
      </w:pPr>
    </w:p>
    <w:p>
      <w:pPr>
        <w:ind w:firstLine="1304"/>
        <w:spacing w:after="0" w:line="232" w:lineRule="auto"/>
        <w:tabs>
          <w:tab w:leader="none" w:pos="1632"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 unlimited amount if after giving effect to the incurrence of such Additional Debt or Incremental Credit Facility and the application of the proceeds therefrom,</w:t>
      </w:r>
    </w:p>
    <w:p>
      <w:pPr>
        <w:spacing w:after="0" w:line="158" w:lineRule="exact"/>
        <w:rPr>
          <w:rFonts w:ascii="Arial" w:cs="Arial" w:eastAsia="Arial" w:hAnsi="Arial"/>
          <w:sz w:val="22"/>
          <w:szCs w:val="22"/>
          <w:color w:val="auto"/>
        </w:rPr>
      </w:pPr>
    </w:p>
    <w:p>
      <w:pPr>
        <w:jc w:val="both"/>
        <w:ind w:firstLine="1556"/>
        <w:spacing w:after="0" w:line="257" w:lineRule="auto"/>
        <w:tabs>
          <w:tab w:leader="none" w:pos="1815" w:val="left"/>
        </w:tabs>
        <w:numPr>
          <w:ilvl w:val="1"/>
          <w:numId w:val="62"/>
        </w:numPr>
        <w:rPr>
          <w:rFonts w:ascii="Arial" w:cs="Arial" w:eastAsia="Arial" w:hAnsi="Arial"/>
          <w:sz w:val="19"/>
          <w:szCs w:val="19"/>
          <w:color w:val="auto"/>
        </w:rPr>
      </w:pPr>
      <w:r>
        <w:rPr>
          <w:rFonts w:ascii="Arial" w:cs="Arial" w:eastAsia="Arial" w:hAnsi="Arial"/>
          <w:sz w:val="19"/>
          <w:szCs w:val="19"/>
          <w:color w:val="auto"/>
        </w:rPr>
        <w:t>if such Incremental Credit Facility or Additional Debt is secured on a pari passu basis with the Obligations, the First Lien Net Leverage Ratio, calculated on a Pro Forma Basis as of the Applicable Date of Determination, either (x) is no greater than 5.20 to 1.00 or (y) if such Indebtedness is incurred in connection with a Permitted Acquisition or other permitted Investment, either (A) is no greater than 5.20 to 1.00 or (B) is no greater than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17" w:name="page118"/>
    <w:bookmarkEnd w:id="117"/>
    <w:p>
      <w:pPr>
        <w:spacing w:after="0"/>
        <w:rPr>
          <w:sz w:val="20"/>
          <w:szCs w:val="20"/>
          <w:color w:val="auto"/>
        </w:rPr>
      </w:pPr>
      <w:r>
        <w:rPr>
          <w:rFonts w:ascii="Arial" w:cs="Arial" w:eastAsia="Arial" w:hAnsi="Arial"/>
          <w:sz w:val="21"/>
          <w:szCs w:val="21"/>
          <w:color w:val="auto"/>
        </w:rPr>
        <w:t>Lien Net Leverage Ratio in effect immediately prior to the applicable Permitted Acquisition or other permitted Investment,</w:t>
      </w:r>
    </w:p>
    <w:p>
      <w:pPr>
        <w:spacing w:after="0" w:line="191" w:lineRule="exact"/>
        <w:rPr>
          <w:sz w:val="20"/>
          <w:szCs w:val="20"/>
          <w:color w:val="auto"/>
        </w:rPr>
      </w:pPr>
    </w:p>
    <w:p>
      <w:pPr>
        <w:jc w:val="both"/>
        <w:ind w:firstLine="1522"/>
        <w:spacing w:after="0" w:line="252" w:lineRule="auto"/>
        <w:tabs>
          <w:tab w:leader="none" w:pos="1833" w:val="left"/>
        </w:tabs>
        <w:numPr>
          <w:ilvl w:val="0"/>
          <w:numId w:val="63"/>
        </w:numPr>
        <w:rPr>
          <w:rFonts w:ascii="Arial" w:cs="Arial" w:eastAsia="Arial" w:hAnsi="Arial"/>
          <w:sz w:val="19"/>
          <w:szCs w:val="19"/>
          <w:color w:val="auto"/>
        </w:rPr>
      </w:pPr>
      <w:r>
        <w:rPr>
          <w:rFonts w:ascii="Arial" w:cs="Arial" w:eastAsia="Arial" w:hAnsi="Arial"/>
          <w:sz w:val="19"/>
          <w:szCs w:val="19"/>
          <w:color w:val="auto"/>
        </w:rPr>
        <w:t>if such Incremental Credit Facility or Additional Debt is secured on a junior lien basis to the Obligations, the Senior Secured Net Leverage Ratio, calculated on a Pro Forma Basis as of the Applicable Date of Determination, either (x) is no greater than 7.00 to 1.00 or (y) if such Indebtedness is incurred in connection with a Permitted Acquisition or other permitted Investment, either (A) is no greater than 7.00 to 1.00 or (B) is no greater than the Senior Secured Net Leverage Ratio in effect immediately prior to the applicable Permitted Acquisition or other permitted Investment,</w:t>
      </w:r>
    </w:p>
    <w:p>
      <w:pPr>
        <w:spacing w:after="0" w:line="148" w:lineRule="exact"/>
        <w:rPr>
          <w:rFonts w:ascii="Arial" w:cs="Arial" w:eastAsia="Arial" w:hAnsi="Arial"/>
          <w:sz w:val="19"/>
          <w:szCs w:val="19"/>
          <w:color w:val="auto"/>
        </w:rPr>
      </w:pPr>
    </w:p>
    <w:p>
      <w:pPr>
        <w:jc w:val="both"/>
        <w:ind w:firstLine="1556"/>
        <w:spacing w:after="0" w:line="221" w:lineRule="auto"/>
        <w:tabs>
          <w:tab w:leader="none" w:pos="1935" w:val="left"/>
        </w:tabs>
        <w:numPr>
          <w:ilvl w:val="1"/>
          <w:numId w:val="63"/>
        </w:numPr>
        <w:rPr>
          <w:rFonts w:ascii="Arial" w:cs="Arial" w:eastAsia="Arial" w:hAnsi="Arial"/>
          <w:sz w:val="21"/>
          <w:szCs w:val="21"/>
          <w:color w:val="auto"/>
        </w:rPr>
      </w:pPr>
      <w:r>
        <w:rPr>
          <w:rFonts w:ascii="Arial" w:cs="Arial" w:eastAsia="Arial" w:hAnsi="Arial"/>
          <w:sz w:val="21"/>
          <w:szCs w:val="21"/>
          <w:color w:val="auto"/>
        </w:rPr>
        <w:t>if such Incremental Credit Facility or Additional Debt is unsecured or is secured by assets not constituting Collateral, either (I) the Total Net Leverage Ratio, calculated on a Pro Forma Basis as of the Applicable Date of Determination, either (x) is no greater than 7.00 to 1.00 or (y) if such Indebtedness is incurred in connection with a Permitted Acquisition or other permitted Investment, either (A) is no greater than 7.00 to 1.00 or (B) is no greater than the Total Net Leverage Ratio in effect immediately prior to the applicable Permitted Acquisition or other permitted Investment or (II) the Interest Coverage Ratio, calculated on a Pro Forma Basis as of the Applicable Date of Determination, either (x) is no less than 2.00 to 1.00 or (y) if such Indebtedness is incurred in connection with a Permitted Acquisition or other permitted Investment, either (A) is no less than 2.00 to 1.00 or (B) is no less than the Interest Coverage Ratio in effect immediately prior to the applicable Permitted Acquisition or other permitted Investment;</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to the extent the proceeds of any Additional Debt or Incremental Credit Facility are intended to be applied to finance a Limited Condition Acquisition, at the election of the Borrower, the First Lien Net Leverage Ratio, Senior Secured Net Leverage Ratio, Total Leverage Ratio or Interest Coverage Ratio, as the case may be, shall instead be tested in accordance with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(ii) all Additional Debt and Incremental Credit Facilities in each case established on such date shall be assumed to be fully drawn for purposes of the calculation of the First Lien Net Leverage Ratio, Senior Secured Net Leverage Ratio or Total Leverage Ratio, as applicable, (iii) the proceeds of such Additional Debt or Incremental Credit Facilities then being incurred at the time of determination are not included as Unrestricted Cash for purposes of calculating the First Lien Net Leverage Ratio, Senior Secured Net Leverage Ratio or Total Leverage Ratio;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the proceeds of such Additional Debt or Incremental Loans are to be used to prepay Indebtedness, the use of such proceeds for the prepayment of such Indebtedness may be calculated on a Pro Forma Basis, (iv) Additional Debt and Incremental Credit Facilities (x) at the election of the Borrower, may be incurred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prior to utilization of any capacity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and (y) amounts incurred under the Revolving Credit Facility (or any other Revolving Commitments) or amounts incurred in reliance on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in each case, concurrently with amounts incurred in reliance on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shall not be included as Indebtedness in the First Lien Net Leverage Ratio, Senior Secured Net Leverage Ratio, Total Leverage Ratio or Interest Coverage Ratio, as applicable, for purposes of calculating any amounts that may be incurred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on the same day and (v) if all or any portion of any Incremental Credit Facility or Additional Debt was originally incurred or issued in reliance on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and thereafter such amount could have been incurred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such amount of such Incremental Credit Facility or Additional Debt shall automatically be reclassified as having been incurred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and thereafter shall not count as utilization of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w:t>
      </w:r>
    </w:p>
    <w:p>
      <w:pPr>
        <w:spacing w:after="0" w:line="38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Accrual of interest or dividends, the accretion of accreted value, the accretion or amortization of original issue discount and the payment of interest, premium, fees or expenses, in the form of additional Indebtedness, Disqualified Equity Interests or preferred stock on any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18" w:name="page119"/>
    <w:bookmarkEnd w:id="118"/>
    <w:p>
      <w:pPr>
        <w:jc w:val="both"/>
        <w:spacing w:after="0" w:line="232" w:lineRule="auto"/>
        <w:rPr>
          <w:sz w:val="20"/>
          <w:szCs w:val="20"/>
          <w:color w:val="auto"/>
        </w:rPr>
      </w:pPr>
      <w:r>
        <w:rPr>
          <w:rFonts w:ascii="Arial" w:cs="Arial" w:eastAsia="Arial" w:hAnsi="Arial"/>
          <w:sz w:val="22"/>
          <w:szCs w:val="22"/>
          <w:color w:val="auto"/>
        </w:rPr>
        <w:t>Credit Facility or Additional Debt incurred pursuant to the Unrestricted Amount shall not reduce the amount available to be incurred pursuant to the Unrestricted Amount.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9.13</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MFN Adjustment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Extension Condition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MLPFS</w:t>
      </w:r>
      <w:r>
        <w:rPr>
          <w:rFonts w:ascii="Arial" w:cs="Arial" w:eastAsia="Arial" w:hAnsi="Arial"/>
          <w:sz w:val="22"/>
          <w:szCs w:val="22"/>
          <w:color w:val="auto"/>
        </w:rPr>
        <w:t>” means Merrill Lynch, Pierce, Fenner &amp; Smith, together with its designated affiliates (or any other registered broker-dealer wholly-owned by Bank of America Corporation to which all or substantially all of Bank America Corporation’s or any of its subsidiaries’ investment banking, commercial lending services or related businesses may be transferred following the date of this Agreement).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 Policy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5.10(d)</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Property</w:t>
      </w:r>
      <w:r>
        <w:rPr>
          <w:rFonts w:ascii="Arial" w:cs="Arial" w:eastAsia="Arial" w:hAnsi="Arial"/>
          <w:sz w:val="22"/>
          <w:szCs w:val="22"/>
          <w:color w:val="auto"/>
        </w:rPr>
        <w:t xml:space="preserve">” means, each parcel of Material Real Property owned by a Loan Party with respect to which a Mortgage is granted pursuant to </w:t>
      </w: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5.11</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Mortgages</w:t>
      </w:r>
      <w:r>
        <w:rPr>
          <w:rFonts w:ascii="Arial" w:cs="Arial" w:eastAsia="Arial" w:hAnsi="Arial"/>
          <w:sz w:val="22"/>
          <w:szCs w:val="22"/>
          <w:color w:val="auto"/>
        </w:rPr>
        <w:t xml:space="preserve">” means a mortgage, deed of trust, or other security document granting a Lien on any Mortgaged Property to secure the Secured Obligations. Each Mortgage shall be substantially in the form attached as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hereto or otherwise in form and substance approved by the Administrative Agent in its reasonable discretion, or at the Administrative Agent’s option, in the case of an Additional Mortgaged Property, an amendment to an existing Mortgage, in form satisfactory to the Administrative Agent in its reasonable discretion, adding such Additional Mortgaged Property to the real property encumbered by such existing Mortgage.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w:t>
      </w:r>
    </w:p>
    <w:p>
      <w:pPr>
        <w:spacing w:after="0" w:line="17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Proceeds</w:t>
      </w:r>
      <w:r>
        <w:rPr>
          <w:rFonts w:ascii="Arial" w:cs="Arial" w:eastAsia="Arial" w:hAnsi="Arial"/>
          <w:sz w:val="19"/>
          <w:szCs w:val="19"/>
          <w:color w:val="auto"/>
        </w:rPr>
        <w:t xml:space="preserve">” means, with respect to any event, (a) the cash proceeds received in respect of such event, including (x) in the case of a Disposition of an asset (including pursuant to a Sale Leaseback transaction or a casualty or a condemnation or similar proceeding), any cash received in respect of any non-cash proceeds (including any cash payments received by way of deferred payment of principal pursuant to a note or installment receivable or purchase price adjustment or earn-out, but excluding any reasonable interest payments), but only as and when received, (y) in the case of a casualty, cash insurance proceeds, and (z) in the case of a condemnation or similar event, cash condemnation awards and similar payments received in connection therewith,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sum of (i) all reasonable fees and expenses (including commissions, discounts, transfer taxes and legal, accounting and other professional and transactional fees) paid or payable by the Holding Companies and the Restricted Subsidiaries to third parties in connection with such event, (ii) in the case of a Disposition of an asset (including pursuant to a Sale Leaseback transaction or a casualty or a condemnation or similar proceeding), the amount of payments required to be made in respect of Indebtedness (other than Loans and other Indebtedness for borrowed money that is secured on a pari passu or junior lien basis with the Loans) secured by such asset or otherwise subject to mandatory prepayment (other than under this Agreement) as a result of such event, or which by applicable law is required to be repaid out of the proceeds of such Disposition, casualty, condemnation or similar proceeding, in each case, to the extent permitted to be paid pursuant to the terms of this Agreement, (iii) the amount of all taxes (or, without duplication, Restricted Payments in respect of such taxes)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19" w:name="page120"/>
    <w:bookmarkEnd w:id="119"/>
    <w:p>
      <w:pPr>
        <w:jc w:val="both"/>
        <w:spacing w:after="0" w:line="241" w:lineRule="auto"/>
        <w:rPr>
          <w:sz w:val="20"/>
          <w:szCs w:val="20"/>
          <w:color w:val="auto"/>
        </w:rPr>
      </w:pPr>
      <w:r>
        <w:rPr>
          <w:rFonts w:ascii="Arial" w:cs="Arial" w:eastAsia="Arial" w:hAnsi="Arial"/>
          <w:sz w:val="19"/>
          <w:szCs w:val="19"/>
          <w:color w:val="auto"/>
        </w:rPr>
        <w:t xml:space="preserve">(or reasonably estimated to be payable or accrued as a liability under GAAP) by (or attributable to the ownership of) Holdings and the Restricted Subsidiaries as a result of such event, (iv) the amount of any reserves established by Holdings or the applicable Restricted Subsidiaries to fund liabilities estimated to be payable as a result of such event (as determined in good faith by a Responsible Officer of the Borrower), (v) in the case of any Disposition or casualty or condemnation or similar proceeding by a non-wholly owned Restricted Subsidiary, the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portion of the Net Proceeds thereof (calculated without regard to this </w:t>
      </w:r>
      <w:r>
        <w:rPr>
          <w:rFonts w:ascii="Arial" w:cs="Arial" w:eastAsia="Arial" w:hAnsi="Arial"/>
          <w:sz w:val="19"/>
          <w:szCs w:val="19"/>
          <w:u w:val="single" w:color="auto"/>
          <w:color w:val="auto"/>
        </w:rPr>
        <w:t>clause</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21"/>
          <w:szCs w:val="21"/>
          <w:u w:val="single" w:color="auto"/>
          <w:color w:val="auto"/>
        </w:rPr>
        <w:t>(v)</w:t>
      </w:r>
      <w:r>
        <w:rPr>
          <w:rFonts w:ascii="Arial" w:cs="Arial" w:eastAsia="Arial" w:hAnsi="Arial"/>
          <w:sz w:val="21"/>
          <w:szCs w:val="21"/>
          <w:color w:val="auto"/>
        </w:rPr>
        <w:t xml:space="preserve">) attributable to minority interests and not available for distribution to or for the account of the Borrower or a wholly owned Restricted Subsidiary as a result thereof and (vi) any funded escrow established pursuant to the documents evidencing any such sale or disposition to secure any indemnification obligations or adjustments to the purchase price or other similar obligations associated with any such sale or disposition;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funds shall constitute Net Proceeds immediately upon their release from escrow unless applied to satisfy such obligations.</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Sponsor</w:t>
      </w:r>
      <w:r>
        <w:rPr>
          <w:rFonts w:ascii="Arial" w:cs="Arial" w:eastAsia="Arial" w:hAnsi="Arial"/>
          <w:sz w:val="22"/>
          <w:szCs w:val="22"/>
          <w:color w:val="auto"/>
        </w:rPr>
        <w:t>” means the Purchaser, its Affiliates and any funds, partnerships or other co-investment vehicles managed, advised or controlled by the foregoing or their respective Affiliates (other than Holdings, Borrower or Subsidiaries or any other portfolio company).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9.02(c)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Nonrenewal Notice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2.05(c)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 Otherwise Applied</w:t>
      </w:r>
      <w:r>
        <w:rPr>
          <w:rFonts w:ascii="Arial" w:cs="Arial" w:eastAsia="Arial" w:hAnsi="Arial"/>
          <w:sz w:val="19"/>
          <w:szCs w:val="19"/>
          <w:color w:val="auto"/>
        </w:rPr>
        <w:t xml:space="preserve">” means, with reference to any amount of proceeds of the type described in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or</w:t>
      </w:r>
    </w:p>
    <w:p>
      <w:pPr>
        <w:spacing w:after="0" w:line="16" w:lineRule="exact"/>
        <w:rPr>
          <w:sz w:val="20"/>
          <w:szCs w:val="20"/>
          <w:color w:val="auto"/>
        </w:rPr>
      </w:pPr>
    </w:p>
    <w:p>
      <w:pPr>
        <w:jc w:val="both"/>
        <w:ind w:firstLine="8"/>
        <w:spacing w:after="0" w:line="224" w:lineRule="auto"/>
        <w:tabs>
          <w:tab w:leader="none" w:pos="315" w:val="left"/>
        </w:tabs>
        <w:numPr>
          <w:ilvl w:val="0"/>
          <w:numId w:val="64"/>
        </w:numPr>
        <w:rPr>
          <w:rFonts w:ascii="Arial" w:cs="Arial" w:eastAsia="Arial" w:hAnsi="Arial"/>
          <w:sz w:val="21"/>
          <w:szCs w:val="21"/>
          <w:u w:val="single" w:color="auto"/>
          <w:color w:val="auto"/>
        </w:rPr>
      </w:pPr>
      <w:r>
        <w:rPr>
          <w:rFonts w:ascii="Arial" w:cs="Arial" w:eastAsia="Arial" w:hAnsi="Arial"/>
          <w:sz w:val="21"/>
          <w:szCs w:val="21"/>
          <w:color w:val="auto"/>
        </w:rPr>
        <w:t xml:space="preserve">of the definition of “Available Amount” or in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of the definition of “Available Excluded Contribution Amount”, that such amount was not previously applied (nor committed to be applied,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commitment remains outstanding or has not otherwise terminated or expired) pursuant to </w:t>
      </w:r>
      <w:r>
        <w:rPr>
          <w:rFonts w:ascii="Arial" w:cs="Arial" w:eastAsia="Arial" w:hAnsi="Arial"/>
          <w:sz w:val="21"/>
          <w:szCs w:val="21"/>
          <w:u w:val="single" w:color="auto"/>
          <w:color w:val="auto"/>
        </w:rPr>
        <w:t>Sections 6.01(aa)(1)</w:t>
      </w:r>
      <w:r>
        <w:rPr>
          <w:rFonts w:ascii="Arial" w:cs="Arial" w:eastAsia="Arial" w:hAnsi="Arial"/>
          <w:sz w:val="21"/>
          <w:szCs w:val="21"/>
          <w:color w:val="auto"/>
        </w:rPr>
        <w:t xml:space="preserve">, </w:t>
      </w:r>
      <w:r>
        <w:rPr>
          <w:rFonts w:ascii="Arial" w:cs="Arial" w:eastAsia="Arial" w:hAnsi="Arial"/>
          <w:sz w:val="21"/>
          <w:szCs w:val="21"/>
          <w:u w:val="single" w:color="auto"/>
          <w:color w:val="auto"/>
        </w:rPr>
        <w:t>6.04(z)</w:t>
      </w:r>
      <w:r>
        <w:rPr>
          <w:rFonts w:ascii="Arial" w:cs="Arial" w:eastAsia="Arial" w:hAnsi="Arial"/>
          <w:sz w:val="21"/>
          <w:szCs w:val="21"/>
          <w:color w:val="auto"/>
        </w:rPr>
        <w:t xml:space="preserve">, </w:t>
      </w:r>
      <w:r>
        <w:rPr>
          <w:rFonts w:ascii="Arial" w:cs="Arial" w:eastAsia="Arial" w:hAnsi="Arial"/>
          <w:sz w:val="21"/>
          <w:szCs w:val="21"/>
          <w:u w:val="single" w:color="auto"/>
          <w:color w:val="auto"/>
        </w:rPr>
        <w:t>6.04(dd)</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6.06(a)(ii)</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6.06(a)(v)</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6.06(a)(x)(ii)</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6.06(a)(xiv)(B)</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6.06(a)(xv)</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6.06(a)(xix)</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6.06(b)(vi)(B)</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6.06(b)(vii)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6.06(b)(ix)(ii)</w:t>
      </w:r>
      <w:r>
        <w:rPr>
          <w:rFonts w:ascii="Arial" w:cs="Arial" w:eastAsia="Arial" w:hAnsi="Arial"/>
          <w:sz w:val="21"/>
          <w:szCs w:val="21"/>
          <w:color w:val="auto"/>
        </w:rPr>
        <w: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means a Term Note or a Revolving Note, as the context may require.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17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xml:space="preserve">” means, for any day, the greater of (a) the Federal Funds Rate in effect on such day and (b) the Overnight Bank Funding Rate in effect on such day (or for any day that is not a Business Day, for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none of such rates are published for any day that is a Business Day, the term “</w:t>
      </w:r>
      <w:r>
        <w:rPr>
          <w:rFonts w:ascii="Arial" w:cs="Arial" w:eastAsia="Arial" w:hAnsi="Arial"/>
          <w:sz w:val="19"/>
          <w:szCs w:val="19"/>
          <w:u w:val="single" w:color="auto"/>
          <w:color w:val="auto"/>
        </w:rPr>
        <w:t>NYFRB Rate</w:t>
      </w:r>
      <w:r>
        <w:rPr>
          <w:rFonts w:ascii="Arial" w:cs="Arial" w:eastAsia="Arial" w:hAnsi="Arial"/>
          <w:sz w:val="19"/>
          <w:szCs w:val="19"/>
          <w:color w:val="auto"/>
        </w:rPr>
        <w:t xml:space="preserve">” shall mean the rate for a federal funds transaction quoted at 11:00 a.m., New York City time, on such day received by the Administrative Agent from a federal funds broker of recognized standing selected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any of the aforesaid rates shall be less than zero, such rate shall be deemed to be zero for purposes of this Agreement.</w:t>
      </w:r>
    </w:p>
    <w:p>
      <w:pPr>
        <w:spacing w:after="0" w:line="15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obligations of every nature of each Loan Party, including obligations from time to time owed to the Administrative Agent, the Collateral Agent, any other Agent, any Joint Lead Arranger, any Joint Bookrunner, the Issuing Banks, the Lenders or any of them, arising under any Loan Document, whether for principal, interest (including interest which, but for the filing of a petition in bankruptcy with respect to such Loan Party, would have accrued on any such obligation, whether or not a claim is allowed against such Loan Party for such interest in the related bankruptcy proceeding), prepayment premiums, reimbursement of amounts drawn under Letters of Credit issued for the account of a Holding Company, the Borrower and/or any Restricted Subsidiary, fees (including fees which, but for the filing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20" w:name="page121"/>
    <w:bookmarkEnd w:id="120"/>
    <w:p>
      <w:pPr>
        <w:jc w:val="both"/>
        <w:spacing w:after="0" w:line="216" w:lineRule="auto"/>
        <w:rPr>
          <w:sz w:val="20"/>
          <w:szCs w:val="20"/>
          <w:color w:val="auto"/>
        </w:rPr>
      </w:pPr>
      <w:r>
        <w:rPr>
          <w:rFonts w:ascii="Arial" w:cs="Arial" w:eastAsia="Arial" w:hAnsi="Arial"/>
          <w:sz w:val="22"/>
          <w:szCs w:val="22"/>
          <w:color w:val="auto"/>
        </w:rPr>
        <w:t>petition in bankruptcy with respect to such Loan Party, would have accrued on any such obligation, whether or not a claim is allowed against such Loan Party for such fees in the related bankruptcy proceeding), expenses (including expenses which, but for the filing of a petition in bankruptcy solely with respect to such Loan Party, would have accrued on any such obligation, whether or not a claim is allowed against such Loan Party for such expenses in the related bankruptcy proceeding), indemnification or otherwise.</w:t>
      </w:r>
    </w:p>
    <w:p>
      <w:pPr>
        <w:spacing w:after="0" w:line="158"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Organizational Documents</w:t>
      </w:r>
      <w:r>
        <w:rPr>
          <w:rFonts w:ascii="Arial" w:cs="Arial" w:eastAsia="Arial" w:hAnsi="Arial"/>
          <w:sz w:val="21"/>
          <w:szCs w:val="21"/>
          <w:color w:val="auto"/>
        </w:rPr>
        <w:t>” of any Person means the charter, memorandum and articles of association, constitution, articles, partnership agreement, or certificate of organization, incorporation or registration, amalgamation, continuance or amendment and bylaws or other organizational or governing or constitutive documents of such Person.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Applicable Indebtedness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2.11(c)</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Revolving Commitments</w:t>
      </w:r>
      <w:r>
        <w:rPr>
          <w:rFonts w:ascii="Arial" w:cs="Arial" w:eastAsia="Arial" w:hAnsi="Arial"/>
          <w:sz w:val="19"/>
          <w:szCs w:val="19"/>
          <w:color w:val="auto"/>
        </w:rPr>
        <w:t xml:space="preserve">” means, with respect to each Additional Refinancing Lender, the commitment, if any, of such Additional Refinancing Lender to make one or more Classes of Other Revolving Loans under any Refinancing Amendment, expressed as an amount representing the maximum principal amount of the Other Revolving Loans to be made by such Lender under such Refinancing Amendment, as such commitment may be (a) reduced pursuant to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and (b) reduced or increased from time to time pursuant to assignments by or to such Lender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Revolving Loans</w:t>
      </w:r>
      <w:r>
        <w:rPr>
          <w:rFonts w:ascii="Arial" w:cs="Arial" w:eastAsia="Arial" w:hAnsi="Arial"/>
          <w:sz w:val="21"/>
          <w:szCs w:val="21"/>
          <w:color w:val="auto"/>
        </w:rPr>
        <w:t>” means the Revolving Loans made pursuant to any Other Revolving Commitment.</w:t>
      </w:r>
    </w:p>
    <w:p>
      <w:pPr>
        <w:spacing w:after="0" w:line="19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 means any and all present or future recording, stamp, documentary, excise, transfer, sales, property, intangible, filing or similar Taxes, charges or levies arising from any payment made under any Loan Document or from the execution, delivery, performance, registration or enforcement of, or from the registration, receipt or perfection of a security interest under, or otherwise with respect to, any Loan Document.</w:t>
      </w:r>
    </w:p>
    <w:p>
      <w:pPr>
        <w:spacing w:after="0" w:line="161"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Term Commitments</w:t>
      </w:r>
      <w:r>
        <w:rPr>
          <w:rFonts w:ascii="Arial" w:cs="Arial" w:eastAsia="Arial" w:hAnsi="Arial"/>
          <w:sz w:val="21"/>
          <w:szCs w:val="21"/>
          <w:color w:val="auto"/>
        </w:rPr>
        <w:t xml:space="preserve">” means, with respect to each Additional Refinancing Lender, the commitment, if any, of such Additional Refinancing Lender to make one or more Classes of Other Term Loans under any Refinancing Amendment, expressed as an amount representing the maximum principal amount of the Other Term Loans to be made by such Lender under such Refinancing Amendment, as such commitment may be (a) reduced pursuant to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and (b) reduced or increased from time to time pursuant to assignments by or to such Lender pursuant to </w:t>
      </w:r>
      <w:r>
        <w:rPr>
          <w:rFonts w:ascii="Arial" w:cs="Arial" w:eastAsia="Arial" w:hAnsi="Arial"/>
          <w:sz w:val="21"/>
          <w:szCs w:val="21"/>
          <w:u w:val="single" w:color="auto"/>
          <w:color w:val="auto"/>
        </w:rPr>
        <w:t>Section 9.04</w:t>
      </w:r>
      <w:r>
        <w:rPr>
          <w:rFonts w:ascii="Arial" w:cs="Arial" w:eastAsia="Arial" w:hAnsi="Arial"/>
          <w:sz w:val="21"/>
          <w:szCs w:val="21"/>
          <w:color w:val="auto"/>
        </w:rPr>
        <w: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Term Loans</w:t>
      </w:r>
      <w:r>
        <w:rPr>
          <w:rFonts w:ascii="Arial" w:cs="Arial" w:eastAsia="Arial" w:hAnsi="Arial"/>
          <w:sz w:val="19"/>
          <w:szCs w:val="19"/>
          <w:color w:val="auto"/>
        </w:rPr>
        <w:t>” means one or more Classes of Term Loans made pursuant to or that result from a Refinancing</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Amendment.</w:t>
      </w:r>
    </w:p>
    <w:p>
      <w:pPr>
        <w:spacing w:after="0" w:line="16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xml:space="preserve">” means, for any day, the rate comprised of both overnight federal funds and overnight </w:t>
      </w:r>
      <w:r>
        <w:rPr>
          <w:rFonts w:ascii="Arial" w:cs="Arial" w:eastAsia="Arial" w:hAnsi="Arial"/>
          <w:sz w:val="22"/>
          <w:szCs w:val="22"/>
          <w:color w:val="FF0000"/>
          <w:strike w:val="1"/>
        </w:rPr>
        <w:t>E</w:t>
      </w:r>
      <w:r>
        <w:rPr>
          <w:rFonts w:ascii="Arial" w:cs="Arial" w:eastAsia="Arial" w:hAnsi="Arial"/>
          <w:sz w:val="22"/>
          <w:szCs w:val="22"/>
          <w:color w:val="auto"/>
        </w:rPr>
        <w:t xml:space="preserve"> </w:t>
      </w:r>
      <w:r>
        <w:rPr>
          <w:rFonts w:ascii="Arial" w:cs="Arial" w:eastAsia="Arial" w:hAnsi="Arial"/>
          <w:sz w:val="22"/>
          <w:szCs w:val="22"/>
          <w:u w:val="single" w:color="auto"/>
          <w:color w:val="0000FF"/>
        </w:rPr>
        <w:t>e</w:t>
      </w:r>
      <w:r>
        <w:rPr>
          <w:rFonts w:ascii="Arial" w:cs="Arial" w:eastAsia="Arial" w:hAnsi="Arial"/>
          <w:sz w:val="22"/>
          <w:szCs w:val="22"/>
          <w:color w:val="auto"/>
        </w:rPr>
        <w:t>urocurrency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 Entity</w:t>
      </w:r>
      <w:r>
        <w:rPr>
          <w:rFonts w:ascii="Arial" w:cs="Arial" w:eastAsia="Arial" w:hAnsi="Arial"/>
          <w:sz w:val="21"/>
          <w:szCs w:val="21"/>
          <w:color w:val="auto"/>
        </w:rPr>
        <w:t>” means any Person of which Holdings at any time is or becomes a subsidiary on or after the</w:t>
      </w:r>
    </w:p>
    <w:p>
      <w:pPr>
        <w:spacing w:after="0"/>
        <w:rPr>
          <w:sz w:val="20"/>
          <w:szCs w:val="20"/>
          <w:color w:val="auto"/>
        </w:rPr>
      </w:pPr>
      <w:r>
        <w:rPr>
          <w:rFonts w:ascii="Arial" w:cs="Arial" w:eastAsia="Arial" w:hAnsi="Arial"/>
          <w:sz w:val="22"/>
          <w:szCs w:val="22"/>
          <w:color w:val="auto"/>
        </w:rPr>
        <w:t>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Material Adverse Effect</w:t>
      </w:r>
      <w:r>
        <w:rPr>
          <w:rFonts w:ascii="Arial" w:cs="Arial" w:eastAsia="Arial" w:hAnsi="Arial"/>
          <w:sz w:val="22"/>
          <w:szCs w:val="22"/>
          <w:color w:val="auto"/>
        </w:rPr>
        <w:t>” means a “Parent Material Adverse Effect”, as defined in the Recapitalization</w:t>
      </w:r>
    </w:p>
    <w:p>
      <w:pPr>
        <w:spacing w:after="0"/>
        <w:rPr>
          <w:sz w:val="20"/>
          <w:szCs w:val="20"/>
          <w:color w:val="auto"/>
        </w:rPr>
      </w:pPr>
      <w:r>
        <w:rPr>
          <w:rFonts w:ascii="Arial" w:cs="Arial" w:eastAsia="Arial" w:hAnsi="Arial"/>
          <w:sz w:val="22"/>
          <w:szCs w:val="22"/>
          <w:color w:val="auto"/>
        </w:rPr>
        <w:t>Agreement.</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Pari Passu Intercreditor Agreement</w:t>
      </w:r>
      <w:r>
        <w:rPr>
          <w:rFonts w:ascii="Arial" w:cs="Arial" w:eastAsia="Arial" w:hAnsi="Arial"/>
          <w:sz w:val="22"/>
          <w:szCs w:val="22"/>
          <w:color w:val="auto"/>
        </w:rPr>
        <w:t xml:space="preserve">” means a customary intercreditor agreement substantially in the form annexed hereto as </w:t>
      </w:r>
      <w:r>
        <w:rPr>
          <w:rFonts w:ascii="Arial" w:cs="Arial" w:eastAsia="Arial" w:hAnsi="Arial"/>
          <w:sz w:val="22"/>
          <w:szCs w:val="22"/>
          <w:u w:val="single" w:color="auto"/>
          <w:color w:val="auto"/>
        </w:rPr>
        <w:t>Exhibit K</w:t>
      </w:r>
      <w:r>
        <w:rPr>
          <w:rFonts w:ascii="Arial" w:cs="Arial" w:eastAsia="Arial" w:hAnsi="Arial"/>
          <w:sz w:val="22"/>
          <w:szCs w:val="22"/>
          <w:color w:val="auto"/>
        </w:rPr>
        <w: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Member State</w:t>
      </w:r>
      <w:r>
        <w:rPr>
          <w:rFonts w:ascii="Arial" w:cs="Arial" w:eastAsia="Arial" w:hAnsi="Arial"/>
          <w:sz w:val="22"/>
          <w:szCs w:val="22"/>
          <w:color w:val="auto"/>
        </w:rPr>
        <w:t>” means each state so described in any EMU Legislation.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0000FF"/>
        </w:rPr>
        <w:t>“Periodic Term SOFR Determination Day” has the meaning assigned to such term in the definition of “Term</w:t>
      </w:r>
    </w:p>
    <w:p>
      <w:pPr>
        <w:spacing w:after="0"/>
        <w:rPr>
          <w:sz w:val="20"/>
          <w:szCs w:val="20"/>
          <w:color w:val="auto"/>
        </w:rPr>
      </w:pPr>
      <w:r>
        <w:rPr>
          <w:rFonts w:ascii="Arial" w:cs="Arial" w:eastAsia="Arial" w:hAnsi="Arial"/>
          <w:sz w:val="22"/>
          <w:szCs w:val="22"/>
          <w:u w:val="single" w:color="auto"/>
          <w:color w:val="0000FF"/>
        </w:rPr>
        <w:t>SOFR”.</w:t>
      </w:r>
    </w:p>
    <w:p>
      <w:pPr>
        <w:spacing w:after="0" w:line="16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w:t>
      </w:r>
      <w:r>
        <w:rPr>
          <w:rFonts w:ascii="Arial" w:cs="Arial" w:eastAsia="Arial" w:hAnsi="Arial"/>
          <w:sz w:val="19"/>
          <w:szCs w:val="19"/>
          <w:color w:val="auto"/>
        </w:rPr>
        <w:t>” means any Acquisition by any Restricted Subsidiary if (a) immediately before and immediately after giving pro forma effect to the consummation of such Acquisition, no Event of Default has occurred and is continuing or would immediately result therefrom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Limited Condition Acquisition, at the election of the Borrower,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shall instead only be tested on the relevant LCA Test Date and no Event of Default under </w:t>
      </w:r>
      <w:r>
        <w:rPr>
          <w:rFonts w:ascii="Arial" w:cs="Arial" w:eastAsia="Arial" w:hAnsi="Arial"/>
          <w:sz w:val="19"/>
          <w:szCs w:val="19"/>
          <w:u w:val="single" w:color="auto"/>
          <w:color w:val="auto"/>
        </w:rPr>
        <w:t>Sections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7.01(i)</w:t>
      </w:r>
      <w:r>
        <w:rPr>
          <w:rFonts w:ascii="Arial" w:cs="Arial" w:eastAsia="Arial" w:hAnsi="Arial"/>
          <w:sz w:val="19"/>
          <w:szCs w:val="19"/>
          <w:color w:val="auto"/>
        </w:rPr>
        <w:t xml:space="preserve"> shall have occurred and be continuing or would exist after giving effect thereto at the time such acquisition is consummated), (b) all actions required to be taken with respect to such acquired or newly formed Restricted Subsidiary (other than any Excluded Subsidiary) or such acquired assets (other than Excluded Property)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will be taken in accordance therewith (to the extent required) and (c) after giving effect to such Acquisition, the Borrower and the Restricted Subsidiaries are in compliance with </w:t>
      </w:r>
      <w:r>
        <w:rPr>
          <w:rFonts w:ascii="Arial" w:cs="Arial" w:eastAsia="Arial" w:hAnsi="Arial"/>
          <w:sz w:val="19"/>
          <w:szCs w:val="19"/>
          <w:u w:val="single" w:color="auto"/>
          <w:color w:val="auto"/>
        </w:rPr>
        <w:t>Section 6.10</w:t>
      </w:r>
      <w:r>
        <w:rPr>
          <w:rFonts w:ascii="Arial" w:cs="Arial" w:eastAsia="Arial" w:hAnsi="Arial"/>
          <w:sz w:val="19"/>
          <w:szCs w:val="19"/>
          <w:color w:val="auto"/>
        </w:rPr>
        <w: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Debt Exchange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2.25(a)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Debt Exchange Offer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2.25(a)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means:</w:t>
      </w:r>
    </w:p>
    <w:p>
      <w:pPr>
        <w:spacing w:after="0" w:line="179" w:lineRule="exact"/>
        <w:rPr>
          <w:sz w:val="20"/>
          <w:szCs w:val="20"/>
          <w:color w:val="auto"/>
        </w:rPr>
      </w:pPr>
    </w:p>
    <w:p>
      <w:pPr>
        <w:jc w:val="both"/>
        <w:ind w:firstLine="1304"/>
        <w:spacing w:after="0" w:line="268" w:lineRule="auto"/>
        <w:tabs>
          <w:tab w:leader="none" w:pos="1774" w:val="left"/>
        </w:tabs>
        <w:numPr>
          <w:ilvl w:val="0"/>
          <w:numId w:val="65"/>
        </w:numPr>
        <w:rPr>
          <w:rFonts w:ascii="Arial" w:cs="Arial" w:eastAsia="Arial" w:hAnsi="Arial"/>
          <w:sz w:val="19"/>
          <w:szCs w:val="19"/>
          <w:color w:val="auto"/>
        </w:rPr>
      </w:pPr>
      <w:r>
        <w:rPr>
          <w:rFonts w:ascii="Arial" w:cs="Arial" w:eastAsia="Arial" w:hAnsi="Arial"/>
          <w:sz w:val="19"/>
          <w:szCs w:val="19"/>
          <w:color w:val="auto"/>
        </w:rPr>
        <w:t>Liens imposed by law for taxes, assessments or other governmental charges or levies that (i) are not overdue by more than thirty (30) days, (ii) are being contested in good faith and are subject to appropriate reserves to the extent required under GAAP or (iii) the non-payment of which could not reasonably be expected to result in a Material Adverse Effect;</w:t>
      </w:r>
    </w:p>
    <w:p>
      <w:pPr>
        <w:spacing w:after="0" w:line="132" w:lineRule="exact"/>
        <w:rPr>
          <w:rFonts w:ascii="Arial" w:cs="Arial" w:eastAsia="Arial" w:hAnsi="Arial"/>
          <w:sz w:val="19"/>
          <w:szCs w:val="19"/>
          <w:color w:val="auto"/>
        </w:rPr>
      </w:pPr>
    </w:p>
    <w:p>
      <w:pPr>
        <w:jc w:val="both"/>
        <w:ind w:firstLine="1304"/>
        <w:spacing w:after="0" w:line="214" w:lineRule="auto"/>
        <w:tabs>
          <w:tab w:leader="none" w:pos="1982" w:val="left"/>
        </w:tabs>
        <w:numPr>
          <w:ilvl w:val="0"/>
          <w:numId w:val="65"/>
        </w:numPr>
        <w:rPr>
          <w:rFonts w:ascii="Arial" w:cs="Arial" w:eastAsia="Arial" w:hAnsi="Arial"/>
          <w:sz w:val="22"/>
          <w:szCs w:val="22"/>
          <w:color w:val="auto"/>
        </w:rPr>
      </w:pPr>
      <w:r>
        <w:rPr>
          <w:rFonts w:ascii="Arial" w:cs="Arial" w:eastAsia="Arial" w:hAnsi="Arial"/>
          <w:sz w:val="22"/>
          <w:szCs w:val="22"/>
          <w:color w:val="auto"/>
        </w:rPr>
        <w:t>carriers’, warehousemen’s, supplier’s, construction contractor’s, workmen, mechanic’s, materialmen’s, repairmen’s, landlords’ and other like Liens imposed by law or contract, arising in the ordinary course of business and securing obligations (i) that are not overdue by more than thirty (30) days (or, if more than thirty (30) days overdue, are unfiled and no other action has been taken with respect to such Lien), (ii) are being contested in good faith and are subject to appropriate reserves to the extent required under GAAP or (iii) the non-payment of which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382" w:right="339" w:bottom="1440" w:gutter="0" w:footer="0" w:header="0"/>
        </w:sectPr>
      </w:pPr>
    </w:p>
    <w:bookmarkStart w:id="122" w:name="page123"/>
    <w:bookmarkEnd w:id="122"/>
    <w:p>
      <w:pPr>
        <w:ind w:firstLine="1304"/>
        <w:spacing w:after="0" w:line="232" w:lineRule="auto"/>
        <w:tabs>
          <w:tab w:leader="none" w:pos="1994" w:val="left"/>
        </w:tabs>
        <w:numPr>
          <w:ilvl w:val="0"/>
          <w:numId w:val="66"/>
        </w:numPr>
        <w:rPr>
          <w:rFonts w:ascii="Arial" w:cs="Arial" w:eastAsia="Arial" w:hAnsi="Arial"/>
          <w:sz w:val="22"/>
          <w:szCs w:val="22"/>
          <w:color w:val="auto"/>
        </w:rPr>
      </w:pPr>
      <w:r>
        <w:rPr>
          <w:rFonts w:ascii="Arial" w:cs="Arial" w:eastAsia="Arial" w:hAnsi="Arial"/>
          <w:sz w:val="22"/>
          <w:szCs w:val="22"/>
          <w:color w:val="auto"/>
        </w:rPr>
        <w:t>Liens, pledges and deposits made in the ordinary course of business in compliance with workers’ compensation, unemployment insurance and other social security laws or regulations;</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886"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(i) Liens, pledges and deposits to secure the performance of bids, government contracts, trade contracts (other than for borrowed money), leases, statutory obligations, deductibles, co-payment, co-insurance, retentions, premiums, reimbursement obligations or similar obligations to providers of insurance, self-insurance or reinsurance obligations, surety, stay, customs and appeal or similar bonds, performance bonds and other obligations of a like nature (including those to secure health, safety and environmental obligations) and other similar obligations and (ii) obligations in respect of letters of credit or bank guarantees that have been posted to support payment of the items set forth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(d)</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ind w:firstLine="1304"/>
        <w:spacing w:after="0" w:line="232" w:lineRule="auto"/>
        <w:tabs>
          <w:tab w:leader="none" w:pos="1815"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attachment or judgment liens in respect of judgments or decrees that do not constitute an Event of Default under </w:t>
      </w:r>
      <w:r>
        <w:rPr>
          <w:rFonts w:ascii="Arial" w:cs="Arial" w:eastAsia="Arial" w:hAnsi="Arial"/>
          <w:sz w:val="22"/>
          <w:szCs w:val="22"/>
          <w:u w:val="single" w:color="auto"/>
          <w:color w:val="auto"/>
        </w:rPr>
        <w:t>Section 7.01(j)</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881" w:val="left"/>
        </w:tabs>
        <w:numPr>
          <w:ilvl w:val="0"/>
          <w:numId w:val="66"/>
        </w:numPr>
        <w:rPr>
          <w:rFonts w:ascii="Arial" w:cs="Arial" w:eastAsia="Arial" w:hAnsi="Arial"/>
          <w:sz w:val="22"/>
          <w:szCs w:val="22"/>
          <w:color w:val="auto"/>
        </w:rPr>
      </w:pPr>
      <w:r>
        <w:rPr>
          <w:rFonts w:ascii="Arial" w:cs="Arial" w:eastAsia="Arial" w:hAnsi="Arial"/>
          <w:sz w:val="22"/>
          <w:szCs w:val="22"/>
          <w:color w:val="auto"/>
        </w:rPr>
        <w:t>easements, zoning restrictions, rights-of-way, encroachments, minor defects or irregularities in title and similar encumbrances on real property imposed by law or arising in the ordinary course of business and that individually or in the aggregate do not materially interfere with the ordinary conduct of business of Holdings and the Restricted Subsidiaries, taken as a whole;</w:t>
      </w:r>
    </w:p>
    <w:p>
      <w:pPr>
        <w:spacing w:after="0" w:line="160" w:lineRule="exact"/>
        <w:rPr>
          <w:rFonts w:ascii="Arial" w:cs="Arial" w:eastAsia="Arial" w:hAnsi="Arial"/>
          <w:sz w:val="22"/>
          <w:szCs w:val="22"/>
          <w:color w:val="auto"/>
        </w:rPr>
      </w:pPr>
    </w:p>
    <w:p>
      <w:pPr>
        <w:ind w:left="1780" w:hanging="476"/>
        <w:spacing w:after="0"/>
        <w:tabs>
          <w:tab w:leader="none" w:pos="17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customary rights of first refusal and tag, drag and similar rights in Joint Venture agreements;</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Liens on Cash Equivalents described in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the definition of the term “Cash Equivalents”; and</w:t>
      </w:r>
    </w:p>
    <w:p>
      <w:pPr>
        <w:spacing w:after="0" w:line="213" w:lineRule="exact"/>
        <w:rPr>
          <w:rFonts w:ascii="Arial" w:cs="Arial" w:eastAsia="Arial" w:hAnsi="Arial"/>
          <w:sz w:val="19"/>
          <w:szCs w:val="19"/>
          <w:color w:val="auto"/>
        </w:rPr>
      </w:pPr>
    </w:p>
    <w:p>
      <w:pPr>
        <w:ind w:left="1740" w:hanging="436"/>
        <w:spacing w:after="0"/>
        <w:tabs>
          <w:tab w:leader="none" w:pos="17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with respect to any Foreign Subsidiary, other Liens and privileges arising mandatorily by any Requirement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Law.</w:t>
      </w:r>
    </w:p>
    <w:p>
      <w:pPr>
        <w:spacing w:after="0" w:line="161"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First Priority Replacement Debt</w:t>
      </w:r>
      <w:r>
        <w:rPr>
          <w:rFonts w:ascii="Arial" w:cs="Arial" w:eastAsia="Arial" w:hAnsi="Arial"/>
          <w:sz w:val="19"/>
          <w:szCs w:val="19"/>
          <w:color w:val="auto"/>
        </w:rPr>
        <w:t xml:space="preserve">” means any secured Indebtedness (including any Registered Equivalent Notes) incurred by the Borrower and/or the other Loan Parties in the form of one or more series of senior secured notes or senior secured loans (or revolving commitments in respect thereof, with the revolving commitments deemed loans in the full amount of such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Indebtedness may only be secured by assets consisting of Collateral on a </w:t>
      </w:r>
      <w:r>
        <w:rPr>
          <w:rFonts w:ascii="Arial" w:cs="Arial" w:eastAsia="Arial" w:hAnsi="Arial"/>
          <w:sz w:val="19"/>
          <w:szCs w:val="19"/>
          <w:i w:val="1"/>
          <w:iCs w:val="1"/>
          <w:color w:val="auto"/>
        </w:rPr>
        <w:t xml:space="preserve">pari passu </w:t>
      </w:r>
      <w:r>
        <w:rPr>
          <w:rFonts w:ascii="Arial" w:cs="Arial" w:eastAsia="Arial" w:hAnsi="Arial"/>
          <w:sz w:val="19"/>
          <w:szCs w:val="19"/>
          <w:color w:val="auto"/>
        </w:rPr>
        <w:t>basis (but without regard to the control of remedies) with the Initial Term Loans and/or Initial Revolving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Commitments to the extent secured, (ii) such Indebtedness satisfies the requirements set forth in </w:t>
      </w:r>
      <w:r>
        <w:rPr>
          <w:rFonts w:ascii="Arial" w:cs="Arial" w:eastAsia="Arial" w:hAnsi="Arial"/>
          <w:sz w:val="19"/>
          <w:szCs w:val="19"/>
          <w:u w:val="single" w:color="auto"/>
          <w:color w:val="auto"/>
        </w:rPr>
        <w:t>clauses (u)</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(y)</w:t>
      </w:r>
      <w:r>
        <w:rPr>
          <w:rFonts w:ascii="Arial" w:cs="Arial" w:eastAsia="Arial" w:hAnsi="Arial"/>
          <w:sz w:val="19"/>
          <w:szCs w:val="19"/>
          <w:color w:val="auto"/>
        </w:rPr>
        <w:t xml:space="preserve"> of the definition of “Credit Agreement Refinancing Indebtedness,” (iii) either the security agreements relating to such Indebtedness are substantially the same as the applicable Security Documents (with such differences as are reasonably satisfactory to the Borrower and the Administrative Agent) or all security therefor shall be granted pursuant to documentation that is not more restrictive than the Security Documents in any material respect, in each case taken as a whole (as determined by the Borrower), (iv) except to the extent constituting Subject Indebtedness incurred in reliance on the Maturity Limitation Excluded Amount, such Indebtedness does not require any scheduled payment of principal or mandatory redemption or redemption at the option of the holders thereof (except for redemptions in respect of asset sales or similar events (which may be offered to prepay such Indebtedness in accordance with </w:t>
      </w:r>
      <w:r>
        <w:rPr>
          <w:rFonts w:ascii="Arial" w:cs="Arial" w:eastAsia="Arial" w:hAnsi="Arial"/>
          <w:sz w:val="19"/>
          <w:szCs w:val="19"/>
          <w:u w:val="single" w:color="auto"/>
          <w:color w:val="auto"/>
        </w:rPr>
        <w:t>Section 2.11(c)</w:t>
      </w:r>
      <w:r>
        <w:rPr>
          <w:rFonts w:ascii="Arial" w:cs="Arial" w:eastAsia="Arial" w:hAnsi="Arial"/>
          <w:sz w:val="19"/>
          <w:szCs w:val="19"/>
          <w:color w:val="auto"/>
        </w:rPr>
        <w:t>), changes in control and AHYDO Catch-Up Payments) prior to the Latest Maturity Date in effect as of the time such Indebtedness is incurred, and (v) the secured parties thereunder, or a trustee or collateral agent or other Senior Representative on their behalf, shall have become a party to a Pari Passu Intercreditor Agreement, which shall be entered into prior to or concurrently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23" w:name="page124"/>
    <w:bookmarkEnd w:id="123"/>
    <w:p>
      <w:pPr>
        <w:jc w:val="both"/>
        <w:spacing w:after="0" w:line="223" w:lineRule="auto"/>
        <w:rPr>
          <w:sz w:val="20"/>
          <w:szCs w:val="20"/>
          <w:color w:val="auto"/>
        </w:rPr>
      </w:pPr>
      <w:r>
        <w:rPr>
          <w:rFonts w:ascii="Arial" w:cs="Arial" w:eastAsia="Arial" w:hAnsi="Arial"/>
          <w:sz w:val="22"/>
          <w:szCs w:val="22"/>
          <w:color w:val="auto"/>
        </w:rPr>
        <w:t xml:space="preserve">with the first issuance of Permitted First Priority Replacement Debt in accordance with the terms thereof to provide for the sharing of the Collateral on a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basis among the holders of the Secured Obligations and the holders of such Permitted First Priority Replacement Debt.</w:t>
      </w:r>
    </w:p>
    <w:p>
      <w:pPr>
        <w:spacing w:after="0" w:line="15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Holders</w:t>
      </w:r>
      <w:r>
        <w:rPr>
          <w:rFonts w:ascii="Arial" w:cs="Arial" w:eastAsia="Arial" w:hAnsi="Arial"/>
          <w:sz w:val="21"/>
          <w:szCs w:val="21"/>
          <w:color w:val="auto"/>
        </w:rPr>
        <w:t xml:space="preserve">” means (1) the Investors and management and their respective Affiliates, and (2) any Person with which the Persons described in clause (1) form a “group” (within the meaning of Section 13(d)(3) or Section 14(d)(2) of the Exchange Act or any successor provision);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such “group” under clause (2), the Investors have beneficial ownership of more than 50% of the economic interests and total voting power of such “group”.</w:t>
      </w:r>
    </w:p>
    <w:p>
      <w:pPr>
        <w:spacing w:after="0" w:line="15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Initial Revolving Borrowing</w:t>
      </w:r>
      <w:r>
        <w:rPr>
          <w:rFonts w:ascii="Arial" w:cs="Arial" w:eastAsia="Arial" w:hAnsi="Arial"/>
          <w:sz w:val="19"/>
          <w:szCs w:val="19"/>
          <w:color w:val="auto"/>
        </w:rPr>
        <w:t>” means one or more Borrowings of Revolving Loans that may be used on the Closing Date directly or indirectly to (i) cash collateralize letters of credit of the Borrower or its Restricted Subsidiaries outstanding on the Closing Date, (ii) finance any amount of original issue discount or upfront fees imposed pursuant to the “flex” provisions of the Fee Letter, (iii) fund working capital needs of the Borrower and its Restricted Subsidiaries and (iv) finance Transaction Costs and other general corporate purposes, in the case of this clause (iv), in an amount up to $10,000,000.</w:t>
      </w:r>
    </w:p>
    <w:p>
      <w:pPr>
        <w:spacing w:after="0" w:line="149"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Investor Payments</w:t>
      </w:r>
      <w:r>
        <w:rPr>
          <w:rFonts w:ascii="Arial" w:cs="Arial" w:eastAsia="Arial" w:hAnsi="Arial"/>
          <w:sz w:val="19"/>
          <w:szCs w:val="19"/>
          <w:color w:val="auto"/>
        </w:rPr>
        <w:t>” means (a) management or consulting fees paid to the Investors or any of their Affiliates in an aggregate amount per calendar year not to exceed the greater of (x) $5,000,000 and (y) 5.0% of LTM EBITDA calculated on a Pro Forma Basis as of the Applicable Date of Determination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management fee and non-arm’s length consulting fees, no Event of Default under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shall have occurred and be continuing or shall immediately result therefrom;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amounts not paid pursuant to the previous proviso or otherwise shall accrue and may be paid when no Event of Default under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is continuing or would immediately result therefrom), (b) out-of-pocket costs and expenses incurred by the Investors or any of their Affiliates in connection with management, monitoring, consultancy, transaction, advisory and other services provided to Holdings and the Subsidiaries or their appointees serving on the board of directors of Holdings or any of the Subsidiaries and compensation to be paid (or accrued) to directors of Holdings or any of the Subsidiaries, (c) customary indemnities owed to Investors or any of their Affiliates,</w:t>
      </w:r>
    </w:p>
    <w:p>
      <w:pPr>
        <w:spacing w:after="0" w:line="2" w:lineRule="exact"/>
        <w:rPr>
          <w:sz w:val="20"/>
          <w:szCs w:val="20"/>
          <w:color w:val="auto"/>
        </w:rPr>
      </w:pPr>
    </w:p>
    <w:p>
      <w:pPr>
        <w:jc w:val="both"/>
        <w:ind w:firstLine="8"/>
        <w:spacing w:after="0" w:line="221" w:lineRule="auto"/>
        <w:tabs>
          <w:tab w:leader="none" w:pos="329" w:val="left"/>
        </w:tabs>
        <w:numPr>
          <w:ilvl w:val="0"/>
          <w:numId w:val="67"/>
        </w:numPr>
        <w:rPr>
          <w:rFonts w:ascii="Arial" w:cs="Arial" w:eastAsia="Arial" w:hAnsi="Arial"/>
          <w:sz w:val="21"/>
          <w:szCs w:val="21"/>
          <w:color w:val="auto"/>
        </w:rPr>
      </w:pPr>
      <w:r>
        <w:rPr>
          <w:rFonts w:ascii="Arial" w:cs="Arial" w:eastAsia="Arial" w:hAnsi="Arial"/>
          <w:sz w:val="21"/>
          <w:szCs w:val="21"/>
          <w:color w:val="auto"/>
        </w:rPr>
        <w:t>customary amounts paid to the Investors or any of their Affiliates in connection with sponsoring, structuring, arranging or closing Permitted Acquisitions, other Investments or other transactions consummated after the Closing Date and (e) the payment to the New Sponsor (or any management company of the New Sponsor) for services rendered pursuant to the Services Agreement in an aggregate amount in any fiscal year not to exceed the greater of (x) $2,000,000 and (y) 2% of LTM EBITDA for the Test Period ending on the last day of such fiscal year determined on a Pro Forma Basis, and the payment of indemnities and expenses pursuant to the Services Agreement.</w:t>
      </w:r>
    </w:p>
    <w:p>
      <w:pPr>
        <w:spacing w:after="0" w:line="16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w:t>
      </w:r>
      <w:r>
        <w:rPr>
          <w:rFonts w:ascii="Arial" w:cs="Arial" w:eastAsia="Arial" w:hAnsi="Arial"/>
          <w:sz w:val="19"/>
          <w:szCs w:val="19"/>
          <w:color w:val="auto"/>
        </w:rPr>
        <w:t xml:space="preserve">” means modifications, replacements, restructurings, refinancings, refundings, renewals, amendments, restatements or extensions of all or any portion of Indebtedness (including any type of debt facility or debt security);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subject to </w:t>
      </w:r>
      <w:r>
        <w:rPr>
          <w:rFonts w:ascii="Arial" w:cs="Arial" w:eastAsia="Arial" w:hAnsi="Arial"/>
          <w:sz w:val="19"/>
          <w:szCs w:val="19"/>
          <w:u w:val="single" w:color="auto"/>
          <w:color w:val="auto"/>
        </w:rPr>
        <w:t>Section 1.06(b)</w:t>
      </w:r>
      <w:r>
        <w:rPr>
          <w:rFonts w:ascii="Arial" w:cs="Arial" w:eastAsia="Arial" w:hAnsi="Arial"/>
          <w:sz w:val="19"/>
          <w:szCs w:val="19"/>
          <w:color w:val="auto"/>
        </w:rPr>
        <w:t xml:space="preserve">, the amount of such Indebtedness is not increased (unless the additional amount is permitted pursuant to another provision of </w:t>
      </w:r>
      <w:r>
        <w:rPr>
          <w:rFonts w:ascii="Arial" w:cs="Arial" w:eastAsia="Arial" w:hAnsi="Arial"/>
          <w:sz w:val="19"/>
          <w:szCs w:val="19"/>
          <w:u w:val="single" w:color="auto"/>
          <w:color w:val="auto"/>
        </w:rPr>
        <w:t>Section 6.01</w:t>
      </w:r>
      <w:r>
        <w:rPr>
          <w:rFonts w:ascii="Arial" w:cs="Arial" w:eastAsia="Arial" w:hAnsi="Arial"/>
          <w:sz w:val="19"/>
          <w:szCs w:val="19"/>
          <w:color w:val="auto"/>
        </w:rPr>
        <w:t>) at the time of such modification, replacement, restructuring, refinancing, refunding, renewal, amendment, restatement or extension except by an amount equal to the existing unutilized commitments thereunder, accrued but unpaid interest thereon and a reasonable premium paid, and fees and expenses reasonably incurred, in connection with such modification, replacement, restructuring, refinancing, refunding, renewal, amendment, restatement or extension (including any fees and original issue discount incurred in respect of such resulting Indebtedness), (b) the direct and contingent obligors of such Indebtedness shall not be expanded as a result of or in connection with such modification, replacement, restructuring, refinancing, refunding, renewal,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24" w:name="page125"/>
    <w:bookmarkEnd w:id="124"/>
    <w:p>
      <w:pPr>
        <w:jc w:val="both"/>
        <w:spacing w:after="0"/>
        <w:rPr>
          <w:sz w:val="20"/>
          <w:szCs w:val="20"/>
          <w:color w:val="auto"/>
        </w:rPr>
      </w:pPr>
      <w:r>
        <w:rPr>
          <w:rFonts w:ascii="Arial" w:cs="Arial" w:eastAsia="Arial" w:hAnsi="Arial"/>
          <w:sz w:val="19"/>
          <w:szCs w:val="19"/>
          <w:color w:val="auto"/>
        </w:rPr>
        <w:t xml:space="preserve">restatement or extension (other than to the extent (i) any such additional obligors are or will become a Loan Party, (ii) none of such obligors on the Indebtedness being modified, replaced, restructured, refinanced, refunded, renewed, amended, restated or extended are Loan Parties or (iii) as otherwise permitted by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(c) to the extent such Indebtedness being so modified, replaced, restructured, refinanced, refunded, renewed, amended, restated or extended is subordinated in right of payment and/or Lien priority to any of the Obligations, such modification, replacement, restructuring, refinancing, refunding, renewal, amendment, restatement or extension is subordinated in right of payment and/or Lien priority (or, in the case of Lien subordination, not secured) to such Obligations on terms (taken as a whole) at least as favorable to the Lenders as those contained in the documentation governing the Indebtedness being so modified, replaced, restructured, refinanced, refunded, renewed, amended, restated or extended (as determined in good faith by the Borrower) or otherwise reasonably acceptable to the Administrative Agent, except to the extent otherwise permitted hereunder and, to the extent such Indebtedness being so modified, replaced, restructured, refinanced, refunded, renewed, amended, restated or extended is unsecured, such modification, replacement, restructuring, refinancing, refunding, renewal, amendment, restatement or extension is unsecured, unless such Lien would otherwise be permitted hereunder (other than to the extent such Indebtedness being so modified, replaced, restructured, refinanced, refunded, renewed, amended, restated or extended was required hereunder to be unsecured when issued or incurred), and (d) other than with respect to Indebtedness under </w:t>
      </w:r>
      <w:r>
        <w:rPr>
          <w:rFonts w:ascii="Arial" w:cs="Arial" w:eastAsia="Arial" w:hAnsi="Arial"/>
          <w:sz w:val="19"/>
          <w:szCs w:val="19"/>
          <w:u w:val="single" w:color="auto"/>
          <w:color w:val="auto"/>
        </w:rPr>
        <w:t>Section 6.01(d)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and Subject Indebtedness incurred in reliance on the Maturity Limitation Excluded Amount, such modification, replacement, restructuring, refinancing, refunding, renewal, amendment, restatement or extension has (i) a final maturity date equal to or later than the final maturity date of the Indebtedness being modified, replaced, restructured, refinanced, refunded, renewed, amended, restated or extended and (ii) a Weighted Average Life to Maturity no shorter than the Weighted Average Life to Maturity of the Indebtedness being modified, replaced, restructured, refinanced, refunded, renewed, amended, restated or extended. Without limiting the foregoing, the terms and conditions of any Permitted Refinancing in respect of any Additional Debt or Credit Agreement Refinancing Indebtedness shall satisfy the requirements set forth in the respective definitions thereof with respect to the terms and conditions thereof.</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Repricing Amendment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9.02</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Sale Leaseback</w:t>
      </w:r>
      <w:r>
        <w:rPr>
          <w:rFonts w:ascii="Arial" w:cs="Arial" w:eastAsia="Arial" w:hAnsi="Arial"/>
          <w:sz w:val="19"/>
          <w:szCs w:val="19"/>
          <w:color w:val="auto"/>
        </w:rPr>
        <w:t xml:space="preserve">” means any Sale Leaseback with respect to the sale, transfer or Disposition of real property or other property consummated by the Borrower or any of the Restricted Subsidiaries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Sale Leaseback that is not between (i) a Loan Party and another Loan Party or (ii) a Restricted Subsidiary that is not a Loan Party and another Restricted Subsidiary that is not a Loan Party must be, in each case, consummated for fair value as determined at the time of consummation in good faith by the Borrower or such Restricted Subsidiary (which such determination may take into account any retained interest or other Investment of the Borrower or such Restricted Subsidiary in connection with, and any other material economic terms of, such Sale Leaseback).</w:t>
      </w:r>
    </w:p>
    <w:p>
      <w:pPr>
        <w:spacing w:after="0" w:line="154"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Permitted Second Priority Replacement Debt</w:t>
      </w:r>
      <w:r>
        <w:rPr>
          <w:rFonts w:ascii="Arial" w:cs="Arial" w:eastAsia="Arial" w:hAnsi="Arial"/>
          <w:sz w:val="21"/>
          <w:szCs w:val="21"/>
          <w:color w:val="auto"/>
        </w:rPr>
        <w:t xml:space="preserve">” means secured Indebtedness (including any Registered Equivalent Notes) incurred by the Borrower and/or the other Loan Parties in the form of one or more series of second lien secured notes or second lien secured loans (or revolving commitments in respect thereof, with the revolving commitments deemed to be loans in the full amount of such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Indebtedness may only be secured by assets consisting of Collateral on a second lien basis vis-à-vis the Initial Term Loans and/or Initial Revolving Commitments to the extent secured, (ii) such Indebtedness satisfies the requirements set forth in </w:t>
      </w:r>
      <w:r>
        <w:rPr>
          <w:rFonts w:ascii="Arial" w:cs="Arial" w:eastAsia="Arial" w:hAnsi="Arial"/>
          <w:sz w:val="21"/>
          <w:szCs w:val="21"/>
          <w:u w:val="single" w:color="auto"/>
          <w:color w:val="auto"/>
        </w:rPr>
        <w:t>clauses (u)</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(y)</w:t>
      </w:r>
      <w:r>
        <w:rPr>
          <w:rFonts w:ascii="Arial" w:cs="Arial" w:eastAsia="Arial" w:hAnsi="Arial"/>
          <w:sz w:val="21"/>
          <w:szCs w:val="21"/>
          <w:color w:val="auto"/>
        </w:rPr>
        <w:t xml:space="preserve"> of the definition of “Credit Agreement Refinancing Indebtedness”, (iii) either the security agreements relating to such Indebtedness are substantially the same as the applicable Security Documents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25" w:name="page126"/>
    <w:bookmarkEnd w:id="125"/>
    <w:p>
      <w:pPr>
        <w:jc w:val="both"/>
        <w:spacing w:after="0" w:line="246" w:lineRule="auto"/>
        <w:rPr>
          <w:sz w:val="20"/>
          <w:szCs w:val="20"/>
          <w:color w:val="auto"/>
        </w:rPr>
      </w:pPr>
      <w:r>
        <w:rPr>
          <w:rFonts w:ascii="Arial" w:cs="Arial" w:eastAsia="Arial" w:hAnsi="Arial"/>
          <w:sz w:val="19"/>
          <w:szCs w:val="19"/>
          <w:color w:val="auto"/>
        </w:rPr>
        <w:t>differences as are reasonably satisfactory to the Borrower and the Administrative Agent) or all security therefor shall be granted pursuant to documentation that is not more restrictive than the Security Documents in any material respect, in each case taken as a whole (as determined by the Borrower), (iv) except to the extent constituting Subject Indebtedness incurred in reliance on the Maturity Limitation Excluded Amount, such Indebtedness does not require any scheduled payment of principal or mandatory redemption or redemption at the option of the holders thereof (except for redemptions in respect of asset sales, changes in control or similar events and AHYDO Catch-Up Payments) prior to the Latest Maturity Date in effect as of the time such Indebtedness is incurred, and (v) the secured parties thereunder, or a trustee or collateral agent or other Senior Representative on their behalf, shall have become party to a Second Lien Intercreditor Agreement.</w:t>
      </w:r>
    </w:p>
    <w:p>
      <w:pPr>
        <w:spacing w:after="0" w:line="152"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Permitted Unsecured Replacement Debt</w:t>
      </w:r>
      <w:r>
        <w:rPr>
          <w:rFonts w:ascii="Arial" w:cs="Arial" w:eastAsia="Arial" w:hAnsi="Arial"/>
          <w:sz w:val="19"/>
          <w:szCs w:val="19"/>
          <w:color w:val="auto"/>
        </w:rPr>
        <w:t xml:space="preserve">” means unsecured Indebtedness (including any Registered Equivalent Notes) incurred by the Borrower and/or the other Loan Parties in the form of one or more series of unsecured notes or loans (or revolving commitments in respect thereof, with the revolving commitments deemed to be loans in the full amount of such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Indebtedness satisfies the requirements set forth in </w:t>
      </w:r>
      <w:r>
        <w:rPr>
          <w:rFonts w:ascii="Arial" w:cs="Arial" w:eastAsia="Arial" w:hAnsi="Arial"/>
          <w:sz w:val="19"/>
          <w:szCs w:val="19"/>
          <w:u w:val="single" w:color="auto"/>
          <w:color w:val="auto"/>
        </w:rPr>
        <w:t>clauses (u)</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(y)</w:t>
      </w:r>
      <w:r>
        <w:rPr>
          <w:rFonts w:ascii="Arial" w:cs="Arial" w:eastAsia="Arial" w:hAnsi="Arial"/>
          <w:sz w:val="19"/>
          <w:szCs w:val="19"/>
          <w:color w:val="auto"/>
        </w:rPr>
        <w:t xml:space="preserve"> of the definition of “Credit Agreement Refinancing Indebtedness”, (ii) such Indebtedness (including any guarantee thereof) is not secured by any Lien on any property or assets of the Holding Companies, the Borrower or any Subsidiary, and (iii) except to the extent constituting Subject Indebtedness incurred in reliance on the Maturity Limitation Excluded Amount, such Indebtedness does not require any scheduled payment of principal or mandatory redemption or redemption at the option of the holders thereof (except for redemptions in respect of asset sales, changes in control or similar events on the date of issuance and AHYDO Catch-Up Payments) prior to the Latest Maturity Date in effect as of the time such unsecured notes are incurred.</w:t>
      </w:r>
    </w:p>
    <w:p>
      <w:pPr>
        <w:spacing w:after="0" w:line="15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company, limited liability company, trust, joint venture, association, company, partnership, Governmental Authority or other entity.</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(other than a Multiemployer Plan) subject to the provisions of Title IV of ERISA or Section 412 of the Code or Section 302 of ERISA, and in respect of which any Holding Companies, the Borrower or any ERISA Affiliate is (or, if such plan were terminated, would under Section 4069 of ERISA be deemed to be) an “</w:t>
      </w:r>
      <w:r>
        <w:rPr>
          <w:rFonts w:ascii="Arial" w:cs="Arial" w:eastAsia="Arial" w:hAnsi="Arial"/>
          <w:sz w:val="22"/>
          <w:szCs w:val="22"/>
          <w:u w:val="single" w:color="auto"/>
          <w:color w:val="auto"/>
        </w:rPr>
        <w:t>employer</w:t>
      </w:r>
      <w:r>
        <w:rPr>
          <w:rFonts w:ascii="Arial" w:cs="Arial" w:eastAsia="Arial" w:hAnsi="Arial"/>
          <w:sz w:val="22"/>
          <w:szCs w:val="22"/>
          <w:color w:val="auto"/>
        </w:rPr>
        <w:t>” as defined in Section 3(5) of ERISA.</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Planned Expenditures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clause (b)(xi)</w:t>
      </w:r>
      <w:r>
        <w:rPr>
          <w:rFonts w:ascii="Arial" w:cs="Arial" w:eastAsia="Arial" w:hAnsi="Arial"/>
          <w:sz w:val="19"/>
          <w:szCs w:val="19"/>
          <w:color w:val="auto"/>
        </w:rPr>
        <w:t xml:space="preserve"> of the definition of “Excess Cash</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Flow”.</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Prepayment Event</w:t>
      </w:r>
      <w:r>
        <w:rPr>
          <w:rFonts w:ascii="Arial" w:cs="Arial" w:eastAsia="Arial" w:hAnsi="Arial"/>
          <w:sz w:val="22"/>
          <w:szCs w:val="22"/>
          <w:color w:val="auto"/>
        </w:rPr>
        <w:t>” means:</w:t>
      </w:r>
    </w:p>
    <w:p>
      <w:pPr>
        <w:spacing w:after="0" w:line="179" w:lineRule="exact"/>
        <w:rPr>
          <w:sz w:val="20"/>
          <w:szCs w:val="20"/>
          <w:color w:val="auto"/>
        </w:rPr>
      </w:pPr>
    </w:p>
    <w:p>
      <w:pPr>
        <w:jc w:val="both"/>
        <w:ind w:firstLine="1304"/>
        <w:spacing w:after="0" w:line="247" w:lineRule="auto"/>
        <w:tabs>
          <w:tab w:leader="none" w:pos="1775"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any Disposition (including pursuant to a Sale Leaseback transaction and by way of merger, amalgamation or consolidation) of any property or asset of any Holding Company or any Restricted Subsidiary permitted pursuant to </w:t>
      </w:r>
      <w:r>
        <w:rPr>
          <w:rFonts w:ascii="Arial" w:cs="Arial" w:eastAsia="Arial" w:hAnsi="Arial"/>
          <w:sz w:val="19"/>
          <w:szCs w:val="19"/>
          <w:u w:val="single" w:color="auto"/>
          <w:color w:val="auto"/>
        </w:rPr>
        <w:t>clause (i)(y)</w:t>
      </w:r>
      <w:r>
        <w:rPr>
          <w:rFonts w:ascii="Arial" w:cs="Arial" w:eastAsia="Arial" w:hAnsi="Arial"/>
          <w:sz w:val="19"/>
          <w:szCs w:val="19"/>
          <w:color w:val="auto"/>
        </w:rPr>
        <w:t>,</w:t>
      </w:r>
    </w:p>
    <w:p>
      <w:pPr>
        <w:spacing w:after="0" w:line="224" w:lineRule="auto"/>
        <w:rPr>
          <w:rFonts w:ascii="Arial" w:cs="Arial" w:eastAsia="Arial" w:hAnsi="Arial"/>
          <w:sz w:val="19"/>
          <w:szCs w:val="19"/>
          <w:color w:val="auto"/>
        </w:rPr>
      </w:pPr>
      <w:r>
        <w:rPr>
          <w:rFonts w:ascii="Arial" w:cs="Arial" w:eastAsia="Arial" w:hAnsi="Arial"/>
          <w:sz w:val="22"/>
          <w:szCs w:val="22"/>
          <w:u w:val="single" w:color="auto"/>
          <w:color w:val="auto"/>
        </w:rPr>
        <w:t>(j)</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6.05</w:t>
      </w:r>
      <w:r>
        <w:rPr>
          <w:rFonts w:ascii="Arial" w:cs="Arial" w:eastAsia="Arial" w:hAnsi="Arial"/>
          <w:sz w:val="22"/>
          <w:szCs w:val="22"/>
          <w:color w:val="auto"/>
        </w:rPr>
        <w:t xml:space="preserve"> resulting in aggregate Net Proceeds exceeding $5,000,000 in the case of any single transaction or series of related transactions;</w:t>
      </w:r>
    </w:p>
    <w:p>
      <w:pPr>
        <w:spacing w:after="0" w:line="157" w:lineRule="exact"/>
        <w:rPr>
          <w:rFonts w:ascii="Arial" w:cs="Arial" w:eastAsia="Arial" w:hAnsi="Arial"/>
          <w:sz w:val="19"/>
          <w:szCs w:val="19"/>
          <w:color w:val="auto"/>
        </w:rPr>
      </w:pPr>
    </w:p>
    <w:p>
      <w:pPr>
        <w:jc w:val="both"/>
        <w:ind w:firstLine="1304"/>
        <w:spacing w:after="0" w:line="223" w:lineRule="auto"/>
        <w:tabs>
          <w:tab w:leader="none" w:pos="1796"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casualty or other insured damage to, or any taking under power of eminent domain or by condemnation or similar proceeding of, any property or asset of any Holding Company or any Restricted Subsidiary with a fair market value immediately prior to such event, equal to or greater than $5,000,000;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26" w:name="page127"/>
    <w:bookmarkEnd w:id="126"/>
    <w:p>
      <w:pPr>
        <w:jc w:val="both"/>
        <w:ind w:firstLine="1304"/>
        <w:spacing w:after="0" w:line="223" w:lineRule="auto"/>
        <w:tabs>
          <w:tab w:leader="none" w:pos="1906"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the incurrence by any Holding Company or any Restricted Subsidiary of any Indebtedness, other than Indebtedness permitted under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or otherwise permitted by the Required Lenders (other than Credit Agreement Refinancing Indebtedness).</w:t>
      </w:r>
    </w:p>
    <w:p>
      <w:pPr>
        <w:spacing w:after="0" w:line="15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Basis</w:t>
      </w:r>
      <w:r>
        <w:rPr>
          <w:rFonts w:ascii="Arial" w:cs="Arial" w:eastAsia="Arial" w:hAnsi="Arial"/>
          <w:sz w:val="19"/>
          <w:szCs w:val="19"/>
          <w:color w:val="auto"/>
        </w:rPr>
        <w:t xml:space="preserve">” means, with respect to the calculation of the First Lien Net Leverage Ratio, the Senior Secured Net Leverage Ratio, the Total Leverage Ratio, the Interest Coverage Ratio, the amount of Consolidated EBITDA or Consolidated Total Assets or any other financial test or ratio hereunder (other than clause (b) in the definition of “Available Amount”), for purposes of determining the permissibility of asset sales, prepayments required pursuant to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the Applicable Margin and the commitment fees payable pursuant to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and for any other specified purpose hereunder, and for purposes of determining compliance with the covenant under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in each case as of any date, that such calculation shall give pro forma effect to the Transactions and all Specified Transactions (and the application of the proceeds from any such asset sale or debt incurrence) that have occurred during the relevant testing period for which such financial test or ratio is being calculated and, except as set forth in the proviso below, during the period immediately following the Applicable Date of Determination therefor and prior to or simultaneously with the event for which the calculation of any such ratio on such date of determination is made, including pro forma adjustments arising out of events which are attributable to the Transactions or the proposed Specified Transaction, including giving effect to those specified in accordance with the definition of “Consolidated EBITDA,” in each case as certified on behalf of the Borrower by a Financial Officer of the Borrower, using, for purposes of determining such compliance with a financial test or ratio (including any incurrence test), the historical financial statements of all entities, divisions or lines or assets so acquired or sold and the consolidated financial statements of the Holding Companies and/or any of the Restricted Subsidiaries, calculated as if the Transactions or such Specified Transaction, and all other Specified Transactions that have been consummated during the relevant period, and any Indebtedness incurred or repaid in connection therewith, had been consummated (and the change in Consolidated EBITDA resulting therefrom) and incurred or repaid at the beginning of such period and Consolidated Total Assets shall be calculated after giving effect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in this definition to the contrary, when calculating the First Lien Net Leverage Ratio for purposes of the definition of “Applicable Margin” and the definition of “Required Percentage” and when calculating the First Lien Net Leverage Ratio for purposes of determining actual compliance (and not pro forma compliance or compliance on a Pro Forma Basis)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 in each case, the events described in this definition that occurred after the Applicable Date of Determination shall not be given pro forma effect.</w:t>
      </w:r>
    </w:p>
    <w:p>
      <w:pPr>
        <w:spacing w:after="0" w:line="37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Whenever pro forma effect is to be given to the Transactions or a Specified Transaction, the pro forma calculations shall be made in good faith by a Financial Officer of the Borrower (including adjustments for costs and charges arising out of the Transactions or the proposed Specified Transaction and the “run rate” cost savings and synergies resulting from the Transactions or such Specified Transaction that have been or are reasonably anticipated to be realizable (“run rate” means the full recurring benefit for a Test Period that is associated with any action taken or expected to be taken or for which a plan for realization has been established (including any savings expected to result from the elimination of a public target’s compliance costs with public company requirements), net of the amount of actual benefits realized during such Test Period from such actions), and any such adjustments included in the initial pro forma calculations shall continue to apply to subsequent calculations of such financial ratios or tests, including during any subsequent Test Periods in which the effects thereof are expected to be realizable);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amounts are (i) projected by the Borrower in good faith to result from actions taken, or with respect to which substantial steps are reasonably expected to have been taken, within twenty-four (24) months after, without duplication, the end of the Test Period in which the Transactions or applicable Specified Transaction is initiated or a plan for realization thereof shall have been established, (ii) determined on a basis consistent with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27" w:name="page128"/>
    <w:bookmarkEnd w:id="127"/>
    <w:p>
      <w:pPr>
        <w:jc w:val="both"/>
        <w:spacing w:after="0" w:line="249" w:lineRule="auto"/>
        <w:rPr>
          <w:sz w:val="20"/>
          <w:szCs w:val="20"/>
          <w:color w:val="auto"/>
        </w:rPr>
      </w:pPr>
      <w:r>
        <w:rPr>
          <w:rFonts w:ascii="Arial" w:cs="Arial" w:eastAsia="Arial" w:hAnsi="Arial"/>
          <w:sz w:val="19"/>
          <w:szCs w:val="19"/>
          <w:color w:val="auto"/>
        </w:rPr>
        <w:t>11 of Regulation S-X promulgated under the Exchange Act and as interpreted by the staff of the Securities and Exchange Commission (or any successor agency) or (iii) set forth in a quality of earnings report provided to the Administrative Agent and prepared by financial advisors that are reasonably acceptable to the Administrative Agent (it being understood and agreed that any of the “Big Four” accounting firms and Alvarez and Marsal are acceptable to the Administrative Agent) and (B) no amounts shall be added pursuant to this paragraph to the extent duplicative of any amounts that are otherwise added back in computing Consolidated EBITDA for such Test Period or would not be permitted to be added as a result of any cap.</w:t>
      </w:r>
    </w:p>
    <w:p>
      <w:pPr>
        <w:spacing w:after="0" w:line="15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If any Indebtedness bears a floating rate of interest and is being given pro forma effect, the interest on such Indebtedness shall be calculated as if the rate in effect on the date of the event for which the calculation is made had been the applicable rate for the entire Test Period (taking into account any interest hedging arrangements applicable to such Indebtedness). Interest on a Capital Lease Obligation shall be deemed to accrue at an interest rate reasonably determined by a Financial Officer of the Borrower to be the rate of interest implicit in such Capital Lease Obligation in accordance with GAAP.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applicable Borrower or the applicable Restricted Subsidiary may designate.</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Forma Financial Statements</w:t>
      </w:r>
      <w:r>
        <w:rPr>
          <w:rFonts w:ascii="Arial" w:cs="Arial" w:eastAsia="Arial" w:hAnsi="Arial"/>
          <w:sz w:val="22"/>
          <w:szCs w:val="22"/>
          <w:color w:val="auto"/>
        </w:rPr>
        <w:t>” means a pro forma combined balance sheet of Parent as of the last day of the most recently completed four-fiscal quarter period ended at least 45 days prior to the Closing Date, prepared after giving effect to the Transactions as if the Transactions had occurred as of such date.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Change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9.02(c)</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PTE</w:t>
      </w:r>
      <w:r>
        <w:rPr>
          <w:rFonts w:ascii="Arial" w:cs="Arial" w:eastAsia="Arial" w:hAnsi="Arial"/>
          <w:sz w:val="22"/>
          <w:szCs w:val="22"/>
          <w:color w:val="auto"/>
        </w:rPr>
        <w:t>” shall mean a prohibited transaction class exemption issues by the U.S. Department of Labor, as any such exemption may be amended from time to time.</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Company</w:t>
      </w:r>
      <w:r>
        <w:rPr>
          <w:rFonts w:ascii="Arial" w:cs="Arial" w:eastAsia="Arial" w:hAnsi="Arial"/>
          <w:sz w:val="22"/>
          <w:szCs w:val="22"/>
          <w:color w:val="auto"/>
        </w:rPr>
        <w:t>” means, after the completion of an IPO, the Person whose Equity Interests are subject to an effective registration statement filed with the SEC or the equivalent registration documents filed with the equivalent authority in the applicable foreign jurisdiction, as applicable (such Person being only either Holdings or a corporation or other legal entity which then owns, directly or indirectly, 100% of the outstanding Equity Interests of Holdings (other than qualifying directors’ and other similar shares)).</w:t>
      </w:r>
    </w:p>
    <w:p>
      <w:pPr>
        <w:spacing w:after="0" w:line="158"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Company Costs</w:t>
      </w:r>
      <w:r>
        <w:rPr>
          <w:rFonts w:ascii="Arial" w:cs="Arial" w:eastAsia="Arial" w:hAnsi="Arial"/>
          <w:sz w:val="19"/>
          <w:szCs w:val="19"/>
          <w:color w:val="auto"/>
        </w:rPr>
        <w:t>” means any costs, fees and expenses associated with, in anticipation of, or in preparation for, compliance with the requirements of the Sarbanes-Oxley Act of 2002 and the rules and regulations promulgated in connection therewith and costs, fees and expenses relating to compliance with the provisions of the Securities Act and the Exchange Act (as applicable to companies with equity or debt securities held by the public), the rules of national securities exchanges for companies with listed equity or debt securities, directors’ or managers’ compensation, fees and expense reimbursements, charges relating to investor relations, shareholder meetings and reports to shareholders and debtholders, directors’ and officers’ insurance and other executive costs, legal and other professional fees and listing fees.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Equity Interests</w:t>
      </w:r>
      <w:r>
        <w:rPr>
          <w:rFonts w:ascii="Arial" w:cs="Arial" w:eastAsia="Arial" w:hAnsi="Arial"/>
          <w:sz w:val="22"/>
          <w:szCs w:val="22"/>
          <w:color w:val="auto"/>
        </w:rPr>
        <w:t>” means any Equity Interests other than Disqualified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28" w:name="page129"/>
    <w:bookmarkEnd w:id="128"/>
    <w:p>
      <w:pPr>
        <w:jc w:val="both"/>
        <w:ind w:firstLine="1296"/>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Securitization Financing</w:t>
      </w:r>
      <w:r>
        <w:rPr>
          <w:rFonts w:ascii="Arial" w:cs="Arial" w:eastAsia="Arial" w:hAnsi="Arial"/>
          <w:sz w:val="21"/>
          <w:szCs w:val="21"/>
          <w:color w:val="auto"/>
        </w:rPr>
        <w:t>” means any Securitization Facility of a Securitization Subsidiary that meets the following conditions: (i) the Borrower shall have determined in good faith that such Securitization Facility (including financing terms, covenants, termination events and other provisions) is in the aggregate economically fair and reasonable to the Borrower and the Restricted Subsidiaries; (ii) all sales of Securitization Assets and related assets by the Borrower or any Restricted Subsidiary to a Securitization Subsidiary or any other Person are made at fair market value (as determined in good faith by the Borrower); (iii) the financing terms, covenants, termination events and other provisions thereof shall be on market terms (as determined in good faith by the Borrower) and may include Standard Securitization Undertakings; and (iv) the obligations under such Securitization Facility are non-recourse (except for customary representations, warranties, covenants and indemnities made in connection with such facilities) to any Holding Company, the Borrower or any Restricted Subsidiary (other than a Securitization Subsidiary).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Recapitalization Agreement</w:t>
      </w:r>
      <w:r>
        <w:rPr>
          <w:rFonts w:ascii="Arial" w:cs="Arial" w:eastAsia="Arial" w:hAnsi="Arial"/>
          <w:sz w:val="21"/>
          <w:szCs w:val="21"/>
          <w:color w:val="auto"/>
        </w:rPr>
        <w:t>” has the meaning assigned to such term in the recitals to this Agreement.</w:t>
      </w:r>
    </w:p>
    <w:p>
      <w:pPr>
        <w:spacing w:after="0" w:line="19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Assets</w:t>
      </w:r>
      <w:r>
        <w:rPr>
          <w:rFonts w:ascii="Arial" w:cs="Arial" w:eastAsia="Arial" w:hAnsi="Arial"/>
          <w:sz w:val="19"/>
          <w:szCs w:val="19"/>
          <w:color w:val="auto"/>
        </w:rPr>
        <w:t>” means (a) any accounts receivable owed to the Borrower or any Restricted Subsidiary subject to a Receivables Facility and the proceeds thereof and (b) all collateral securing such accounts receivable (including any collateral over any bank account or collection account), all contracts and contract rights, guarantees or other obligations in respect of such accounts receivable, all records with respect to such accounts receivable and any other assets customarily transferred together with accounts receivable in connection with a non-recourse accounts receivable factoring arrangement and which are sold, conveyed, assigned, charged or otherwise transferred or pledged by the Borrower or a Restricted Subsidiary to a commercial bank or an Affiliate thereof in connection with a Receivables Facility.</w:t>
      </w:r>
    </w:p>
    <w:p>
      <w:pPr>
        <w:spacing w:after="0" w:line="15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Facility</w:t>
      </w:r>
      <w:r>
        <w:rPr>
          <w:rFonts w:ascii="Arial" w:cs="Arial" w:eastAsia="Arial" w:hAnsi="Arial"/>
          <w:sz w:val="19"/>
          <w:szCs w:val="19"/>
          <w:color w:val="auto"/>
        </w:rPr>
        <w:t>” means an arrangement between the Borrower or a Restricted Subsidiary and a commercial bank or an Affiliate thereof pursuant to which (a) the Borrower or such Restricted Subsidiary, as applicable, sells (directly or indirectly) to such commercial bank (or such Affiliate) accounts receivable owing by customers, together with Receivables Assets related thereto, at a maximum discount, for each such account receivable, not to exceed 10.0% of the face value thereof, (b) the obligations of the Borrower or such Restricted Subsidiary, as applicable, thereunder are non-recourse (except for Securitization Repurchase Obligations) to the Borrower and such Restricted Subsidiary and (c) the financing terms, covenants, termination events and other provisions thereof shall be on market terms (as determined in good faith by the Borrower) and may include Standard Securitization Undertakings, and shall include any guaranty in respect of such arrangement.</w:t>
      </w:r>
    </w:p>
    <w:p>
      <w:pPr>
        <w:spacing w:after="0" w:line="15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Recipient</w:t>
      </w:r>
      <w:r>
        <w:rPr>
          <w:rFonts w:ascii="Arial" w:cs="Arial" w:eastAsia="Arial" w:hAnsi="Arial"/>
          <w:sz w:val="22"/>
          <w:szCs w:val="22"/>
          <w:color w:val="auto"/>
        </w:rPr>
        <w:t>” means, as applicable, (a) the Administrative Agent, (b) any Lender, (c) any Issuing Bank or (d) solely for U.S. federal withholding Tax purposes, any Beneficial Owner.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 Notice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6.06</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Refinanced Term Loans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9.02(d)</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Amendment</w:t>
      </w:r>
      <w:r>
        <w:rPr>
          <w:rFonts w:ascii="Arial" w:cs="Arial" w:eastAsia="Arial" w:hAnsi="Arial"/>
          <w:sz w:val="19"/>
          <w:szCs w:val="19"/>
          <w:color w:val="auto"/>
        </w:rPr>
        <w:t>” means an amendment to this Agreement in form reasonably satisfactory to the Borrower and the Administrative Agent and executed by each of (a) Holdings, (b) the Borrower, (c) the Administrative Agent and</w:t>
      </w:r>
    </w:p>
    <w:p>
      <w:pPr>
        <w:ind w:firstLine="8"/>
        <w:spacing w:after="0" w:line="224" w:lineRule="auto"/>
        <w:tabs>
          <w:tab w:leader="none" w:pos="330"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each Additional Refinancing Lender that agrees to provide any portion of the Credit Agreement Refinancing Indebtedness being incurred pursuant thereto, in accordance with </w:t>
      </w:r>
      <w:r>
        <w:rPr>
          <w:rFonts w:ascii="Arial" w:cs="Arial" w:eastAsia="Arial" w:hAnsi="Arial"/>
          <w:sz w:val="22"/>
          <w:szCs w:val="22"/>
          <w:u w:val="single" w:color="auto"/>
          <w:color w:val="auto"/>
        </w:rPr>
        <w:t>Section 2.21</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29" w:name="page130"/>
    <w:bookmarkEnd w:id="129"/>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Notes</w:t>
      </w:r>
      <w:r>
        <w:rPr>
          <w:rFonts w:ascii="Arial" w:cs="Arial" w:eastAsia="Arial" w:hAnsi="Arial"/>
          <w:sz w:val="22"/>
          <w:szCs w:val="22"/>
          <w:color w:val="auto"/>
        </w:rPr>
        <w:t>” means Permitted First Priority Replacement Debt, Permitted Second Priority Replacement Debt and Permitted Unsecured Replacement Debt, in each case in the form of notes, in each case to the extent constituting Credit Agreement Refinancing Indebtedness.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w:t>
      </w:r>
      <w:r>
        <w:rPr>
          <w:rFonts w:ascii="Arial" w:cs="Arial" w:eastAsia="Arial" w:hAnsi="Arial"/>
          <w:sz w:val="22"/>
          <w:szCs w:val="22"/>
          <w:color w:val="auto"/>
        </w:rPr>
        <w:t>(b).</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Equivalent Notes</w:t>
      </w:r>
      <w:r>
        <w:rPr>
          <w:rFonts w:ascii="Arial" w:cs="Arial" w:eastAsia="Arial" w:hAnsi="Arial"/>
          <w:sz w:val="22"/>
          <w:szCs w:val="22"/>
          <w:color w:val="auto"/>
        </w:rPr>
        <w:t>” 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Parties</w:t>
      </w:r>
      <w:r>
        <w:rPr>
          <w:rFonts w:ascii="Arial" w:cs="Arial" w:eastAsia="Arial" w:hAnsi="Arial"/>
          <w:sz w:val="21"/>
          <w:szCs w:val="21"/>
          <w:color w:val="auto"/>
        </w:rPr>
        <w:t>” means, with respect to any specified Person, such Person’s Affiliates and the respective partners, directors, officers, employees, trustees, agents and advisors of such Person and such Person’s Affiliates.</w:t>
      </w:r>
    </w:p>
    <w:p>
      <w:pPr>
        <w:spacing w:after="0" w:line="15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0000FF"/>
        </w:rPr>
        <w:t>“Relevant Governmental Body” means the Federal Reserve Board or the Federal Reserve Bank of New York, or a committee officially endorsed or convened by the Federal Reserve Board or the Federal Reserve Bank of New York, or any successor thereto.</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“Replacement Event” has the meaning set forth in the definition of “Term SOFR.”</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release, spill, emission, leaking, dumping, injection, pouring, deposit, disposal, discharge, dispersal, leaching or migration into or through the environment (including ambient air, surface water, groundwater, land surface or subsurface strata).</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Term Loans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9.02(d)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w:t>
      </w:r>
      <w:r>
        <w:rPr>
          <w:rFonts w:ascii="Arial" w:cs="Arial" w:eastAsia="Arial" w:hAnsi="Arial"/>
          <w:sz w:val="22"/>
          <w:szCs w:val="22"/>
          <w:color w:val="auto"/>
        </w:rPr>
        <w:t>” has the meaning assigned to such term in the recitals to this Agreement.</w:t>
      </w:r>
    </w:p>
    <w:p>
      <w:pPr>
        <w:spacing w:after="0" w:line="17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Repricing Transaction</w:t>
      </w:r>
      <w:r>
        <w:rPr>
          <w:rFonts w:ascii="Arial" w:cs="Arial" w:eastAsia="Arial" w:hAnsi="Arial"/>
          <w:sz w:val="21"/>
          <w:szCs w:val="21"/>
          <w:color w:val="auto"/>
        </w:rPr>
        <w:t xml:space="preserve"> ” means any repayment, prepayment, refinancing, conversion or replacement of all or a portion of the Initial Term Loans (i) with the proceeds of a broadly syndicated first lien secured term loans (or a Permitted Repricing Amendment) the primary purpose of which is to reduce the effective Yield applicable to the Initial Term Loans (and such Yield is reduced) or (ii) in connection with a mandatory prepayment with the proceeds of Indebtedness having an effective Yield that is less than the Yield of the Initial Term Loans being repaid, refinanced, substituted or replaced, including, in each case, as may be effected by an amendment of any provisions of this Agreement relating to the Applicable Margin or the Alternate Base Rate or Eurocurrency Rate “floors” for, or Yield of, the Initial Term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w:t>
      </w:r>
      <w:r>
        <w:rPr>
          <w:rFonts w:ascii="Arial" w:cs="Arial" w:eastAsia="Arial" w:hAnsi="Arial"/>
          <w:sz w:val="21"/>
          <w:szCs w:val="21"/>
          <w:u w:val="single" w:color="auto"/>
          <w:color w:val="auto"/>
        </w:rPr>
        <w:t>Repricing Transaction</w:t>
      </w:r>
      <w:r>
        <w:rPr>
          <w:rFonts w:ascii="Arial" w:cs="Arial" w:eastAsia="Arial" w:hAnsi="Arial"/>
          <w:sz w:val="21"/>
          <w:szCs w:val="21"/>
          <w:color w:val="auto"/>
        </w:rPr>
        <w:t>” shall not include any repayment, prepayment, refinancing, replacement or amendment in connection with (v) a Change in Control, (w) an IPO, (x) a sale of all or substantially all of the assets of Holdings, (y) a Transformative Acquisition or (z) a Transformative Disposition.</w:t>
      </w:r>
    </w:p>
    <w:p>
      <w:pPr>
        <w:spacing w:after="0" w:line="162"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means, at any time, Lenders (other than Defaulting Lenders) having Revolving Exposures, Term Loans and unused Commitments representing more than 50% of the aggregate Revolving Exposures, outstanding Term Loans and unused Commitments at such time (calculated, in each case, using the Exchange Rate in effect on the applicable date of determination);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any Required Lenders’ vote, (v) Term Loans held by Affiliated Lenders shall be treated in accordance with </w:t>
      </w:r>
      <w:r>
        <w:rPr>
          <w:rFonts w:ascii="Arial" w:cs="Arial" w:eastAsia="Arial" w:hAnsi="Arial"/>
          <w:sz w:val="22"/>
          <w:szCs w:val="22"/>
          <w:u w:val="single" w:color="auto"/>
          <w:color w:val="auto"/>
        </w:rPr>
        <w:t>Section 9.02(j)</w:t>
      </w:r>
      <w:r>
        <w:rPr>
          <w:rFonts w:ascii="Arial" w:cs="Arial" w:eastAsia="Arial" w:hAnsi="Arial"/>
          <w:sz w:val="22"/>
          <w:szCs w:val="22"/>
          <w:color w:val="auto"/>
        </w:rPr>
        <w:t>, (w) Term Loans held by Affiliated Lenders shall be excluded in determining whether the Required Lenders have consented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30" w:name="page131"/>
    <w:bookmarkEnd w:id="130"/>
    <w:p>
      <w:pPr>
        <w:jc w:val="both"/>
        <w:spacing w:after="0" w:line="252" w:lineRule="auto"/>
        <w:rPr>
          <w:sz w:val="20"/>
          <w:szCs w:val="20"/>
          <w:color w:val="auto"/>
        </w:rPr>
      </w:pPr>
      <w:r>
        <w:rPr>
          <w:rFonts w:ascii="Arial" w:cs="Arial" w:eastAsia="Arial" w:hAnsi="Arial"/>
          <w:sz w:val="19"/>
          <w:szCs w:val="19"/>
          <w:color w:val="auto"/>
        </w:rPr>
        <w:t>amendment or waiver, but thereafter deemed to have consented with respect to prevailing votes, (x) Loans held by Affiliated Institutional Lenders may not account for more than 49.9% of the amounts included in determining whether the Required Lenders have consented to any amendment or waiver, (y) no Defaulting Lender shall be included in the calculation of Required Lenders and (z) in the event of any vote requiring the approval of the Required Lenders, the consenting Required Lenders must include at least two (2) unaffiliated Lenders (to the extent there are at least two (2) unaffiliated Lenders at the time of such vote).</w:t>
      </w:r>
    </w:p>
    <w:p>
      <w:pPr>
        <w:spacing w:after="0" w:line="14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Required Percentage</w:t>
      </w:r>
      <w:r>
        <w:rPr>
          <w:rFonts w:ascii="Arial" w:cs="Arial" w:eastAsia="Arial" w:hAnsi="Arial"/>
          <w:sz w:val="19"/>
          <w:szCs w:val="19"/>
          <w:color w:val="auto"/>
        </w:rPr>
        <w:t xml:space="preserve">” means, with respect to any fiscal year of the Borrower, (a) 50%, if the First Lien Net Leverage Ratio at the end of such fiscal year is greater than 5.00 to 1.00, (b) 25.0%, if the First Lien Net Leverage Ratio at the end of such fiscal year is less than or equal to 5.00 to 1.00 but greater than 4.50 to 1.00 and (c) 0%, if the First Lien Net Leverage Ratio at the end of such fiscal year is less than or equal to 4.50 to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prepayments are made after the end of such fiscal year and prior to the date that is thirty (30) Business Days after the end of such fiscal year, the Required Percentage shall be recalculated as of the date of such prepayment to give effect thereto.</w:t>
      </w:r>
    </w:p>
    <w:p>
      <w:pPr>
        <w:spacing w:after="0" w:line="152"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Revolving Lenders</w:t>
      </w:r>
      <w:r>
        <w:rPr>
          <w:rFonts w:ascii="Arial" w:cs="Arial" w:eastAsia="Arial" w:hAnsi="Arial"/>
          <w:sz w:val="22"/>
          <w:szCs w:val="22"/>
          <w:color w:val="auto"/>
        </w:rPr>
        <w:t xml:space="preserve"> ” means, at any time, Revolving Lenders (other than Defaulting Lenders) having Revolving Exposures and unused Revolving Commitments representing more than 50% of the aggregate Revolving Exposures and unused Revolving Commitments at such time (calculated, in each case, using the Exchange Rate in effect on the applicable date of determination);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any Required Revolving Lenders’ vote, no Defaulting Lender shall be included in the calculation of Required Revolving Lenders.</w:t>
      </w:r>
    </w:p>
    <w:p>
      <w:pPr>
        <w:spacing w:after="0" w:line="15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Requirement of Law</w:t>
      </w:r>
      <w:r>
        <w:rPr>
          <w:rFonts w:ascii="Arial" w:cs="Arial" w:eastAsia="Arial" w:hAnsi="Arial"/>
          <w:sz w:val="19"/>
          <w:szCs w:val="19"/>
          <w:color w:val="auto"/>
        </w:rPr>
        <w:t>” means, with respect to any Person, any statute, law, treaty, rule, regulation, order, executive order, ordinance, decree, writ, injunction or determination of any arbitrator or court or other Governmental Authority, in each case applicable to or binding upon such Person or any of its property or to which such Person or any of its property is subject.</w:t>
      </w:r>
    </w:p>
    <w:p>
      <w:pPr>
        <w:spacing w:after="0" w:line="13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of any Person means the chief executive officer, president or any Financial Officer of such Person, and any other officer (or, in the case of any such Person that is a Foreign Subsidiary, director or managing partner or similar official) of such Person with responsibility for the administration of the obligations of such Person under this Agreement.</w:t>
      </w:r>
    </w:p>
    <w:p>
      <w:pPr>
        <w:spacing w:after="0" w:line="132"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w:t>
      </w:r>
      <w:r>
        <w:rPr>
          <w:rFonts w:ascii="Arial" w:cs="Arial" w:eastAsia="Arial" w:hAnsi="Arial"/>
          <w:sz w:val="21"/>
          <w:szCs w:val="21"/>
          <w:color w:val="auto"/>
        </w:rPr>
        <w:t>” 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cancelation or termination of any Equity Interests in the Borrower or any Restricted Subsidiary, or any option, warrant or other right to acquire any such Equity Interests in the Borrower or any Restricted Subsidiary, in each case whether pursuant to a Division or otherwise, other than the payment of compensation in the ordinary course of business to holders of any such Equity Interests who are employees of the Borrower or any Restricted Subsidiary and other than payments of intercompany indebtedness permitted under this Agreement.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any Subsidiary other than an Unrestricted Subsidiary.</w:t>
      </w:r>
    </w:p>
    <w:p>
      <w:pPr>
        <w:spacing w:after="0" w:line="17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Retained Declined Proceeds</w:t>
      </w:r>
      <w:r>
        <w:rPr>
          <w:rFonts w:ascii="Arial" w:cs="Arial" w:eastAsia="Arial" w:hAnsi="Arial"/>
          <w:sz w:val="21"/>
          <w:szCs w:val="21"/>
          <w:color w:val="auto"/>
        </w:rPr>
        <w:t>” means any Declined Proceeds for which a lender under the Second Lien Credit Agreement or the definitive documentation for any other Indebtedness secured on a pari passu basis with the Second Lien Obligations (subject to any prepayment requirements under the Second Lien Credit Agreement or such other definitive documentation) rejects such amount of any mandatory prepayment required to be made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Second Lien Credit Agreement or such other definitive documentation, which may be retained by the Borrower.</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Return</w:t>
      </w:r>
      <w:r>
        <w:rPr>
          <w:rFonts w:ascii="Arial" w:cs="Arial" w:eastAsia="Arial" w:hAnsi="Arial"/>
          <w:sz w:val="22"/>
          <w:szCs w:val="22"/>
          <w:color w:val="auto"/>
        </w:rPr>
        <w:t>” means, with respect to any Investment, any dividend, distribution, repayment of principal, income, profit (from a disposition or otherwise) and any other amount received or realized in respect thereof in each case that represents a return of capital.</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Availability Period</w:t>
      </w:r>
      <w:r>
        <w:rPr>
          <w:rFonts w:ascii="Arial" w:cs="Arial" w:eastAsia="Arial" w:hAnsi="Arial"/>
          <w:sz w:val="22"/>
          <w:szCs w:val="22"/>
          <w:color w:val="auto"/>
        </w:rPr>
        <w:t>” means the period from and including the Closing Date to but excluding the earlier of the Revolving Termination Date and the date of termination of the Revolving Commitments.</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Commitment</w:t>
      </w:r>
      <w:r>
        <w:rPr>
          <w:rFonts w:ascii="Arial" w:cs="Arial" w:eastAsia="Arial" w:hAnsi="Arial"/>
          <w:sz w:val="19"/>
          <w:szCs w:val="19"/>
          <w:color w:val="auto"/>
        </w:rPr>
        <w:t xml:space="preserve">” with respect to each Lender, means the commitment, if any, of such Lender to make Revolving Loans and to acquire participations in Letters of Credit hereunder, expressed as an amount representing the maximum principal aggregate amount of such Lender’s Revolving Exposure hereunder, as such commitment may be (a) reduced from time to time pursuant to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 (b) reduced or increased from time to time pursuant to assignments by or to such Lender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(c) increased from time to time pursuant to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The initial amount of each Lender’s Revolving Commitment is set forth on </w:t>
      </w:r>
      <w:r>
        <w:rPr>
          <w:rFonts w:ascii="Arial" w:cs="Arial" w:eastAsia="Arial" w:hAnsi="Arial"/>
          <w:sz w:val="19"/>
          <w:szCs w:val="19"/>
          <w:u w:val="single" w:color="auto"/>
          <w:color w:val="auto"/>
        </w:rPr>
        <w:t>Schedule 2.01(b)</w:t>
      </w:r>
      <w:r>
        <w:rPr>
          <w:rFonts w:ascii="Arial" w:cs="Arial" w:eastAsia="Arial" w:hAnsi="Arial"/>
          <w:sz w:val="19"/>
          <w:szCs w:val="19"/>
          <w:color w:val="auto"/>
        </w:rPr>
        <w:t xml:space="preserve"> or in the Assignment and Assumption pursuant to which such Lender shall have assumed its Revolving Commitment, as the case may be. References to the “Revolving Commitments” shall mean the Revolving Commitment of each Lender taken together. The initial aggregate principal amount of the Lenders’ Revolving Commitments on the Closing Date is $40,000,000.</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Facilities</w:t>
      </w:r>
      <w:r>
        <w:rPr>
          <w:rFonts w:ascii="Arial" w:cs="Arial" w:eastAsia="Arial" w:hAnsi="Arial"/>
          <w:sz w:val="19"/>
          <w:szCs w:val="19"/>
          <w:color w:val="auto"/>
        </w:rPr>
        <w:t>” means the “Revolving Commitments” and the extensions of credit made thereunder.</w:t>
      </w:r>
    </w:p>
    <w:p>
      <w:pPr>
        <w:spacing w:after="0" w:line="214"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Exposure</w:t>
      </w:r>
      <w:r>
        <w:rPr>
          <w:rFonts w:ascii="Arial" w:cs="Arial" w:eastAsia="Arial" w:hAnsi="Arial"/>
          <w:sz w:val="22"/>
          <w:szCs w:val="22"/>
          <w:color w:val="auto"/>
        </w:rPr>
        <w:t>” means, as to each Revolving Lender, the sum of (a) the aggregate principal amount of the Revolving Loans denominated in Dollars outstanding at such time, (b) the LC Exposure at such time and (c) the Swingline Exposure at such time. The Revolving Exposure of any Lender at any time shall be its Applicable Percentage of the aggregate Revolving Exposure at such time.</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Lender</w:t>
      </w:r>
      <w:r>
        <w:rPr>
          <w:rFonts w:ascii="Arial" w:cs="Arial" w:eastAsia="Arial" w:hAnsi="Arial"/>
          <w:sz w:val="22"/>
          <w:szCs w:val="22"/>
          <w:color w:val="auto"/>
        </w:rPr>
        <w:t>” means a Lender with a Revolving Commitment or, if the Revolving Commitments have terminated or expired, a Lender with Revolving Exposure.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Note</w:t>
      </w:r>
      <w:r>
        <w:rPr>
          <w:rFonts w:ascii="Arial" w:cs="Arial" w:eastAsia="Arial" w:hAnsi="Arial"/>
          <w:sz w:val="22"/>
          <w:szCs w:val="22"/>
          <w:color w:val="auto"/>
        </w:rPr>
        <w:t xml:space="preserve">” means a promissory note of the Borrower evidencing Revolving Loans made or held by a Revolving Lender, substantially in the form of </w:t>
      </w:r>
      <w:r>
        <w:rPr>
          <w:rFonts w:ascii="Arial" w:cs="Arial" w:eastAsia="Arial" w:hAnsi="Arial"/>
          <w:sz w:val="22"/>
          <w:szCs w:val="22"/>
          <w:u w:val="single" w:color="auto"/>
          <w:color w:val="auto"/>
        </w:rPr>
        <w:t>Exhibit F-2</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Termination Date</w:t>
      </w:r>
      <w:r>
        <w:rPr>
          <w:rFonts w:ascii="Arial" w:cs="Arial" w:eastAsia="Arial" w:hAnsi="Arial"/>
          <w:sz w:val="21"/>
          <w:szCs w:val="21"/>
          <w:color w:val="auto"/>
        </w:rPr>
        <w:t>” means the sixth anniversary of the Closing Date (or if such anniversary is not a Business Day, the next preceding Business Day), but, as to any specific Revolving Commitment, as the maturity of such Revolving Commitment shall have been extended by the holder thereof in accordance with the terms hereof.</w:t>
      </w:r>
    </w:p>
    <w:p>
      <w:pPr>
        <w:spacing w:after="0" w:line="158"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Sale Leaseback</w:t>
      </w:r>
      <w:r>
        <w:rPr>
          <w:rFonts w:ascii="Arial" w:cs="Arial" w:eastAsia="Arial" w:hAnsi="Arial"/>
          <w:sz w:val="21"/>
          <w:szCs w:val="21"/>
          <w:color w:val="auto"/>
        </w:rPr>
        <w:t>” means any transaction or series of related transactions pursuant to which the Borrower or any of the Restricted Subsidiaries (a) sells, transfers or otherwise disposes of any property, real or personal, whether now owned or hereafter acquired, and (b) as part of such transaction, thereafter rents or leases such property that it intends to use for substantially the same purpose or purposes as the property being sold, transferred or disposed.</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3.19</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32" w:name="page133"/>
    <w:bookmarkEnd w:id="132"/>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S&amp;P Global Ratings, or any successor thereto.</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or any Governmental Authority succeeding to any of its principal functions.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 Effective Date</w:t>
      </w:r>
      <w:r>
        <w:rPr>
          <w:rFonts w:ascii="Arial" w:cs="Arial" w:eastAsia="Arial" w:hAnsi="Arial"/>
          <w:sz w:val="22"/>
          <w:szCs w:val="22"/>
          <w:color w:val="auto"/>
        </w:rPr>
        <w:t>” has the meaning assigned to such term in Section III of the Second Incremental Credit Facility Amendment.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Incremental Credit Facility Amendment</w:t>
      </w:r>
      <w:r>
        <w:rPr>
          <w:rFonts w:ascii="Arial" w:cs="Arial" w:eastAsia="Arial" w:hAnsi="Arial"/>
          <w:sz w:val="22"/>
          <w:szCs w:val="22"/>
          <w:color w:val="auto"/>
        </w:rPr>
        <w:t>” means the Second Incremental Credit Facility Amendment to First Lien Credit Agreement, dated as of May 12, 2020, among the Borrower, Holdings, the other Loan Parties party thereto, the Lenders party thereto and the Administrative Agent.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Additional Debt</w:t>
      </w:r>
      <w:r>
        <w:rPr>
          <w:rFonts w:ascii="Arial" w:cs="Arial" w:eastAsia="Arial" w:hAnsi="Arial"/>
          <w:sz w:val="22"/>
          <w:szCs w:val="22"/>
          <w:color w:val="auto"/>
        </w:rPr>
        <w:t>” has the meaning assigned to the term “Additional Debt” in the Second Lien Credit Agreement (as in effect on the date hereof).</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Agent</w:t>
      </w:r>
      <w:r>
        <w:rPr>
          <w:rFonts w:ascii="Arial" w:cs="Arial" w:eastAsia="Arial" w:hAnsi="Arial"/>
          <w:sz w:val="22"/>
          <w:szCs w:val="22"/>
          <w:color w:val="auto"/>
        </w:rPr>
        <w:t>” means has the meaning assigned to the term “Administrative Agent” in the Second Lien Credit Agreement.</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Credit Agreement</w:t>
      </w:r>
      <w:r>
        <w:rPr>
          <w:rFonts w:ascii="Arial" w:cs="Arial" w:eastAsia="Arial" w:hAnsi="Arial"/>
          <w:sz w:val="22"/>
          <w:szCs w:val="22"/>
          <w:color w:val="auto"/>
        </w:rPr>
        <w:t>” means that certain second lien credit agreement dated the date hereof (as amended, restated, supplemented or otherwise modified from time to time to time), by and among Merger Sub, the Target, Holdings, the other guarantors from time to time party thereto, the lenders party thereto from time to time and the Second Lien Agent, as administrative agent and collateral agent.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Lien Facility</w:t>
      </w:r>
      <w:r>
        <w:rPr>
          <w:rFonts w:ascii="Arial" w:cs="Arial" w:eastAsia="Arial" w:hAnsi="Arial"/>
          <w:sz w:val="19"/>
          <w:szCs w:val="19"/>
          <w:color w:val="auto"/>
        </w:rPr>
        <w:t>” has the meaning assigned to the term “Term Loans” in the Second Lien Credit Agreement.</w:t>
      </w:r>
    </w:p>
    <w:p>
      <w:pPr>
        <w:spacing w:after="0" w:line="21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Lien Intercreditor Agreement</w:t>
      </w:r>
      <w:r>
        <w:rPr>
          <w:rFonts w:ascii="Arial" w:cs="Arial" w:eastAsia="Arial" w:hAnsi="Arial"/>
          <w:sz w:val="19"/>
          <w:szCs w:val="19"/>
          <w:color w:val="auto"/>
        </w:rPr>
        <w:t xml:space="preserve">” means the intercreditor agreement in substantially the form of </w:t>
      </w:r>
      <w:r>
        <w:rPr>
          <w:rFonts w:ascii="Arial" w:cs="Arial" w:eastAsia="Arial" w:hAnsi="Arial"/>
          <w:sz w:val="19"/>
          <w:szCs w:val="19"/>
          <w:u w:val="single" w:color="auto"/>
          <w:color w:val="auto"/>
        </w:rPr>
        <w:t>Exhibit L</w:t>
      </w:r>
      <w:r>
        <w:rPr>
          <w:rFonts w:ascii="Arial" w:cs="Arial" w:eastAsia="Arial" w:hAnsi="Arial"/>
          <w:sz w:val="19"/>
          <w:szCs w:val="19"/>
          <w:color w:val="auto"/>
        </w:rPr>
        <w:t xml:space="preserve"> among the Collateral Agent, the Loan Parties and the Second Lien Agent, dated as of the date hereof, as may be amended, amended and restated or otherwise modified (including amendments to add one or more Senior Representatives for holders of Permitted Second Priority Replacement Debt as parties thereto in accordance with the terms hereof).</w:t>
      </w:r>
    </w:p>
    <w:p>
      <w:pPr>
        <w:spacing w:after="0" w:line="14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Loan Documents</w:t>
      </w:r>
      <w:r>
        <w:rPr>
          <w:rFonts w:ascii="Arial" w:cs="Arial" w:eastAsia="Arial" w:hAnsi="Arial"/>
          <w:sz w:val="22"/>
          <w:szCs w:val="22"/>
          <w:color w:val="auto"/>
        </w:rPr>
        <w:t>” has the meaning assigned to the term “Loan Documents” in the Second Lien Credit Agreement.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Loans</w:t>
      </w:r>
      <w:r>
        <w:rPr>
          <w:rFonts w:ascii="Arial" w:cs="Arial" w:eastAsia="Arial" w:hAnsi="Arial"/>
          <w:sz w:val="22"/>
          <w:szCs w:val="22"/>
          <w:color w:val="auto"/>
        </w:rPr>
        <w:t>” has the meaning assigned to the term “Loans” in the Second Lien Credit Agreement (as in effect on the date hereof).</w:t>
      </w:r>
    </w:p>
    <w:p>
      <w:pPr>
        <w:spacing w:after="0" w:line="15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Obligations</w:t>
      </w:r>
      <w:r>
        <w:rPr>
          <w:rFonts w:ascii="Arial" w:cs="Arial" w:eastAsia="Arial" w:hAnsi="Arial"/>
          <w:sz w:val="22"/>
          <w:szCs w:val="22"/>
          <w:color w:val="auto"/>
        </w:rPr>
        <w:t>” has the meaning assigned to the term “Obligations” (as in effect on the date hereof and as amended, amended and restated, supplemented, waived, modified or refinanced to the extent not prohibited by this Agreement or the Second Lien Intercreditor Agreement) in the Second Lien Credit Agreement (as in effect on the date hereof and as amended, restated, supplemented, modified or refinanced from time to time to the extent not prohibited by this Agreement or the Second Lien Intercreditor Agreement). If the context requires, Second Lien Obligations shall mean any guarantees by Loan Parties of Second Lien Obligations.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Subject Amount</w:t>
      </w:r>
      <w:r>
        <w:rPr>
          <w:rFonts w:ascii="Arial" w:cs="Arial" w:eastAsia="Arial" w:hAnsi="Arial"/>
          <w:sz w:val="22"/>
          <w:szCs w:val="22"/>
          <w:color w:val="auto"/>
        </w:rPr>
        <w:t>” has the meaning assigned to the term “Subject Amount” in the Second Lien Credit Agreement, as in effect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33" w:name="page134"/>
    <w:bookmarkEnd w:id="133"/>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Unrestricted Amount</w:t>
      </w:r>
      <w:r>
        <w:rPr>
          <w:rFonts w:ascii="Arial" w:cs="Arial" w:eastAsia="Arial" w:hAnsi="Arial"/>
          <w:sz w:val="22"/>
          <w:szCs w:val="22"/>
          <w:color w:val="auto"/>
        </w:rPr>
        <w:t>” has the meaning assigned to the term “Unrestricted Amount” in the Second Lien Credit Agreement, as in effect on the date hereof.</w:t>
      </w:r>
    </w:p>
    <w:p>
      <w:pPr>
        <w:spacing w:after="0" w:line="15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Cash Management Agreement</w:t>
      </w:r>
      <w:r>
        <w:rPr>
          <w:rFonts w:ascii="Arial" w:cs="Arial" w:eastAsia="Arial" w:hAnsi="Arial"/>
          <w:sz w:val="19"/>
          <w:szCs w:val="19"/>
          <w:color w:val="auto"/>
        </w:rPr>
        <w:t xml:space="preserve">” means any Cash Management Agreement that (a) is in effect on the Closing Date between any Holding Company and/or any Restricted Subsidiary and a counterparty (i) that is an Agent, a Lender, a Joint Lead Arranger or an Affiliate of an Agent, a Lender or a Joint Lead Arranger, (ii) whose long-term senior unsecured debt rating is A/A2 by S&amp;P or Moody’s (or their equivalent) or higher or (iii) that has been approved in writing by the Administrative Agent or (b) is entered into after the Closing Date by any Holding Company and/or any Restricted Subsidiary with any counterparty (i) that is an Agent, a Lender, or a Joint Lead Arranger or an Affiliate of an Agent, a Lender or a Joint Lead Arranger at the time such arrangement is entered into, (ii) whose long-term senior unsecured debt rating is A/A2 by S&amp;P or Moody’s (or their equivalent) or higher or (iii) that has been approved in writing by the Administrative Agent and, in the case of each of </w:t>
      </w:r>
      <w:r>
        <w:rPr>
          <w:rFonts w:ascii="Arial" w:cs="Arial" w:eastAsia="Arial" w:hAnsi="Arial"/>
          <w:sz w:val="19"/>
          <w:szCs w:val="19"/>
          <w:u w:val="single" w:color="auto"/>
          <w:color w:val="auto"/>
        </w:rPr>
        <w:t>clauses (a)(ii) and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(b)(ii) and (iii)</w:t>
      </w:r>
      <w:r>
        <w:rPr>
          <w:rFonts w:ascii="Arial" w:cs="Arial" w:eastAsia="Arial" w:hAnsi="Arial"/>
          <w:sz w:val="19"/>
          <w:szCs w:val="19"/>
          <w:color w:val="auto"/>
        </w:rPr>
        <w:t xml:space="preserve"> hereof, (x) the Borrower designates in writing to the Administrative Agent that such Cash Management Agreement shall be a Secured Cash Management Agreement and (y) the applicable counterparty shall have appointed the Administrative Agent and the Collateral Agent as its agents under the applicable Loan Documents and agreed to be bound by the provisions of Article VIII in favor of the Agent as if it were a Lender, including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9.03(c)</w:t>
      </w:r>
      <w:r>
        <w:rPr>
          <w:rFonts w:ascii="Arial" w:cs="Arial" w:eastAsia="Arial" w:hAnsi="Arial"/>
          <w:sz w:val="19"/>
          <w:szCs w:val="19"/>
          <w:color w:val="auto"/>
        </w:rPr>
        <w:t xml:space="preserve">, and shall have been deemed to have made the representations and warranties set forth in </w:t>
      </w:r>
      <w:r>
        <w:rPr>
          <w:rFonts w:ascii="Arial" w:cs="Arial" w:eastAsia="Arial" w:hAnsi="Arial"/>
          <w:sz w:val="19"/>
          <w:szCs w:val="19"/>
          <w:u w:val="single" w:color="auto"/>
          <w:color w:val="auto"/>
        </w:rPr>
        <w:t>Section 8.07</w:t>
      </w:r>
      <w:r>
        <w:rPr>
          <w:rFonts w:ascii="Arial" w:cs="Arial" w:eastAsia="Arial" w:hAnsi="Arial"/>
          <w:sz w:val="19"/>
          <w:szCs w:val="19"/>
          <w:color w:val="auto"/>
        </w:rPr>
        <w:t xml:space="preserve"> in favor of the Agents, in each case, pursuant to a writing substantially in the form of </w:t>
      </w:r>
      <w:r>
        <w:rPr>
          <w:rFonts w:ascii="Arial" w:cs="Arial" w:eastAsia="Arial" w:hAnsi="Arial"/>
          <w:sz w:val="19"/>
          <w:szCs w:val="19"/>
          <w:u w:val="single" w:color="auto"/>
          <w:color w:val="auto"/>
        </w:rPr>
        <w:t>Exhibit M</w:t>
      </w:r>
      <w:r>
        <w:rPr>
          <w:rFonts w:ascii="Arial" w:cs="Arial" w:eastAsia="Arial" w:hAnsi="Arial"/>
          <w:sz w:val="19"/>
          <w:szCs w:val="19"/>
          <w:color w:val="auto"/>
        </w:rPr>
        <w:t xml:space="preserve"> or otherwise reasonably satisfactory to the Borrower and the Administrative Agent.</w:t>
      </w:r>
    </w:p>
    <w:p>
      <w:pPr>
        <w:spacing w:after="0" w:line="38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Cash Management Obligations</w:t>
      </w:r>
      <w:r>
        <w:rPr>
          <w:rFonts w:ascii="Arial" w:cs="Arial" w:eastAsia="Arial" w:hAnsi="Arial"/>
          <w:sz w:val="22"/>
          <w:szCs w:val="22"/>
          <w:color w:val="auto"/>
        </w:rPr>
        <w:t>” means all Cash Management Obligations under any Secured Cash Management Agreement.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Obligations</w:t>
      </w:r>
      <w:r>
        <w:rPr>
          <w:rFonts w:ascii="Arial" w:cs="Arial" w:eastAsia="Arial" w:hAnsi="Arial"/>
          <w:sz w:val="22"/>
          <w:szCs w:val="22"/>
          <w:color w:val="auto"/>
        </w:rPr>
        <w:t>” means, collectively, the (a) Obligations, (b) the Secured Swap Obligations and (c) the Secured Cash Management Obligations.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means, collectively, the Administrative Agent, the Collateral Agent, the Lenders (including, for the avoidance of doubt, the Issuing Banks) and the Lender Counterparties.</w:t>
      </w:r>
    </w:p>
    <w:p>
      <w:pPr>
        <w:spacing w:after="0" w:line="15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Swap Agreements</w:t>
      </w:r>
      <w:r>
        <w:rPr>
          <w:rFonts w:ascii="Arial" w:cs="Arial" w:eastAsia="Arial" w:hAnsi="Arial"/>
          <w:sz w:val="21"/>
          <w:szCs w:val="21"/>
          <w:color w:val="auto"/>
        </w:rPr>
        <w:t xml:space="preserve">” means any Swap Agreement that (a) is in effect on the Closing Date between any Holding Company and/or any Restricted Subsidiary and a counterparty: (i) that is an Agent or a Lender or an Affiliate of an Agent or a Lender as of the Closing Date, (ii) whose long-term senior unsecured debt rating is A/A2 by S&amp;P or Moody’s (or their equivalent) or higher or (iii) that has been approved in writing by the Administrative Agent or (b) is entered into after the Closing Date by any Holding Company and/or any Restricted Subsidiary with any counterparty: (i) that is an Agent or a Lender or an Affiliate of an Agent or a Lender at the time such Swap Agreement is entered into, (ii) whose long-term senior unsecured debt rating is A/A2 by S&amp;P or Moody’s (or their equivalent) or higher or (iii) that has been approved in writing by the Administrative Agent and, in the case of each of </w:t>
      </w:r>
      <w:r>
        <w:rPr>
          <w:rFonts w:ascii="Arial" w:cs="Arial" w:eastAsia="Arial" w:hAnsi="Arial"/>
          <w:sz w:val="21"/>
          <w:szCs w:val="21"/>
          <w:u w:val="single" w:color="auto"/>
          <w:color w:val="auto"/>
        </w:rPr>
        <w:t>clauses (a)(ii)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hereof, the Borrower designates in writing to the Administrative Agent that such Swap Agreement shall be a Secured Swap Agreement (for the avoidance of doubt, the Borrower may provide one notice to the Administrative Agent designating all Swap Agreements entered into under a specified Master Agreement as Secured Swap Agreements).</w:t>
      </w:r>
    </w:p>
    <w:p>
      <w:pPr>
        <w:spacing w:after="0" w:line="16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Swap Obligations</w:t>
      </w:r>
      <w:r>
        <w:rPr>
          <w:rFonts w:ascii="Arial" w:cs="Arial" w:eastAsia="Arial" w:hAnsi="Arial"/>
          <w:sz w:val="22"/>
          <w:szCs w:val="22"/>
          <w:color w:val="auto"/>
        </w:rPr>
        <w:t>” means all Swap Obligations (other than Excluded Swap Obligations) under any Secured Swap Agreement.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U.S. Securities Act of 1933, as amended, and the rules and regulations of the SEC promulgated thereunder,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34" w:name="page135"/>
    <w:bookmarkEnd w:id="134"/>
    <w:p>
      <w:pPr>
        <w:jc w:val="both"/>
        <w:ind w:firstLine="129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Securitization Asset</w:t>
      </w:r>
      <w:r>
        <w:rPr>
          <w:rFonts w:ascii="Arial" w:cs="Arial" w:eastAsia="Arial" w:hAnsi="Arial"/>
          <w:sz w:val="21"/>
          <w:szCs w:val="21"/>
          <w:color w:val="auto"/>
        </w:rPr>
        <w:t xml:space="preserve">” means (a) any accounts receivable or related assets and the proceeds thereof, in each case subject to a Securitization Facility, and (b) all collateral securing such receivable or asset, all contracts and contract rights, guaranties or other obligations in respect of such receivable or asset, lockbox accounts and records with respect to such account or asset and any other assets customarily transferred (or in respect of which security interests are customarily granted), together with accounts or assets in a securitization financing and which in the case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are sold, conveyed, assigned or otherwise transferred or pledged by the Borrower or any Restricted Subsidiary of a Holding Company in connection with a Qualified Securitization Financing.</w:t>
      </w:r>
    </w:p>
    <w:p>
      <w:pPr>
        <w:spacing w:after="0" w:line="16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Securitization Facility</w:t>
      </w:r>
      <w:r>
        <w:rPr>
          <w:rFonts w:ascii="Arial" w:cs="Arial" w:eastAsia="Arial" w:hAnsi="Arial"/>
          <w:sz w:val="19"/>
          <w:szCs w:val="19"/>
          <w:color w:val="auto"/>
        </w:rPr>
        <w:t>” means any transaction or series of securitization financings that may be entered into by the Borrower or any Restricted Subsidiary pursuant to which the Borrower or any Restricted Subsidiary may sell, convey or otherwise transfer, or may grant a security interest in, Securitization Assets to either (a) a Person that is not a Restricted Subsidiary or (b) a Securitization Subsidiary that in turn sells such Securitization Assets to a Person that is not a Restricted Subsidiary, or may grant a security interest in, any Securitization Assets of the Holding Companies or any of the Subsidiaries.</w:t>
      </w:r>
    </w:p>
    <w:p>
      <w:pPr>
        <w:spacing w:after="0" w:line="14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Securitization Fees</w:t>
      </w:r>
      <w:r>
        <w:rPr>
          <w:rFonts w:ascii="Arial" w:cs="Arial" w:eastAsia="Arial" w:hAnsi="Arial"/>
          <w:sz w:val="22"/>
          <w:szCs w:val="22"/>
          <w:color w:val="auto"/>
        </w:rPr>
        <w:t>” means distributions or payments made directly or by means of discounts with respect to any Securitization Asset or participation interest therein issued or sold in connection with, and other fees and expenses (including reasonable fees and expenses of legal counsel) paid to a Person that is not a Restricted Subsidiary in connection with, any Qualified Securitization Financing or a Receivables Facility.</w:t>
      </w:r>
    </w:p>
    <w:p>
      <w:pPr>
        <w:spacing w:after="0" w:line="161"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Securitization Repurchase Obligation</w:t>
      </w:r>
      <w:r>
        <w:rPr>
          <w:rFonts w:ascii="Arial" w:cs="Arial" w:eastAsia="Arial" w:hAnsi="Arial"/>
          <w:sz w:val="19"/>
          <w:szCs w:val="19"/>
          <w:color w:val="auto"/>
        </w:rPr>
        <w:t>” means any obligation of a seller (or any guaranty of such obligation) of Securitization Assets or Receivables Assets in a Qualified Securitization Financing or a Receivables Facility to repurchase Securitization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4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Securitization Subsidiary</w:t>
      </w:r>
      <w:r>
        <w:rPr>
          <w:rFonts w:ascii="Arial" w:cs="Arial" w:eastAsia="Arial" w:hAnsi="Arial"/>
          <w:sz w:val="22"/>
          <w:szCs w:val="22"/>
          <w:color w:val="auto"/>
        </w:rPr>
        <w:t>” means any Subsidiary of the Borrower in each case formed for the purpose of and that solely engages in one or more Qualified Securitization Financings and other activities reasonably related thereto or another Person formed for the purpose of engaging in a Qualified Securitization Financing in which the Borrower or any Subsidiary of the Borrower makes an Investment and to which the Borrower or any Subsidiary of the Borrower transfers Securitization Assets and related assets.</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means the First Lien Security Agreement dated as of the Closing Date (as amended, restated, supplemented or otherwise modified from time to time to time), among the Borrower, the other Loan Parties party thereto from time to time and the Collateral Agent.</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Documents</w:t>
      </w:r>
      <w:r>
        <w:rPr>
          <w:rFonts w:ascii="Arial" w:cs="Arial" w:eastAsia="Arial" w:hAnsi="Arial"/>
          <w:sz w:val="22"/>
          <w:szCs w:val="22"/>
          <w:color w:val="auto"/>
        </w:rPr>
        <w:t xml:space="preserve">” means each of the Security Agreement, the Mortgages (if any), each of the agreements listed on </w:t>
      </w:r>
      <w:r>
        <w:rPr>
          <w:rFonts w:ascii="Arial" w:cs="Arial" w:eastAsia="Arial" w:hAnsi="Arial"/>
          <w:sz w:val="22"/>
          <w:szCs w:val="22"/>
          <w:u w:val="single" w:color="auto"/>
          <w:color w:val="auto"/>
        </w:rPr>
        <w:t>Schedule 5.11</w:t>
      </w:r>
      <w:r>
        <w:rPr>
          <w:rFonts w:ascii="Arial" w:cs="Arial" w:eastAsia="Arial" w:hAnsi="Arial"/>
          <w:sz w:val="22"/>
          <w:szCs w:val="22"/>
          <w:color w:val="auto"/>
        </w:rPr>
        <w:t xml:space="preserve"> executed and delivered by the Loan Parties party thereto and the Collateral Agent on the Closing Date, and each other security agreement or other instrument or document executed and delivered pursuant to </w:t>
      </w: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5.11</w:t>
      </w:r>
      <w:r>
        <w:rPr>
          <w:rFonts w:ascii="Arial" w:cs="Arial" w:eastAsia="Arial" w:hAnsi="Arial"/>
          <w:sz w:val="22"/>
          <w:szCs w:val="22"/>
          <w:color w:val="auto"/>
        </w:rPr>
        <w:t xml:space="preserve"> to secure the Secured Obligations.</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Representative</w:t>
      </w:r>
      <w:r>
        <w:rPr>
          <w:rFonts w:ascii="Arial" w:cs="Arial" w:eastAsia="Arial" w:hAnsi="Arial"/>
          <w:sz w:val="22"/>
          <w:szCs w:val="22"/>
          <w:color w:val="auto"/>
        </w:rPr>
        <w:t>” means, with respect to any series of Permitted First Priority Replacement Debt or Permitted Second Priority Replacement Debt, the trustee, administrative agent, collateral agent, security agent or similar agent under the indenture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35" w:name="page136"/>
    <w:bookmarkEnd w:id="135"/>
    <w:p>
      <w:pPr>
        <w:jc w:val="both"/>
        <w:spacing w:after="0" w:line="232" w:lineRule="auto"/>
        <w:rPr>
          <w:sz w:val="20"/>
          <w:szCs w:val="20"/>
          <w:color w:val="auto"/>
        </w:rPr>
      </w:pPr>
      <w:r>
        <w:rPr>
          <w:rFonts w:ascii="Arial" w:cs="Arial" w:eastAsia="Arial" w:hAnsi="Arial"/>
          <w:sz w:val="22"/>
          <w:szCs w:val="22"/>
          <w:color w:val="auto"/>
        </w:rPr>
        <w:t>agreement pursuant to which such Indebtedness is issued, incurred or otherwise obtained, as the case may be, and each of their successors in such capacities.</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Secured Net Leverage Ratio</w:t>
      </w:r>
      <w:r>
        <w:rPr>
          <w:rFonts w:ascii="Arial" w:cs="Arial" w:eastAsia="Arial" w:hAnsi="Arial"/>
          <w:sz w:val="19"/>
          <w:szCs w:val="19"/>
          <w:color w:val="auto"/>
        </w:rPr>
        <w:t>” means, on any date of determination, the ratio of (a) Total Indebtedness as of such date that is secured by a Lien on the Collateral, less the aggregate amount of Unrestricted Cash, to (b) LTM EBITDA.</w:t>
      </w:r>
    </w:p>
    <w:p>
      <w:pPr>
        <w:spacing w:after="0" w:line="10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Services Agreement</w:t>
      </w:r>
      <w:r>
        <w:rPr>
          <w:rFonts w:ascii="Arial" w:cs="Arial" w:eastAsia="Arial" w:hAnsi="Arial"/>
          <w:sz w:val="22"/>
          <w:szCs w:val="22"/>
          <w:color w:val="auto"/>
        </w:rPr>
        <w:t>” shall mean that certain Services Agreement, dated as of the date hereof, by and among Parent, Holdings, the Borrower and Silver Lake Management Company V, L.L.C.</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0000FF"/>
        </w:rPr>
        <w:t>“SOFR”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59" w:lineRule="exact"/>
        <w:rPr>
          <w:sz w:val="20"/>
          <w:szCs w:val="20"/>
          <w:color w:val="auto"/>
        </w:rPr>
      </w:pPr>
    </w:p>
    <w:p>
      <w:pPr>
        <w:ind w:left="1300" w:right="1500"/>
        <w:spacing w:after="0" w:line="474" w:lineRule="auto"/>
        <w:rPr>
          <w:sz w:val="20"/>
          <w:szCs w:val="20"/>
          <w:color w:val="auto"/>
        </w:rPr>
      </w:pPr>
      <w:r>
        <w:rPr>
          <w:rFonts w:ascii="Arial" w:cs="Arial" w:eastAsia="Arial" w:hAnsi="Arial"/>
          <w:sz w:val="19"/>
          <w:szCs w:val="19"/>
          <w:u w:val="single" w:color="auto"/>
          <w:color w:val="0000FF"/>
        </w:rPr>
        <w:t>“SOFR Determination Date” has the meaning set forth in the definition of “Daily Simple SOFR.” “SOFR Rate Day” has the meaning set forth in the definition of “Daily Simple SOFR.”</w:t>
      </w:r>
    </w:p>
    <w:p>
      <w:pPr>
        <w:spacing w:after="0" w:line="1"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Software</w:t>
      </w:r>
      <w:r>
        <w:rPr>
          <w:rFonts w:ascii="Arial" w:cs="Arial" w:eastAsia="Arial" w:hAnsi="Arial"/>
          <w:sz w:val="22"/>
          <w:szCs w:val="22"/>
          <w:color w:val="auto"/>
        </w:rPr>
        <w:t>” means any and all computer programs, including any and all software implementations of algorithms, models and methodologies, whether in source code or object code; databases and compilations, including any and all data and collections of data, whether machine readable or otherwise; descriptions, flow-charts and other work product used to design, plan, organize and develop any of the foregoing, screens, user interfaces, report formats, firmware, development tools, templates, menus, buttons and icons; and all documentation including user manuals and other training documentation related to any of the foregoing.</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Solvency Certificate</w:t>
      </w:r>
      <w:r>
        <w:rPr>
          <w:rFonts w:ascii="Arial" w:cs="Arial" w:eastAsia="Arial" w:hAnsi="Arial"/>
          <w:sz w:val="22"/>
          <w:szCs w:val="22"/>
          <w:color w:val="auto"/>
        </w:rPr>
        <w:t xml:space="preserve">” means the solvency certificate executed and delivered by a Financial Officer of the Borrower on the Closing Date,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with respect to Holdings and its Restricted Subsidiaries, on a consolidated basis, that as of the date of determination: (i) the present fair saleable value of the assets of Holdings and its Restricted Subsidiaries, taken as a whole (determined on a going concern basis), is greater than (A) the total amount of debts and liabilities (including subordinated, contingent and un-liquidated liabilities) of Holdings and its Restricted Subsidiaries, taken as a whole, and (B) the amount that will be required to pay the probable liability, on a consolidated basis, of their debts and other liabilities as such debts and liabilities become absolute and matured; (ii) Holdings and its Restricted Subsidiaries, taken as a whole, are able to pay all debts and liabilities (including subordinated, contingent and un-liquidated liabilities) as such debts and liabilities become absolute and matured and (iii) Holdings and its Restricted Subsidiaries, taken as a whole, do not have unreasonably small capital with which to conduct the business in which they are engaged as such business is then conducted and is proposed to be conducted following such date of determination. For the purposes hereof, in computing the amount of contingent or unliquidated liabilities at any time, such liabilities shall be computed as the amount that, in light of all of the facts and circumstances existing at such time, represents the amount that can reasonably be expected to become an actual or matured liability.</w:t>
      </w:r>
    </w:p>
    <w:p>
      <w:pPr>
        <w:spacing w:after="0" w:line="16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Incremental Term Facility</w:t>
      </w:r>
      <w:r>
        <w:rPr>
          <w:rFonts w:ascii="Arial" w:cs="Arial" w:eastAsia="Arial" w:hAnsi="Arial"/>
          <w:sz w:val="22"/>
          <w:szCs w:val="22"/>
          <w:color w:val="auto"/>
        </w:rPr>
        <w:t>” means Incremental Term Loans and/or Additional Debt up to the aggregate principal amount not to exceed the greater of (A) $50,000,000 and (B) 50.0% of LTM EBITDA calculated on a Pro Forma Basis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Applicable Date of Determination and specified by Borrower in its sole discretion from time to time.</w:t>
      </w:r>
    </w:p>
    <w:p>
      <w:pPr>
        <w:spacing w:after="0" w:line="17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Recapitalization Agreement Representations</w:t>
      </w:r>
      <w:r>
        <w:rPr>
          <w:rFonts w:ascii="Arial" w:cs="Arial" w:eastAsia="Arial" w:hAnsi="Arial"/>
          <w:sz w:val="19"/>
          <w:szCs w:val="19"/>
          <w:color w:val="auto"/>
        </w:rPr>
        <w:t>” means the representations made by or on behalf of Borrower, its Subsidiaries or their respective businesses in the Recapitalization Agreement as are material to the interests of the Lenders, but only to the extent that the Purchaser or its applicable Affiliates have the right (taking into account any applicable cure provisions) to terminate its (or their) obligations under the Recapitalization Agreement or decline to consummate the Closing Date Recapitalization as a result of a breach of any such representations in the Recapitalization Agreement.</w:t>
      </w:r>
    </w:p>
    <w:p>
      <w:pPr>
        <w:spacing w:after="0" w:line="14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Representations</w:t>
      </w:r>
      <w:r>
        <w:rPr>
          <w:rFonts w:ascii="Arial" w:cs="Arial" w:eastAsia="Arial" w:hAnsi="Arial"/>
          <w:sz w:val="21"/>
          <w:szCs w:val="21"/>
          <w:color w:val="auto"/>
        </w:rPr>
        <w:t xml:space="preserve">” means the representations and warranties made by the Borrower and the other Loan Parties, as applicable, set forth in </w:t>
      </w:r>
      <w:r>
        <w:rPr>
          <w:rFonts w:ascii="Arial" w:cs="Arial" w:eastAsia="Arial" w:hAnsi="Arial"/>
          <w:sz w:val="21"/>
          <w:szCs w:val="21"/>
          <w:u w:val="single" w:color="auto"/>
          <w:color w:val="auto"/>
        </w:rPr>
        <w:t>Sections 3.01(a)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(c)(ii)</w:t>
      </w:r>
      <w:r>
        <w:rPr>
          <w:rFonts w:ascii="Arial" w:cs="Arial" w:eastAsia="Arial" w:hAnsi="Arial"/>
          <w:sz w:val="21"/>
          <w:szCs w:val="21"/>
          <w:color w:val="auto"/>
        </w:rPr>
        <w:t xml:space="preserve"> (solely with respect to the Borrower and the Guarantors and subject to the proviso in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a), as they relate to due authorization, execution, delivery and performance of the Loan Documents), </w:t>
      </w:r>
      <w:r>
        <w:rPr>
          <w:rFonts w:ascii="Arial" w:cs="Arial" w:eastAsia="Arial" w:hAnsi="Arial"/>
          <w:sz w:val="21"/>
          <w:szCs w:val="21"/>
          <w:u w:val="single" w:color="auto"/>
          <w:color w:val="auto"/>
        </w:rPr>
        <w:t>Section 3.02</w:t>
      </w:r>
      <w:r>
        <w:rPr>
          <w:rFonts w:ascii="Arial" w:cs="Arial" w:eastAsia="Arial" w:hAnsi="Arial"/>
          <w:sz w:val="21"/>
          <w:szCs w:val="21"/>
          <w:color w:val="auto"/>
        </w:rPr>
        <w:t xml:space="preserve"> (in each case relating to the entering into and performance of the Loan Documents), </w:t>
      </w:r>
      <w:r>
        <w:rPr>
          <w:rFonts w:ascii="Arial" w:cs="Arial" w:eastAsia="Arial" w:hAnsi="Arial"/>
          <w:sz w:val="21"/>
          <w:szCs w:val="21"/>
          <w:u w:val="single" w:color="auto"/>
          <w:color w:val="auto"/>
        </w:rPr>
        <w:t>Section 3.03(b)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3.08</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3.14</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3.15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3.16</w:t>
      </w:r>
      <w:r>
        <w:rPr>
          <w:rFonts w:ascii="Arial" w:cs="Arial" w:eastAsia="Arial" w:hAnsi="Arial"/>
          <w:sz w:val="21"/>
          <w:szCs w:val="21"/>
          <w:color w:val="auto"/>
        </w:rPr>
        <w:t xml:space="preserve"> , </w:t>
      </w:r>
      <w:r>
        <w:rPr>
          <w:rFonts w:ascii="Arial" w:cs="Arial" w:eastAsia="Arial" w:hAnsi="Arial"/>
          <w:sz w:val="21"/>
          <w:szCs w:val="21"/>
          <w:u w:val="single" w:color="auto"/>
          <w:color w:val="auto"/>
        </w:rPr>
        <w:t>Section 3.18</w:t>
      </w:r>
      <w:r>
        <w:rPr>
          <w:rFonts w:ascii="Arial" w:cs="Arial" w:eastAsia="Arial" w:hAnsi="Arial"/>
          <w:sz w:val="21"/>
          <w:szCs w:val="21"/>
          <w:color w:val="auto"/>
        </w:rPr>
        <w:t xml:space="preserve"> (subject to the proviso in </w:t>
      </w:r>
      <w:r>
        <w:rPr>
          <w:rFonts w:ascii="Arial" w:cs="Arial" w:eastAsia="Arial" w:hAnsi="Arial"/>
          <w:sz w:val="21"/>
          <w:szCs w:val="21"/>
          <w:u w:val="single" w:color="auto"/>
          <w:color w:val="auto"/>
        </w:rPr>
        <w:t>Section 4.01(a)</w:t>
      </w:r>
      <w:r>
        <w:rPr>
          <w:rFonts w:ascii="Arial" w:cs="Arial" w:eastAsia="Arial" w:hAnsi="Arial"/>
          <w:sz w:val="21"/>
          <w:szCs w:val="21"/>
          <w:color w:val="auto"/>
        </w:rPr>
        <w:t xml:space="preserve"> and without giving effect to any representation regarding priority of such security interest), Section 3.19(a)(i) (solely as it relates to use of proceeds of the Loans and Letters of Credit in violation of sanctions administered or enforced by the U.S. Department of the Treasury’s Office of Foreign Assets Control), </w:t>
      </w:r>
      <w:r>
        <w:rPr>
          <w:rFonts w:ascii="Arial" w:cs="Arial" w:eastAsia="Arial" w:hAnsi="Arial"/>
          <w:sz w:val="21"/>
          <w:szCs w:val="21"/>
          <w:u w:val="single" w:color="auto"/>
          <w:color w:val="auto"/>
        </w:rPr>
        <w:t>Section 3.19(b)</w:t>
      </w:r>
      <w:r>
        <w:rPr>
          <w:rFonts w:ascii="Arial" w:cs="Arial" w:eastAsia="Arial" w:hAnsi="Arial"/>
          <w:sz w:val="21"/>
          <w:szCs w:val="21"/>
          <w:color w:val="auto"/>
        </w:rPr>
        <w:t xml:space="preserve"> (solely as it relates to use of proceeds of the Loans and Letters of Credit or in violation of FCPA) and </w:t>
      </w:r>
      <w:r>
        <w:rPr>
          <w:rFonts w:ascii="Arial" w:cs="Arial" w:eastAsia="Arial" w:hAnsi="Arial"/>
          <w:sz w:val="21"/>
          <w:szCs w:val="21"/>
          <w:u w:val="single" w:color="auto"/>
          <w:color w:val="auto"/>
        </w:rPr>
        <w:t>Section 3.19(c)</w:t>
      </w:r>
      <w:r>
        <w:rPr>
          <w:rFonts w:ascii="Arial" w:cs="Arial" w:eastAsia="Arial" w:hAnsi="Arial"/>
          <w:sz w:val="21"/>
          <w:szCs w:val="21"/>
          <w:color w:val="auto"/>
        </w:rPr>
        <w:t xml:space="preserve"> (solely as it relates to use of proceeds of the Loans and Letters of Credit in violation of the Patriot Act).</w:t>
      </w:r>
    </w:p>
    <w:p>
      <w:pPr>
        <w:spacing w:after="0" w:line="162"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Specified Transaction</w:t>
      </w:r>
      <w:r>
        <w:rPr>
          <w:rFonts w:ascii="Arial" w:cs="Arial" w:eastAsia="Arial" w:hAnsi="Arial"/>
          <w:sz w:val="21"/>
          <w:szCs w:val="21"/>
          <w:color w:val="auto"/>
        </w:rPr>
        <w:t>” means any (a) disposition of all or substantially all the assets of or all or a majority of the Equity Interests of any Restricted Subsidiary or of any product line, business unit, line of business or division of the Borrower or any of the Restricted Subsidiaries of the Borrower for which historical financial statements are available, (b) Permitted Acquisition, (c) Investment that results in a Person becoming a Restricted Subsidiary (which, for purposes hereof, shall be deemed to also include (1) the merger, consolidation, liquidation or similar amalgamation of any Person into the Borrower or any Restricted Subsidiary, so long as the applicable Borrower or such Restricted Subsidiary is the surviving Person, and (2) the transfer of all or substantially all of the assets of a Person to the Borrower or any Restricted Subsidiary), (d) designation of any Restricted Subsidiary as an Unrestricted Subsidiary, or of any Unrestricted Subsidiary as a Restricted Subsidiary, (e) the proposed incurrence of Indebtedness or making of a Restricted Payment or payment in respect of Indebtedness in respect of which compliance with any financial ratio is by the terms of this Agreement required to be calculated on a Pro Forma Basis or (f) any operating improvements, restructurings, cost saving or other business optimization initiatives and other similar initiatives and transactions.</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Spectrum</w:t>
      </w:r>
      <w:r>
        <w:rPr>
          <w:rFonts w:ascii="Arial" w:cs="Arial" w:eastAsia="Arial" w:hAnsi="Arial"/>
          <w:sz w:val="19"/>
          <w:szCs w:val="19"/>
          <w:color w:val="auto"/>
        </w:rPr>
        <w:t>” means Spectrum Equity Management, L.P. and its Controlled Investment Affiliates and associated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funds.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Sponsor</w:t>
      </w:r>
      <w:r>
        <w:rPr>
          <w:rFonts w:ascii="Arial" w:cs="Arial" w:eastAsia="Arial" w:hAnsi="Arial"/>
          <w:sz w:val="19"/>
          <w:szCs w:val="19"/>
          <w:color w:val="auto"/>
        </w:rPr>
        <w:t>” means each individually or collectively: (i) Francisco Partners, (ii) Spectrum and (iii) the New Sponsor.</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SPV</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Standard Securitization Undertakings</w:t>
      </w:r>
      <w:r>
        <w:rPr>
          <w:rFonts w:ascii="Arial" w:cs="Arial" w:eastAsia="Arial" w:hAnsi="Arial"/>
          <w:sz w:val="22"/>
          <w:szCs w:val="22"/>
          <w:color w:val="auto"/>
        </w:rPr>
        <w:t>” means representations, warranties, covenants and indemnities entered into by the Borrower or any Subsidiary of the Borrower which the Borrower has determined in good faith to be customary in a Securitization Facility, including those relating to the servicing of the assets of a Securitization Subsidiary, it being understood that any Securitization Repurchase Obligation shall be deemed to be a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37" w:name="page138"/>
    <w:bookmarkEnd w:id="137"/>
    <w:p>
      <w:pPr>
        <w:jc w:val="both"/>
        <w:spacing w:after="0" w:line="232" w:lineRule="auto"/>
        <w:rPr>
          <w:sz w:val="20"/>
          <w:szCs w:val="20"/>
          <w:color w:val="auto"/>
        </w:rPr>
      </w:pPr>
      <w:r>
        <w:rPr>
          <w:rFonts w:ascii="Arial" w:cs="Arial" w:eastAsia="Arial" w:hAnsi="Arial"/>
          <w:sz w:val="22"/>
          <w:szCs w:val="22"/>
          <w:color w:val="auto"/>
        </w:rPr>
        <w:t>Securitization Undertaking or, in the case of a Receivables Facility, a non-credit related recourse accounts receivables factoring arrangement.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means the lawful currency of the United Kingdom.</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Subject Indebtedness</w:t>
      </w:r>
      <w:r>
        <w:rPr>
          <w:rFonts w:ascii="Arial" w:cs="Arial" w:eastAsia="Arial" w:hAnsi="Arial"/>
          <w:sz w:val="19"/>
          <w:szCs w:val="19"/>
          <w:color w:val="auto"/>
        </w:rPr>
        <w:t>” has the meaning assigned to such term in the definition of “Maturity Limitation Excluded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Amount”.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Subject Loans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2.11(i)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Subject Transactions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clause 1(g)</w:t>
      </w:r>
      <w:r>
        <w:rPr>
          <w:rFonts w:ascii="Arial" w:cs="Arial" w:eastAsia="Arial" w:hAnsi="Arial"/>
          <w:sz w:val="19"/>
          <w:szCs w:val="19"/>
          <w:color w:val="auto"/>
        </w:rPr>
        <w:t xml:space="preserve"> of the definition of “Consolidated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EBITDA”.</w:t>
      </w:r>
    </w:p>
    <w:p>
      <w:pPr>
        <w:spacing w:after="0" w:line="16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Subordinated Indebtedness</w:t>
      </w:r>
      <w:r>
        <w:rPr>
          <w:rFonts w:ascii="Arial" w:cs="Arial" w:eastAsia="Arial" w:hAnsi="Arial"/>
          <w:sz w:val="21"/>
          <w:szCs w:val="21"/>
          <w:color w:val="auto"/>
        </w:rPr>
        <w:t>” means Indebtedness incurred by a Loan Party that is contractually subordinated in right of payment to the prior payment of all Obligations of such Loan Party under the Loan Documents.</w:t>
      </w:r>
    </w:p>
    <w:p>
      <w:pPr>
        <w:spacing w:after="0" w:line="15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(the “</w:t>
      </w:r>
      <w:r>
        <w:rPr>
          <w:rFonts w:ascii="Arial" w:cs="Arial" w:eastAsia="Arial" w:hAnsi="Arial"/>
          <w:sz w:val="22"/>
          <w:szCs w:val="22"/>
          <w:u w:val="single" w:color="auto"/>
          <w:color w:val="auto"/>
        </w:rPr>
        <w:t>parent</w:t>
      </w:r>
      <w:r>
        <w:rPr>
          <w:rFonts w:ascii="Arial" w:cs="Arial" w:eastAsia="Arial" w:hAnsi="Arial"/>
          <w:sz w:val="22"/>
          <w:szCs w:val="22"/>
          <w:color w:val="auto"/>
        </w:rPr>
        <w:t>”) at any date, any corporation, company, limited liability company, partnership, association or other entity of which securities or other ownership interests representing more than 50% of the ordinary voting power for the election of the members of the governing body or, in the case of a partnership, more than 50% of the general partnership interests are, as of such date, owned or controlled by the parent and/or one or more subsidiaries of the parent.</w:t>
      </w:r>
    </w:p>
    <w:p>
      <w:pPr>
        <w:spacing w:after="0" w:line="158"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means any existing and future direct or indirect subsidiary of Holdings;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reference to a Subsidiary of Holdings or the Borrower shall refer solely to the subsidiaries of Holdings or the Borrower, as applicable.</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“Successor Alternative Benchmark Rate” has the meaning set forth in the definition of “Term SOFR.”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Successor Holdings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6.14(d)(i)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Agreement</w:t>
      </w:r>
      <w:r>
        <w:rPr>
          <w:rFonts w:ascii="Arial" w:cs="Arial" w:eastAsia="Arial" w:hAnsi="Arial"/>
          <w:sz w:val="19"/>
          <w:szCs w:val="19"/>
          <w:color w:val="auto"/>
        </w:rPr>
        <w:t>” means (a) any and all rate swap transactions, basis swaps, credit derivative transactions, forward rate transactions, commodity swaps, commodity options, forward contracts, future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repurchase agreements, reverse repurchase agreements, sell buy back and buy sell back agreements, and securities lending and borrowing agreements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64"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means, with respect to any Person, any obligation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38" w:name="page139"/>
    <w:bookmarkEnd w:id="138"/>
    <w:p>
      <w:pPr>
        <w:jc w:val="both"/>
        <w:ind w:firstLine="129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Termination Value</w:t>
      </w:r>
      <w:r>
        <w:rPr>
          <w:rFonts w:ascii="Arial" w:cs="Arial" w:eastAsia="Arial" w:hAnsi="Arial"/>
          <w:sz w:val="21"/>
          <w:szCs w:val="21"/>
          <w:color w:val="auto"/>
        </w:rPr>
        <w:t xml:space="preserve">” means, in respect of any one or more Secured Swap Agreements, after taking into account the effect of any legally enforceable netting agreement relating to such Secured Swap Agreements, (a) for any date on or after the date such Secured Swap Agreements have been closed out and termination value(s) determined in accordance therewith, such termination value(s), and (b) for any date prior to the date referenced in </w:t>
      </w:r>
      <w:r>
        <w:rPr>
          <w:rFonts w:ascii="Arial" w:cs="Arial" w:eastAsia="Arial" w:hAnsi="Arial"/>
          <w:sz w:val="21"/>
          <w:szCs w:val="21"/>
          <w:u w:val="single" w:color="auto"/>
          <w:color w:val="auto"/>
        </w:rPr>
        <w:t>clause (a)</w:t>
      </w:r>
      <w:r>
        <w:rPr>
          <w:rFonts w:ascii="Arial" w:cs="Arial" w:eastAsia="Arial" w:hAnsi="Arial"/>
          <w:sz w:val="21"/>
          <w:szCs w:val="21"/>
          <w:color w:val="auto"/>
        </w:rPr>
        <w:t>, the amount(s) determined as the mark to market value(s) for such Secured Swap Agreements, as determined by the Lender Counterparty and the Borrower in accordance with the terms thereof and in accordance with customary methods for calculating mark-to-market values under similar arrangements by the Lender Counterparty and the Borrower.</w:t>
      </w:r>
    </w:p>
    <w:p>
      <w:pPr>
        <w:spacing w:after="0" w:line="16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Exposure</w:t>
      </w:r>
      <w:r>
        <w:rPr>
          <w:rFonts w:ascii="Arial" w:cs="Arial" w:eastAsia="Arial" w:hAnsi="Arial"/>
          <w:sz w:val="22"/>
          <w:szCs w:val="22"/>
          <w:color w:val="auto"/>
        </w:rPr>
        <w:t>” means, at any time, the aggregate principal amount of all Swingline Loans outstanding at such time. The Swingline Exposure of any Lender at any time shall be its Applicable Percentage of the total Swingline Exposure at such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means Barclays, in its capacity as lender of Swingline Loans hereunder.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Section 2.04(a)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w:t>
      </w:r>
      <w:r>
        <w:rPr>
          <w:rFonts w:ascii="Arial" w:cs="Arial" w:eastAsia="Arial" w:hAnsi="Arial"/>
          <w:sz w:val="19"/>
          <w:szCs w:val="19"/>
          <w:color w:val="auto"/>
        </w:rPr>
        <w:t>” means, as to any Person, any lease (including leases that may be terminated by the lessee at any time) of any property (whether real, personal or mixed) that is designed to permit the lessee (a) to treat such lease as an operating lease, or not to reflect the leased property on the lessee’s balance sheet, under GAAP and (b) to claim depreciation on such property for U.S. federal income tax purposes, other than any such lease under which such Person is the lessor.</w:t>
      </w:r>
    </w:p>
    <w:p>
      <w:pPr>
        <w:spacing w:after="0" w:line="144"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Synthetic Lease Obligations</w:t>
      </w:r>
      <w:r>
        <w:rPr>
          <w:rFonts w:ascii="Arial" w:cs="Arial" w:eastAsia="Arial" w:hAnsi="Arial"/>
          <w:sz w:val="22"/>
          <w:szCs w:val="22"/>
          <w:color w:val="auto"/>
        </w:rPr>
        <w:t>” of any Person means the obligations of such Person to pay rent or other amounts under any Synthetic Lease, and the amount of such obligations shall be equal to the sum (without duplication) of (a) the capitalized amount thereof that would appear on a balance sheet of such Person in accordance with GAAP if such obligations were accounted for as Capital Lease Obligations and (b) the amount payable by such Person as the purchase price for the property subject to such lease assuming the lessee exercises the option to purchase such property at the end of the term of such lease.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Person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present or future local, domestic or foreign taxes, levies, imposts, duties, deductions, assessments, fees, other charges or withholdings imposed by any Governmental Authority, including any interest, additions to tax or penalties applicable thereto.</w:t>
      </w:r>
    </w:p>
    <w:p>
      <w:pPr>
        <w:spacing w:after="0" w:line="159"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Commitment</w:t>
      </w:r>
      <w:r>
        <w:rPr>
          <w:rFonts w:ascii="Arial" w:cs="Arial" w:eastAsia="Arial" w:hAnsi="Arial"/>
          <w:sz w:val="21"/>
          <w:szCs w:val="21"/>
          <w:color w:val="auto"/>
        </w:rPr>
        <w:t xml:space="preserve">” means, with respect to each Term Lender, the commitment of such Term Lender to make a Term Loan hereunder on the Closing Date, expressed as an amount representing the maximum principal amount of the Term Loans to be made by such Term Lender hereunder, as such commitment may be (a) reduced from time to time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2.08</w:t>
      </w:r>
      <w:r>
        <w:rPr>
          <w:rFonts w:ascii="Arial" w:cs="Arial" w:eastAsia="Arial" w:hAnsi="Arial"/>
          <w:sz w:val="21"/>
          <w:szCs w:val="21"/>
          <w:color w:val="auto"/>
        </w:rPr>
        <w:t xml:space="preserve"> and (b) reduced or increased from time to time pursuant to assignments by or to such Term Lender pursuant to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The initial amount of each Term Lender’s Term Commitment is set forth on </w:t>
      </w:r>
      <w:r>
        <w:rPr>
          <w:rFonts w:ascii="Arial" w:cs="Arial" w:eastAsia="Arial" w:hAnsi="Arial"/>
          <w:sz w:val="21"/>
          <w:szCs w:val="21"/>
          <w:u w:val="single" w:color="auto"/>
          <w:color w:val="auto"/>
        </w:rPr>
        <w:t>Schedule 2.01(a)</w:t>
      </w:r>
      <w:r>
        <w:rPr>
          <w:rFonts w:ascii="Arial" w:cs="Arial" w:eastAsia="Arial" w:hAnsi="Arial"/>
          <w:sz w:val="21"/>
          <w:szCs w:val="21"/>
          <w:color w:val="auto"/>
        </w:rPr>
        <w:t>. The aggregate principal amount of the Term Commitments as of the Closing Date is $545,000,000.</w:t>
      </w:r>
    </w:p>
    <w:p>
      <w:pPr>
        <w:spacing w:after="0" w:line="160"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xml:space="preserve">” means the date upon which (i) all of the Obligations (other than (A) as set forth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and (B) contingent indemnification obligations not yet due and payable) have been paid in full, (ii) all Letters of Credit have been cancelled, Cash Collateralized or otherwise backstopped on terms reasonably satisfactory to the applicable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39" w:name="page140"/>
    <w:bookmarkEnd w:id="139"/>
    <w:p>
      <w:pPr>
        <w:jc w:val="both"/>
        <w:spacing w:after="0" w:line="232" w:lineRule="auto"/>
        <w:rPr>
          <w:sz w:val="20"/>
          <w:szCs w:val="20"/>
          <w:color w:val="auto"/>
        </w:rPr>
      </w:pPr>
      <w:r>
        <w:rPr>
          <w:rFonts w:ascii="Arial" w:cs="Arial" w:eastAsia="Arial" w:hAnsi="Arial"/>
          <w:sz w:val="22"/>
          <w:szCs w:val="22"/>
          <w:color w:val="auto"/>
        </w:rPr>
        <w:t>(including by “</w:t>
      </w:r>
      <w:r>
        <w:rPr>
          <w:rFonts w:ascii="Arial" w:cs="Arial" w:eastAsia="Arial" w:hAnsi="Arial"/>
          <w:sz w:val="22"/>
          <w:szCs w:val="22"/>
          <w:u w:val="single" w:color="auto"/>
          <w:color w:val="auto"/>
        </w:rPr>
        <w:t>grandfathering</w:t>
      </w:r>
      <w:r>
        <w:rPr>
          <w:rFonts w:ascii="Arial" w:cs="Arial" w:eastAsia="Arial" w:hAnsi="Arial"/>
          <w:sz w:val="22"/>
          <w:szCs w:val="22"/>
          <w:color w:val="auto"/>
        </w:rPr>
        <w:t>” on terms reasonably acceptable to the applicable Issuing Bank of the applicable Letters of Credit into a future credit facility) and (iii) all Commitments have expired or been terminated.</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Lender</w:t>
      </w:r>
      <w:r>
        <w:rPr>
          <w:rFonts w:ascii="Arial" w:cs="Arial" w:eastAsia="Arial" w:hAnsi="Arial"/>
          <w:sz w:val="22"/>
          <w:szCs w:val="22"/>
          <w:color w:val="auto"/>
        </w:rPr>
        <w:t>” means a Lender with an outstanding Term Commitment or an outstanding Term Loan.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Exchange Effective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2.25(a)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Exchange Notes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2.25(a)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Maturity Date</w:t>
      </w:r>
      <w:r>
        <w:rPr>
          <w:rFonts w:ascii="Arial" w:cs="Arial" w:eastAsia="Arial" w:hAnsi="Arial"/>
          <w:sz w:val="19"/>
          <w:szCs w:val="19"/>
          <w:color w:val="auto"/>
        </w:rPr>
        <w:t xml:space="preserve"> ” means, with respect to (a) the Initial Term Loans, the seventh anniversary of the Closing Date (or if such anniversary is not a Business Day, the next preceding Business Day) and (b) any Incremental Term Loan, Other Term Loan or Extended Term Loan, as provided in the respective documentation therefor, but, as to any specific Term Loan, as the maturity of such Term Loan shall have been extended by the holder thereof in accordance with the terms hereof.</w:t>
      </w:r>
    </w:p>
    <w:p>
      <w:pPr>
        <w:spacing w:after="0" w:line="14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Loans</w:t>
      </w:r>
      <w:r>
        <w:rPr>
          <w:rFonts w:ascii="Arial" w:cs="Arial" w:eastAsia="Arial" w:hAnsi="Arial"/>
          <w:sz w:val="19"/>
          <w:szCs w:val="19"/>
          <w:color w:val="auto"/>
        </w:rPr>
        <w:t xml:space="preserve">” means the Initial Term Loans made hereunder on the Closing Date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and, if and as applicable after the Closing Date, any other Initial Term Loans (including the 2019 Incremental Term Loans), Extended Term Loans, Incremental Term Loans, Other Term Loans or Refinanced Term Loans, as the context may require.</w:t>
      </w:r>
    </w:p>
    <w:p>
      <w:pPr>
        <w:spacing w:after="0" w:line="13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Note</w:t>
      </w:r>
      <w:r>
        <w:rPr>
          <w:rFonts w:ascii="Arial" w:cs="Arial" w:eastAsia="Arial" w:hAnsi="Arial"/>
          <w:sz w:val="22"/>
          <w:szCs w:val="22"/>
          <w:color w:val="auto"/>
        </w:rPr>
        <w:t xml:space="preserve">” means a promissory note of the Borrower payable to any Lender or its registered assigns, in substantially the form of </w:t>
      </w:r>
      <w:r>
        <w:rPr>
          <w:rFonts w:ascii="Arial" w:cs="Arial" w:eastAsia="Arial" w:hAnsi="Arial"/>
          <w:sz w:val="22"/>
          <w:szCs w:val="22"/>
          <w:u w:val="single" w:color="auto"/>
          <w:color w:val="auto"/>
        </w:rPr>
        <w:t>Exhibit F-1</w:t>
      </w:r>
      <w:r>
        <w:rPr>
          <w:rFonts w:ascii="Arial" w:cs="Arial" w:eastAsia="Arial" w:hAnsi="Arial"/>
          <w:sz w:val="22"/>
          <w:szCs w:val="22"/>
          <w:color w:val="auto"/>
        </w:rPr>
        <w:t xml:space="preserve"> hereto, evidencing the aggregate Indebtedness of the Borrower to such Lender resulting from the Term Loans made by such Lender.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“Term SOFR” means,</w:t>
      </w:r>
    </w:p>
    <w:p>
      <w:pPr>
        <w:spacing w:after="0" w:line="179" w:lineRule="exact"/>
        <w:rPr>
          <w:sz w:val="20"/>
          <w:szCs w:val="20"/>
          <w:color w:val="auto"/>
        </w:rPr>
      </w:pPr>
    </w:p>
    <w:p>
      <w:pPr>
        <w:jc w:val="both"/>
        <w:ind w:firstLine="1304"/>
        <w:spacing w:after="0" w:line="242" w:lineRule="auto"/>
        <w:tabs>
          <w:tab w:leader="none" w:pos="1940" w:val="left"/>
        </w:tabs>
        <w:numPr>
          <w:ilvl w:val="0"/>
          <w:numId w:val="71"/>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for any calculation with respect to a Term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then, at the option of the Borrower communicated to the Administrative Agent in writing on such Periodic Term SOFR Determination Day, (i)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Periodic Term SOFR Determination Day or (ii) Term SOFR shall be deemed to equal Daily Simple SOFR for each day the applicable Loan remains outstanding and, in each case, to the extent determined in accordance with this proviso, adequate and reasonable means shall be deemed to exist for ascertaining the Term SOFR for such Interest Period, and</w:t>
      </w:r>
    </w:p>
    <w:p>
      <w:pPr>
        <w:spacing w:after="0" w:line="380" w:lineRule="exact"/>
        <w:rPr>
          <w:rFonts w:ascii="Arial" w:cs="Arial" w:eastAsia="Arial" w:hAnsi="Arial"/>
          <w:sz w:val="19"/>
          <w:szCs w:val="19"/>
          <w:u w:val="single" w:color="auto"/>
          <w:color w:val="0000FF"/>
        </w:rPr>
      </w:pPr>
    </w:p>
    <w:p>
      <w:pPr>
        <w:jc w:val="both"/>
        <w:ind w:firstLine="1304"/>
        <w:spacing w:after="0" w:line="268" w:lineRule="auto"/>
        <w:tabs>
          <w:tab w:leader="none" w:pos="1807" w:val="left"/>
        </w:tabs>
        <w:numPr>
          <w:ilvl w:val="0"/>
          <w:numId w:val="71"/>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 xml:space="preserve">for any calculation with respect to an ABR Loan on any day, the Term SOFR Reference Rate for a tenor of one month on the day (such day, the “Base Rate Term SOFR Determination Day”) that is two (2) U.S. Government Securities Business Days prior to such day, as such rate is published by the Term SOFR Administrator; </w:t>
      </w:r>
      <w:r>
        <w:rPr>
          <w:rFonts w:ascii="Arial" w:cs="Arial" w:eastAsia="Arial" w:hAnsi="Arial"/>
          <w:sz w:val="19"/>
          <w:szCs w:val="19"/>
          <w:i w:val="1"/>
          <w:iCs w:val="1"/>
          <w:u w:val="single" w:color="auto"/>
          <w:color w:val="0000FF"/>
        </w:rPr>
        <w:t>provided</w:t>
      </w:r>
      <w:r>
        <w:rPr>
          <w:rFonts w:ascii="Arial" w:cs="Arial" w:eastAsia="Arial" w:hAnsi="Arial"/>
          <w:sz w:val="19"/>
          <w:szCs w:val="19"/>
          <w:u w:val="single" w:color="auto"/>
          <w:color w:val="0000FF"/>
        </w:rPr>
        <w:t xml:space="preserve">, </w:t>
      </w:r>
      <w:r>
        <w:rPr>
          <w:rFonts w:ascii="Arial" w:cs="Arial" w:eastAsia="Arial" w:hAnsi="Arial"/>
          <w:sz w:val="19"/>
          <w:szCs w:val="19"/>
          <w:i w:val="1"/>
          <w:iCs w:val="1"/>
          <w:u w:val="single" w:color="auto"/>
          <w:color w:val="0000FF"/>
        </w:rPr>
        <w:t>however</w:t>
      </w:r>
      <w:r>
        <w:rPr>
          <w:rFonts w:ascii="Arial" w:cs="Arial" w:eastAsia="Arial" w:hAnsi="Arial"/>
          <w:sz w:val="19"/>
          <w:szCs w:val="19"/>
          <w:u w:val="single" w:color="auto"/>
          <w:color w:val="0000FF"/>
        </w:rPr>
        <w:t>, that if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40" w:name="page141"/>
    <w:bookmarkEnd w:id="140"/>
    <w:p>
      <w:pPr>
        <w:jc w:val="both"/>
        <w:spacing w:after="0" w:line="224" w:lineRule="auto"/>
        <w:rPr>
          <w:sz w:val="20"/>
          <w:szCs w:val="20"/>
          <w:color w:val="auto"/>
        </w:rPr>
      </w:pPr>
      <w:r>
        <w:rPr>
          <w:rFonts w:ascii="Arial" w:cs="Arial" w:eastAsia="Arial" w:hAnsi="Arial"/>
          <w:sz w:val="21"/>
          <w:szCs w:val="21"/>
          <w:u w:val="single" w:color="auto"/>
          <w:color w:val="0000FF"/>
        </w:rPr>
        <w:t>5:00 p.m. (New York City time) on any Base Rate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Base Rate Term SOFR Determination Day;</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9"/>
          <w:szCs w:val="19"/>
          <w:u w:val="single" w:color="auto"/>
          <w:color w:val="0000FF"/>
        </w:rPr>
        <w:t>provided that, if (i) the Borrower and the Administrative Agent reasonably determine in good faith that an interest rate is not ascertainable pursuant to the foregoing provisions of this definition and the inability to ascertain such rate is unlikely to be temporary, (ii) the Relevant Governmental Body has made a public statement identifying a specific date after which all tenors of Term SOFR (including any forward-looking term rate thereof) shall or will no longer be representative or made available, or used for determining the interest rate of loans denominated in Dollars, or shall or will otherwise cease, provided that, in each case of clauses (i) and (ii), at the time of such statement, there is no successor administrator that is reasonably satisfactory to the Administrative Agent that will continue to provide such representative tenor(s) of Term SOFR or (iii) if at any time Term SOFR is determined pursuant to clause (ii) of the proviso to clause (a) above, the Borrower and the Administrative Agent determine that syndicated loans in the United States are being incurred or converted to a term rate (whether or not based on SOFR) (any such even or circumstance in the foregoing clauses (i) - (iii) of this proviso, a “Replacement Event”), “Term SOFR” shall be an alternate rate of interest established by the Administrative Agent and the Borrower that is generally accepted as one of the then prevailing market conventions for determining a rate of interest for similar syndicated loans in the United States at such time, which shall include (A) the spread or method for determining a spread or other adjustment or modification that is generally accepted as the then prevailing market convention for determining such spread, method, adjustment or modification and (B) other adjustments to such alternate rate and this Agreement (x) to not increase or decrease pricing in effect at the time of selection of such alternate rate (but for the avoidance of doubt which would not reduce the Applicable Margin) and (y) other changes necessary to reflect the available interest periods for such alternate rate for similar syndicated leveraged loans of this type in the United States at such time (any such rate, the “Successor Alternative Benchmark Rate”). The Administrative Agent and the Borrower shall be entitled to enter into an amendment to this Agreement to reflect such alternate rate of interest and such other related changes to this Agreement as may be applicable (and amend this Agreement from time to time to update any such terms to reflect evolving market conventions) and, notwithstanding anything to the contrary in Section 9.02 (</w:t>
      </w:r>
      <w:r>
        <w:rPr>
          <w:rFonts w:ascii="Arial" w:cs="Arial" w:eastAsia="Arial" w:hAnsi="Arial"/>
          <w:sz w:val="19"/>
          <w:szCs w:val="19"/>
          <w:i w:val="1"/>
          <w:iCs w:val="1"/>
          <w:u w:val="single" w:color="auto"/>
          <w:color w:val="0000FF"/>
        </w:rPr>
        <w:t>Waivers</w:t>
      </w:r>
      <w:r>
        <w:rPr>
          <w:rFonts w:ascii="Arial" w:cs="Arial" w:eastAsia="Arial" w:hAnsi="Arial"/>
          <w:sz w:val="19"/>
          <w:szCs w:val="19"/>
          <w:u w:val="single" w:color="auto"/>
          <w:color w:val="0000FF"/>
        </w:rPr>
        <w:t xml:space="preserve">, </w:t>
      </w:r>
      <w:r>
        <w:rPr>
          <w:rFonts w:ascii="Arial" w:cs="Arial" w:eastAsia="Arial" w:hAnsi="Arial"/>
          <w:sz w:val="19"/>
          <w:szCs w:val="19"/>
          <w:i w:val="1"/>
          <w:iCs w:val="1"/>
          <w:u w:val="single" w:color="auto"/>
          <w:color w:val="0000FF"/>
        </w:rPr>
        <w:t>Amendments</w:t>
      </w:r>
      <w:r>
        <w:rPr>
          <w:rFonts w:ascii="Arial" w:cs="Arial" w:eastAsia="Arial" w:hAnsi="Arial"/>
          <w:sz w:val="19"/>
          <w:szCs w:val="19"/>
          <w:u w:val="single" w:color="auto"/>
          <w:color w:val="0000FF"/>
        </w:rPr>
        <w:t>), such amendment shall, in each case, become effective without any further action or consent of any other party to this Agreement; provided, further, that if a Successor Alternative Benchmark Rate has not been established pursuant to the immediately preceding proviso after the Borrower and the Administrative Agent have reached such a determination, the Borrower and the Required Lenders may select a different alternate rate as long as it is reasonably practicable for the Administrative Agent to administer such different rate and, upon not less than fifteen (15) Business Days’ prior written notice to the Administrative Agent, the Required Lenders and the Borrower shall enter into an amendment to this Agreement to reflect such alternate rate of interest and such other related changes to this Agreement as may be applicable and, notwithstanding anything to the contrary in Section 9.02 (</w:t>
      </w:r>
      <w:r>
        <w:rPr>
          <w:rFonts w:ascii="Arial" w:cs="Arial" w:eastAsia="Arial" w:hAnsi="Arial"/>
          <w:sz w:val="19"/>
          <w:szCs w:val="19"/>
          <w:i w:val="1"/>
          <w:iCs w:val="1"/>
          <w:u w:val="single" w:color="auto"/>
          <w:color w:val="0000FF"/>
        </w:rPr>
        <w:t>Waivers,</w:t>
      </w:r>
      <w:r>
        <w:rPr>
          <w:rFonts w:ascii="Arial" w:cs="Arial" w:eastAsia="Arial" w:hAnsi="Arial"/>
          <w:sz w:val="19"/>
          <w:szCs w:val="19"/>
          <w:u w:val="single" w:color="auto"/>
          <w:color w:val="0000FF"/>
        </w:rPr>
        <w:t xml:space="preserve"> </w:t>
      </w:r>
      <w:r>
        <w:rPr>
          <w:rFonts w:ascii="Arial" w:cs="Arial" w:eastAsia="Arial" w:hAnsi="Arial"/>
          <w:sz w:val="19"/>
          <w:szCs w:val="19"/>
          <w:i w:val="1"/>
          <w:iCs w:val="1"/>
          <w:u w:val="single" w:color="auto"/>
          <w:color w:val="0000FF"/>
        </w:rPr>
        <w:t>Amendments</w:t>
      </w:r>
      <w:r>
        <w:rPr>
          <w:rFonts w:ascii="Arial" w:cs="Arial" w:eastAsia="Arial" w:hAnsi="Arial"/>
          <w:sz w:val="19"/>
          <w:szCs w:val="19"/>
          <w:u w:val="single" w:color="auto"/>
          <w:color w:val="0000FF"/>
        </w:rPr>
        <w:t>), such amendment shall become effective without any further action or consent of any other party to this Agreement.</w:t>
      </w:r>
      <w:r>
        <w:rPr>
          <w:rFonts w:ascii="Arial" w:cs="Arial" w:eastAsia="Arial" w:hAnsi="Arial"/>
          <w:sz w:val="19"/>
          <w:szCs w:val="19"/>
          <w:i w:val="1"/>
          <w:iCs w:val="1"/>
          <w:u w:val="single" w:color="auto"/>
          <w:color w:val="0000FF"/>
        </w:rPr>
        <w:t xml:space="preserve"> </w:t>
      </w:r>
      <w:r>
        <w:rPr>
          <w:rFonts w:ascii="Arial" w:cs="Arial" w:eastAsia="Arial" w:hAnsi="Arial"/>
          <w:sz w:val="19"/>
          <w:szCs w:val="19"/>
          <w:u w:val="single" w:color="auto"/>
          <w:color w:val="0000FF"/>
        </w:rPr>
        <w:t>For the avoidance of doubt, if a Replacement Event occurs, the Applicable Margin for any Loan shall be determined in accordance with the proviso to clause (a) or (b) of this definition, as applicable, until the date a Successor Alternative Benchmark Rate or other alternate term rate determined pursuant to the proviso above has been established in accordance with the requirements of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41" w:name="page142"/>
    <w:bookmarkEnd w:id="141"/>
    <w:p>
      <w:pPr>
        <w:jc w:val="both"/>
        <w:ind w:firstLine="1296"/>
        <w:spacing w:after="0" w:line="247" w:lineRule="auto"/>
        <w:rPr>
          <w:sz w:val="20"/>
          <w:szCs w:val="20"/>
          <w:color w:val="auto"/>
        </w:rPr>
      </w:pPr>
      <w:r>
        <w:rPr>
          <w:rFonts w:ascii="Arial" w:cs="Arial" w:eastAsia="Arial" w:hAnsi="Arial"/>
          <w:sz w:val="21"/>
          <w:szCs w:val="21"/>
          <w:u w:val="single" w:color="auto"/>
          <w:color w:val="0000FF"/>
        </w:rPr>
        <w:t>“Term SOFR Administrator” means CME Group Benchmark Administration Limited (CBA) (or a successor administrator of the Term SOFR Reference Rate as mutually agreed by the Administrative Agent and the Borrower).</w:t>
      </w:r>
    </w:p>
    <w:p>
      <w:pPr>
        <w:spacing w:after="0" w:line="151"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u w:val="single" w:color="auto"/>
          <w:color w:val="0000FF"/>
        </w:rPr>
        <w:t>“Term SOFR Borrowing” means a Loan that bears interest at a rate based on Adjusted Term SOFR, except any Borrowing bearing interest at Adjusted Term SOFR pursuant to clause (iii)(y) of the definition of “Alternate Base Rate”.</w:t>
      </w:r>
    </w:p>
    <w:p>
      <w:pPr>
        <w:spacing w:after="0" w:line="10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0000FF"/>
        </w:rPr>
        <w:t>“Term SOFR Loan” means any Loan (or any one or more portions thereof) that bears interest based on Adjusted Term SOFR, except any Loan bearing interest at Adjusted Term SOFR pursuant to clause (iii)(y) of the definition of “Alternate Base Rate”.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“Term SOFR Reference Rate” means the forward-looking term rate based on SOFR.</w:t>
      </w:r>
    </w:p>
    <w:p>
      <w:pPr>
        <w:spacing w:after="0" w:line="17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Test Period</w:t>
      </w:r>
      <w:r>
        <w:rPr>
          <w:rFonts w:ascii="Arial" w:cs="Arial" w:eastAsia="Arial" w:hAnsi="Arial"/>
          <w:sz w:val="19"/>
          <w:szCs w:val="19"/>
          <w:color w:val="auto"/>
        </w:rPr>
        <w:t xml:space="preserve">” means, at any date of determination, the most recently completed four consecutive fiscal quarters of the Borrower ending on or prior to such date for which financial statements have been or are required to be furnished to the Administrative Agent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5.01(b)</w:t>
      </w:r>
      <w:r>
        <w:rPr>
          <w:rFonts w:ascii="Arial" w:cs="Arial" w:eastAsia="Arial" w:hAnsi="Arial"/>
          <w:sz w:val="19"/>
          <w:szCs w:val="19"/>
          <w:color w:val="auto"/>
        </w:rPr>
        <w:t xml:space="preserve">, as applicable, or so long as the initial delivery of financial statements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as applicable, has occurred prior to such date, at the option of the Borrower, in the case of any transaction the permissibility of which requires a calculation on a Pro Forma Basis, the last day of the most recently ended fiscal quarter prior to the date of such determination for which internal financial statements are available.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Title Company</w:t>
      </w:r>
      <w:r>
        <w:rPr>
          <w:rFonts w:ascii="Arial" w:cs="Arial" w:eastAsia="Arial" w:hAnsi="Arial"/>
          <w:sz w:val="19"/>
          <w:szCs w:val="19"/>
          <w:color w:val="auto"/>
        </w:rPr>
        <w:t>” means one or more title insurance companies reasonably satisfactory to the Administrative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161"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Indebtedness</w:t>
      </w:r>
      <w:r>
        <w:rPr>
          <w:rFonts w:ascii="Arial" w:cs="Arial" w:eastAsia="Arial" w:hAnsi="Arial"/>
          <w:sz w:val="21"/>
          <w:szCs w:val="21"/>
          <w:color w:val="auto"/>
        </w:rPr>
        <w:t>” means, as of any date, the aggregate outstanding principal amount of Indebtedness for borrowed money, Indebtedness evidenced by bonds, debentures, notes, loan agreement or similar instruments of the Borrower and the Restricted Subsidiaries, on a consolidated basis, and letters of credit, bankers’ acceptances and similar facilities that have been drawn but not yet reimbursed. Total Indebtedness shall exclude, for the avoidance of doubt, Capital Lease Obligations, purchase money Indebtedness, Indebtedness in respect of any undrawn letters of credit or banker’s acceptances, Receivables Facility or Qualified Securitization Financing (except to the extent that any such Receivables Facility or Qualified Securitization Financing constitutes Indebtedness for borrowed money, as determined in accordance with GAAP, of the Borrower and the Restricted Subsidiaries) or Cash Management Services.</w:t>
      </w:r>
    </w:p>
    <w:p>
      <w:pPr>
        <w:spacing w:after="0" w:line="16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Net Leverage Ratio</w:t>
      </w:r>
      <w:r>
        <w:rPr>
          <w:rFonts w:ascii="Arial" w:cs="Arial" w:eastAsia="Arial" w:hAnsi="Arial"/>
          <w:sz w:val="22"/>
          <w:szCs w:val="22"/>
          <w:color w:val="auto"/>
        </w:rPr>
        <w:t xml:space="preserve"> ” means, on any date of determination, the ratio of (a) Total Indebtedness, less the aggregate amount of Unrestricted Cash, to (b) LTM EBITDA.</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 Costs</w:t>
      </w:r>
      <w:r>
        <w:rPr>
          <w:rFonts w:ascii="Arial" w:cs="Arial" w:eastAsia="Arial" w:hAnsi="Arial"/>
          <w:sz w:val="21"/>
          <w:szCs w:val="21"/>
          <w:color w:val="auto"/>
        </w:rPr>
        <w:t>” means all premiums, fees, costs and expenses incurred or payable by or on behalf of Holdings or any Restricted Subsidiary in connection with the Transactions (including any bonuses and any loan forgiveness and associated tax gross up payments and fees, costs and transition services) or in connection with the negotiation, execution, delivery and performance of the Loan Documents and the transactions contemplated thereby, including to fund any original issue discount, upfront fees or legal fees and to grant and perfect any security interests.</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(a) the borrowing of the Loans hereunder on the Closing Date, (b) the borrowing of the Second Lien Loans under the Second Lien Loan Documents on the Closing Date, (c) the Closing Date Recapitalization, (d) the Closing Date Distribution, (e) the Closing Date Refinancing and (f) the payment of Transaction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Transformative Acquisition</w:t>
      </w:r>
      <w:r>
        <w:rPr>
          <w:rFonts w:ascii="Arial" w:cs="Arial" w:eastAsia="Arial" w:hAnsi="Arial"/>
          <w:sz w:val="22"/>
          <w:szCs w:val="22"/>
          <w:color w:val="auto"/>
        </w:rPr>
        <w:t>” means any Acquisition by any Holding Company or any Restricted Subsidiary that</w:t>
      </w:r>
    </w:p>
    <w:p>
      <w:pPr>
        <w:jc w:val="both"/>
        <w:ind w:firstLine="8"/>
        <w:spacing w:after="0" w:line="212" w:lineRule="auto"/>
        <w:tabs>
          <w:tab w:leader="none" w:pos="325" w:val="left"/>
        </w:tabs>
        <w:numPr>
          <w:ilvl w:val="0"/>
          <w:numId w:val="72"/>
        </w:numPr>
        <w:rPr>
          <w:rFonts w:ascii="Arial" w:cs="Arial" w:eastAsia="Arial" w:hAnsi="Arial"/>
          <w:sz w:val="22"/>
          <w:szCs w:val="22"/>
          <w:color w:val="auto"/>
        </w:rPr>
      </w:pPr>
      <w:r>
        <w:rPr>
          <w:rFonts w:ascii="Arial" w:cs="Arial" w:eastAsia="Arial" w:hAnsi="Arial"/>
          <w:sz w:val="22"/>
          <w:szCs w:val="22"/>
          <w:color w:val="auto"/>
        </w:rPr>
        <w:t>is not permitted by the terms of the Loan Documents immediately prior to the consummation of such Acquisition, (b) if permitted by the terms of the Loan Documents immediately prior to the consummation of such Acquisition, would not provide the Borrower and the Restricted Subsidiaries with adequate flexibility under the Loan Documents for the continuation and/or expansion of their combined operations following such consummation, as determined by the Borrower acting in good faith or (c) is for consideration the aggregate value of which exceeds $100,000,000.</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Transformative Disposition</w:t>
      </w:r>
      <w:r>
        <w:rPr>
          <w:rFonts w:ascii="Arial" w:cs="Arial" w:eastAsia="Arial" w:hAnsi="Arial"/>
          <w:sz w:val="22"/>
          <w:szCs w:val="22"/>
          <w:color w:val="auto"/>
        </w:rPr>
        <w:t>” means any disposition by any Holding Company or any Restricted Subsidiary that</w:t>
      </w:r>
    </w:p>
    <w:p>
      <w:pPr>
        <w:jc w:val="both"/>
        <w:ind w:firstLine="8"/>
        <w:spacing w:after="0" w:line="251" w:lineRule="auto"/>
        <w:tabs>
          <w:tab w:leader="none" w:pos="315" w:val="left"/>
        </w:tabs>
        <w:numPr>
          <w:ilvl w:val="0"/>
          <w:numId w:val="73"/>
        </w:numPr>
        <w:rPr>
          <w:rFonts w:ascii="Arial" w:cs="Arial" w:eastAsia="Arial" w:hAnsi="Arial"/>
          <w:sz w:val="19"/>
          <w:szCs w:val="19"/>
          <w:color w:val="auto"/>
        </w:rPr>
      </w:pPr>
      <w:r>
        <w:rPr>
          <w:rFonts w:ascii="Arial" w:cs="Arial" w:eastAsia="Arial" w:hAnsi="Arial"/>
          <w:sz w:val="19"/>
          <w:szCs w:val="19"/>
          <w:color w:val="auto"/>
        </w:rPr>
        <w:t>is not permitted by the terms of the Loan Documents immediately prior to the consummation of such Acquisition or (b) if permitted by the terms of the Loan Documents immediately prior to the consummation of such disposition, would not provide the Borrower and the Restricted Subsidiaries with adequate flexibility under the Loan Documents for the continuation and/or expansion of its operations following such consummation, as determined by the Borrower acting in good faith.</w:t>
      </w:r>
    </w:p>
    <w:p>
      <w:pPr>
        <w:spacing w:after="0" w:line="14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xml:space="preserve">,” when used in reference to any Loan or Borrowing, refers to whether the rate of interest on such Loan, or on the Loans comprising such Borrowing, is determined by reference to </w:t>
      </w:r>
      <w:r>
        <w:rPr>
          <w:rFonts w:ascii="Arial" w:cs="Arial" w:eastAsia="Arial" w:hAnsi="Arial"/>
          <w:sz w:val="22"/>
          <w:szCs w:val="22"/>
          <w:color w:val="FF0000"/>
          <w:strike w:val="1"/>
        </w:rPr>
        <w:t>the</w:t>
      </w:r>
      <w:r>
        <w:rPr>
          <w:rFonts w:ascii="Arial" w:cs="Arial" w:eastAsia="Arial" w:hAnsi="Arial"/>
          <w:sz w:val="22"/>
          <w:szCs w:val="22"/>
          <w:color w:val="auto"/>
        </w:rPr>
        <w:t xml:space="preserve"> Adjusted Eurocurrency </w:t>
      </w:r>
      <w:r>
        <w:rPr>
          <w:rFonts w:ascii="Arial" w:cs="Arial" w:eastAsia="Arial" w:hAnsi="Arial"/>
          <w:sz w:val="22"/>
          <w:szCs w:val="22"/>
          <w:color w:val="FF0000"/>
        </w:rPr>
        <w:t>Rate</w:t>
      </w:r>
      <w:r>
        <w:rPr>
          <w:rFonts w:ascii="Arial" w:cs="Arial" w:eastAsia="Arial" w:hAnsi="Arial"/>
          <w:sz w:val="22"/>
          <w:szCs w:val="22"/>
          <w:u w:val="single" w:color="auto"/>
          <w:color w:val="0000FF"/>
        </w:rPr>
        <w:t>, Adjusted Term SOFR</w:t>
      </w:r>
      <w:r>
        <w:rPr>
          <w:rFonts w:ascii="Arial" w:cs="Arial" w:eastAsia="Arial" w:hAnsi="Arial"/>
          <w:sz w:val="22"/>
          <w:szCs w:val="22"/>
          <w:color w:val="auto"/>
        </w:rPr>
        <w:t xml:space="preserve"> or the Alternate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5564505</wp:posOffset>
            </wp:positionH>
            <wp:positionV relativeFrom="paragraph">
              <wp:posOffset>-219075</wp:posOffset>
            </wp:positionV>
            <wp:extent cx="2940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294005" cy="8255"/>
                    </a:xfrm>
                    <a:prstGeom prst="rect">
                      <a:avLst/>
                    </a:prstGeom>
                    <a:noFill/>
                  </pic:spPr>
                </pic:pic>
              </a:graphicData>
            </a:graphic>
          </wp:anchor>
        </w:drawing>
      </w:r>
    </w:p>
    <w:p>
      <w:pPr>
        <w:spacing w:after="0" w:line="13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xml:space="preserve">” means the Uniform Commercial Code as in effect from time to time in the State of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by reason of mandatory provisions of law, any or all of the perfection or priority of, or remedies with respect to, any Collateral is governed by the Uniform Commercial Code as enacted and in effect in a jurisdiction other than the State of New York, the term “UCC” shall mean the Uniform Commercial Code as enacted and in effect in such other jurisdiction solely for purposes of the provisions hereof relating to such perfection, priority or remedies.</w:t>
      </w:r>
    </w:p>
    <w:p>
      <w:pPr>
        <w:spacing w:after="0" w:line="14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Unaudited Financial Statements</w:t>
      </w:r>
      <w:r>
        <w:rPr>
          <w:rFonts w:ascii="Arial" w:cs="Arial" w:eastAsia="Arial" w:hAnsi="Arial"/>
          <w:sz w:val="21"/>
          <w:szCs w:val="21"/>
          <w:color w:val="auto"/>
        </w:rPr>
        <w:t>” means the unaudited consolidated balance sheets and the related statements of income of Parent and its Subsidiaries for the fiscal quarter ended June 30, 2018 and each subsequent fiscal quarter ended and at least 45 days prior to the Closing Date, in each case prepared in accordance with GAAP.</w:t>
      </w:r>
    </w:p>
    <w:p>
      <w:pPr>
        <w:spacing w:after="0" w:line="15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Undisclosed Administration</w:t>
      </w:r>
      <w:r>
        <w:rPr>
          <w:rFonts w:ascii="Arial" w:cs="Arial" w:eastAsia="Arial" w:hAnsi="Arial"/>
          <w:sz w:val="19"/>
          <w:szCs w:val="19"/>
          <w:color w:val="auto"/>
        </w:rPr>
        <w:t>” means in relation to a Lender or its parent company the appointment of an administrator, provisional liquidator, conservator, receiver, trustee, custodian or other similar official by a supervisory authority or regulator under or based on the law in the country where such Lender or such parent company, as the case may be, is subject to home jurisdiction supervision if applicable law requires that such appointment is not to be publicly disclosed.</w:t>
      </w:r>
    </w:p>
    <w:p>
      <w:pPr>
        <w:spacing w:after="0" w:line="14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Unfunded Pension Liability</w:t>
      </w:r>
      <w:r>
        <w:rPr>
          <w:rFonts w:ascii="Arial" w:cs="Arial" w:eastAsia="Arial" w:hAnsi="Arial"/>
          <w:sz w:val="22"/>
          <w:szCs w:val="22"/>
          <w:color w:val="auto"/>
        </w:rPr>
        <w:t>” means, with respect to any Plan at any time, the amount of any of its unfunded benefit liabilities as defined in Section 4001(a)(18) of ERISA.</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and “</w:t>
      </w:r>
      <w:r>
        <w:rPr>
          <w:rFonts w:ascii="Arial" w:cs="Arial" w:eastAsia="Arial" w:hAnsi="Arial"/>
          <w:sz w:val="22"/>
          <w:szCs w:val="22"/>
          <w:u w:val="single" w:color="auto"/>
          <w:color w:val="auto"/>
        </w:rPr>
        <w:t>U.S.</w:t>
      </w:r>
      <w:r>
        <w:rPr>
          <w:rFonts w:ascii="Arial" w:cs="Arial" w:eastAsia="Arial" w:hAnsi="Arial"/>
          <w:sz w:val="22"/>
          <w:szCs w:val="22"/>
          <w:color w:val="auto"/>
        </w:rPr>
        <w:t>” each mean the United States of America.</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Amount</w:t>
      </w:r>
      <w:r>
        <w:rPr>
          <w:rFonts w:ascii="Arial" w:cs="Arial" w:eastAsia="Arial" w:hAnsi="Arial"/>
          <w:sz w:val="19"/>
          <w:szCs w:val="19"/>
          <w:color w:val="auto"/>
        </w:rPr>
        <w:t>” has the meaning assigned to such term in the definition of “Maximum Additional Debt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Amount”.</w:t>
      </w:r>
    </w:p>
    <w:p>
      <w:pPr>
        <w:spacing w:after="0" w:line="16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Cash</w:t>
      </w:r>
      <w:r>
        <w:rPr>
          <w:rFonts w:ascii="Arial" w:cs="Arial" w:eastAsia="Arial" w:hAnsi="Arial"/>
          <w:sz w:val="19"/>
          <w:szCs w:val="19"/>
          <w:color w:val="auto"/>
        </w:rPr>
        <w:t xml:space="preserve">” means, as of any date, the sum of (i) unrestricted cash and Cash Equivalents of Borrower and its Restricted Subsidiaries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cash and Cash Equivalents of Borrower and its Restricted Subsidiaries as of such date restricted in favor of the Credit Facilities (which may also include cash and Cash Equivalents of the Borrower and its Restricted Subsidiaries securing other Indebtedness secured by a permitted Lien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382" w:right="339" w:bottom="1440" w:gutter="0" w:footer="0" w:header="0"/>
        </w:sectPr>
      </w:pPr>
    </w:p>
    <w:bookmarkStart w:id="143" w:name="page144"/>
    <w:bookmarkEnd w:id="143"/>
    <w:p>
      <w:pPr>
        <w:jc w:val="both"/>
        <w:spacing w:after="0" w:line="232" w:lineRule="auto"/>
        <w:rPr>
          <w:sz w:val="20"/>
          <w:szCs w:val="20"/>
          <w:color w:val="auto"/>
        </w:rPr>
      </w:pPr>
      <w:r>
        <w:rPr>
          <w:rFonts w:ascii="Arial" w:cs="Arial" w:eastAsia="Arial" w:hAnsi="Arial"/>
          <w:sz w:val="22"/>
          <w:szCs w:val="22"/>
          <w:color w:val="auto"/>
        </w:rPr>
        <w:t xml:space="preserve">Collateral that is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or junior to the Liens on the Collateral securing the Credit Facilities), in each case, to be determined in accordance with GAAP.</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means (a) a Subsidiary of Holdings designated as an “</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xml:space="preserve">” on </w:t>
      </w:r>
      <w:r>
        <w:rPr>
          <w:rFonts w:ascii="Arial" w:cs="Arial" w:eastAsia="Arial" w:hAnsi="Arial"/>
          <w:sz w:val="22"/>
          <w:szCs w:val="22"/>
          <w:u w:val="single" w:color="auto"/>
          <w:color w:val="auto"/>
        </w:rPr>
        <w:t>Schedule 1.04</w:t>
      </w:r>
      <w:r>
        <w:rPr>
          <w:rFonts w:ascii="Arial" w:cs="Arial" w:eastAsia="Arial" w:hAnsi="Arial"/>
          <w:sz w:val="22"/>
          <w:szCs w:val="22"/>
          <w:color w:val="auto"/>
        </w:rPr>
        <w:t xml:space="preserve"> and any Subsidiary designated as an “</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xml:space="preserve">” from time to time pursuant to </w:t>
      </w:r>
      <w:r>
        <w:rPr>
          <w:rFonts w:ascii="Arial" w:cs="Arial" w:eastAsia="Arial" w:hAnsi="Arial"/>
          <w:sz w:val="22"/>
          <w:szCs w:val="22"/>
          <w:u w:val="single" w:color="auto"/>
          <w:color w:val="auto"/>
        </w:rPr>
        <w:t>Section 5.12</w:t>
      </w:r>
      <w:r>
        <w:rPr>
          <w:rFonts w:ascii="Arial" w:cs="Arial" w:eastAsia="Arial" w:hAnsi="Arial"/>
          <w:sz w:val="22"/>
          <w:szCs w:val="22"/>
          <w:color w:val="auto"/>
        </w:rPr>
        <w:t xml:space="preserve"> and (b) any Subsidiary of an Unrestricted Subsidiary.</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u w:val="single" w:color="auto"/>
          <w:color w:val="0000FF"/>
        </w:rPr>
        <w:t>“U.S.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 “United States person” within the meaning of Section 7701(a)(30) of the Code.</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Prime Rate</w:t>
      </w:r>
      <w:r>
        <w:rPr>
          <w:rFonts w:ascii="Arial" w:cs="Arial" w:eastAsia="Arial" w:hAnsi="Arial"/>
          <w:sz w:val="22"/>
          <w:szCs w:val="22"/>
          <w:color w:val="auto"/>
        </w:rPr>
        <w:t xml:space="preserve">” means the rate of interest published by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(eastern edition), from time to time, as the “U.S. Prime Rate”.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Certificate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2.17(e)(ii)(D)</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Weighted Average Life to Maturity</w:t>
      </w:r>
      <w:r>
        <w:rPr>
          <w:rFonts w:ascii="Arial" w:cs="Arial" w:eastAsia="Arial" w:hAnsi="Arial"/>
          <w:sz w:val="21"/>
          <w:szCs w:val="21"/>
          <w:color w:val="auto"/>
        </w:rPr>
        <w:t>” means, when applied to any amortizing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Subsidiary</w:t>
      </w:r>
      <w:r>
        <w:rPr>
          <w:rFonts w:ascii="Arial" w:cs="Arial" w:eastAsia="Arial" w:hAnsi="Arial"/>
          <w:sz w:val="19"/>
          <w:szCs w:val="19"/>
          <w:color w:val="auto"/>
        </w:rPr>
        <w:t xml:space="preserve">” or “ </w:t>
      </w:r>
      <w:r>
        <w:rPr>
          <w:rFonts w:ascii="Arial" w:cs="Arial" w:eastAsia="Arial" w:hAnsi="Arial"/>
          <w:sz w:val="19"/>
          <w:szCs w:val="19"/>
          <w:u w:val="single" w:color="auto"/>
          <w:color w:val="auto"/>
        </w:rPr>
        <w:t>wholly owned subsidiary</w:t>
      </w:r>
      <w:r>
        <w:rPr>
          <w:rFonts w:ascii="Arial" w:cs="Arial" w:eastAsia="Arial" w:hAnsi="Arial"/>
          <w:sz w:val="19"/>
          <w:szCs w:val="19"/>
          <w:color w:val="auto"/>
        </w:rPr>
        <w:t xml:space="preserve"> ” means, with respect to any Person at any date, a subsidiary of such Person of which securities or other ownership interests representing 100% of the Equity Interests (other than</w:t>
      </w:r>
    </w:p>
    <w:p>
      <w:pPr>
        <w:jc w:val="both"/>
        <w:ind w:firstLine="8"/>
        <w:spacing w:after="0" w:line="214" w:lineRule="auto"/>
        <w:tabs>
          <w:tab w:leader="none" w:pos="313" w:val="left"/>
        </w:tabs>
        <w:numPr>
          <w:ilvl w:val="0"/>
          <w:numId w:val="74"/>
        </w:numPr>
        <w:rPr>
          <w:rFonts w:ascii="Arial" w:cs="Arial" w:eastAsia="Arial" w:hAnsi="Arial"/>
          <w:sz w:val="22"/>
          <w:szCs w:val="22"/>
          <w:color w:val="auto"/>
        </w:rPr>
      </w:pPr>
      <w:r>
        <w:rPr>
          <w:rFonts w:ascii="Arial" w:cs="Arial" w:eastAsia="Arial" w:hAnsi="Arial"/>
          <w:sz w:val="22"/>
          <w:szCs w:val="22"/>
          <w:color w:val="auto"/>
        </w:rPr>
        <w:t>directors’ qualifying shares and (y) shares issued to foreign nationals to the extent required by applicable law) are, as of such date, owned, controlled or held by such Person or one or more wholly owned subsidiaries of such Person or by such Person and one or more wholly owned subsidiaries of such Person. For the avoidance of doubt, “</w:t>
      </w:r>
      <w:r>
        <w:rPr>
          <w:rFonts w:ascii="Arial" w:cs="Arial" w:eastAsia="Arial" w:hAnsi="Arial"/>
          <w:sz w:val="22"/>
          <w:szCs w:val="22"/>
          <w:u w:val="single" w:color="auto"/>
          <w:color w:val="auto"/>
        </w:rPr>
        <w:t>wholly owned Restricted Subsidiary</w:t>
      </w:r>
      <w:r>
        <w:rPr>
          <w:rFonts w:ascii="Arial" w:cs="Arial" w:eastAsia="Arial" w:hAnsi="Arial"/>
          <w:sz w:val="22"/>
          <w:szCs w:val="22"/>
          <w:color w:val="auto"/>
        </w:rPr>
        <w:t>” means a wholly owned Subsidiary that is a Restricted Subsidiary.</w:t>
      </w:r>
    </w:p>
    <w:p>
      <w:pPr>
        <w:spacing w:after="0" w:line="16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32"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Yield</w:t>
      </w:r>
      <w:r>
        <w:rPr>
          <w:rFonts w:ascii="Arial" w:cs="Arial" w:eastAsia="Arial" w:hAnsi="Arial"/>
          <w:sz w:val="21"/>
          <w:szCs w:val="21"/>
          <w:color w:val="auto"/>
        </w:rPr>
        <w:t>” means, with respect to any Loan, Revolving Commitment, or Repricing Transaction, as the case may be, on any date of determination as calculated by the Administrative Agent, (a) any interest rate margin (giving effect to any amendments to the Applicable Margin on the Initial Term Loans that becomes effective subsequent to the Closing Date but prior to the applicable date of determination), (b) increases in interest rate floors (but only to the extent that an increase in the interest rate floor with respect to Initial Term Loans or the implementation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44" w:name="page145"/>
    <w:bookmarkEnd w:id="144"/>
    <w:p>
      <w:pPr>
        <w:jc w:val="both"/>
        <w:spacing w:after="0" w:line="244" w:lineRule="auto"/>
        <w:rPr>
          <w:sz w:val="20"/>
          <w:szCs w:val="20"/>
          <w:color w:val="auto"/>
        </w:rPr>
      </w:pPr>
      <w:r>
        <w:rPr>
          <w:rFonts w:ascii="Arial" w:cs="Arial" w:eastAsia="Arial" w:hAnsi="Arial"/>
          <w:sz w:val="19"/>
          <w:szCs w:val="19"/>
          <w:color w:val="auto"/>
        </w:rPr>
        <w:t xml:space="preserve">an interest floor with respect to Initial Revolving Loans, as the case may be, would cause an increase in the interest rate then in effect at the time of determination hereunder, and, in such case, then the interest rate floor (but not the interest rate margin solely for determinations under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 applicable to such Initial Term Loans and Initial Revolving Loans, as the case may be, shall be increased to the extent of such differential between interest rate floors), (c) original issue discount and (d) upfront fees paid generally to all Persons providing such Loan or Commitment (with original issue discount and upfront fees being equated to interest based on the shorter of (x) the Weighted Average Life to Maturity of such Loans and (y) four years), but exclusive of any arrangement, commitment, structuring, underwriting, ticking, amendment or similar fee paid or payable to the Joint Lead Arrangers (or their Affiliates) in their capacities as such in connection with the Initial Term Loans or to one or more arrangers (or their Affiliates) in their capacities as such to any Incremental Credit Facility.</w:t>
      </w:r>
    </w:p>
    <w:p>
      <w:pPr>
        <w:spacing w:after="0" w:line="16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u w:val="single" w:color="auto"/>
          <w:color w:val="auto"/>
        </w:rPr>
        <w:t>Section 1.02 Classification of Loans and Borrowings</w:t>
      </w:r>
      <w:r>
        <w:rPr>
          <w:rFonts w:ascii="Arial" w:cs="Arial" w:eastAsia="Arial" w:hAnsi="Arial"/>
          <w:sz w:val="22"/>
          <w:szCs w:val="22"/>
          <w:color w:val="auto"/>
        </w:rPr>
        <w:t xml:space="preserve">. For purposes of this Agreement, Loans may be classified and referred to by Class ( </w:t>
      </w:r>
      <w:r>
        <w:rPr>
          <w:rFonts w:ascii="Arial" w:cs="Arial" w:eastAsia="Arial" w:hAnsi="Arial"/>
          <w:sz w:val="22"/>
          <w:szCs w:val="22"/>
          <w:u w:val="single" w:color="auto"/>
          <w:color w:val="auto"/>
        </w:rPr>
        <w:t>e.g.</w:t>
      </w:r>
      <w:r>
        <w:rPr>
          <w:rFonts w:ascii="Arial" w:cs="Arial" w:eastAsia="Arial" w:hAnsi="Arial"/>
          <w:sz w:val="22"/>
          <w:szCs w:val="22"/>
          <w:color w:val="auto"/>
        </w:rPr>
        <w:t>, a “Revolving Loan”) or by Type (</w:t>
      </w:r>
      <w:r>
        <w:rPr>
          <w:rFonts w:ascii="Arial" w:cs="Arial" w:eastAsia="Arial" w:hAnsi="Arial"/>
          <w:sz w:val="22"/>
          <w:szCs w:val="22"/>
          <w:u w:val="single" w:color="auto"/>
          <w:color w:val="auto"/>
        </w:rPr>
        <w:t>e.g.</w:t>
      </w:r>
      <w:r>
        <w:rPr>
          <w:rFonts w:ascii="Arial" w:cs="Arial" w:eastAsia="Arial" w:hAnsi="Arial"/>
          <w:sz w:val="22"/>
          <w:szCs w:val="22"/>
          <w:color w:val="auto"/>
        </w:rPr>
        <w:t>, a “Eurocurrency Loan”) or by Class and Type (</w:t>
      </w:r>
      <w:r>
        <w:rPr>
          <w:rFonts w:ascii="Arial" w:cs="Arial" w:eastAsia="Arial" w:hAnsi="Arial"/>
          <w:sz w:val="22"/>
          <w:szCs w:val="22"/>
          <w:u w:val="single" w:color="auto"/>
          <w:color w:val="auto"/>
        </w:rPr>
        <w:t>e.g.</w:t>
      </w:r>
      <w:r>
        <w:rPr>
          <w:rFonts w:ascii="Arial" w:cs="Arial" w:eastAsia="Arial" w:hAnsi="Arial"/>
          <w:sz w:val="22"/>
          <w:szCs w:val="22"/>
          <w:color w:val="auto"/>
        </w:rPr>
        <w:t>, a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Revolving Loan”). Borrowings also may be classified and referred to by Class (</w:t>
      </w:r>
      <w:r>
        <w:rPr>
          <w:rFonts w:ascii="Arial" w:cs="Arial" w:eastAsia="Arial" w:hAnsi="Arial"/>
          <w:sz w:val="22"/>
          <w:szCs w:val="22"/>
          <w:u w:val="single" w:color="auto"/>
          <w:color w:val="auto"/>
        </w:rPr>
        <w:t>e.g.</w:t>
      </w:r>
      <w:r>
        <w:rPr>
          <w:rFonts w:ascii="Arial" w:cs="Arial" w:eastAsia="Arial" w:hAnsi="Arial"/>
          <w:sz w:val="22"/>
          <w:szCs w:val="22"/>
          <w:color w:val="auto"/>
        </w:rPr>
        <w:t>, a “Revolving Loan Borrowing”) or by Type (</w:t>
      </w:r>
      <w:r>
        <w:rPr>
          <w:rFonts w:ascii="Arial" w:cs="Arial" w:eastAsia="Arial" w:hAnsi="Arial"/>
          <w:sz w:val="22"/>
          <w:szCs w:val="22"/>
          <w:u w:val="single" w:color="auto"/>
          <w:color w:val="auto"/>
        </w:rPr>
        <w:t>e.g.</w:t>
      </w:r>
      <w:r>
        <w:rPr>
          <w:rFonts w:ascii="Arial" w:cs="Arial" w:eastAsia="Arial" w:hAnsi="Arial"/>
          <w:sz w:val="22"/>
          <w:szCs w:val="22"/>
          <w:color w:val="auto"/>
        </w:rPr>
        <w:t>, a “Eurocurrency Borrowing”) or by Class and Type (</w:t>
      </w:r>
      <w:r>
        <w:rPr>
          <w:rFonts w:ascii="Arial" w:cs="Arial" w:eastAsia="Arial" w:hAnsi="Arial"/>
          <w:sz w:val="22"/>
          <w:szCs w:val="22"/>
          <w:u w:val="single" w:color="auto"/>
          <w:color w:val="auto"/>
        </w:rPr>
        <w:t>e.g.</w:t>
      </w:r>
      <w:r>
        <w:rPr>
          <w:rFonts w:ascii="Arial" w:cs="Arial" w:eastAsia="Arial" w:hAnsi="Arial"/>
          <w:sz w:val="22"/>
          <w:szCs w:val="22"/>
          <w:color w:val="auto"/>
        </w:rPr>
        <w:t>, a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Revolving Loan Borrowing”).</w:t>
      </w:r>
    </w:p>
    <w:p>
      <w:pPr>
        <w:spacing w:after="0" w:line="158" w:lineRule="exact"/>
        <w:rPr>
          <w:sz w:val="20"/>
          <w:szCs w:val="20"/>
          <w:color w:val="auto"/>
        </w:rPr>
      </w:pPr>
    </w:p>
    <w:p>
      <w:pPr>
        <w:jc w:val="both"/>
        <w:ind w:firstLine="1296"/>
        <w:spacing w:after="0"/>
        <w:rPr>
          <w:sz w:val="20"/>
          <w:szCs w:val="20"/>
          <w:color w:val="auto"/>
        </w:rPr>
      </w:pPr>
      <w:r>
        <w:rPr>
          <w:rFonts w:ascii="Arial" w:cs="Arial" w:eastAsia="Arial" w:hAnsi="Arial"/>
          <w:sz w:val="19"/>
          <w:szCs w:val="19"/>
          <w:u w:val="single" w:color="auto"/>
          <w:color w:val="auto"/>
        </w:rPr>
        <w:t>Section 1.03 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amended and restated, supplemented or otherwise modified (including pursuant to any permitted refinancing, extension, renewal, replacement, restructuring or increase (in each case, whether pursuant to one or more agreements or with different lenders or different agents), but subject to any restrictions on such amendments, supplements or modifications set forth herein), (b) any reference herein to any Person shall be construed to include such Person’s successors and permitted assigns and, in the case of any Governmental Authority, any other Governmental Authority that shall have succeeded to any or all of the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(f) any reference to any Requirement of Law shall, unless otherwise specified, refer to such Requirement of Law as amended, modified or supplemented from time to time and shall include all statutory and regulatory provisions consolidating, amending, replacing, supplementing or interpreting such Requirement of Law, (g) the phrase “for the term of this Agreement” and any similar phrases shall mean the period beginning on the Closing Date and ending on the Latest Maturity Date, the term “manifest error” shall be deemed to include any clearly demonstrable error whether or not obvious on the face of the document containing such error and (h) all references to “knowledge” or “awareness” of any Loan Party or a Restricted Subsidiary thereof means the actual knowledge of a Responsible Officer of a Loan Party or such Restricted Subsidiary. Unless otherwise specified, all references herein to times of day shall be references to New York City time (daylight or standard,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45" w:name="page146"/>
    <w:bookmarkEnd w:id="145"/>
    <w:p>
      <w:pPr>
        <w:jc w:val="both"/>
        <w:ind w:firstLine="1296"/>
        <w:spacing w:after="0" w:line="242" w:lineRule="auto"/>
        <w:rPr>
          <w:sz w:val="20"/>
          <w:szCs w:val="20"/>
          <w:color w:val="auto"/>
        </w:rPr>
      </w:pPr>
      <w:r>
        <w:rPr>
          <w:rFonts w:ascii="Arial" w:cs="Arial" w:eastAsia="Arial" w:hAnsi="Arial"/>
          <w:sz w:val="19"/>
          <w:szCs w:val="19"/>
          <w:color w:val="auto"/>
        </w:rPr>
        <w:t>Section 1.04 Accounting Terms; GAAP. Except as otherwise expressly provided herein, all terms of an accounting or financial nature shall be construed in accordance with GAAP, as in effect from time to time. In the event that any Accounting Change (as defined below) shall occur and such change results in a change in the method of calculation of financial covenants, standards or terms in this Agreement, then Holdings, the Borrower and the Administrative Agent shall enter into good faith negotiations in order to amend such provisions of this Agreement so as to equitably reflect such Accounting Change with the desired result that the criteria for evaluating the Borrower’s and its Subsidiaries’ consolidated financial condition shall be the same after such Accounting Change as if such Accounting Change had not been made. Until such time as such an amendment shall have been executed and delivered by Holdings, the Borrower, the Administrative Agent and the Required Lenders, all financial ratios, covenants, standards and terms in this Agreement shall continue to be calculated or construed as if such Accounting Change had not occurred. “</w:t>
      </w:r>
      <w:r>
        <w:rPr>
          <w:rFonts w:ascii="Arial" w:cs="Arial" w:eastAsia="Arial" w:hAnsi="Arial"/>
          <w:sz w:val="19"/>
          <w:szCs w:val="19"/>
          <w:u w:val="single" w:color="auto"/>
          <w:color w:val="auto"/>
        </w:rPr>
        <w:t>Accounting Change</w:t>
      </w:r>
      <w:r>
        <w:rPr>
          <w:rFonts w:ascii="Arial" w:cs="Arial" w:eastAsia="Arial" w:hAnsi="Arial"/>
          <w:sz w:val="19"/>
          <w:szCs w:val="19"/>
          <w:color w:val="auto"/>
        </w:rPr>
        <w:t>” refers to any change in accounting principles required by the promulgation of any rule, regulation, pronouncement or opinion by the Financial Accounting Standards Board of the American Institute of Certified Public Accountants or, if applicable,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-1395730</wp:posOffset>
            </wp:positionV>
            <wp:extent cx="25006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2500630" cy="8255"/>
                    </a:xfrm>
                    <a:prstGeom prst="rect">
                      <a:avLst/>
                    </a:prstGeom>
                    <a:noFill/>
                  </pic:spPr>
                </pic:pic>
              </a:graphicData>
            </a:graphic>
          </wp:anchor>
        </w:drawing>
      </w:r>
    </w:p>
    <w:p>
      <w:pPr>
        <w:spacing w:after="0" w:line="365"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Notwithstanding anything in this Agreement to the contrary, any change in GAAP or the application or interpretation thereof that would require operating leases to be treated similarly as a capital lease shall not be given effect in the definitions of Indebtedness or Liens or any related definitions or in the computation of any financial ratio or requirement.</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1.05</w:t>
      </w:r>
      <w:r>
        <w:rPr>
          <w:sz w:val="20"/>
          <w:szCs w:val="20"/>
          <w:color w:val="auto"/>
        </w:rPr>
        <w:tab/>
      </w:r>
      <w:r>
        <w:rPr>
          <w:rFonts w:ascii="Arial" w:cs="Arial" w:eastAsia="Arial" w:hAnsi="Arial"/>
          <w:sz w:val="19"/>
          <w:szCs w:val="19"/>
          <w:u w:val="single" w:color="auto"/>
          <w:color w:val="auto"/>
        </w:rPr>
        <w:t>Pro Forma Calculations; Unrestricted Cash</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179" w:lineRule="exact"/>
        <w:rPr>
          <w:sz w:val="20"/>
          <w:szCs w:val="20"/>
          <w:color w:val="auto"/>
        </w:rPr>
      </w:pPr>
    </w:p>
    <w:p>
      <w:pPr>
        <w:jc w:val="both"/>
        <w:ind w:firstLine="1304"/>
        <w:spacing w:after="0" w:line="257" w:lineRule="auto"/>
        <w:tabs>
          <w:tab w:leader="none" w:pos="1754" w:val="left"/>
        </w:tabs>
        <w:numPr>
          <w:ilvl w:val="0"/>
          <w:numId w:val="75"/>
        </w:numPr>
        <w:rPr>
          <w:rFonts w:ascii="Arial" w:cs="Arial" w:eastAsia="Arial" w:hAnsi="Arial"/>
          <w:sz w:val="19"/>
          <w:szCs w:val="19"/>
          <w:color w:val="auto"/>
        </w:rPr>
      </w:pPr>
      <w:r>
        <w:rPr>
          <w:rFonts w:ascii="Arial" w:cs="Arial" w:eastAsia="Arial" w:hAnsi="Arial"/>
          <w:sz w:val="19"/>
          <w:szCs w:val="19"/>
          <w:color w:val="auto"/>
        </w:rPr>
        <w:t>With respect to any period during which the Transactions or any Specified Transaction occurs, the calculation of the Total Net Leverage Ratio, Senior Secured Net Leverage Ratio, First Lien Net Leverage Ratio, Interest Coverage Ratio, Consolidated EBITDA and Consolidated Total Assets or for any other purpose hereunder (other than with respect to clause (b) of the definition of “Available Amount”), with respect to such period shall be made on a Pro Forma Basis.</w:t>
      </w:r>
    </w:p>
    <w:p>
      <w:pPr>
        <w:spacing w:after="0" w:line="144" w:lineRule="exact"/>
        <w:rPr>
          <w:rFonts w:ascii="Arial" w:cs="Arial" w:eastAsia="Arial" w:hAnsi="Arial"/>
          <w:sz w:val="19"/>
          <w:szCs w:val="19"/>
          <w:color w:val="auto"/>
        </w:rPr>
      </w:pPr>
    </w:p>
    <w:p>
      <w:pPr>
        <w:jc w:val="both"/>
        <w:ind w:firstLine="1304"/>
        <w:spacing w:after="0" w:line="268" w:lineRule="auto"/>
        <w:tabs>
          <w:tab w:leader="none" w:pos="1789" w:val="left"/>
        </w:tabs>
        <w:numPr>
          <w:ilvl w:val="0"/>
          <w:numId w:val="75"/>
        </w:numPr>
        <w:rPr>
          <w:rFonts w:ascii="Arial" w:cs="Arial" w:eastAsia="Arial" w:hAnsi="Arial"/>
          <w:sz w:val="19"/>
          <w:szCs w:val="19"/>
          <w:color w:val="auto"/>
        </w:rPr>
      </w:pPr>
      <w:r>
        <w:rPr>
          <w:rFonts w:ascii="Arial" w:cs="Arial" w:eastAsia="Arial" w:hAnsi="Arial"/>
          <w:sz w:val="19"/>
          <w:szCs w:val="19"/>
          <w:color w:val="auto"/>
        </w:rPr>
        <w:t>For purposes of calculating the Total Net Leverage Ratio, Senior Secured Net Leverage Ratio and First Lien Net Leverage Ratio, the proceeds of any Indebtedness permitted by testing any such ratios hereunder shall not be included on the date incurred (or on the date such ratio is tested with respect to such incurrence) as Unrestricted Cash.</w:t>
      </w:r>
    </w:p>
    <w:p>
      <w:pPr>
        <w:spacing w:after="0" w:line="132" w:lineRule="exact"/>
        <w:rPr>
          <w:rFonts w:ascii="Arial" w:cs="Arial" w:eastAsia="Arial" w:hAnsi="Arial"/>
          <w:sz w:val="19"/>
          <w:szCs w:val="19"/>
          <w:color w:val="auto"/>
        </w:rPr>
      </w:pPr>
    </w:p>
    <w:p>
      <w:pPr>
        <w:jc w:val="both"/>
        <w:ind w:firstLine="1304"/>
        <w:spacing w:after="0" w:line="246" w:lineRule="auto"/>
        <w:tabs>
          <w:tab w:leader="none" w:pos="1754"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with respect to any amounts incurred or transactions entered into (or consummated) in reliance on a provision of this Agreement that does not require compliance with a financial ratio or test (including pro forma compliance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hereof, any First Lien Net Leverage Ratio test, Senior Secured Net Leverage Ratio test, Total Net Leverage Ratio test or Interest Coverage Ratio test) (any such amounts, the “</w:t>
      </w:r>
      <w:r>
        <w:rPr>
          <w:rFonts w:ascii="Arial" w:cs="Arial" w:eastAsia="Arial" w:hAnsi="Arial"/>
          <w:sz w:val="19"/>
          <w:szCs w:val="19"/>
          <w:u w:val="single" w:color="auto"/>
          <w:color w:val="auto"/>
        </w:rPr>
        <w:t>Fixed Amounts</w:t>
      </w:r>
      <w:r>
        <w:rPr>
          <w:rFonts w:ascii="Arial" w:cs="Arial" w:eastAsia="Arial" w:hAnsi="Arial"/>
          <w:sz w:val="19"/>
          <w:szCs w:val="19"/>
          <w:color w:val="auto"/>
        </w:rPr>
        <w:t>”) substantially concurrently with any amounts incurred or transactions entered into (or consummated) in reliance on a provision of this Agreement that requires compliance with any such financial ratio or test (any such amounts, the “</w:t>
      </w:r>
      <w:r>
        <w:rPr>
          <w:rFonts w:ascii="Arial" w:cs="Arial" w:eastAsia="Arial" w:hAnsi="Arial"/>
          <w:sz w:val="19"/>
          <w:szCs w:val="19"/>
          <w:u w:val="single" w:color="auto"/>
          <w:color w:val="auto"/>
        </w:rPr>
        <w:t>Incurrence-Based Amounts</w:t>
      </w:r>
      <w:r>
        <w:rPr>
          <w:rFonts w:ascii="Arial" w:cs="Arial" w:eastAsia="Arial" w:hAnsi="Arial"/>
          <w:sz w:val="19"/>
          <w:szCs w:val="19"/>
          <w:color w:val="auto"/>
        </w:rPr>
        <w:t>”), it is understood and agreed that the Fixed Amounts (and any cash proceeds thereof) shall be disregarded in the calculation of the financial ratio or test applicable to the Incurrence-Based Amounts in connection with such substantially concurrent incurrence.</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1.06</w:t>
      </w:r>
      <w:r>
        <w:rPr>
          <w:sz w:val="20"/>
          <w:szCs w:val="20"/>
          <w:color w:val="auto"/>
        </w:rPr>
        <w:tab/>
      </w:r>
      <w:r>
        <w:rPr>
          <w:rFonts w:ascii="Arial" w:cs="Arial" w:eastAsia="Arial" w:hAnsi="Arial"/>
          <w:sz w:val="19"/>
          <w:szCs w:val="19"/>
          <w:u w:val="single" w:color="auto"/>
          <w:color w:val="auto"/>
        </w:rPr>
        <w:t>Currency Translation</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841"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For purposes of determining compliance as of any date after the Closing Date with </w:t>
      </w:r>
      <w:r>
        <w:rPr>
          <w:rFonts w:ascii="Arial" w:cs="Arial" w:eastAsia="Arial" w:hAnsi="Arial"/>
          <w:sz w:val="22"/>
          <w:szCs w:val="22"/>
          <w:u w:val="single" w:color="auto"/>
          <w:color w:val="auto"/>
        </w:rPr>
        <w:t>Section 5.12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6.05</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46" w:name="page147"/>
    <w:bookmarkEnd w:id="146"/>
    <w:p>
      <w:pPr>
        <w:jc w:val="both"/>
        <w:spacing w:after="0" w:line="218" w:lineRule="auto"/>
        <w:rPr>
          <w:sz w:val="20"/>
          <w:szCs w:val="20"/>
          <w:color w:val="auto"/>
        </w:rPr>
      </w:pPr>
      <w:r>
        <w:rPr>
          <w:rFonts w:ascii="Arial" w:cs="Arial" w:eastAsia="Arial" w:hAnsi="Arial"/>
          <w:sz w:val="22"/>
          <w:szCs w:val="22"/>
          <w:u w:val="single" w:color="auto"/>
          <w:color w:val="auto"/>
        </w:rPr>
        <w:t>Section 6.06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6.07</w:t>
      </w:r>
      <w:r>
        <w:rPr>
          <w:rFonts w:ascii="Arial" w:cs="Arial" w:eastAsia="Arial" w:hAnsi="Arial"/>
          <w:sz w:val="22"/>
          <w:szCs w:val="22"/>
          <w:color w:val="auto"/>
        </w:rPr>
        <w:t>, or, or for any other specified purpose hereunder, amounts incurred (or first committed, in the case of revolving credit debt), distributed, paid, invested or outstanding in currencies other than Dollars shall be translated into Dollars at the exchange rates in effect on such date, as such exchange rates shall be determined in good faith by the Borrower by reference to customary indices.</w:t>
      </w:r>
    </w:p>
    <w:p>
      <w:pPr>
        <w:spacing w:after="0" w:line="161" w:lineRule="exact"/>
        <w:rPr>
          <w:sz w:val="20"/>
          <w:szCs w:val="20"/>
          <w:color w:val="auto"/>
        </w:rPr>
      </w:pPr>
    </w:p>
    <w:p>
      <w:pPr>
        <w:jc w:val="both"/>
        <w:ind w:firstLine="1304"/>
        <w:spacing w:after="0" w:line="244" w:lineRule="auto"/>
        <w:tabs>
          <w:tab w:leader="none" w:pos="1787"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6.02</w:t>
      </w:r>
      <w:r>
        <w:rPr>
          <w:rFonts w:ascii="Arial" w:cs="Arial" w:eastAsia="Arial" w:hAnsi="Arial"/>
          <w:sz w:val="19"/>
          <w:szCs w:val="19"/>
          <w:color w:val="auto"/>
        </w:rPr>
        <w:t>, if Indebtedness is incurred or a Lien is granted to extend, replace, refund, refinance, renew or defease other Indebtedness (secured or otherwise) denominated in a foreign currency, and such extension, replacement, refunding, refinancing, renewal or defeasance would cause the applicable restriction to be exceeded if calculated at the relevant currency exchange rate in effect on the date of such extension, replacement, refunding, refinancing, renewal or defeasance, such restriction, to the extent such extension, replacement, refund, refinancing, ren</w:t>
      </w:r>
      <w:r>
        <w:rPr>
          <w:rFonts w:ascii="Arial" w:cs="Arial" w:eastAsia="Arial" w:hAnsi="Arial"/>
          <w:sz w:val="19"/>
          <w:szCs w:val="19"/>
          <w:u w:val="single" w:color="auto"/>
          <w:color w:val="0000FF"/>
        </w:rPr>
        <w:t>e</w:t>
      </w:r>
      <w:r>
        <w:rPr>
          <w:rFonts w:ascii="Arial" w:cs="Arial" w:eastAsia="Arial" w:hAnsi="Arial"/>
          <w:sz w:val="19"/>
          <w:szCs w:val="19"/>
          <w:color w:val="auto"/>
        </w:rPr>
        <w:t>wal or defeasance is in the same foreign currency, shall be deemed not to have been exceeded so long as the principal amount of such refinancing Indebtedness does not exceed the principal amount of such Indebtedness being extended, replaced, refunded, refinanced, renewed or defeased, plus the amount of any premium paid, and fees and expenses incurred, in connection with such extension, replacement, refunding refinancing, renewal or defeasance (including any fees and original issue discount incurred in respect of such resulting Indebtedness).</w:t>
      </w:r>
    </w:p>
    <w:p>
      <w:pPr>
        <w:spacing w:after="0" w:line="154" w:lineRule="exact"/>
        <w:rPr>
          <w:rFonts w:ascii="Arial" w:cs="Arial" w:eastAsia="Arial" w:hAnsi="Arial"/>
          <w:sz w:val="19"/>
          <w:szCs w:val="19"/>
          <w:color w:val="auto"/>
        </w:rPr>
      </w:pPr>
    </w:p>
    <w:p>
      <w:pPr>
        <w:jc w:val="both"/>
        <w:ind w:firstLine="1304"/>
        <w:spacing w:after="0" w:line="246" w:lineRule="auto"/>
        <w:tabs>
          <w:tab w:leader="none" w:pos="1771"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6.07</w:t>
      </w:r>
      <w:r>
        <w:rPr>
          <w:rFonts w:ascii="Arial" w:cs="Arial" w:eastAsia="Arial" w:hAnsi="Arial"/>
          <w:sz w:val="19"/>
          <w:szCs w:val="19"/>
          <w:color w:val="auto"/>
        </w:rPr>
        <w:t>, with respect to any amounts incurred, paid, distributed or invested in a currency other than Dollars, no Default or Event of Default shall be deemed to have occurred solely as a result of changes in rates of currency exchange occurring after the time a Holding Company or one of its Restricted Subsidiaries is contractually obligated with respect to such incurrence, payment, distribution or investment (so long as, in the case of a contractual obligation, at the time of entering into the contract with respect to such incurrence, payment, distribution or investment, it was permitted hereunder) and once contractually obligated to be incurred, paid, distributed or invested, such amount shall be always deemed to be at the Dollar amount on such date, regardless of later changes in currency exchange rates.</w:t>
      </w:r>
    </w:p>
    <w:p>
      <w:pPr>
        <w:spacing w:after="0" w:line="152" w:lineRule="exact"/>
        <w:rPr>
          <w:rFonts w:ascii="Arial" w:cs="Arial" w:eastAsia="Arial" w:hAnsi="Arial"/>
          <w:sz w:val="19"/>
          <w:szCs w:val="19"/>
          <w:color w:val="auto"/>
        </w:rPr>
      </w:pPr>
    </w:p>
    <w:p>
      <w:pPr>
        <w:jc w:val="both"/>
        <w:ind w:firstLine="1304"/>
        <w:spacing w:after="0" w:line="246" w:lineRule="auto"/>
        <w:tabs>
          <w:tab w:leader="none" w:pos="1936"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the First Lien Net Leverage Ratio, Senior Secured Net Leverage Ratio, Total Net Leverage Ratio or Interest Coverage Ratio on any date of determination, amounts denominated in a currency other than Dollars will be translated into Dollars (i) with respect to income statement items, at the currency exchange rates used in calculating Consolidated Net Income in the latest financial statements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(ii) with respect to balance sheet items, at the currency exchange rates used in calculating balance sheet items in the latest financial statements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will, in the case of Indebtedness, reflect the currency translation effects, determined in accordance with GAAP, of Swap Agreements permitted hereunder for currency exchange risks with respect to the applicable currency in effect on the date of determination of the Dollar Equivalent of such Indebtedness.</w:t>
      </w:r>
    </w:p>
    <w:p>
      <w:pPr>
        <w:spacing w:after="0" w:line="152"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u w:val="single" w:color="auto"/>
          <w:color w:val="auto"/>
        </w:rPr>
        <w:t>Section 1.07 Rounding</w:t>
      </w:r>
      <w:r>
        <w:rPr>
          <w:rFonts w:ascii="Arial" w:cs="Arial" w:eastAsia="Arial" w:hAnsi="Arial"/>
          <w:sz w:val="22"/>
          <w:szCs w:val="22"/>
          <w:color w:val="auto"/>
        </w:rPr>
        <w:t>. Any financial ratios required to be maintained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for five). For example, if the relevant ratio is to be calculated to the hundredth decimal place and the calculation of the ratio is 5.125, the ratio will be rounded up to 5.13.</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u w:val="single" w:color="auto"/>
          <w:color w:val="auto"/>
        </w:rPr>
        <w:t>Section 1.08 Timing of Payment or Performance</w:t>
      </w:r>
      <w:r>
        <w:rPr>
          <w:rFonts w:ascii="Arial" w:cs="Arial" w:eastAsia="Arial" w:hAnsi="Arial"/>
          <w:sz w:val="22"/>
          <w:szCs w:val="22"/>
          <w:color w:val="auto"/>
        </w:rPr>
        <w:t>. When the payment of any obligation or the performance of any covenant, duty or obligation is stated to be due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47" w:name="page148"/>
    <w:bookmarkEnd w:id="147"/>
    <w:p>
      <w:pPr>
        <w:jc w:val="both"/>
        <w:spacing w:after="0" w:line="223" w:lineRule="auto"/>
        <w:rPr>
          <w:sz w:val="20"/>
          <w:szCs w:val="20"/>
          <w:color w:val="auto"/>
        </w:rPr>
      </w:pPr>
      <w:r>
        <w:rPr>
          <w:rFonts w:ascii="Arial" w:cs="Arial" w:eastAsia="Arial" w:hAnsi="Arial"/>
          <w:sz w:val="22"/>
          <w:szCs w:val="22"/>
          <w:color w:val="auto"/>
        </w:rPr>
        <w:t>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w:t>
      </w:r>
    </w:p>
    <w:p>
      <w:pPr>
        <w:spacing w:after="0" w:line="15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u w:val="single" w:color="auto"/>
          <w:color w:val="auto"/>
        </w:rPr>
        <w:t>Section 1.09 Letter of Credit Amounts</w:t>
      </w:r>
      <w:r>
        <w:rPr>
          <w:rFonts w:ascii="Arial" w:cs="Arial" w:eastAsia="Arial" w:hAnsi="Arial"/>
          <w:sz w:val="19"/>
          <w:szCs w:val="19"/>
          <w:color w:val="auto"/>
        </w:rPr>
        <w:t xml:space="preserve">. Unless otherwise specified herein, the amount of a Letter of Credit at any time shall be deemed to be 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Letter of Credit that, by its terms or the terms of any Letter of Credit Application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any reason of the operation of Rule 3.14 of the ISP, such Letter of Credit shall be deemed to be “outstanding” in the amount so remaining available to be drawn.</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auto"/>
        </w:rPr>
        <w:t>Section 1.10 Certifications</w:t>
      </w:r>
      <w:r>
        <w:rPr>
          <w:rFonts w:ascii="Arial" w:cs="Arial" w:eastAsia="Arial" w:hAnsi="Arial"/>
          <w:sz w:val="22"/>
          <w:szCs w:val="22"/>
          <w:color w:val="auto"/>
        </w:rPr>
        <w:t>. All certifications to be made hereunder by an officer or representative of a Loan Party shall be made by such a Person in his or her capacity solely as an officer or a representative of such Loan Party, on such Loan Party’s behalf and not in such Person’s individual capacity.</w:t>
      </w:r>
    </w:p>
    <w:p>
      <w:pPr>
        <w:spacing w:after="0" w:line="15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u w:val="single" w:color="auto"/>
          <w:color w:val="auto"/>
        </w:rPr>
        <w:t>Section 1.11 Compliance with Article VI</w:t>
      </w:r>
      <w:r>
        <w:rPr>
          <w:rFonts w:ascii="Arial" w:cs="Arial" w:eastAsia="Arial" w:hAnsi="Arial"/>
          <w:sz w:val="19"/>
          <w:szCs w:val="19"/>
          <w:color w:val="auto"/>
        </w:rPr>
        <w:t xml:space="preserve"> . In the event that any transaction permitted pursuant to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(whether at the time of incurrence or upon application of all or a portion of the proceeds thereof) meets the criteria of one or more than one of the categories of transactions then permitted pursuant to any clause of such Sections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(within the same negative covenant), the Borrower, in its sole discretion, may classify or (solely in the case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(other than any amounts incurred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(r)</w:t>
      </w:r>
      <w:r>
        <w:rPr>
          <w:rFonts w:ascii="Arial" w:cs="Arial" w:eastAsia="Arial" w:hAnsi="Arial"/>
          <w:sz w:val="19"/>
          <w:szCs w:val="19"/>
          <w:color w:val="auto"/>
        </w:rPr>
        <w:t xml:space="preserve"> thereof),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(other than any amounts incurred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w:t>
      </w:r>
    </w:p>
    <w:p>
      <w:pPr>
        <w:spacing w:after="0" w:line="1" w:lineRule="exact"/>
        <w:rPr>
          <w:sz w:val="20"/>
          <w:szCs w:val="20"/>
          <w:color w:val="auto"/>
        </w:rPr>
      </w:pPr>
    </w:p>
    <w:p>
      <w:pPr>
        <w:jc w:val="both"/>
        <w:ind w:firstLine="8"/>
        <w:spacing w:after="0" w:line="251" w:lineRule="auto"/>
        <w:tabs>
          <w:tab w:leader="none" w:pos="423" w:val="left"/>
        </w:tabs>
        <w:numPr>
          <w:ilvl w:val="0"/>
          <w:numId w:val="78"/>
        </w:numPr>
        <w:rPr>
          <w:rFonts w:ascii="Arial" w:cs="Arial" w:eastAsia="Arial" w:hAnsi="Arial"/>
          <w:sz w:val="19"/>
          <w:szCs w:val="19"/>
          <w:u w:val="single" w:color="auto"/>
          <w:color w:val="auto"/>
        </w:rPr>
      </w:pPr>
      <w:r>
        <w:rPr>
          <w:rFonts w:ascii="Arial" w:cs="Arial" w:eastAsia="Arial" w:hAnsi="Arial"/>
          <w:sz w:val="19"/>
          <w:szCs w:val="19"/>
          <w:color w:val="auto"/>
        </w:rPr>
        <w:t xml:space="preserve">thereof),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reclassify (or later divide, classify or reclassify) such transaction and shall only be required to include the amount and type of such transaction in one of such clauses. Accrual of interest or dividends, the accretion of accreted value, the accretion or amortization of original issue discount and the payment of interest, premium, fees or expenses, in the form of additional Indebtedness shall not be deemed to be an incurrence of Indebtedness for purposes of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48"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u w:val="single" w:color="auto"/>
          <w:color w:val="auto"/>
        </w:rPr>
        <w:t>Section 1.12 Limited Condition Acquisition</w:t>
      </w:r>
      <w:r>
        <w:rPr>
          <w:rFonts w:ascii="Arial" w:cs="Arial" w:eastAsia="Arial" w:hAnsi="Arial"/>
          <w:sz w:val="19"/>
          <w:szCs w:val="19"/>
          <w:color w:val="auto"/>
        </w:rPr>
        <w:t xml:space="preserve">. Solely for the purpose of (i) measuring the relevant ratios and baskets (including, for the avoidance of doubt, any basket measured as a percentage of LTM EBITDA or Consolidated Total Assets and, for the avoidance of doubt including with respect to the incurrence of any Indebtedness (including any Incremental Loans), Liens, the making of any Acquisitions or other Investments, Restricted Payments, prepayments of Indebtedness or asset sales, in each case, in connection with a Limited Condition Acquisition) or (ii) determining compliance with the representations and warranties or the occurrence of any Default or Event of Default, in each case, in connection with a Limited Condition Acquisition, if the Borrower makes an LCA Election, the Applicable Date of Determination in determining whether any such Limited Condition Acquisition is permitted shall be deemed to be the LCA Test Date, and if, after giving effect to the Limited Condition Acquisition and the other transactions to be entered into in connection therewith as if they had occurred as of the Applicable Date of Determination, ending prior to the LCA Test Date on a Pro Forma Basis, the Borrower could have taken such action on the relevant LCA Test Date in compliance with any such ratio or basket (other than for the purposes of calculating actual compliance (and not pro forma compliance or compliance on a Pro Forma Basis) with </w:t>
      </w:r>
      <w:r>
        <w:rPr>
          <w:rFonts w:ascii="Arial" w:cs="Arial" w:eastAsia="Arial" w:hAnsi="Arial"/>
          <w:sz w:val="19"/>
          <w:szCs w:val="19"/>
          <w:u w:val="single" w:color="auto"/>
          <w:color w:val="auto"/>
        </w:rPr>
        <w:t>Section 6.11</w:t>
      </w:r>
      <w:r>
        <w:rPr>
          <w:rFonts w:ascii="Arial" w:cs="Arial" w:eastAsia="Arial" w:hAnsi="Arial"/>
          <w:sz w:val="19"/>
          <w:szCs w:val="19"/>
          <w:color w:val="auto"/>
        </w:rPr>
        <w:t>), such ratio or basket shall be deemed to have been complied with. If the Borrower has made an LCA Election for any Limited Condition Acquisition, then in connection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48" w:name="page149"/>
    <w:bookmarkEnd w:id="148"/>
    <w:p>
      <w:pPr>
        <w:jc w:val="both"/>
        <w:spacing w:after="0" w:line="219" w:lineRule="auto"/>
        <w:rPr>
          <w:sz w:val="20"/>
          <w:szCs w:val="20"/>
          <w:color w:val="auto"/>
        </w:rPr>
      </w:pPr>
      <w:r>
        <w:rPr>
          <w:rFonts w:ascii="Arial" w:cs="Arial" w:eastAsia="Arial" w:hAnsi="Arial"/>
          <w:sz w:val="21"/>
          <w:szCs w:val="21"/>
          <w:color w:val="auto"/>
        </w:rPr>
        <w:t>subsequent calculation of any ratio or basket on or following the relevant LCA Test Date and prior to the earlier of (i) the date on which such Limited Condition Acquisition is consummated or (ii) the date that the definitive agreement for such Limited Condition Acquisition is terminated or expires without consummation of such Limited Condition Acquisition, any such ratio or basket shall be calculated and tested on a Pro Forma Basis assuming such Limited Condition Acquisition and other pro forma events in connection therewith (including any incurrence of Indebtedness and the use of proceeds thereof) have been consummated until such time as the applicable Limited Condition Acquisition has actually closed or the definitive agreement with respect thereto has been terminated. For the avoidance of doubt, if the Borrower has made an LCA Election and any of the ratios or baskets for which compliance was determined or tested as of LCA Test Date (including with respect to the incurrence of any Indebtedness) are not satisfied as a result of fluctuations in any such ratio or basket (including due to fluctuations in Consolidated EBITDA calculated on a Pro Forma Basis, including the target of any Limited Condition Acquisition) at or prior to the consummation of the relevant transaction or action, such baskets or ratios will not be deemed to have been unsatisfied as a result of such fluctuations; however, if any ratios or baskets improve as a result of such fluctuations, such improved ratios or baskets may be utilized.</w:t>
      </w:r>
    </w:p>
    <w:p>
      <w:pPr>
        <w:spacing w:after="0" w:line="15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u w:val="single" w:color="auto"/>
          <w:color w:val="auto"/>
        </w:rPr>
        <w:t>Section 1.13 Cashless Rollovers</w:t>
      </w:r>
      <w:r>
        <w:rPr>
          <w:rFonts w:ascii="Arial" w:cs="Arial" w:eastAsia="Arial" w:hAnsi="Arial"/>
          <w:sz w:val="21"/>
          <w:szCs w:val="21"/>
          <w:color w:val="auto"/>
        </w:rPr>
        <w:t>. Notwithstanding anything to the contrary contained in this Agreement or in any other Loan Document, to the extent that any Lender extends the maturity date of, or replaces, renews or refinances, any of its then-existing Loans with an Incremental Credit Facility, Credit Agreement Refinancing Indebtedness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64"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Section 1.14 Division of LLCs. Any reference herein to a merger, transfer, consolidation, amalgamation,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 “</w:t>
      </w:r>
      <w:r>
        <w:rPr>
          <w:rFonts w:ascii="Arial" w:cs="Arial" w:eastAsia="Arial" w:hAnsi="Arial"/>
          <w:sz w:val="19"/>
          <w:szCs w:val="19"/>
          <w:u w:val="single" w:color="auto"/>
          <w:color w:val="auto"/>
        </w:rPr>
        <w:t>Division</w:t>
      </w:r>
      <w:r>
        <w:rPr>
          <w:rFonts w:ascii="Arial" w:cs="Arial" w:eastAsia="Arial" w:hAnsi="Arial"/>
          <w:sz w:val="19"/>
          <w:szCs w:val="19"/>
          <w:color w:val="auto"/>
        </w:rPr>
        <w:t>”),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Restricted Subsidiary, Unrestricted Subsidiary, joint venture or any other like term shall also constitute such a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-856615</wp:posOffset>
            </wp:positionV>
            <wp:extent cx="20008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2000885" cy="8255"/>
                    </a:xfrm>
                    <a:prstGeom prst="rect">
                      <a:avLst/>
                    </a:prstGeom>
                    <a:noFill/>
                  </pic:spPr>
                </pic:pic>
              </a:graphicData>
            </a:graphic>
          </wp:anchor>
        </w:drawing>
      </w:r>
    </w:p>
    <w:p>
      <w:pPr>
        <w:spacing w:after="0" w:line="11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II</w:t>
      </w:r>
    </w:p>
    <w:p>
      <w:pPr>
        <w:ind w:left="5120"/>
        <w:spacing w:after="0"/>
        <w:rPr>
          <w:sz w:val="20"/>
          <w:szCs w:val="20"/>
          <w:color w:val="auto"/>
        </w:rPr>
      </w:pPr>
      <w:r>
        <w:rPr>
          <w:rFonts w:ascii="Arial" w:cs="Arial" w:eastAsia="Arial" w:hAnsi="Arial"/>
          <w:sz w:val="22"/>
          <w:szCs w:val="22"/>
          <w:u w:val="single" w:color="auto"/>
          <w:color w:val="auto"/>
        </w:rPr>
        <w:t>The Credits</w:t>
      </w:r>
    </w:p>
    <w:p>
      <w:pPr>
        <w:spacing w:after="0" w:line="16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u w:val="single" w:color="auto"/>
          <w:color w:val="auto"/>
        </w:rPr>
        <w:t>Section 2.01 Commitments</w:t>
      </w:r>
      <w:r>
        <w:rPr>
          <w:rFonts w:ascii="Arial" w:cs="Arial" w:eastAsia="Arial" w:hAnsi="Arial"/>
          <w:sz w:val="19"/>
          <w:szCs w:val="19"/>
          <w:color w:val="auto"/>
        </w:rPr>
        <w:t xml:space="preserve">. Subject to the terms and express conditions set forth herein, (a) each applicable Term Lender severally agrees to make a Term Loan to the Borrower on the Closing Date in Dollars in an aggregate principal amount equal to its Term Commitment and (b) each Revolving Lender severally agrees to make Revolving Loans to the Borrower from time to time during the Revolving Availability Period in Dollars in an aggregate principal amount such that its Revolving Exposure will not exceed its Revolving Commitment. Within the foregoing limits and subject to the terms and express conditions set forth herein, the Borrower may borrow, prepay and reborrow Revolving Loans (without premium or penalty except as set forth in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Amounts repaid or prepaid in respect of Term Loans may not be reborrowed. The Term Commitments will terminate in full upon the making of the Loans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The Initial Term Loans funded on the Closing Date will be funded with original issue discount in an amount equal to 99.75% of the par principal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49" w:name="page150"/>
    <w:bookmarkEnd w:id="149"/>
    <w:p>
      <w:pPr>
        <w:jc w:val="both"/>
        <w:spacing w:after="0" w:line="298" w:lineRule="auto"/>
        <w:rPr>
          <w:sz w:val="20"/>
          <w:szCs w:val="20"/>
          <w:color w:val="auto"/>
        </w:rPr>
      </w:pPr>
      <w:r>
        <w:rPr>
          <w:rFonts w:ascii="Arial" w:cs="Arial" w:eastAsia="Arial" w:hAnsi="Arial"/>
          <w:sz w:val="19"/>
          <w:szCs w:val="19"/>
          <w:color w:val="auto"/>
        </w:rPr>
        <w:t>thereof (it being agreed that the Borrower shall be obligated to repay 100% of the principal amount of the Initial Term Loans and interest shall accrue on 100% of the principal amount of the Initial Term Loans, in each case as provided herein).</w:t>
      </w:r>
    </w:p>
    <w:p>
      <w:pPr>
        <w:spacing w:after="0" w:line="105"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Subject to the terms and conditions hereof and of the First Incremental Credit Facility Amendment, the 2019 Incremental Lender named in the First Incremental Credit Facility Amendment agrees to make a 2019 Incremental Funding Term Loan to the Borrower in a single drawing on the First Amendment Funding Date in Dollars and in an amount not to exceed the amount of the 2019 Incremental Funding Term Loan Commitment on the First Amendment Funding Date. Amounts repaid or prepaid in respect of 2019 Incremental Term Loans may not be reborrowed. The 2019 Incremental Funding Term Loan Commitment will terminate in full upon the drawing of the 2019 Incremental Funding Term Loans on the First Amendment Funding Date referred to in clause (i) of the first sentence of this paragraph above. The 2019 Incremental Funding Term Loans funded on the First Amendment Funding Date will be funded with original issue discount in an amount equal to 0.25% of the par principal amount thereof (it being agreed that the Borrower shall be obligated to repay 100% of the principal amount of the 2019 Incremental Term Loans and interest shall accrue on 100% of the principal amount of the 2019 Incremental Term Loans, in each case as provided herein).</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2.02</w:t>
      </w:r>
      <w:r>
        <w:rPr>
          <w:sz w:val="20"/>
          <w:szCs w:val="20"/>
          <w:color w:val="auto"/>
        </w:rPr>
        <w:tab/>
      </w:r>
      <w:r>
        <w:rPr>
          <w:rFonts w:ascii="Arial" w:cs="Arial" w:eastAsia="Arial" w:hAnsi="Arial"/>
          <w:sz w:val="19"/>
          <w:szCs w:val="19"/>
          <w:u w:val="single" w:color="auto"/>
          <w:color w:val="auto"/>
        </w:rPr>
        <w:t>Loans and Borrowings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6" w:lineRule="auto"/>
        <w:tabs>
          <w:tab w:leader="none" w:pos="1766"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Each Loan shall be made as part of a Borrowing consisting of Loans of the same Class and Type made to the Borrower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Commitments of the Lenders are several and no Lender shall be responsible for any other Lender’s failure to make Loans as required.</w:t>
      </w:r>
    </w:p>
    <w:p>
      <w:pPr>
        <w:spacing w:after="0" w:line="157" w:lineRule="exact"/>
        <w:rPr>
          <w:rFonts w:ascii="Arial" w:cs="Arial" w:eastAsia="Arial" w:hAnsi="Arial"/>
          <w:sz w:val="22"/>
          <w:szCs w:val="22"/>
          <w:color w:val="auto"/>
        </w:rPr>
      </w:pPr>
    </w:p>
    <w:p>
      <w:pPr>
        <w:jc w:val="both"/>
        <w:ind w:firstLine="1304"/>
        <w:spacing w:after="0" w:line="249" w:lineRule="auto"/>
        <w:tabs>
          <w:tab w:leader="none" w:pos="1790"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Each Revolving Loan Borrowing </w:t>
      </w:r>
      <w:r>
        <w:rPr>
          <w:rFonts w:ascii="Arial" w:cs="Arial" w:eastAsia="Arial" w:hAnsi="Arial"/>
          <w:sz w:val="19"/>
          <w:szCs w:val="19"/>
          <w:color w:val="FF0000"/>
          <w:strike w:val="1"/>
        </w:rPr>
        <w:t>and</w:t>
      </w:r>
      <w:r>
        <w:rPr>
          <w:rFonts w:ascii="Arial" w:cs="Arial" w:eastAsia="Arial" w:hAnsi="Arial"/>
          <w:sz w:val="19"/>
          <w:szCs w:val="19"/>
          <w:u w:val="single" w:color="auto"/>
          <w:color w:val="0000FF"/>
        </w:rPr>
        <w:t>shall be comprised entirely of ABR Loans or Term SOFR Loans as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Borrower may request in accordance herewith.</w:t>
      </w:r>
      <w:r>
        <w:rPr>
          <w:rFonts w:ascii="Arial" w:cs="Arial" w:eastAsia="Arial" w:hAnsi="Arial"/>
          <w:sz w:val="19"/>
          <w:szCs w:val="19"/>
          <w:color w:val="0000FF"/>
        </w:rPr>
        <w:t xml:space="preserve"> </w:t>
      </w:r>
      <w:r>
        <w:rPr>
          <w:rFonts w:ascii="Arial" w:cs="Arial" w:eastAsia="Arial" w:hAnsi="Arial"/>
          <w:sz w:val="19"/>
          <w:szCs w:val="19"/>
          <w:color w:val="FF0000"/>
          <w:strike w:val="1"/>
        </w:rPr>
        <w:t>e</w:t>
      </w:r>
      <w:r>
        <w:rPr>
          <w:rFonts w:ascii="Arial" w:cs="Arial" w:eastAsia="Arial" w:hAnsi="Arial"/>
          <w:sz w:val="19"/>
          <w:szCs w:val="19"/>
          <w:u w:val="single" w:color="auto"/>
          <w:color w:val="0000FF"/>
        </w:rPr>
        <w:t>E</w:t>
      </w:r>
      <w:r>
        <w:rPr>
          <w:rFonts w:ascii="Arial" w:cs="Arial" w:eastAsia="Arial" w:hAnsi="Arial"/>
          <w:sz w:val="19"/>
          <w:szCs w:val="19"/>
          <w:color w:val="000000"/>
        </w:rPr>
        <w:t>ach Term Loan Borrowing shall be comprised entirely of ABR Loans or</w:t>
      </w:r>
      <w:r>
        <w:rPr>
          <w:rFonts w:ascii="Arial" w:cs="Arial" w:eastAsia="Arial" w:hAnsi="Arial"/>
          <w:sz w:val="19"/>
          <w:szCs w:val="19"/>
          <w:color w:val="0000FF"/>
        </w:rPr>
        <w:t xml:space="preserve"> </w:t>
      </w:r>
      <w:r>
        <w:rPr>
          <w:rFonts w:ascii="Arial" w:cs="Arial" w:eastAsia="Arial" w:hAnsi="Arial"/>
          <w:sz w:val="19"/>
          <w:szCs w:val="19"/>
          <w:color w:val="000000"/>
        </w:rPr>
        <w:t xml:space="preserve">Eurocurrency Loans as the Borrower may request in accordance herewith. Each Swingline Loan shall be an ABR Loan and shall be denominated in Dollars. Each Lender at its option may make any Eurocurrency Loan </w:t>
      </w:r>
      <w:r>
        <w:rPr>
          <w:rFonts w:ascii="Arial" w:cs="Arial" w:eastAsia="Arial" w:hAnsi="Arial"/>
          <w:sz w:val="19"/>
          <w:szCs w:val="19"/>
          <w:u w:val="single" w:color="auto"/>
          <w:color w:val="0000FF"/>
        </w:rPr>
        <w:t>or Term SOFR Loan</w:t>
      </w:r>
      <w:r>
        <w:rPr>
          <w:rFonts w:ascii="Arial" w:cs="Arial" w:eastAsia="Arial" w:hAnsi="Arial"/>
          <w:sz w:val="19"/>
          <w:szCs w:val="19"/>
          <w:color w:val="000000"/>
        </w:rPr>
        <w:t xml:space="preserve"> by causing any domestic or foreign branch or Affiliate of such Lender to make such Loan;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any exercise of such option shall not affect the obligation of the Borrower to repay such Loan in accordance with the terms of this Agreement.</w:t>
      </w:r>
    </w:p>
    <w:p>
      <w:pPr>
        <w:spacing w:after="0" w:line="151" w:lineRule="exact"/>
        <w:rPr>
          <w:rFonts w:ascii="Arial" w:cs="Arial" w:eastAsia="Arial" w:hAnsi="Arial"/>
          <w:sz w:val="19"/>
          <w:szCs w:val="19"/>
          <w:color w:val="auto"/>
        </w:rPr>
      </w:pPr>
    </w:p>
    <w:p>
      <w:pPr>
        <w:jc w:val="both"/>
        <w:ind w:firstLine="1304"/>
        <w:spacing w:after="0" w:line="221" w:lineRule="auto"/>
        <w:tabs>
          <w:tab w:leader="none" w:pos="1809" w:val="left"/>
        </w:tabs>
        <w:numPr>
          <w:ilvl w:val="0"/>
          <w:numId w:val="79"/>
        </w:numPr>
        <w:rPr>
          <w:rFonts w:ascii="Arial" w:cs="Arial" w:eastAsia="Arial" w:hAnsi="Arial"/>
          <w:sz w:val="21"/>
          <w:szCs w:val="21"/>
          <w:color w:val="auto"/>
        </w:rPr>
      </w:pPr>
      <w:r>
        <w:rPr>
          <w:rFonts w:ascii="Arial" w:cs="Arial" w:eastAsia="Arial" w:hAnsi="Arial"/>
          <w:sz w:val="21"/>
          <w:szCs w:val="21"/>
          <w:color w:val="auto"/>
        </w:rPr>
        <w:t xml:space="preserve">At the commencement of each Interest Period for any Eurocurrency Borrowing </w:t>
      </w:r>
      <w:r>
        <w:rPr>
          <w:rFonts w:ascii="Arial" w:cs="Arial" w:eastAsia="Arial" w:hAnsi="Arial"/>
          <w:sz w:val="21"/>
          <w:szCs w:val="21"/>
          <w:color w:val="0000FF"/>
        </w:rPr>
        <w:t>or Term SOFR Borrowing</w:t>
      </w:r>
      <w:r>
        <w:rPr>
          <w:rFonts w:ascii="Arial" w:cs="Arial" w:eastAsia="Arial" w:hAnsi="Arial"/>
          <w:sz w:val="21"/>
          <w:szCs w:val="21"/>
          <w:color w:val="auto"/>
        </w:rPr>
        <w:t xml:space="preserve">, such Borrowing shall be in an aggregate amount that is an integral multiple of $1,000,000 (or, if not an integral multiple, the entire available amount) and not less than $2,000,000. At the time that each ABR Borrowing is made, such Borrowing shall be in an aggregate amount that is an integral multiple of $500,000 and not less than $1,000,000. Borrowings of more than one Type and Class may be outstanding at the same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there shall not at any time be more than a total of ten (10) Eurocurrency Borrowings </w:t>
      </w:r>
      <w:r>
        <w:rPr>
          <w:rFonts w:ascii="Arial" w:cs="Arial" w:eastAsia="Arial" w:hAnsi="Arial"/>
          <w:sz w:val="21"/>
          <w:szCs w:val="21"/>
          <w:u w:val="single" w:color="auto"/>
          <w:color w:val="0000FF"/>
        </w:rPr>
        <w:t>or ten (10) Term SOFR Borrowings</w:t>
      </w:r>
      <w:r>
        <w:rPr>
          <w:rFonts w:ascii="Arial" w:cs="Arial" w:eastAsia="Arial" w:hAnsi="Arial"/>
          <w:sz w:val="21"/>
          <w:szCs w:val="21"/>
          <w:color w:val="auto"/>
        </w:rPr>
        <w:t xml:space="preserve"> outstanding. Each Swingline Loan shall be in an amount that is an integral multiple of $250,000 and not less than $500,000. Notwithstanding anything to the contrary herein, the Revolving Loans comprising any Borrowing may be in an aggregate amount that is equal to the entire unused balance of the aggregate Revolving Commitments.</w:t>
      </w:r>
    </w:p>
    <w:p>
      <w:pPr>
        <w:spacing w:after="0" w:line="158" w:lineRule="exact"/>
        <w:rPr>
          <w:rFonts w:ascii="Arial" w:cs="Arial" w:eastAsia="Arial" w:hAnsi="Arial"/>
          <w:sz w:val="21"/>
          <w:szCs w:val="21"/>
          <w:color w:val="auto"/>
        </w:rPr>
      </w:pPr>
    </w:p>
    <w:p>
      <w:pPr>
        <w:jc w:val="both"/>
        <w:ind w:firstLine="1304"/>
        <w:spacing w:after="0" w:line="218" w:lineRule="auto"/>
        <w:tabs>
          <w:tab w:leader="none" w:pos="1819" w:val="left"/>
        </w:tabs>
        <w:numPr>
          <w:ilvl w:val="0"/>
          <w:numId w:val="79"/>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Borrower shall not be entitled to request, or to elect to convert or continue, any Borrowing if the Interest Period requested with respect thereto would end after the applicable Revolving Termination Date (in the case of such Revolving Loan) or the Term Loan Maturity Date applicable to such Borrowing (in the case of such Term Loan),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5593080</wp:posOffset>
            </wp:positionH>
            <wp:positionV relativeFrom="paragraph">
              <wp:posOffset>-1812290</wp:posOffset>
            </wp:positionV>
            <wp:extent cx="15100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510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50" w:name="page151"/>
    <w:bookmarkEnd w:id="150"/>
    <w:p>
      <w:pPr>
        <w:jc w:val="both"/>
        <w:ind w:firstLine="1304"/>
        <w:spacing w:after="0" w:line="218" w:lineRule="auto"/>
        <w:tabs>
          <w:tab w:leader="none" w:pos="1863"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The obligations of the Revolving Lenders hereunder to make Revolving Loans, to fund participations in Letters of Credit and to make payments pursuant to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c) are several and not joint (it being understood that the foregoing shall in no way be in derogation of the reallocation of participations in Letters of Credit among the Revolving Lenders contemplated by </w:t>
      </w:r>
      <w:r>
        <w:rPr>
          <w:rFonts w:ascii="Arial" w:cs="Arial" w:eastAsia="Arial" w:hAnsi="Arial"/>
          <w:sz w:val="22"/>
          <w:szCs w:val="22"/>
          <w:u w:val="single" w:color="auto"/>
          <w:color w:val="auto"/>
        </w:rPr>
        <w:t>Section 2.22(a)(iv)</w:t>
      </w:r>
      <w:r>
        <w:rPr>
          <w:rFonts w:ascii="Arial" w:cs="Arial" w:eastAsia="Arial" w:hAnsi="Arial"/>
          <w:sz w:val="22"/>
          <w:szCs w:val="22"/>
          <w:color w:val="auto"/>
        </w:rPr>
        <w:t>).</w:t>
      </w:r>
    </w:p>
    <w:p>
      <w:pPr>
        <w:spacing w:after="0" w:line="161"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u w:val="single" w:color="auto"/>
          <w:color w:val="auto"/>
        </w:rPr>
        <w:t>Section 2.03 Requests for Borrowings</w:t>
      </w:r>
      <w:r>
        <w:rPr>
          <w:rFonts w:ascii="Arial" w:cs="Arial" w:eastAsia="Arial" w:hAnsi="Arial"/>
          <w:sz w:val="21"/>
          <w:szCs w:val="21"/>
          <w:color w:val="auto"/>
        </w:rPr>
        <w:t xml:space="preserve">. To request a Borrowing, the Borrower shall notify the Administrative Agent by hand delivery, electronic communication (including Adobe pdf file) or facsimile of a written Borrowing Request signed by the Borrower by (a) in the case of a Eurocurrency Borrowing </w:t>
      </w:r>
      <w:r>
        <w:rPr>
          <w:rFonts w:ascii="Arial" w:cs="Arial" w:eastAsia="Arial" w:hAnsi="Arial"/>
          <w:sz w:val="21"/>
          <w:szCs w:val="21"/>
          <w:color w:val="0000FF"/>
        </w:rPr>
        <w:t>or Term SOFR Borrowing</w:t>
      </w:r>
      <w:r>
        <w:rPr>
          <w:rFonts w:ascii="Arial" w:cs="Arial" w:eastAsia="Arial" w:hAnsi="Arial"/>
          <w:sz w:val="21"/>
          <w:szCs w:val="21"/>
          <w:color w:val="auto"/>
        </w:rPr>
        <w:t xml:space="preserve">, not later than 11:00 a.m., New York City time, three (3) Business Days before the date of the proposed Borrowing or (b) in the case of an ABR Borrowing </w:t>
      </w:r>
      <w:r>
        <w:rPr>
          <w:rFonts w:ascii="Arial" w:cs="Arial" w:eastAsia="Arial" w:hAnsi="Arial"/>
          <w:sz w:val="21"/>
          <w:szCs w:val="21"/>
          <w:color w:val="0000FF"/>
        </w:rPr>
        <w:t>or a</w:t>
      </w:r>
      <w:r>
        <w:rPr>
          <w:rFonts w:ascii="Arial" w:cs="Arial" w:eastAsia="Arial" w:hAnsi="Arial"/>
          <w:sz w:val="21"/>
          <w:szCs w:val="21"/>
          <w:color w:val="auto"/>
        </w:rPr>
        <w:t xml:space="preserve"> </w:t>
      </w:r>
      <w:r>
        <w:rPr>
          <w:rFonts w:ascii="Arial" w:cs="Arial" w:eastAsia="Arial" w:hAnsi="Arial"/>
          <w:sz w:val="21"/>
          <w:szCs w:val="21"/>
          <w:u w:val="single" w:color="auto"/>
          <w:color w:val="0000FF"/>
        </w:rPr>
        <w:t>Borrowing of a Daily SOFR Loan</w:t>
      </w:r>
      <w:r>
        <w:rPr>
          <w:rFonts w:ascii="Arial" w:cs="Arial" w:eastAsia="Arial" w:hAnsi="Arial"/>
          <w:sz w:val="21"/>
          <w:szCs w:val="21"/>
          <w:color w:val="000000"/>
        </w:rPr>
        <w:t>, not later than 11:00 a.m., New York City time, one (1) Business Day before the date of the</w:t>
      </w:r>
      <w:r>
        <w:rPr>
          <w:rFonts w:ascii="Arial" w:cs="Arial" w:eastAsia="Arial" w:hAnsi="Arial"/>
          <w:sz w:val="21"/>
          <w:szCs w:val="21"/>
          <w:color w:val="0000FF"/>
        </w:rPr>
        <w:t xml:space="preserve"> </w:t>
      </w:r>
      <w:r>
        <w:rPr>
          <w:rFonts w:ascii="Arial" w:cs="Arial" w:eastAsia="Arial" w:hAnsi="Arial"/>
          <w:sz w:val="21"/>
          <w:szCs w:val="21"/>
          <w:color w:val="000000"/>
        </w:rPr>
        <w:t>proposed Borrowing</w:t>
      </w:r>
      <w:r>
        <w:rPr>
          <w:rFonts w:ascii="Arial" w:cs="Arial" w:eastAsia="Arial" w:hAnsi="Arial"/>
          <w:sz w:val="21"/>
          <w:szCs w:val="21"/>
          <w:color w:val="FF0000"/>
          <w:strike w:val="1"/>
        </w:rPr>
        <w:t>;</w:t>
      </w:r>
      <w:r>
        <w:rPr>
          <w:rFonts w:ascii="Arial" w:cs="Arial" w:eastAsia="Arial" w:hAnsi="Arial"/>
          <w:sz w:val="21"/>
          <w:szCs w:val="21"/>
          <w:color w:val="000000"/>
        </w:rPr>
        <w:t xml:space="preserve"> </w:t>
      </w:r>
      <w:r>
        <w:rPr>
          <w:rFonts w:ascii="Arial" w:cs="Arial" w:eastAsia="Arial" w:hAnsi="Arial"/>
          <w:sz w:val="21"/>
          <w:szCs w:val="21"/>
          <w:u w:val="single" w:color="auto"/>
          <w:color w:val="FF0000"/>
          <w:strike w:val="1"/>
        </w:rPr>
        <w:t>provided</w:t>
      </w:r>
      <w:r>
        <w:rPr>
          <w:rFonts w:ascii="Arial" w:cs="Arial" w:eastAsia="Arial" w:hAnsi="Arial"/>
          <w:sz w:val="21"/>
          <w:szCs w:val="21"/>
          <w:color w:val="000000"/>
        </w:rPr>
        <w:t xml:space="preserve"> </w:t>
      </w:r>
      <w:r>
        <w:rPr>
          <w:rFonts w:ascii="Arial" w:cs="Arial" w:eastAsia="Arial" w:hAnsi="Arial"/>
          <w:sz w:val="21"/>
          <w:szCs w:val="21"/>
          <w:color w:val="FF0000"/>
          <w:strike w:val="1"/>
        </w:rPr>
        <w:t>that any notice of a Borrowing to be made on the Closing Date (whether a Eurocurrency</w:t>
      </w:r>
      <w:r>
        <w:rPr>
          <w:rFonts w:ascii="Arial" w:cs="Arial" w:eastAsia="Arial" w:hAnsi="Arial"/>
          <w:sz w:val="21"/>
          <w:szCs w:val="21"/>
          <w:color w:val="000000"/>
        </w:rPr>
        <w:t xml:space="preserve"> </w:t>
      </w:r>
      <w:r>
        <w:rPr>
          <w:rFonts w:ascii="Arial" w:cs="Arial" w:eastAsia="Arial" w:hAnsi="Arial"/>
          <w:sz w:val="21"/>
          <w:szCs w:val="21"/>
          <w:color w:val="FF0000"/>
          <w:strike w:val="1"/>
        </w:rPr>
        <w:t>Borrowing or ABR Borrowing) may be given not later than 11:00 a.m. New York City time (or such later time as the Administrative Agent may reasonably agree), one (1) Business Day prior to the date of the proposed Borrowing, which notice may be subject to the effectiveness of this Agreement</w:t>
      </w:r>
      <w:r>
        <w:rPr>
          <w:rFonts w:ascii="Arial" w:cs="Arial" w:eastAsia="Arial" w:hAnsi="Arial"/>
          <w:sz w:val="21"/>
          <w:szCs w:val="21"/>
          <w:color w:val="000000"/>
          <w:strike w:val="1"/>
        </w:rPr>
        <w:t>. Each written Borrowing Request permitted by the immediately preceding</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sentence shall specify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-988695</wp:posOffset>
            </wp:positionV>
            <wp:extent cx="14935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493520" cy="8255"/>
                    </a:xfrm>
                    <a:prstGeom prst="rect">
                      <a:avLst/>
                    </a:prstGeom>
                    <a:noFill/>
                  </pic:spPr>
                </pic:pic>
              </a:graphicData>
            </a:graphic>
          </wp:anchor>
        </w:drawing>
        <w:drawing>
          <wp:anchor simplePos="0" relativeHeight="251657728" behindDoc="1" locked="0" layoutInCell="0" allowOverlap="1">
            <wp:simplePos x="0" y="0"/>
            <wp:positionH relativeFrom="column">
              <wp:posOffset>6856095</wp:posOffset>
            </wp:positionH>
            <wp:positionV relativeFrom="paragraph">
              <wp:posOffset>-851535</wp:posOffset>
            </wp:positionV>
            <wp:extent cx="2813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281305" cy="8890"/>
                    </a:xfrm>
                    <a:prstGeom prst="rect">
                      <a:avLst/>
                    </a:prstGeom>
                    <a:noFill/>
                  </pic:spPr>
                </pic:pic>
              </a:graphicData>
            </a:graphic>
          </wp:anchor>
        </w:drawing>
      </w:r>
    </w:p>
    <w:p>
      <w:pPr>
        <w:spacing w:after="0" w:line="142" w:lineRule="exact"/>
        <w:rPr>
          <w:sz w:val="20"/>
          <w:szCs w:val="20"/>
          <w:color w:val="auto"/>
        </w:rPr>
      </w:pPr>
    </w:p>
    <w:p>
      <w:pPr>
        <w:ind w:left="1720" w:hanging="416"/>
        <w:spacing w:after="0"/>
        <w:tabs>
          <w:tab w:leader="none" w:pos="1720"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Class of such Borrowing;</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aggregate amount of such Borrowing;</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171" w:lineRule="exact"/>
        <w:rPr>
          <w:rFonts w:ascii="Arial" w:cs="Arial" w:eastAsia="Arial" w:hAnsi="Arial"/>
          <w:sz w:val="22"/>
          <w:szCs w:val="22"/>
          <w:color w:val="auto"/>
        </w:rPr>
      </w:pPr>
    </w:p>
    <w:p>
      <w:pPr>
        <w:ind w:left="1980" w:hanging="676"/>
        <w:spacing w:after="0"/>
        <w:tabs>
          <w:tab w:leader="none" w:pos="1980" w:val="left"/>
        </w:tabs>
        <w:numPr>
          <w:ilvl w:val="1"/>
          <w:numId w:val="81"/>
        </w:numPr>
        <w:rPr>
          <w:rFonts w:ascii="Arial" w:cs="Arial" w:eastAsia="Arial" w:hAnsi="Arial"/>
          <w:sz w:val="21"/>
          <w:szCs w:val="21"/>
          <w:color w:val="auto"/>
        </w:rPr>
      </w:pPr>
      <w:r>
        <w:rPr>
          <w:rFonts w:ascii="Arial" w:cs="Arial" w:eastAsia="Arial" w:hAnsi="Arial"/>
          <w:sz w:val="21"/>
          <w:szCs w:val="21"/>
          <w:color w:val="auto"/>
        </w:rPr>
        <w:t xml:space="preserve">whether such Borrowing is to be an ABR Borrowing </w:t>
      </w:r>
      <w:r>
        <w:rPr>
          <w:rFonts w:ascii="Arial" w:cs="Arial" w:eastAsia="Arial" w:hAnsi="Arial"/>
          <w:sz w:val="21"/>
          <w:szCs w:val="21"/>
          <w:color w:val="FF0000"/>
        </w:rPr>
        <w:t>or a</w:t>
      </w:r>
      <w:r>
        <w:rPr>
          <w:rFonts w:ascii="Arial" w:cs="Arial" w:eastAsia="Arial" w:hAnsi="Arial"/>
          <w:sz w:val="21"/>
          <w:szCs w:val="21"/>
          <w:u w:val="single" w:color="auto"/>
          <w:color w:val="0000FF"/>
        </w:rPr>
        <w:t>,</w:t>
      </w:r>
      <w:r>
        <w:rPr>
          <w:rFonts w:ascii="Arial" w:cs="Arial" w:eastAsia="Arial" w:hAnsi="Arial"/>
          <w:sz w:val="21"/>
          <w:szCs w:val="21"/>
          <w:color w:val="auto"/>
        </w:rPr>
        <w:t xml:space="preserve"> Eurocurrency Borrowing </w:t>
      </w:r>
      <w:r>
        <w:rPr>
          <w:rFonts w:ascii="Arial" w:cs="Arial" w:eastAsia="Arial" w:hAnsi="Arial"/>
          <w:sz w:val="21"/>
          <w:szCs w:val="21"/>
          <w:color w:val="0000FF"/>
        </w:rPr>
        <w:t>or a Term SOFR</w:t>
      </w:r>
    </w:p>
    <w:p>
      <w:pPr>
        <w:ind w:left="660"/>
        <w:spacing w:after="0"/>
        <w:rPr>
          <w:rFonts w:ascii="Arial" w:cs="Arial" w:eastAsia="Arial" w:hAnsi="Arial"/>
          <w:sz w:val="21"/>
          <w:szCs w:val="21"/>
          <w:color w:val="auto"/>
        </w:rPr>
      </w:pPr>
      <w:r>
        <w:rPr>
          <w:rFonts w:ascii="Arial" w:cs="Arial" w:eastAsia="Arial" w:hAnsi="Arial"/>
          <w:sz w:val="22"/>
          <w:szCs w:val="22"/>
          <w:u w:val="single" w:color="auto"/>
          <w:color w:val="0000FF"/>
        </w:rPr>
        <w:t>Borrowing</w:t>
      </w:r>
      <w:r>
        <w:rPr>
          <w:rFonts w:ascii="Arial" w:cs="Arial" w:eastAsia="Arial" w:hAnsi="Arial"/>
          <w:sz w:val="22"/>
          <w:szCs w:val="22"/>
          <w:color w:val="000000"/>
        </w:rPr>
        <w:t>;</w:t>
      </w:r>
    </w:p>
    <w:p>
      <w:pPr>
        <w:spacing w:after="0" w:line="161" w:lineRule="exact"/>
        <w:rPr>
          <w:rFonts w:ascii="Arial" w:cs="Arial" w:eastAsia="Arial" w:hAnsi="Arial"/>
          <w:sz w:val="21"/>
          <w:szCs w:val="21"/>
          <w:color w:val="auto"/>
        </w:rPr>
      </w:pPr>
    </w:p>
    <w:p>
      <w:pPr>
        <w:ind w:left="660" w:firstLine="644"/>
        <w:spacing w:after="0" w:line="232" w:lineRule="auto"/>
        <w:tabs>
          <w:tab w:leader="none" w:pos="1957" w:val="left"/>
        </w:tabs>
        <w:numPr>
          <w:ilvl w:val="1"/>
          <w:numId w:val="81"/>
        </w:numPr>
        <w:rPr>
          <w:rFonts w:ascii="Arial" w:cs="Arial" w:eastAsia="Arial" w:hAnsi="Arial"/>
          <w:sz w:val="22"/>
          <w:szCs w:val="22"/>
          <w:color w:val="auto"/>
        </w:rPr>
      </w:pPr>
      <w:r>
        <w:rPr>
          <w:rFonts w:ascii="Arial" w:cs="Arial" w:eastAsia="Arial" w:hAnsi="Arial"/>
          <w:sz w:val="22"/>
          <w:szCs w:val="22"/>
          <w:color w:val="auto"/>
        </w:rPr>
        <w:t xml:space="preserve">in the case of a Eurocurrency Borrowing </w:t>
      </w:r>
      <w:r>
        <w:rPr>
          <w:rFonts w:ascii="Arial" w:cs="Arial" w:eastAsia="Arial" w:hAnsi="Arial"/>
          <w:sz w:val="22"/>
          <w:szCs w:val="22"/>
          <w:color w:val="0000FF"/>
        </w:rPr>
        <w:t>or Term SOFR Borrowing</w:t>
      </w:r>
      <w:r>
        <w:rPr>
          <w:rFonts w:ascii="Arial" w:cs="Arial" w:eastAsia="Arial" w:hAnsi="Arial"/>
          <w:sz w:val="22"/>
          <w:szCs w:val="22"/>
          <w:color w:val="auto"/>
        </w:rPr>
        <w:t>, the initial Interest Period to be applicable thereto, which shall be a period contemplated by the definition of the term “Interest Period;”</w:t>
      </w:r>
    </w:p>
    <w:p>
      <w:pPr>
        <w:spacing w:after="0" w:line="158" w:lineRule="exact"/>
        <w:rPr>
          <w:rFonts w:ascii="Arial" w:cs="Arial" w:eastAsia="Arial" w:hAnsi="Arial"/>
          <w:sz w:val="22"/>
          <w:szCs w:val="22"/>
          <w:color w:val="auto"/>
        </w:rPr>
      </w:pPr>
    </w:p>
    <w:p>
      <w:pPr>
        <w:ind w:left="660" w:firstLine="644"/>
        <w:spacing w:after="0" w:line="232" w:lineRule="auto"/>
        <w:tabs>
          <w:tab w:leader="none" w:pos="1918" w:val="left"/>
        </w:tabs>
        <w:numPr>
          <w:ilvl w:val="1"/>
          <w:numId w:val="81"/>
        </w:numPr>
        <w:rPr>
          <w:rFonts w:ascii="Arial" w:cs="Arial" w:eastAsia="Arial" w:hAnsi="Arial"/>
          <w:sz w:val="22"/>
          <w:szCs w:val="22"/>
          <w:color w:val="auto"/>
        </w:rPr>
      </w:pPr>
      <w:r>
        <w:rPr>
          <w:rFonts w:ascii="Arial" w:cs="Arial" w:eastAsia="Arial" w:hAnsi="Arial"/>
          <w:sz w:val="22"/>
          <w:szCs w:val="22"/>
          <w:color w:val="auto"/>
        </w:rPr>
        <w:t xml:space="preserve">the location and number of the applicable Borrower’s account to which funds are to be disbursed, which shall comply with the requirements of </w:t>
      </w:r>
      <w:r>
        <w:rPr>
          <w:rFonts w:ascii="Arial" w:cs="Arial" w:eastAsia="Arial" w:hAnsi="Arial"/>
          <w:sz w:val="22"/>
          <w:szCs w:val="22"/>
          <w:u w:val="single" w:color="auto"/>
          <w:color w:val="auto"/>
        </w:rPr>
        <w:t>Section 2.06</w:t>
      </w:r>
      <w:r>
        <w:rPr>
          <w:rFonts w:ascii="Arial" w:cs="Arial" w:eastAsia="Arial" w:hAnsi="Arial"/>
          <w:sz w:val="22"/>
          <w:szCs w:val="22"/>
          <w:color w:val="auto"/>
        </w:rPr>
        <w:t>; and</w:t>
      </w:r>
    </w:p>
    <w:p>
      <w:pPr>
        <w:spacing w:after="0" w:line="158" w:lineRule="exact"/>
        <w:rPr>
          <w:rFonts w:ascii="Arial" w:cs="Arial" w:eastAsia="Arial" w:hAnsi="Arial"/>
          <w:sz w:val="22"/>
          <w:szCs w:val="22"/>
          <w:color w:val="auto"/>
        </w:rPr>
      </w:pPr>
    </w:p>
    <w:p>
      <w:pPr>
        <w:jc w:val="both"/>
        <w:ind w:left="660" w:firstLine="644"/>
        <w:spacing w:after="0" w:line="247" w:lineRule="auto"/>
        <w:tabs>
          <w:tab w:leader="none" w:pos="2074"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in the case of a Borrowing Request made in respect of a Revolving Loan Borrowing (other than a Revolving Loan Borrowing made on the Closing Date), that as of such date the express conditions in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and</w:t>
      </w:r>
    </w:p>
    <w:p>
      <w:pPr>
        <w:ind w:left="960" w:hanging="304"/>
        <w:spacing w:after="0"/>
        <w:tabs>
          <w:tab w:leader="none" w:pos="960" w:val="left"/>
        </w:tabs>
        <w:numPr>
          <w:ilvl w:val="0"/>
          <w:numId w:val="82"/>
        </w:numPr>
        <w:rPr>
          <w:rFonts w:ascii="Arial" w:cs="Arial" w:eastAsia="Arial" w:hAnsi="Arial"/>
          <w:sz w:val="22"/>
          <w:szCs w:val="22"/>
          <w:u w:val="single" w:color="auto"/>
          <w:color w:val="auto"/>
        </w:rPr>
      </w:pPr>
      <w:r>
        <w:rPr>
          <w:rFonts w:ascii="Arial" w:cs="Arial" w:eastAsia="Arial" w:hAnsi="Arial"/>
          <w:sz w:val="22"/>
          <w:szCs w:val="22"/>
          <w:color w:val="auto"/>
        </w:rPr>
        <w:t>are satisfied (or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-1589405</wp:posOffset>
            </wp:positionV>
            <wp:extent cx="2895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6105525</wp:posOffset>
            </wp:positionH>
            <wp:positionV relativeFrom="paragraph">
              <wp:posOffset>-1537970</wp:posOffset>
            </wp:positionV>
            <wp:extent cx="10318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031875" cy="8255"/>
                    </a:xfrm>
                    <a:prstGeom prst="rect">
                      <a:avLst/>
                    </a:prstGeom>
                    <a:noFill/>
                  </pic:spPr>
                </pic:pic>
              </a:graphicData>
            </a:graphic>
          </wp:anchor>
        </w:drawing>
        <w:drawing>
          <wp:anchor simplePos="0" relativeHeight="251657728" behindDoc="1" locked="0" layoutInCell="0" allowOverlap="1">
            <wp:simplePos x="0" y="0"/>
            <wp:positionH relativeFrom="column">
              <wp:posOffset>3643630</wp:posOffset>
            </wp:positionH>
            <wp:positionV relativeFrom="paragraph">
              <wp:posOffset>-1126490</wp:posOffset>
            </wp:positionV>
            <wp:extent cx="15887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1588770" cy="8890"/>
                    </a:xfrm>
                    <a:prstGeom prst="rect">
                      <a:avLst/>
                    </a:prstGeom>
                    <a:noFill/>
                  </pic:spPr>
                </pic:pic>
              </a:graphicData>
            </a:graphic>
          </wp:anchor>
        </w:drawing>
      </w:r>
    </w:p>
    <w:p>
      <w:pPr>
        <w:spacing w:after="0" w:line="141"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 xml:space="preserve">If no election as to the Type of Borrowing is specified, then the requested Borrowing shall be an ABR Borrowing. If no Interest Period is specified with respect to any requested Eurocurrency Borrowing </w:t>
      </w:r>
      <w:r>
        <w:rPr>
          <w:rFonts w:ascii="Arial" w:cs="Arial" w:eastAsia="Arial" w:hAnsi="Arial"/>
          <w:sz w:val="21"/>
          <w:szCs w:val="21"/>
          <w:color w:val="0000FF"/>
        </w:rPr>
        <w:t>or Term SOFR Borrowing</w:t>
      </w:r>
      <w:r>
        <w:rPr>
          <w:rFonts w:ascii="Arial" w:cs="Arial" w:eastAsia="Arial" w:hAnsi="Arial"/>
          <w:sz w:val="21"/>
          <w:szCs w:val="21"/>
          <w:color w:val="auto"/>
        </w:rPr>
        <w:t>, then the Borrower shall be deemed to have selected an Interest Period of one (1)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-441960</wp:posOffset>
            </wp:positionV>
            <wp:extent cx="14916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3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u w:val="single" w:color="auto"/>
          <w:color w:val="auto"/>
        </w:rPr>
        <w:t>Section 2.04 Swingline Loans</w:t>
      </w:r>
      <w:r>
        <w:rPr>
          <w:rFonts w:ascii="Arial" w:cs="Arial" w:eastAsia="Arial" w:hAnsi="Arial"/>
          <w:sz w:val="22"/>
          <w:szCs w:val="22"/>
          <w:color w:val="auto"/>
        </w:rPr>
        <w:t xml:space="preserve"> . (a) Subject to the terms and conditions set forth herein, the Swingline Lender shall make Swingline Loans to the Borrower from time to time during the Revolving Availability Period, in an aggregate principal amount at any time outstanding that will not result in (i) the aggregate principal amount of outstanding Swingline Loans exceeding $10,000,000 or (ii) the aggregate amount of the Revolving Exposure exceeding the aggregate amount of the Revolving Commitments. Within the foregoing limits and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the terms and conditions set forth herein, the Borrower may borrow, prepay and reborrow Swingline Loans.</w:t>
      </w:r>
    </w:p>
    <w:p>
      <w:pPr>
        <w:spacing w:after="0" w:line="179" w:lineRule="exact"/>
        <w:rPr>
          <w:sz w:val="20"/>
          <w:szCs w:val="20"/>
          <w:color w:val="auto"/>
        </w:rPr>
      </w:pPr>
    </w:p>
    <w:p>
      <w:pPr>
        <w:jc w:val="both"/>
        <w:ind w:firstLine="1304"/>
        <w:spacing w:after="0" w:line="246" w:lineRule="auto"/>
        <w:tabs>
          <w:tab w:leader="none" w:pos="1769"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To request a Swingline Loan, the Borrower shall notify the Administrative Agent by hand delivery, electronic communication (including Adobe pdf file) or facsimile of a written request, not later than 11:00 a.m., New York City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w:t>
      </w:r>
      <w:r>
        <w:rPr>
          <w:rFonts w:ascii="Arial" w:cs="Arial" w:eastAsia="Arial" w:hAnsi="Arial"/>
          <w:sz w:val="19"/>
          <w:szCs w:val="19"/>
          <w:u w:val="single" w:color="auto"/>
          <w:color w:val="auto"/>
        </w:rPr>
        <w:t>Section 2.05(e)</w:t>
      </w:r>
      <w:r>
        <w:rPr>
          <w:rFonts w:ascii="Arial" w:cs="Arial" w:eastAsia="Arial" w:hAnsi="Arial"/>
          <w:sz w:val="19"/>
          <w:szCs w:val="19"/>
          <w:color w:val="auto"/>
        </w:rPr>
        <w:t>, by remittance to the applicable Issuing Bank), in each case by 3:00 p.m., New York City time, on the requested date of such Swingline Loan.</w:t>
      </w:r>
    </w:p>
    <w:p>
      <w:pPr>
        <w:spacing w:after="0" w:line="152" w:lineRule="exact"/>
        <w:rPr>
          <w:rFonts w:ascii="Arial" w:cs="Arial" w:eastAsia="Arial" w:hAnsi="Arial"/>
          <w:sz w:val="19"/>
          <w:szCs w:val="19"/>
          <w:color w:val="auto"/>
        </w:rPr>
      </w:pPr>
    </w:p>
    <w:p>
      <w:pPr>
        <w:jc w:val="both"/>
        <w:ind w:firstLine="1304"/>
        <w:spacing w:after="0"/>
        <w:tabs>
          <w:tab w:leader="none" w:pos="1833"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Swingline Loans in which Lenders will participate. Promptly upon receipt of such notice, the Administrative Agent will give notice thereof to each Revolving Lender, specifying in such notice such Revolving Lender’s Applicable Percentage of such Swingline Loan or Loans. Each Revolving Lender hereby absolutely and unconditionally agrees, upon receipt of notice as provided above, to pay to the Administrative Agent, for the account of the Swingline Lender, such Revolving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Event of Default or reduction or termination of the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with respect to Loans made by such Revolving Lender (and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xml:space="preserve">, to the payment obligations of the Revolving Lenders), and the Administrative Agent shall promptly pay to the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payment so remitted shall be repaid to the Swingline Lender or to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3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2.05</w:t>
      </w:r>
      <w:r>
        <w:rPr>
          <w:sz w:val="20"/>
          <w:szCs w:val="20"/>
          <w:color w:val="auto"/>
        </w:rPr>
        <w:tab/>
      </w:r>
      <w:r>
        <w:rPr>
          <w:rFonts w:ascii="Arial" w:cs="Arial" w:eastAsia="Arial" w:hAnsi="Arial"/>
          <w:sz w:val="19"/>
          <w:szCs w:val="19"/>
          <w:u w:val="single" w:color="auto"/>
          <w:color w:val="auto"/>
        </w:rPr>
        <w:t>Letters of Credit</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3" w:lineRule="auto"/>
        <w:tabs>
          <w:tab w:leader="none" w:pos="1776"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Subject to the terms and express conditions set forth herein, the Borrower may request the issuance of (and the applicable Issuing Bank shall issue) Letters of Credit for its own account (or, so long as the Borrower is the primary obligor, for the account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52" w:name="page153"/>
    <w:bookmarkEnd w:id="152"/>
    <w:p>
      <w:pPr>
        <w:jc w:val="both"/>
        <w:spacing w:after="0" w:line="224" w:lineRule="auto"/>
        <w:rPr>
          <w:sz w:val="20"/>
          <w:szCs w:val="20"/>
          <w:color w:val="auto"/>
        </w:rPr>
      </w:pPr>
      <w:r>
        <w:rPr>
          <w:rFonts w:ascii="Arial" w:cs="Arial" w:eastAsia="Arial" w:hAnsi="Arial"/>
          <w:sz w:val="21"/>
          <w:szCs w:val="21"/>
          <w:color w:val="auto"/>
        </w:rPr>
        <w:t xml:space="preserve">any Restricted Subsidiary), in a form reasonably acceptable to the applicable Issuing Bank, at any time and from time to time prior to the date 30 days prior to the end of the Revolving Availability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GS Bank, Barclays, Bank of America, N.A., Credit Suisse AG, Citizens Bank, N.A. or SunTrust Bank be required to issue letters of credit (other than standby letters of credit), bank acceptances, bank guarantees, indemnitees or other instruments or any Letters of Credit in a currency other than Dollars;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Letters of Credit shall be available in Dollars and, to the extent agreed by the applicable Issuing Bank in its sole discretion, other currencies.</w:t>
      </w:r>
    </w:p>
    <w:p>
      <w:pPr>
        <w:spacing w:after="0" w:line="160" w:lineRule="exact"/>
        <w:rPr>
          <w:sz w:val="20"/>
          <w:szCs w:val="20"/>
          <w:color w:val="auto"/>
        </w:rPr>
      </w:pPr>
    </w:p>
    <w:p>
      <w:pPr>
        <w:ind w:left="1780" w:hanging="476"/>
        <w:spacing w:after="0"/>
        <w:tabs>
          <w:tab w:leader="none" w:pos="178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Notice of Issuance, Amendment, Renewal, Extension; Certain Conditions</w:t>
      </w:r>
      <w:r>
        <w:rPr>
          <w:rFonts w:ascii="Arial" w:cs="Arial" w:eastAsia="Arial" w:hAnsi="Arial"/>
          <w:sz w:val="22"/>
          <w:szCs w:val="22"/>
          <w:color w:val="auto"/>
        </w:rPr>
        <w:t>.</w:t>
      </w:r>
    </w:p>
    <w:p>
      <w:pPr>
        <w:spacing w:after="0" w:line="179" w:lineRule="exact"/>
        <w:rPr>
          <w:sz w:val="20"/>
          <w:szCs w:val="20"/>
          <w:color w:val="auto"/>
        </w:rPr>
      </w:pPr>
    </w:p>
    <w:p>
      <w:pPr>
        <w:jc w:val="both"/>
        <w:ind w:left="660" w:firstLine="644"/>
        <w:spacing w:after="0"/>
        <w:tabs>
          <w:tab w:leader="none" w:pos="1730"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To request the issuance of a Letter of Credit (or the amendment, renewal or extension of an outstanding Letter of Credit), the Borrower shall hand deliver or telecopy (or transmit by electronic communication reasonably acceptable to the applicable Issuing Bank) to an Issuing Bank and the Administrative Agent (not later than 12:00 p.m., New York City time at least four (4) Business Days in advance or a shorter time period if approved by the applicable Issuing Bank in its reasonable discretion,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the amount of such Letter of Credit, the name and address of the beneficiary thereof, the documents to be presented by such beneficiary in case of any drawing thereunder, the full text of any certificate to be presented by such beneficiary in case of any drawing thereunder, such other matters as the applicable Issuing Bank may reasonably require and such other information as shall be necessary to prepare, amend, renew or extend such Letter of Credit. If requested by an Issuing Bank, the Borrower also shall submit a letter of credit application on such Issuing Bank’s standard form in connection with any request for a Letter of Credit. A Letter of Credit shall be issued, amended, renewed or extended only if, (A) such Letter of Credit is denominated in Dollars (or such other currency as the applicable Issuing Bank may agree in its sole discretion) and (B) after giving effect to such issuance, amendment, renewal or extension, (i) the LC Exposure shall not exceed the LC Sublimit in the aggregate and the LC Sublimit for each such Issuing Bank, (ii) the aggregate Revolving Exposure shall not exceed the aggregate Revolving Commitments and (iii) the sum of (x) the LC Exposure in respect of Letters of Credit issued by the applicable Issuing Bank and (y) the aggregate amount of Revolving Loans borrowed by such Issuing Bank would not exceed such Issuing Bank’s Revolving Commitment (unless otherwise agreed to in writing by such Issuing Bank).</w:t>
      </w:r>
    </w:p>
    <w:p>
      <w:pPr>
        <w:spacing w:after="0" w:line="166" w:lineRule="exact"/>
        <w:rPr>
          <w:rFonts w:ascii="Arial" w:cs="Arial" w:eastAsia="Arial" w:hAnsi="Arial"/>
          <w:sz w:val="19"/>
          <w:szCs w:val="19"/>
          <w:color w:val="auto"/>
        </w:rPr>
      </w:pPr>
    </w:p>
    <w:p>
      <w:pPr>
        <w:jc w:val="both"/>
        <w:ind w:left="660" w:firstLine="644"/>
        <w:spacing w:after="0" w:line="219" w:lineRule="auto"/>
        <w:tabs>
          <w:tab w:leader="none" w:pos="1858"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Promptly after receipt of any such request pursuant to </w:t>
      </w:r>
      <w:r>
        <w:rPr>
          <w:rFonts w:ascii="Arial" w:cs="Arial" w:eastAsia="Arial" w:hAnsi="Arial"/>
          <w:sz w:val="21"/>
          <w:szCs w:val="21"/>
          <w:u w:val="single" w:color="auto"/>
          <w:color w:val="auto"/>
        </w:rPr>
        <w:t>Section 2.05(b)(i)</w:t>
      </w:r>
      <w:r>
        <w:rPr>
          <w:rFonts w:ascii="Arial" w:cs="Arial" w:eastAsia="Arial" w:hAnsi="Arial"/>
          <w:sz w:val="21"/>
          <w:szCs w:val="21"/>
          <w:color w:val="auto"/>
        </w:rPr>
        <w:t xml:space="preserve">, the applicable Issuing Bank will confirm with the Administrative Agent (in writing) that the Administrative Agent has received a copy of such request from the Borrower and, if not, such Issuing Bank will provide the Administrative Agent with a copy thereof. Unless the applicable Issuing Bank has received written notice from any Revolving Lender, the Administrative Agent or any Loan Party, at least one (1) Business Day prior to the requested date of issuance or amendment of the applicable Letter of Credit, that one or more applicable express conditions contained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shall not then be satisfied, then, subject to the terms and express conditions hereof, the applicable Issuing Bank shall, on the requested date, issue a Letter of Credit for the account of the Borrower (or the applicable Restricted Subsidiary) or enter into the applicable amendment, as the case may be, in each case in accordance with such Issuing Bank’s usual and customary business practices. Immediately upon the issuance of each Letter of Credit, each Revolving Lender shall be deemed to, and hereby irrevocably and unconditionally agrees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53" w:name="page154"/>
    <w:bookmarkEnd w:id="153"/>
    <w:p>
      <w:pPr>
        <w:ind w:left="660"/>
        <w:spacing w:after="0" w:line="232" w:lineRule="auto"/>
        <w:rPr>
          <w:sz w:val="20"/>
          <w:szCs w:val="20"/>
          <w:color w:val="auto"/>
        </w:rPr>
      </w:pPr>
      <w:r>
        <w:rPr>
          <w:rFonts w:ascii="Arial" w:cs="Arial" w:eastAsia="Arial" w:hAnsi="Arial"/>
          <w:sz w:val="22"/>
          <w:szCs w:val="22"/>
          <w:color w:val="auto"/>
        </w:rPr>
        <w:t xml:space="preserve">to, purchase from such Issuing Bank a risk participation in such Letter of Credit in an amount equal to the product of such Revolving Lender’s Applicable Percentage </w:t>
      </w:r>
      <w:r>
        <w:rPr>
          <w:rFonts w:ascii="Arial" w:cs="Arial" w:eastAsia="Arial" w:hAnsi="Arial"/>
          <w:sz w:val="22"/>
          <w:szCs w:val="22"/>
          <w:u w:val="single" w:color="auto"/>
          <w:color w:val="auto"/>
        </w:rPr>
        <w:t>times</w:t>
      </w:r>
      <w:r>
        <w:rPr>
          <w:rFonts w:ascii="Arial" w:cs="Arial" w:eastAsia="Arial" w:hAnsi="Arial"/>
          <w:sz w:val="22"/>
          <w:szCs w:val="22"/>
          <w:color w:val="auto"/>
        </w:rPr>
        <w:t xml:space="preserve"> the amount of such Letter of Credit.</w:t>
      </w:r>
    </w:p>
    <w:p>
      <w:pPr>
        <w:spacing w:after="0" w:line="159" w:lineRule="exact"/>
        <w:rPr>
          <w:sz w:val="20"/>
          <w:szCs w:val="20"/>
          <w:color w:val="auto"/>
        </w:rPr>
      </w:pPr>
    </w:p>
    <w:p>
      <w:pPr>
        <w:ind w:left="1840" w:hanging="536"/>
        <w:spacing w:after="0"/>
        <w:tabs>
          <w:tab w:leader="none" w:pos="18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No Issuing Bank shall be under any obligation to issue or renew any Letter of Credit if:</w:t>
      </w:r>
    </w:p>
    <w:p>
      <w:pPr>
        <w:spacing w:after="0" w:line="179" w:lineRule="exact"/>
        <w:rPr>
          <w:rFonts w:ascii="Arial" w:cs="Arial" w:eastAsia="Arial" w:hAnsi="Arial"/>
          <w:sz w:val="22"/>
          <w:szCs w:val="22"/>
          <w:color w:val="auto"/>
        </w:rPr>
      </w:pPr>
    </w:p>
    <w:p>
      <w:pPr>
        <w:jc w:val="both"/>
        <w:ind w:left="1300" w:firstLine="652"/>
        <w:spacing w:after="0" w:line="221" w:lineRule="auto"/>
        <w:tabs>
          <w:tab w:leader="none" w:pos="2507" w:val="left"/>
        </w:tabs>
        <w:numPr>
          <w:ilvl w:val="1"/>
          <w:numId w:val="87"/>
        </w:numPr>
        <w:rPr>
          <w:rFonts w:ascii="Arial" w:cs="Arial" w:eastAsia="Arial" w:hAnsi="Arial"/>
          <w:sz w:val="21"/>
          <w:szCs w:val="21"/>
          <w:color w:val="auto"/>
        </w:rPr>
      </w:pPr>
      <w:r>
        <w:rPr>
          <w:rFonts w:ascii="Arial" w:cs="Arial" w:eastAsia="Arial" w:hAnsi="Arial"/>
          <w:sz w:val="21"/>
          <w:szCs w:val="21"/>
          <w:color w:val="auto"/>
        </w:rPr>
        <w:t>any order, judgment or decree of any Governmental Authority or arbitrator shall by its terms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in each case not in effect on the Closing Date, or shall impose upon such Issuing Bank any unreimbursed loss, cost or expense which was not applicable on the Closing Date (for which such Issuing Bank is not otherwise compensated hereunder);</w:t>
      </w:r>
    </w:p>
    <w:p>
      <w:pPr>
        <w:spacing w:after="0" w:line="158" w:lineRule="exact"/>
        <w:rPr>
          <w:rFonts w:ascii="Arial" w:cs="Arial" w:eastAsia="Arial" w:hAnsi="Arial"/>
          <w:sz w:val="21"/>
          <w:szCs w:val="21"/>
          <w:color w:val="auto"/>
        </w:rPr>
      </w:pPr>
    </w:p>
    <w:p>
      <w:pPr>
        <w:jc w:val="both"/>
        <w:ind w:left="1300" w:firstLine="652"/>
        <w:spacing w:after="0" w:line="218" w:lineRule="auto"/>
        <w:tabs>
          <w:tab w:leader="none" w:pos="2457"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issuance of such Letter of Credit would violate (x) any laws binding upon or otherwise applicable to such Issuing Bank or (y) one or more policies of such Issuing Bank regarding completion of customary “know your customer” requirements on the beneficiary of such Letter of Credit and any Subsidiary of the Borrower that is a co-applicant for such Letter of Credit;</w:t>
      </w:r>
    </w:p>
    <w:p>
      <w:pPr>
        <w:spacing w:after="0" w:line="160" w:lineRule="exact"/>
        <w:rPr>
          <w:rFonts w:ascii="Arial" w:cs="Arial" w:eastAsia="Arial" w:hAnsi="Arial"/>
          <w:sz w:val="22"/>
          <w:szCs w:val="22"/>
          <w:color w:val="auto"/>
        </w:rPr>
      </w:pPr>
    </w:p>
    <w:p>
      <w:pPr>
        <w:ind w:left="1300" w:firstLine="652"/>
        <w:spacing w:after="0" w:line="232" w:lineRule="auto"/>
        <w:tabs>
          <w:tab w:leader="none" w:pos="2459"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Letter of Credit is to be denominated in a currency other than Dollars, unless otherwise agreed by the Issuing Bank;</w:t>
      </w:r>
    </w:p>
    <w:p>
      <w:pPr>
        <w:spacing w:after="0" w:line="158" w:lineRule="exact"/>
        <w:rPr>
          <w:rFonts w:ascii="Arial" w:cs="Arial" w:eastAsia="Arial" w:hAnsi="Arial"/>
          <w:sz w:val="22"/>
          <w:szCs w:val="22"/>
          <w:color w:val="auto"/>
        </w:rPr>
      </w:pPr>
    </w:p>
    <w:p>
      <w:pPr>
        <w:ind w:left="2460" w:hanging="508"/>
        <w:spacing w:after="0"/>
        <w:tabs>
          <w:tab w:leader="none" w:pos="24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 xml:space="preserve">it is not required to do so pursuant to </w:t>
      </w:r>
      <w:r>
        <w:rPr>
          <w:rFonts w:ascii="Arial" w:cs="Arial" w:eastAsia="Arial" w:hAnsi="Arial"/>
          <w:sz w:val="22"/>
          <w:szCs w:val="22"/>
          <w:u w:val="single" w:color="auto"/>
          <w:color w:val="auto"/>
        </w:rPr>
        <w:t>Section 2.22(a)</w:t>
      </w:r>
      <w:r>
        <w:rPr>
          <w:rFonts w:ascii="Arial" w:cs="Arial" w:eastAsia="Arial" w:hAnsi="Arial"/>
          <w:sz w:val="22"/>
          <w:szCs w:val="22"/>
          <w:color w:val="auto"/>
        </w:rPr>
        <w:t>; or</w:t>
      </w:r>
    </w:p>
    <w:p>
      <w:pPr>
        <w:spacing w:after="0" w:line="179" w:lineRule="exact"/>
        <w:rPr>
          <w:rFonts w:ascii="Arial" w:cs="Arial" w:eastAsia="Arial" w:hAnsi="Arial"/>
          <w:sz w:val="22"/>
          <w:szCs w:val="22"/>
          <w:color w:val="auto"/>
        </w:rPr>
      </w:pPr>
    </w:p>
    <w:p>
      <w:pPr>
        <w:ind w:left="1300" w:firstLine="652"/>
        <w:spacing w:after="0" w:line="232" w:lineRule="auto"/>
        <w:tabs>
          <w:tab w:leader="none" w:pos="2464"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date of issuance of such Letter of Credit is on or after the date that is thirty (30) days prior to the Revolving Termination Date.</w:t>
      </w:r>
    </w:p>
    <w:p>
      <w:pPr>
        <w:spacing w:after="0" w:line="158" w:lineRule="exact"/>
        <w:rPr>
          <w:rFonts w:ascii="Arial" w:cs="Arial" w:eastAsia="Arial" w:hAnsi="Arial"/>
          <w:sz w:val="22"/>
          <w:szCs w:val="22"/>
          <w:color w:val="auto"/>
        </w:rPr>
      </w:pPr>
    </w:p>
    <w:p>
      <w:pPr>
        <w:jc w:val="both"/>
        <w:ind w:left="660" w:firstLine="644"/>
        <w:spacing w:after="0" w:line="234" w:lineRule="auto"/>
        <w:tabs>
          <w:tab w:leader="none" w:pos="1837" w:val="left"/>
        </w:tabs>
        <w:numPr>
          <w:ilvl w:val="0"/>
          <w:numId w:val="87"/>
        </w:numPr>
        <w:rPr>
          <w:rFonts w:ascii="Arial" w:cs="Arial" w:eastAsia="Arial" w:hAnsi="Arial"/>
          <w:sz w:val="21"/>
          <w:szCs w:val="21"/>
          <w:color w:val="auto"/>
        </w:rPr>
      </w:pPr>
      <w:r>
        <w:rPr>
          <w:rFonts w:ascii="Arial" w:cs="Arial" w:eastAsia="Arial" w:hAnsi="Arial"/>
          <w:sz w:val="21"/>
          <w:szCs w:val="21"/>
          <w:color w:val="auto"/>
        </w:rPr>
        <w:t>No Issuing Bank shall be under any obligation to amend any Letter of Credit if (A) such Issuing Bank would not have an obligation at such time to issue the Letter of Credit in its amended form under the terms hereof, or (B) the beneficiary of the Letter of Credit does not accept the proposed amendment to the Letter of Credit.</w:t>
      </w:r>
    </w:p>
    <w:p>
      <w:pPr>
        <w:spacing w:after="0" w:line="157" w:lineRule="exact"/>
        <w:rPr>
          <w:rFonts w:ascii="Arial" w:cs="Arial" w:eastAsia="Arial" w:hAnsi="Arial"/>
          <w:sz w:val="21"/>
          <w:szCs w:val="21"/>
          <w:color w:val="auto"/>
        </w:rPr>
      </w:pPr>
    </w:p>
    <w:p>
      <w:pPr>
        <w:jc w:val="both"/>
        <w:ind w:left="660" w:firstLine="644"/>
        <w:spacing w:after="0" w:line="212" w:lineRule="auto"/>
        <w:tabs>
          <w:tab w:leader="none" w:pos="1802"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Each of the Issuing Banks shall act on behalf of the Revolving Lenders with respect to any Letters of Credit issued by it and the documents associated therewith, and each of the Issuing Banks shall have all of the benefits and immunities (A) provided to the Administrative Agent in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with respect to any acts taken or omissions suffered by such Issuing Bank in connection with Letters of Credit issued by it or proposed to be issued by it and Letter of Credit Application pertaining to such Letters of Credit as fully as if the term “Administrative Agent” as used in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 xml:space="preserve"> included such Issuing Bank with respect to such acts or omissions, and (B) as additionally provided herein with respect to the Issuing Banks.</w:t>
      </w:r>
    </w:p>
    <w:p>
      <w:pPr>
        <w:spacing w:after="0" w:line="163" w:lineRule="exact"/>
        <w:rPr>
          <w:rFonts w:ascii="Arial" w:cs="Arial" w:eastAsia="Arial" w:hAnsi="Arial"/>
          <w:sz w:val="22"/>
          <w:szCs w:val="22"/>
          <w:color w:val="auto"/>
        </w:rPr>
      </w:pPr>
    </w:p>
    <w:p>
      <w:pPr>
        <w:jc w:val="both"/>
        <w:ind w:left="660" w:firstLine="644"/>
        <w:spacing w:after="0" w:line="234" w:lineRule="auto"/>
        <w:tabs>
          <w:tab w:leader="none" w:pos="1913" w:val="left"/>
        </w:tabs>
        <w:numPr>
          <w:ilvl w:val="0"/>
          <w:numId w:val="87"/>
        </w:numPr>
        <w:rPr>
          <w:rFonts w:ascii="Arial" w:cs="Arial" w:eastAsia="Arial" w:hAnsi="Arial"/>
          <w:sz w:val="21"/>
          <w:szCs w:val="21"/>
          <w:color w:val="auto"/>
        </w:rPr>
      </w:pPr>
      <w:r>
        <w:rPr>
          <w:rFonts w:ascii="Arial" w:cs="Arial" w:eastAsia="Arial" w:hAnsi="Arial"/>
          <w:sz w:val="21"/>
          <w:szCs w:val="21"/>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54" w:name="page155"/>
    <w:bookmarkEnd w:id="154"/>
    <w:p>
      <w:pPr>
        <w:jc w:val="both"/>
        <w:ind w:firstLine="1304"/>
        <w:spacing w:after="0"/>
        <w:tabs>
          <w:tab w:leader="none" w:pos="1774"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xml:space="preserve"> Each Letter of Credit shall expire at or prior to the close of business on the earlier of (i) the date that is one year after the date of the issuance of such Letter of Credit (or, in the case of any renewal or extension thereof, one year after such renewal or extension) and (ii) the Letter of Credit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so requests in any applicable Letter of Credit Application, the applicable Issuing Bank shall agree to issue a standby or commercial Letter of Credit that has automatic renewal provisions (each, an “</w:t>
      </w:r>
      <w:r>
        <w:rPr>
          <w:rFonts w:ascii="Arial" w:cs="Arial" w:eastAsia="Arial" w:hAnsi="Arial"/>
          <w:sz w:val="19"/>
          <w:szCs w:val="19"/>
          <w:u w:val="single" w:color="auto"/>
          <w:color w:val="auto"/>
        </w:rPr>
        <w:t>Auto-Renewal 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Auto-Renewal Letter of Credit must permit the applicable Issuing Bank to prevent any such renewal at least once in each twelve-month period (commencing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Nonrenewal Notice Date</w:t>
      </w:r>
      <w:r>
        <w:rPr>
          <w:rFonts w:ascii="Arial" w:cs="Arial" w:eastAsia="Arial" w:hAnsi="Arial"/>
          <w:sz w:val="19"/>
          <w:szCs w:val="19"/>
          <w:color w:val="auto"/>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Letter of Credit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Issuing Bank shall permit any such renewal if (A) such Issuing Bank has determined that it would have no obligation at such time to issue such Letter of Credit in its renewed form under the terms hereof (by reason of the provisions of </w:t>
      </w:r>
      <w:r>
        <w:rPr>
          <w:rFonts w:ascii="Arial" w:cs="Arial" w:eastAsia="Arial" w:hAnsi="Arial"/>
          <w:sz w:val="19"/>
          <w:szCs w:val="19"/>
          <w:u w:val="single" w:color="auto"/>
          <w:color w:val="auto"/>
        </w:rPr>
        <w:t>Section 2.05(b)(ii)</w:t>
      </w:r>
      <w:r>
        <w:rPr>
          <w:rFonts w:ascii="Arial" w:cs="Arial" w:eastAsia="Arial" w:hAnsi="Arial"/>
          <w:sz w:val="19"/>
          <w:szCs w:val="19"/>
          <w:color w:val="auto"/>
        </w:rPr>
        <w:t xml:space="preserve"> or otherwise), or (B) it has received notice (in writing) on or before the day that is five (5) Business Days before the Nonrenewal Notice Date from the Administrative Agent, any Revolving Lender, or the Borrower that one or more of the applicable express conditions specified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is not then satisfied (or waived),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agreed to by the applicable Issuing Bank in its sole discretion, a Letter of Credit may, upon the request of the Borrower, be renewed for a period beyond the date that is the Revolving Termination Date if, at the time of such request or such other time as may be agreed by the Issuing Bank, such Letter of Credit has become subject to Cash Collateralization or other arrangements satisfactory to the Issuing Bank.</w:t>
      </w:r>
    </w:p>
    <w:p>
      <w:pPr>
        <w:spacing w:after="0" w:line="166" w:lineRule="exact"/>
        <w:rPr>
          <w:rFonts w:ascii="Arial" w:cs="Arial" w:eastAsia="Arial" w:hAnsi="Arial"/>
          <w:sz w:val="19"/>
          <w:szCs w:val="19"/>
          <w:color w:val="auto"/>
        </w:rPr>
      </w:pPr>
    </w:p>
    <w:p>
      <w:pPr>
        <w:jc w:val="both"/>
        <w:ind w:firstLine="1304"/>
        <w:spacing w:after="0" w:line="242" w:lineRule="auto"/>
        <w:tabs>
          <w:tab w:leader="none" w:pos="1833"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By the issuance of a Letter of Credit (or an amendment to a Letter of Credit increasing the amount thereof) and without any further action on the part of the applicable Issuing Bank or the Revolving Lenders, such Issuing Bank hereby grants to each Revolving Lender, and each Revolving Lender hereby acquires from such Issuing Bank, a participation in such Letter of Credit equal to such Revolving Lender’s Applicable Percentage of the aggregate amount available to be drawn under such Letter of Credit. In consideration and in furtherance of the foregoing, (x) each Revolving Lender hereby absolutely and unconditionally agrees to pay to the Administrative Agent, for the account of the applicable Issuing Bank, in Dollars, such Revolving Lender’s Applicable Percentage of each LC Disbursement in respect of any Letter of Credit made by any Issuing Bank and not reimbursed by the Borrower on the date due as provided in </w:t>
      </w:r>
      <w:r>
        <w:rPr>
          <w:rFonts w:ascii="Arial" w:cs="Arial" w:eastAsia="Arial" w:hAnsi="Arial"/>
          <w:sz w:val="19"/>
          <w:szCs w:val="19"/>
          <w:u w:val="single" w:color="auto"/>
          <w:color w:val="auto"/>
        </w:rPr>
        <w:t>Section 2.05(e)</w:t>
      </w:r>
      <w:r>
        <w:rPr>
          <w:rFonts w:ascii="Arial" w:cs="Arial" w:eastAsia="Arial" w:hAnsi="Arial"/>
          <w:sz w:val="19"/>
          <w:szCs w:val="19"/>
          <w:color w:val="auto"/>
        </w:rPr>
        <w:t>,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60" w:lineRule="exact"/>
        <w:rPr>
          <w:rFonts w:ascii="Arial" w:cs="Arial" w:eastAsia="Arial" w:hAnsi="Arial"/>
          <w:sz w:val="19"/>
          <w:szCs w:val="19"/>
          <w:color w:val="auto"/>
        </w:rPr>
      </w:pPr>
    </w:p>
    <w:p>
      <w:pPr>
        <w:jc w:val="both"/>
        <w:ind w:firstLine="1304"/>
        <w:spacing w:after="0" w:line="249" w:lineRule="auto"/>
        <w:tabs>
          <w:tab w:leader="none" w:pos="1763"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If an Issuing Bank shall honor a Letter of Credit drawing presented under a Letter of Credit, the Borrower shall reimburse such Letter of Credit honored by paying to the Administrative Agent an amount equal to the Dollar Equivalent, calculated using the Exchange Rate when such payment is due, of such LC Disbursement in Dollars not later than 1:00 p.m., New York City time, on the first Business Day succeeding the date on which the applicable Issuing Bank notifies the Borrower in writing of such Letter of Credit honoring;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LC Disbursement is not less than $500,000, the Borrower may, subject to the express conditions to borrowing set forth herein, request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55" w:name="page156"/>
    <w:bookmarkEnd w:id="155"/>
    <w:p>
      <w:pPr>
        <w:jc w:val="both"/>
        <w:spacing w:after="0"/>
        <w:rPr>
          <w:sz w:val="20"/>
          <w:szCs w:val="20"/>
          <w:color w:val="auto"/>
        </w:rPr>
      </w:pP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that such payment be financed with a Revolving Loan Borrowing or Swingline Loan of the same Class in an amount equal to the Dollar Equivalent, calculated using the Exchange Rate on the date when such payment is due, of such LC Disbursement and, to the extent so financed, the Borrower’s obligation to make such payment shall be discharged and replaced by the resulting Revolving Loan Borrowing or Swingline Loan. If the Borrower fails to make such payment when due, then the Administrative Agent shall notify each Revolving Lender of the Dollar Equivalent of the applicable LC Disbursement, the payment then due from the Borrower in respect thereof and such Revolving Lender’s Applicable Percentage thereof. Promptly following receipt of such notice, each Revolving Lender shall pay to the Administrative Agent in Dollars its Applicable Percentage of the Dollar Equivalent of the payment then due from the Borrower (such payment from such Revolving Lender to be made on demand with interest thereon for the period from the date such payment is required to the date on which such payment is immediately available to the applicable Issuing Bank at a rate per annum equal to the greater of the NYFRB Rate and a rate determined by such Issuing Bank in accordance with banking industry rules on interbank compensation, plus any administrative, processing or similar fees customarily charged by such Issuing Bank in connection with the foregoing), in the same manner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2.06 with respect to Loans made by such Revolving Lender (and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to the payment obligations of the Revolving Lender), and the Administrative Agent shall promptly pay to the applicable Issuing Bank the amounts so received by it from the Revolving Lender.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the applicable Issuing Bank, then to such Revolving Lenders and the Issuing Banks as their interests may appear. Any payment made by a Revolving Lender pursuant to this paragraph to reimburse an Issuing Bank for any LC Disbursement (other than the funding of Revolving Loans or a Swingline Loan as contemplated above) shall not constitute a Loan and shall not relieve the Borrower of their obligation to reimburse such LC Disbursement.</w:t>
      </w:r>
    </w:p>
    <w:p>
      <w:pPr>
        <w:spacing w:after="0" w:line="382" w:lineRule="exact"/>
        <w:rPr>
          <w:sz w:val="20"/>
          <w:szCs w:val="20"/>
          <w:color w:val="auto"/>
        </w:rPr>
      </w:pPr>
    </w:p>
    <w:p>
      <w:pPr>
        <w:ind w:left="1740" w:hanging="436"/>
        <w:spacing w:after="0"/>
        <w:tabs>
          <w:tab w:leader="none" w:pos="174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Repayment of Participations</w:t>
      </w:r>
      <w:r>
        <w:rPr>
          <w:rFonts w:ascii="Arial" w:cs="Arial" w:eastAsia="Arial" w:hAnsi="Arial"/>
          <w:sz w:val="22"/>
          <w:szCs w:val="22"/>
          <w:color w:val="auto"/>
        </w:rPr>
        <w:t>.</w:t>
      </w:r>
    </w:p>
    <w:p>
      <w:pPr>
        <w:spacing w:after="0" w:line="179" w:lineRule="exact"/>
        <w:rPr>
          <w:sz w:val="20"/>
          <w:szCs w:val="20"/>
          <w:color w:val="auto"/>
        </w:rPr>
      </w:pPr>
    </w:p>
    <w:p>
      <w:pPr>
        <w:jc w:val="both"/>
        <w:ind w:left="660" w:firstLine="644"/>
        <w:spacing w:after="0" w:line="249" w:lineRule="auto"/>
        <w:tabs>
          <w:tab w:leader="none" w:pos="1823"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At any time after any Issuing Bank has made an LC Disbursement and has received from any Revolving Lender such Revolving Lender’s payment in respect of such LC Disbursement pursuant to </w:t>
      </w:r>
      <w:r>
        <w:rPr>
          <w:rFonts w:ascii="Arial" w:cs="Arial" w:eastAsia="Arial" w:hAnsi="Arial"/>
          <w:sz w:val="19"/>
          <w:szCs w:val="19"/>
          <w:u w:val="single" w:color="auto"/>
          <w:color w:val="auto"/>
        </w:rPr>
        <w:t>Section 2.05(e)</w:t>
      </w:r>
      <w:r>
        <w:rPr>
          <w:rFonts w:ascii="Arial" w:cs="Arial" w:eastAsia="Arial" w:hAnsi="Arial"/>
          <w:sz w:val="19"/>
          <w:szCs w:val="19"/>
          <w:color w:val="auto"/>
        </w:rPr>
        <w:t>, if the Administrative Agent receives for the account of the applicable Issuing Bank any payment in respect of the related LC Disbursement or interest thereon (whether directly from the Borrower or otherwise, including proceeds of Cash Collateral applied thereto by the Administrative Agent in accordance with this Agreement), the Administrative Agent will distribute in Dollars to such Revolving Lender the Dollar Equivalent of its Applicable Percentage thereof.</w:t>
      </w:r>
    </w:p>
    <w:p>
      <w:pPr>
        <w:spacing w:after="0" w:line="151" w:lineRule="exact"/>
        <w:rPr>
          <w:rFonts w:ascii="Arial" w:cs="Arial" w:eastAsia="Arial" w:hAnsi="Arial"/>
          <w:sz w:val="19"/>
          <w:szCs w:val="19"/>
          <w:color w:val="auto"/>
        </w:rPr>
      </w:pPr>
    </w:p>
    <w:p>
      <w:pPr>
        <w:jc w:val="both"/>
        <w:ind w:left="660" w:firstLine="644"/>
        <w:spacing w:after="0" w:line="211" w:lineRule="auto"/>
        <w:tabs>
          <w:tab w:leader="none" w:pos="1810"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If any payment received by the Administrative Agent for the account of an Issuing Bank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2.05(e)</w:t>
      </w:r>
      <w:r>
        <w:rPr>
          <w:rFonts w:ascii="Arial" w:cs="Arial" w:eastAsia="Arial" w:hAnsi="Arial"/>
          <w:sz w:val="22"/>
          <w:szCs w:val="22"/>
          <w:color w:val="auto"/>
        </w:rPr>
        <w:t xml:space="preserve"> is required to be returned under any of the circumstances described in </w:t>
      </w:r>
      <w:r>
        <w:rPr>
          <w:rFonts w:ascii="Arial" w:cs="Arial" w:eastAsia="Arial" w:hAnsi="Arial"/>
          <w:sz w:val="22"/>
          <w:szCs w:val="22"/>
          <w:u w:val="single" w:color="auto"/>
          <w:color w:val="auto"/>
        </w:rPr>
        <w:t>Section 9.08</w:t>
      </w:r>
      <w:r>
        <w:rPr>
          <w:rFonts w:ascii="Arial" w:cs="Arial" w:eastAsia="Arial" w:hAnsi="Arial"/>
          <w:sz w:val="22"/>
          <w:szCs w:val="22"/>
          <w:color w:val="auto"/>
        </w:rPr>
        <w:t xml:space="preserve"> (including pursuant to any settlement entered into by the applicable Issuing Bank in its discretion), each Revolving Lender shall pay to the Administrative Agent for the account of such Issuing Bank in Dollars the Dollar Equivalent of its Applicable Percentage thereof on demand of the Administrative Agent, </w:t>
      </w:r>
      <w:r>
        <w:rPr>
          <w:rFonts w:ascii="Arial" w:cs="Arial" w:eastAsia="Arial" w:hAnsi="Arial"/>
          <w:sz w:val="22"/>
          <w:szCs w:val="22"/>
          <w:i w:val="1"/>
          <w:iCs w:val="1"/>
          <w:u w:val="single" w:color="auto"/>
          <w:color w:val="auto"/>
        </w:rPr>
        <w:t>plus</w:t>
      </w:r>
      <w:r>
        <w:rPr>
          <w:rFonts w:ascii="Arial" w:cs="Arial" w:eastAsia="Arial" w:hAnsi="Arial"/>
          <w:sz w:val="22"/>
          <w:szCs w:val="22"/>
          <w:color w:val="auto"/>
        </w:rPr>
        <w:t xml:space="preserve"> interest thereon from the date of such demand to the date such amount is returned by such Revolving Lender, at a rate per annum equal to the NYFRB Rate from time to time in effect. The obligations of the Lenders under this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shall survive the payment in full of the Obligations and the termination of this Agreement.</w:t>
      </w:r>
    </w:p>
    <w:p>
      <w:pPr>
        <w:spacing w:after="0" w:line="165" w:lineRule="exact"/>
        <w:rPr>
          <w:sz w:val="20"/>
          <w:szCs w:val="20"/>
          <w:color w:val="auto"/>
        </w:rPr>
      </w:pPr>
    </w:p>
    <w:p>
      <w:pPr>
        <w:ind w:left="1800" w:hanging="496"/>
        <w:spacing w:after="0"/>
        <w:tabs>
          <w:tab w:leader="none" w:pos="1800"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Borrower’s obligations to reimburse LC Disbursements as provided in </w:t>
      </w:r>
      <w:r>
        <w:rPr>
          <w:rFonts w:ascii="Arial" w:cs="Arial" w:eastAsia="Arial" w:hAnsi="Arial"/>
          <w:sz w:val="19"/>
          <w:szCs w:val="19"/>
          <w:u w:val="single" w:color="auto"/>
          <w:color w:val="auto"/>
        </w:rPr>
        <w:t>paragraph</w:t>
      </w:r>
    </w:p>
    <w:p>
      <w:pPr>
        <w:spacing w:after="0" w:line="15" w:lineRule="exact"/>
        <w:rPr>
          <w:rFonts w:ascii="Arial" w:cs="Arial" w:eastAsia="Arial" w:hAnsi="Arial"/>
          <w:sz w:val="19"/>
          <w:szCs w:val="19"/>
          <w:color w:val="auto"/>
        </w:rPr>
      </w:pPr>
    </w:p>
    <w:p>
      <w:pPr>
        <w:ind w:firstLine="8"/>
        <w:spacing w:after="0" w:line="224" w:lineRule="auto"/>
        <w:tabs>
          <w:tab w:leader="none" w:pos="306" w:val="left"/>
        </w:tabs>
        <w:numPr>
          <w:ilvl w:val="0"/>
          <w:numId w:val="92"/>
        </w:numPr>
        <w:rPr>
          <w:rFonts w:ascii="Arial" w:cs="Arial" w:eastAsia="Arial" w:hAnsi="Arial"/>
          <w:sz w:val="22"/>
          <w:szCs w:val="22"/>
          <w:u w:val="single" w:color="auto"/>
          <w:color w:val="auto"/>
        </w:rPr>
      </w:pPr>
      <w:r>
        <w:rPr>
          <w:rFonts w:ascii="Arial" w:cs="Arial" w:eastAsia="Arial" w:hAnsi="Arial"/>
          <w:sz w:val="22"/>
          <w:szCs w:val="22"/>
          <w:color w:val="auto"/>
        </w:rPr>
        <w:t>of this Section shall be absolute, unconditional and irrevocable, and shall be performed strictly in accordance with the terms of this Agreement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56" w:name="page157"/>
    <w:bookmarkEnd w:id="156"/>
    <w:p>
      <w:pPr>
        <w:jc w:val="both"/>
        <w:spacing w:after="0"/>
        <w:rPr>
          <w:sz w:val="20"/>
          <w:szCs w:val="20"/>
          <w:color w:val="auto"/>
        </w:rPr>
      </w:pPr>
      <w:r>
        <w:rPr>
          <w:rFonts w:ascii="Arial" w:cs="Arial" w:eastAsia="Arial" w:hAnsi="Arial"/>
          <w:sz w:val="19"/>
          <w:szCs w:val="19"/>
          <w:color w:val="auto"/>
        </w:rPr>
        <w:t xml:space="preserve">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(iv) any adverse change in the relevant exchange rates or in the availability of the relevant Alternative Currency to the Borrower or any of the Restricted Subsidiaries or in the relevant currency markets generally, or (v) any other event or circumstance whatsoever, whether or not similar to any of the foregoing, that might, but for the provisions of this Section, constitute a legal or equitable discharge of, or provide a right of setoff against, the Borrower’s obligations hereunder (other than the defense of payment or performance).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any Issuing Bank from liability to 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bad faith, gross negligence, material breach of its obligations as an Issuing Bank hereunder, or willful misconduct on the part of an Issuing Bank (as finally determined by a court of competent jurisdiction), each of the Issuing Banks shall be deemed to have exercised care in each such determination as Issuing Bank. In furtherance of the foregoing and without limiting the generality thereof, the parties agree that, with respect to documents presented that appear on their face to be in substantial compliance with the terms of a Letter of Credit, each of the Issuing Banks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and any such acceptance or refusal shall be deemed not to constitute bad faith, gross negligence or willful misconduct.</w:t>
      </w:r>
    </w:p>
    <w:p>
      <w:pPr>
        <w:spacing w:after="0" w:line="367" w:lineRule="exact"/>
        <w:rPr>
          <w:sz w:val="20"/>
          <w:szCs w:val="20"/>
          <w:color w:val="auto"/>
        </w:rPr>
      </w:pPr>
    </w:p>
    <w:p>
      <w:pPr>
        <w:jc w:val="both"/>
        <w:ind w:firstLine="1304"/>
        <w:spacing w:after="0" w:line="214" w:lineRule="auto"/>
        <w:tabs>
          <w:tab w:leader="none" w:pos="177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Disbursement Procedures</w:t>
      </w:r>
      <w:r>
        <w:rPr>
          <w:rFonts w:ascii="Arial" w:cs="Arial" w:eastAsia="Arial" w:hAnsi="Arial"/>
          <w:sz w:val="22"/>
          <w:szCs w:val="22"/>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of such demand for payment and whether such Issuing Bank has made or will make an LC Disbursement thereunder;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failure to give or delay in giving such notice shall not relieve the Borrower of its obligation to reimburse such Issuing Bank and the Revolving Lenders with respect to any such LC Disbursement in accordance with </w:t>
      </w:r>
      <w:r>
        <w:rPr>
          <w:rFonts w:ascii="Arial" w:cs="Arial" w:eastAsia="Arial" w:hAnsi="Arial"/>
          <w:sz w:val="22"/>
          <w:szCs w:val="22"/>
          <w:u w:val="single" w:color="auto"/>
          <w:color w:val="auto"/>
        </w:rPr>
        <w:t>Section 2.05(e)</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875"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 Issuing Bank shall make any LC Disbursement, then, unless the Borrower shall reimburse such LC Disbursement in full as set forth in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fails to reimburse such LC Disbursement when due pursuant to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then </w:t>
      </w:r>
      <w:r>
        <w:rPr>
          <w:rFonts w:ascii="Arial" w:cs="Arial" w:eastAsia="Arial" w:hAnsi="Arial"/>
          <w:sz w:val="19"/>
          <w:szCs w:val="19"/>
          <w:u w:val="single" w:color="auto"/>
          <w:color w:val="auto"/>
        </w:rPr>
        <w:t>Section 2.13(c)</w:t>
      </w:r>
      <w:r>
        <w:rPr>
          <w:rFonts w:ascii="Arial" w:cs="Arial" w:eastAsia="Arial" w:hAnsi="Arial"/>
          <w:sz w:val="19"/>
          <w:szCs w:val="19"/>
          <w:color w:val="auto"/>
        </w:rPr>
        <w:t xml:space="preserve"> shall apply. Interest accrued pursuant to this paragraph shall be for the account of the applicable Issuing Bank, except that interest accrued on and after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57" w:name="page158"/>
    <w:bookmarkEnd w:id="157"/>
    <w:p>
      <w:pPr>
        <w:spacing w:after="0" w:line="232" w:lineRule="auto"/>
        <w:rPr>
          <w:sz w:val="20"/>
          <w:szCs w:val="20"/>
          <w:color w:val="auto"/>
        </w:rPr>
      </w:pPr>
      <w:r>
        <w:rPr>
          <w:rFonts w:ascii="Arial" w:cs="Arial" w:eastAsia="Arial" w:hAnsi="Arial"/>
          <w:sz w:val="22"/>
          <w:szCs w:val="22"/>
          <w:color w:val="auto"/>
        </w:rPr>
        <w:t xml:space="preserve">payment by any Revolving Lender pursuant to </w:t>
      </w:r>
      <w:r>
        <w:rPr>
          <w:rFonts w:ascii="Arial" w:cs="Arial" w:eastAsia="Arial" w:hAnsi="Arial"/>
          <w:sz w:val="22"/>
          <w:szCs w:val="22"/>
          <w:u w:val="single" w:color="auto"/>
          <w:color w:val="auto"/>
        </w:rPr>
        <w:t>Section 2.05(e)</w:t>
      </w:r>
      <w:r>
        <w:rPr>
          <w:rFonts w:ascii="Arial" w:cs="Arial" w:eastAsia="Arial" w:hAnsi="Arial"/>
          <w:sz w:val="22"/>
          <w:szCs w:val="22"/>
          <w:color w:val="auto"/>
        </w:rPr>
        <w:t xml:space="preserve"> to reimburse the applicable Issuing Bank shall be for the account of such Lender to the extent of such payment.</w:t>
      </w:r>
    </w:p>
    <w:p>
      <w:pPr>
        <w:spacing w:after="0" w:line="159" w:lineRule="exact"/>
        <w:rPr>
          <w:sz w:val="20"/>
          <w:szCs w:val="20"/>
          <w:color w:val="auto"/>
        </w:rPr>
      </w:pPr>
    </w:p>
    <w:p>
      <w:pPr>
        <w:jc w:val="both"/>
        <w:ind w:firstLine="1304"/>
        <w:spacing w:after="0" w:line="219" w:lineRule="auto"/>
        <w:tabs>
          <w:tab w:leader="none" w:pos="1802"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Role of Issuing Bank</w:t>
      </w:r>
      <w:r>
        <w:rPr>
          <w:rFonts w:ascii="Arial" w:cs="Arial" w:eastAsia="Arial" w:hAnsi="Arial"/>
          <w:sz w:val="21"/>
          <w:szCs w:val="21"/>
          <w:color w:val="auto"/>
        </w:rPr>
        <w:t xml:space="preserve">. Each Lender and the Borrower agree that, in paying any drawing under a Letter of Credit, no Issuing Bank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an Issuing Bank shall be liable to any Lender for (i) any action taken or omitted in connection herewith at the request or with the approval of the Revolving Lenders or the Required Lenders, as applicable; (ii) any action taken or omitted in the absence of gross negligence or willful misconduct;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this assumption is not intended to, and shall not, preclude the Borrower from pursuing such rights and remedies as it may have against the beneficiary or transferee at law or under any other agreement.</w:t>
      </w:r>
    </w:p>
    <w:p>
      <w:pPr>
        <w:spacing w:after="0" w:line="163" w:lineRule="exact"/>
        <w:rPr>
          <w:rFonts w:ascii="Arial" w:cs="Arial" w:eastAsia="Arial" w:hAnsi="Arial"/>
          <w:sz w:val="21"/>
          <w:szCs w:val="21"/>
          <w:color w:val="auto"/>
        </w:rPr>
      </w:pPr>
    </w:p>
    <w:p>
      <w:pPr>
        <w:jc w:val="both"/>
        <w:ind w:firstLine="1304"/>
        <w:spacing w:after="0" w:line="244" w:lineRule="auto"/>
        <w:tabs>
          <w:tab w:leader="none" w:pos="1883"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Replacement of the Issuing Banks</w:t>
      </w:r>
      <w:r>
        <w:rPr>
          <w:rFonts w:ascii="Arial" w:cs="Arial" w:eastAsia="Arial" w:hAnsi="Arial"/>
          <w:sz w:val="19"/>
          <w:szCs w:val="19"/>
          <w:color w:val="auto"/>
        </w:rPr>
        <w:t xml:space="preserve">. An Issuing Bank may be replaced at any time by written agreement among the Borrower, the Administrative Agent, the replaced Issuing Bank and the successor Issuing Bank. The Administrative Agent shall notify the Lenders of any replacement of an Issuing Bank. At the time any such replacement shall become effective, the Borrower shall pay all unpaid fees accrued for the account of the replaced Issuing Bank pursuant to </w:t>
      </w:r>
      <w:r>
        <w:rPr>
          <w:rFonts w:ascii="Arial" w:cs="Arial" w:eastAsia="Arial" w:hAnsi="Arial"/>
          <w:sz w:val="19"/>
          <w:szCs w:val="19"/>
          <w:u w:val="single" w:color="auto"/>
          <w:color w:val="auto"/>
        </w:rPr>
        <w:t>Section 2.12(c)</w:t>
      </w:r>
      <w:r>
        <w:rPr>
          <w:rFonts w:ascii="Arial" w:cs="Arial" w:eastAsia="Arial" w:hAnsi="Arial"/>
          <w:sz w:val="19"/>
          <w:szCs w:val="19"/>
          <w:color w:val="auto"/>
        </w:rPr>
        <w:t>.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54" w:lineRule="exact"/>
        <w:rPr>
          <w:rFonts w:ascii="Arial" w:cs="Arial" w:eastAsia="Arial" w:hAnsi="Arial"/>
          <w:sz w:val="19"/>
          <w:szCs w:val="19"/>
          <w:color w:val="auto"/>
        </w:rPr>
      </w:pPr>
    </w:p>
    <w:p>
      <w:pPr>
        <w:jc w:val="both"/>
        <w:ind w:firstLine="1304"/>
        <w:spacing w:after="0" w:line="252" w:lineRule="auto"/>
        <w:tabs>
          <w:tab w:leader="none" w:pos="1732" w:val="left"/>
        </w:tabs>
        <w:numPr>
          <w:ilvl w:val="0"/>
          <w:numId w:val="94"/>
        </w:numPr>
        <w:rPr>
          <w:rFonts w:ascii="Arial" w:cs="Arial" w:eastAsia="Arial" w:hAnsi="Arial"/>
          <w:sz w:val="19"/>
          <w:szCs w:val="19"/>
          <w:color w:val="auto"/>
        </w:rPr>
      </w:pPr>
      <w:r>
        <w:rPr>
          <w:rFonts w:ascii="Arial" w:cs="Arial" w:eastAsia="Arial" w:hAnsi="Arial"/>
          <w:sz w:val="19"/>
          <w:szCs w:val="19"/>
          <w:color w:val="auto"/>
        </w:rPr>
        <w:t>Notwithstanding that a Letter of Credit issued or outstanding hereunder is in support of any obligations of, or is for the account of, the Borrower or any Subsidiary, the Borrower shall be obligated to reimburse the applicable Issuing Bank hereunder for any and all drawings under such Letter of Credit. The Borrower hereby acknowledges that any issuance of Letters of Credit for the account of the Borrower and/or any Subsidiaries of the Borrower inures to the benefit of the Borrower, and that the Borrower’s business derives substantial benefits from the businesses of such Subsidiaries.</w:t>
      </w:r>
    </w:p>
    <w:p>
      <w:pPr>
        <w:spacing w:after="0" w:line="148" w:lineRule="exact"/>
        <w:rPr>
          <w:rFonts w:ascii="Arial" w:cs="Arial" w:eastAsia="Arial" w:hAnsi="Arial"/>
          <w:sz w:val="19"/>
          <w:szCs w:val="19"/>
          <w:color w:val="auto"/>
        </w:rPr>
      </w:pPr>
    </w:p>
    <w:p>
      <w:pPr>
        <w:jc w:val="both"/>
        <w:ind w:firstLine="1304"/>
        <w:spacing w:after="0" w:line="229" w:lineRule="auto"/>
        <w:tabs>
          <w:tab w:leader="none" w:pos="1902"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Applicability of ISP and UCP</w:t>
      </w:r>
      <w:r>
        <w:rPr>
          <w:rFonts w:ascii="Arial" w:cs="Arial" w:eastAsia="Arial" w:hAnsi="Arial"/>
          <w:sz w:val="21"/>
          <w:szCs w:val="21"/>
          <w:color w:val="auto"/>
        </w:rPr>
        <w:t>. Unless otherwise expressly agreed by the applicable Issuing Bank and the Borrower,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158" w:lineRule="exact"/>
        <w:rPr>
          <w:rFonts w:ascii="Arial" w:cs="Arial" w:eastAsia="Arial" w:hAnsi="Arial"/>
          <w:sz w:val="21"/>
          <w:szCs w:val="21"/>
          <w:color w:val="auto"/>
        </w:rPr>
      </w:pPr>
    </w:p>
    <w:p>
      <w:pPr>
        <w:jc w:val="both"/>
        <w:ind w:firstLine="1304"/>
        <w:spacing w:after="0" w:line="268" w:lineRule="auto"/>
        <w:tabs>
          <w:tab w:leader="none" w:pos="195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Conflict with Letter of Credit Application</w:t>
      </w:r>
      <w:r>
        <w:rPr>
          <w:rFonts w:ascii="Arial" w:cs="Arial" w:eastAsia="Arial" w:hAnsi="Arial"/>
          <w:sz w:val="19"/>
          <w:szCs w:val="19"/>
          <w:color w:val="auto"/>
        </w:rPr>
        <w:t>. In the event of any inconsistency between the terms and conditions of this Agreement and the terms and conditions of any form of letter of credit application or other agreement submitted by the Borrower to, or entered into by the Borrower with, an Issuing Bank relating to any Letter of Credit, the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58" w:name="page159"/>
    <w:bookmarkEnd w:id="158"/>
    <w:p>
      <w:pPr>
        <w:spacing w:after="0" w:line="232" w:lineRule="auto"/>
        <w:rPr>
          <w:sz w:val="20"/>
          <w:szCs w:val="20"/>
          <w:color w:val="auto"/>
        </w:rPr>
      </w:pPr>
      <w:r>
        <w:rPr>
          <w:rFonts w:ascii="Arial" w:cs="Arial" w:eastAsia="Arial" w:hAnsi="Arial"/>
          <w:sz w:val="22"/>
          <w:szCs w:val="22"/>
          <w:color w:val="auto"/>
        </w:rPr>
        <w:t>conditions of this Agreement shall control, and any grant of a security interest in any form of Letter of Credit Application or other agreement shall be null and void.</w:t>
      </w:r>
    </w:p>
    <w:p>
      <w:pPr>
        <w:spacing w:after="0" w:line="159" w:lineRule="exact"/>
        <w:rPr>
          <w:sz w:val="20"/>
          <w:szCs w:val="20"/>
          <w:color w:val="auto"/>
        </w:rPr>
      </w:pPr>
    </w:p>
    <w:p>
      <w:pPr>
        <w:jc w:val="both"/>
        <w:ind w:firstLine="1304"/>
        <w:spacing w:after="0" w:line="241" w:lineRule="auto"/>
        <w:tabs>
          <w:tab w:leader="none" w:pos="1815"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Provisions Related to Extended Revolving Commitments</w:t>
      </w:r>
      <w:r>
        <w:rPr>
          <w:rFonts w:ascii="Arial" w:cs="Arial" w:eastAsia="Arial" w:hAnsi="Arial"/>
          <w:sz w:val="19"/>
          <w:szCs w:val="19"/>
          <w:color w:val="auto"/>
        </w:rPr>
        <w:t xml:space="preserve">. If, after the date hereof, there shall be more than one tranche of Revolving Commitments, and if the maturity date in respect of any tranche of Revolving Commitments occurs prior to the expiration of any Letter of Credit, then (i) if one or more other tranches of Revolving Commitments in respect of which the maturity date shall not have occurred are then in effect, such Letters of Credit shall automatically be deemed to have been issued (including for purposes of the obligations of the Revolving Lenders to purchase participations therein and to make Revolving Loans and payments in respect thereof pursuant to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under (and ratably participated in by Lenders pursuant to) the Revolving Commitments in respect of such non-terminating tranches up to an aggregate amount not to exceed the aggregate principal amount of the unutilized Revolving Commitments thereunder at such time (it being understood that no partial face amount of any Letter of Credit may be so reallocated) and (ii) to the extent not reallocated pursuant to immediately preceding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the Borrower shall Cash Collateralize any such Letter of Credit in accordance with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or otherwise backstop such Letter of Credit on terms reasonably satisfactory to the applicable Issuing Bank. If, for any reason, such Cash Collateral is not provided or the reallocation does not occur, the Revolving Lenders under the maturing tranche shall continue to be responsible for their participating interests in the Letters of Credit. Except to the extent of reallocations of participations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the second preceding sentence, the occurrence of a maturity date with respect to a given tranche of Revolving Commitments shall have no effect upon (and shall not diminish) the percentage participations of the Revolving Lenders in any Letter of Credit issued before such maturity date. Commencing with the maturity date of any tranche of Revolving Commitments, the sublimit for Letters of Credit shall be agreed with the Lenders under the extended tranches.</w:t>
      </w:r>
    </w:p>
    <w:p>
      <w:pPr>
        <w:spacing w:after="0" w:line="158" w:lineRule="exact"/>
        <w:rPr>
          <w:rFonts w:ascii="Arial" w:cs="Arial" w:eastAsia="Arial" w:hAnsi="Arial"/>
          <w:sz w:val="19"/>
          <w:szCs w:val="19"/>
          <w:color w:val="auto"/>
        </w:rPr>
      </w:pPr>
    </w:p>
    <w:p>
      <w:pPr>
        <w:jc w:val="both"/>
        <w:ind w:firstLine="1304"/>
        <w:spacing w:after="0" w:line="268" w:lineRule="auto"/>
        <w:tabs>
          <w:tab w:leader="none" w:pos="1831"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Addition of an Issuing Bank</w:t>
      </w:r>
      <w:r>
        <w:rPr>
          <w:rFonts w:ascii="Arial" w:cs="Arial" w:eastAsia="Arial" w:hAnsi="Arial"/>
          <w:sz w:val="19"/>
          <w:szCs w:val="19"/>
          <w:color w:val="auto"/>
        </w:rPr>
        <w:t>. A Revolving Lender (or any of its subsidiaries or Affiliates) may become an additional Issuing Bank hereunder pursuant to a written agreement among the Borrower, the Administrative Agent and such Revolving Lender. The Administrative Agent shall notify the Revolving Lenders of any such additional Issuing Bank.</w:t>
      </w:r>
    </w:p>
    <w:p>
      <w:pPr>
        <w:spacing w:after="0" w:line="13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2.06</w:t>
      </w:r>
      <w:r>
        <w:rPr>
          <w:sz w:val="20"/>
          <w:szCs w:val="20"/>
          <w:color w:val="auto"/>
        </w:rPr>
        <w:tab/>
      </w:r>
      <w:r>
        <w:rPr>
          <w:rFonts w:ascii="Arial" w:cs="Arial" w:eastAsia="Arial" w:hAnsi="Arial"/>
          <w:sz w:val="19"/>
          <w:szCs w:val="19"/>
          <w:u w:val="single" w:color="auto"/>
          <w:color w:val="auto"/>
        </w:rPr>
        <w:t>Funding of Borrowings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9" w:lineRule="auto"/>
        <w:tabs>
          <w:tab w:leader="none" w:pos="1779"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Each Lender shall make each Loan to be made by it hereunder on the proposed date thereof by wire transfer of immediately available funds by (i) 1:00 p.m., New York City time, in the case of a Eurocurrency Borrowing </w:t>
      </w:r>
      <w:r>
        <w:rPr>
          <w:rFonts w:ascii="Arial" w:cs="Arial" w:eastAsia="Arial" w:hAnsi="Arial"/>
          <w:sz w:val="21"/>
          <w:szCs w:val="21"/>
          <w:color w:val="0000FF"/>
        </w:rPr>
        <w:t>or Term SOFR</w:t>
      </w:r>
      <w:r>
        <w:rPr>
          <w:rFonts w:ascii="Arial" w:cs="Arial" w:eastAsia="Arial" w:hAnsi="Arial"/>
          <w:sz w:val="21"/>
          <w:szCs w:val="21"/>
          <w:color w:val="auto"/>
        </w:rPr>
        <w:t xml:space="preserve"> </w:t>
      </w:r>
      <w:r>
        <w:rPr>
          <w:rFonts w:ascii="Arial" w:cs="Arial" w:eastAsia="Arial" w:hAnsi="Arial"/>
          <w:sz w:val="21"/>
          <w:szCs w:val="21"/>
          <w:u w:val="single" w:color="auto"/>
          <w:color w:val="0000FF"/>
        </w:rPr>
        <w:t>Borrowing</w:t>
      </w:r>
      <w:r>
        <w:rPr>
          <w:rFonts w:ascii="Arial" w:cs="Arial" w:eastAsia="Arial" w:hAnsi="Arial"/>
          <w:sz w:val="21"/>
          <w:szCs w:val="21"/>
          <w:color w:val="000000"/>
        </w:rPr>
        <w:t>, 1:00 p.m., New York City time, in the case of an ABR Borrowing for which notice has been provided by 11:00 a.m.</w:t>
      </w:r>
      <w:r>
        <w:rPr>
          <w:rFonts w:ascii="Arial" w:cs="Arial" w:eastAsia="Arial" w:hAnsi="Arial"/>
          <w:sz w:val="21"/>
          <w:szCs w:val="21"/>
          <w:color w:val="0000FF"/>
        </w:rPr>
        <w:t xml:space="preserve"> </w:t>
      </w:r>
      <w:r>
        <w:rPr>
          <w:rFonts w:ascii="Arial" w:cs="Arial" w:eastAsia="Arial" w:hAnsi="Arial"/>
          <w:sz w:val="21"/>
          <w:szCs w:val="21"/>
          <w:color w:val="000000"/>
        </w:rPr>
        <w:t xml:space="preserve">New York City time at least one (1) Business Day prior to the date of the proposed Borrowing or (ii) 2:00 p.m. New York City time, in the case of an ABR Borrowing for which notice has been provided by 11:00 a.m. New York City time on the date of the proposed ABR Borrowing, in each case to the account of the Administrative Agent most recently designated by it for such purpose by notice to the Lenders;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Swingline Loans shall be made as provided in </w:t>
      </w:r>
      <w:r>
        <w:rPr>
          <w:rFonts w:ascii="Arial" w:cs="Arial" w:eastAsia="Arial" w:hAnsi="Arial"/>
          <w:sz w:val="21"/>
          <w:szCs w:val="21"/>
          <w:u w:val="single" w:color="auto"/>
          <w:color w:val="000000"/>
        </w:rPr>
        <w:t>Section 2.04</w:t>
      </w:r>
      <w:r>
        <w:rPr>
          <w:rFonts w:ascii="Arial" w:cs="Arial" w:eastAsia="Arial" w:hAnsi="Arial"/>
          <w:sz w:val="21"/>
          <w:szCs w:val="21"/>
          <w:color w:val="000000"/>
        </w:rPr>
        <w:t xml:space="preserve">. The Administrative Agent will make such Loans available to the Borrower by wire transfer of the amounts so received, in immediately available funds, to an account of the Borrower, in each case designated by the Borrower in the applicable Borrowing Request,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ABR Revolving Loans made to finance the reimbursement of an LC Disbursement as provided in </w:t>
      </w:r>
      <w:r>
        <w:rPr>
          <w:rFonts w:ascii="Arial" w:cs="Arial" w:eastAsia="Arial" w:hAnsi="Arial"/>
          <w:sz w:val="21"/>
          <w:szCs w:val="21"/>
          <w:u w:val="single" w:color="auto"/>
          <w:color w:val="000000"/>
        </w:rPr>
        <w:t>Section 2.05(e)</w:t>
      </w:r>
      <w:r>
        <w:rPr>
          <w:rFonts w:ascii="Arial" w:cs="Arial" w:eastAsia="Arial" w:hAnsi="Arial"/>
          <w:sz w:val="21"/>
          <w:szCs w:val="21"/>
          <w:color w:val="000000"/>
        </w:rPr>
        <w:t xml:space="preserve"> shall be remitted by the Administrative Agent to the applicable Issuing Bank or, to the extent that Revolving Lenders have made payments pursuant to </w:t>
      </w:r>
      <w:r>
        <w:rPr>
          <w:rFonts w:ascii="Arial" w:cs="Arial" w:eastAsia="Arial" w:hAnsi="Arial"/>
          <w:sz w:val="21"/>
          <w:szCs w:val="21"/>
          <w:u w:val="single" w:color="auto"/>
          <w:color w:val="000000"/>
        </w:rPr>
        <w:t>Section 2.05(e)</w:t>
      </w:r>
      <w:r>
        <w:rPr>
          <w:rFonts w:ascii="Arial" w:cs="Arial" w:eastAsia="Arial" w:hAnsi="Arial"/>
          <w:sz w:val="21"/>
          <w:szCs w:val="21"/>
          <w:color w:val="000000"/>
        </w:rPr>
        <w:t xml:space="preserve"> to reimburse an Issuing Bank, then to such Revolving Lenders and the applicable Issuing Bank as their interests may appear.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6261100</wp:posOffset>
            </wp:positionH>
            <wp:positionV relativeFrom="paragraph">
              <wp:posOffset>-1539240</wp:posOffset>
            </wp:positionV>
            <wp:extent cx="8763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876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59" w:name="page160"/>
    <w:bookmarkEnd w:id="159"/>
    <w:p>
      <w:pPr>
        <w:jc w:val="both"/>
        <w:ind w:firstLine="1304"/>
        <w:spacing w:after="0" w:line="219" w:lineRule="auto"/>
        <w:tabs>
          <w:tab w:leader="none" w:pos="1802"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will make such share available on such date in accordance with </w:t>
      </w:r>
      <w:r>
        <w:rPr>
          <w:rFonts w:ascii="Arial" w:cs="Arial" w:eastAsia="Arial" w:hAnsi="Arial"/>
          <w:sz w:val="21"/>
          <w:szCs w:val="21"/>
          <w:u w:val="single" w:color="auto"/>
          <w:color w:val="auto"/>
        </w:rPr>
        <w:t>paragraph (a)</w:t>
      </w:r>
      <w:r>
        <w:rPr>
          <w:rFonts w:ascii="Arial" w:cs="Arial" w:eastAsia="Arial" w:hAnsi="Arial"/>
          <w:sz w:val="21"/>
          <w:szCs w:val="21"/>
          <w:color w:val="auto"/>
        </w:rPr>
        <w:t xml:space="preserve"> of this Section and may, in reliance upon such assumption and in its sole discretion, make available to the Borrower a corresponding amount. In such event, after giving effect to the reallocations pursuant to </w:t>
      </w:r>
      <w:r>
        <w:rPr>
          <w:rFonts w:ascii="Arial" w:cs="Arial" w:eastAsia="Arial" w:hAnsi="Arial"/>
          <w:sz w:val="21"/>
          <w:szCs w:val="21"/>
          <w:u w:val="single" w:color="auto"/>
          <w:color w:val="auto"/>
        </w:rPr>
        <w:t>Section 2.22(a)(ii)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2.22(a)</w:t>
      </w:r>
      <w:r>
        <w:rPr>
          <w:rFonts w:ascii="Arial" w:cs="Arial" w:eastAsia="Arial" w:hAnsi="Arial"/>
          <w:sz w:val="21"/>
          <w:szCs w:val="21"/>
          <w:color w:val="auto"/>
        </w:rPr>
        <w:t xml:space="preserve"> </w:t>
      </w:r>
      <w:r>
        <w:rPr>
          <w:rFonts w:ascii="Arial" w:cs="Arial" w:eastAsia="Arial" w:hAnsi="Arial"/>
          <w:sz w:val="21"/>
          <w:szCs w:val="21"/>
          <w:u w:val="single" w:color="auto"/>
          <w:color w:val="auto"/>
        </w:rPr>
        <w:t>(iv)</w:t>
      </w:r>
      <w:r>
        <w:rPr>
          <w:rFonts w:ascii="Arial" w:cs="Arial" w:eastAsia="Arial" w:hAnsi="Arial"/>
          <w:sz w:val="21"/>
          <w:szCs w:val="21"/>
          <w:color w:val="auto"/>
        </w:rPr>
        <w:t>, if a Lender has not in fact made its share of the applicable Borrowing available to the Administrative Agent, then the applicable Lender and the Borrower agrees to pay to the Administrative Agent, within three (3) Business Days of written notice,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Loans of the applicable Type. If such Lender pays such amount to the Administrative Agent, then such amount shall constitute such Lender’s Loan included in such Borrowing.</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2.07</w:t>
      </w:r>
      <w:r>
        <w:rPr>
          <w:sz w:val="20"/>
          <w:szCs w:val="20"/>
          <w:color w:val="auto"/>
        </w:rPr>
        <w:tab/>
      </w:r>
      <w:r>
        <w:rPr>
          <w:rFonts w:ascii="Arial" w:cs="Arial" w:eastAsia="Arial" w:hAnsi="Arial"/>
          <w:sz w:val="19"/>
          <w:szCs w:val="19"/>
          <w:u w:val="single" w:color="auto"/>
          <w:color w:val="auto"/>
        </w:rPr>
        <w:t>Interest Elections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1" w:lineRule="auto"/>
        <w:tabs>
          <w:tab w:leader="none" w:pos="1832"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Each Revolving Loan Borrowing and Term Loan Borrowing initially shall be of the Type specified in the applicable Borrowing Request or designated by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and, in the case of a Eurocurrency Borrowing </w:t>
      </w:r>
      <w:r>
        <w:rPr>
          <w:rFonts w:ascii="Arial" w:cs="Arial" w:eastAsia="Arial" w:hAnsi="Arial"/>
          <w:sz w:val="21"/>
          <w:szCs w:val="21"/>
          <w:color w:val="0000FF"/>
        </w:rPr>
        <w:t>or Term SOFR</w:t>
      </w:r>
      <w:r>
        <w:rPr>
          <w:rFonts w:ascii="Arial" w:cs="Arial" w:eastAsia="Arial" w:hAnsi="Arial"/>
          <w:sz w:val="21"/>
          <w:szCs w:val="21"/>
          <w:color w:val="auto"/>
        </w:rPr>
        <w:t xml:space="preserve"> </w:t>
      </w:r>
      <w:r>
        <w:rPr>
          <w:rFonts w:ascii="Arial" w:cs="Arial" w:eastAsia="Arial" w:hAnsi="Arial"/>
          <w:sz w:val="21"/>
          <w:szCs w:val="21"/>
          <w:u w:val="single" w:color="auto"/>
          <w:color w:val="0000FF"/>
        </w:rPr>
        <w:t>Borrowing</w:t>
      </w:r>
      <w:r>
        <w:rPr>
          <w:rFonts w:ascii="Arial" w:cs="Arial" w:eastAsia="Arial" w:hAnsi="Arial"/>
          <w:sz w:val="21"/>
          <w:szCs w:val="21"/>
          <w:color w:val="000000"/>
        </w:rPr>
        <w:t>, shall have an initial Interest Period as specified in such Borrowing Request or designated by</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Section 2.03</w:t>
      </w:r>
      <w:r>
        <w:rPr>
          <w:rFonts w:ascii="Arial" w:cs="Arial" w:eastAsia="Arial" w:hAnsi="Arial"/>
          <w:sz w:val="21"/>
          <w:szCs w:val="21"/>
          <w:color w:val="000000"/>
        </w:rPr>
        <w:t>. Thereafter,</w:t>
      </w:r>
      <w:r>
        <w:rPr>
          <w:rFonts w:ascii="Arial" w:cs="Arial" w:eastAsia="Arial" w:hAnsi="Arial"/>
          <w:sz w:val="21"/>
          <w:szCs w:val="21"/>
          <w:color w:val="0000FF"/>
        </w:rPr>
        <w:t xml:space="preserve"> </w:t>
      </w:r>
      <w:r>
        <w:rPr>
          <w:rFonts w:ascii="Arial" w:cs="Arial" w:eastAsia="Arial" w:hAnsi="Arial"/>
          <w:sz w:val="21"/>
          <w:szCs w:val="21"/>
          <w:color w:val="000000"/>
        </w:rPr>
        <w:t xml:space="preserve">the Borrower may elect to convert such Borrowing to a different Type or to continue such Borrowing and, in the case of a Eurocurrency Borrowing </w:t>
      </w:r>
      <w:r>
        <w:rPr>
          <w:rFonts w:ascii="Arial" w:cs="Arial" w:eastAsia="Arial" w:hAnsi="Arial"/>
          <w:sz w:val="21"/>
          <w:szCs w:val="21"/>
          <w:color w:val="0000FF"/>
        </w:rPr>
        <w:t>or Term SOFR Borrowing</w:t>
      </w:r>
      <w:r>
        <w:rPr>
          <w:rFonts w:ascii="Arial" w:cs="Arial" w:eastAsia="Arial" w:hAnsi="Arial"/>
          <w:sz w:val="21"/>
          <w:szCs w:val="21"/>
          <w:color w:val="000000"/>
        </w:rPr>
        <w:t xml:space="preserve">, may elect Interest Periods therefor, all as provided in this </w:t>
      </w:r>
      <w:r>
        <w:rPr>
          <w:rFonts w:ascii="Arial" w:cs="Arial" w:eastAsia="Arial" w:hAnsi="Arial"/>
          <w:sz w:val="21"/>
          <w:szCs w:val="21"/>
          <w:u w:val="single" w:color="auto"/>
          <w:color w:val="000000"/>
        </w:rPr>
        <w:t>Section 2.07</w:t>
      </w:r>
      <w:r>
        <w:rPr>
          <w:rFonts w:ascii="Arial" w:cs="Arial" w:eastAsia="Arial" w:hAnsi="Arial"/>
          <w:sz w:val="21"/>
          <w:szCs w:val="21"/>
          <w:color w:val="000000"/>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58" w:lineRule="exact"/>
        <w:rPr>
          <w:rFonts w:ascii="Arial" w:cs="Arial" w:eastAsia="Arial" w:hAnsi="Arial"/>
          <w:sz w:val="21"/>
          <w:szCs w:val="21"/>
          <w:color w:val="auto"/>
        </w:rPr>
      </w:pPr>
    </w:p>
    <w:p>
      <w:pPr>
        <w:jc w:val="both"/>
        <w:ind w:firstLine="1304"/>
        <w:spacing w:after="0" w:line="216" w:lineRule="auto"/>
        <w:tabs>
          <w:tab w:leader="none" w:pos="1852"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To make an election pursuant to this Section, the Borrower shall notify the Administrative Agent of such election by hand delivery, electronic communication (including Adobe pdf file) or facsimile of a written Interest Election Request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signed by the Borrower by the time that a Borrowing Request would be required under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if the Borrower was requesting a Revolving Loan Borrowing of the Type resulting from such election to be made on the effective date of such election.</w:t>
      </w:r>
    </w:p>
    <w:p>
      <w:pPr>
        <w:spacing w:after="0" w:line="157" w:lineRule="exact"/>
        <w:rPr>
          <w:rFonts w:ascii="Arial" w:cs="Arial" w:eastAsia="Arial" w:hAnsi="Arial"/>
          <w:sz w:val="22"/>
          <w:szCs w:val="22"/>
          <w:color w:val="auto"/>
        </w:rPr>
      </w:pPr>
    </w:p>
    <w:p>
      <w:pPr>
        <w:ind w:left="1840" w:hanging="536"/>
        <w:spacing w:after="0"/>
        <w:tabs>
          <w:tab w:leader="none" w:pos="18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Each written Interest Election Request shall specify the following information in compliance with </w:t>
      </w:r>
      <w:r>
        <w:rPr>
          <w:rFonts w:ascii="Arial" w:cs="Arial" w:eastAsia="Arial" w:hAnsi="Arial"/>
          <w:sz w:val="19"/>
          <w:szCs w:val="19"/>
          <w:u w:val="single" w:color="auto"/>
          <w:color w:val="auto"/>
        </w:rPr>
        <w:t>Section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2.03</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6221095</wp:posOffset>
            </wp:positionH>
            <wp:positionV relativeFrom="paragraph">
              <wp:posOffset>-2223770</wp:posOffset>
            </wp:positionV>
            <wp:extent cx="9163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916305" cy="8255"/>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-1812290</wp:posOffset>
            </wp:positionV>
            <wp:extent cx="14922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1492250" cy="8255"/>
                    </a:xfrm>
                    <a:prstGeom prst="rect">
                      <a:avLst/>
                    </a:prstGeom>
                    <a:noFill/>
                  </pic:spPr>
                </pic:pic>
              </a:graphicData>
            </a:graphic>
          </wp:anchor>
        </w:drawing>
      </w:r>
    </w:p>
    <w:p>
      <w:pPr>
        <w:spacing w:after="0" w:line="141" w:lineRule="exact"/>
        <w:rPr>
          <w:sz w:val="20"/>
          <w:szCs w:val="20"/>
          <w:color w:val="auto"/>
        </w:rPr>
      </w:pPr>
    </w:p>
    <w:p>
      <w:pPr>
        <w:jc w:val="both"/>
        <w:ind w:left="660" w:firstLine="644"/>
        <w:spacing w:after="0" w:line="268" w:lineRule="auto"/>
        <w:tabs>
          <w:tab w:leader="none" w:pos="1742"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below shall be specified for each resulting Borrowing);</w:t>
      </w:r>
    </w:p>
    <w:p>
      <w:pPr>
        <w:spacing w:after="0" w:line="132" w:lineRule="exact"/>
        <w:rPr>
          <w:rFonts w:ascii="Arial" w:cs="Arial" w:eastAsia="Arial" w:hAnsi="Arial"/>
          <w:sz w:val="19"/>
          <w:szCs w:val="19"/>
          <w:color w:val="auto"/>
        </w:rPr>
      </w:pPr>
    </w:p>
    <w:p>
      <w:pPr>
        <w:ind w:left="1820" w:hanging="516"/>
        <w:spacing w:after="0"/>
        <w:tabs>
          <w:tab w:leader="none" w:pos="1820"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 Business</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Day;</w:t>
      </w:r>
    </w:p>
    <w:p>
      <w:pPr>
        <w:spacing w:after="0" w:line="161" w:lineRule="exact"/>
        <w:rPr>
          <w:rFonts w:ascii="Arial" w:cs="Arial" w:eastAsia="Arial" w:hAnsi="Arial"/>
          <w:sz w:val="19"/>
          <w:szCs w:val="19"/>
          <w:color w:val="auto"/>
        </w:rPr>
      </w:pPr>
    </w:p>
    <w:p>
      <w:pPr>
        <w:ind w:left="660" w:firstLine="644"/>
        <w:spacing w:after="0" w:line="232" w:lineRule="auto"/>
        <w:tabs>
          <w:tab w:leader="none" w:pos="1856"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whether the resulting Borrowing is to be an ABR Borrowing </w:t>
      </w:r>
      <w:r>
        <w:rPr>
          <w:rFonts w:ascii="Arial" w:cs="Arial" w:eastAsia="Arial" w:hAnsi="Arial"/>
          <w:sz w:val="22"/>
          <w:szCs w:val="22"/>
          <w:color w:val="FF0000"/>
        </w:rPr>
        <w:t>or</w:t>
      </w:r>
      <w:r>
        <w:rPr>
          <w:rFonts w:ascii="Arial" w:cs="Arial" w:eastAsia="Arial" w:hAnsi="Arial"/>
          <w:sz w:val="22"/>
          <w:szCs w:val="22"/>
          <w:u w:val="single" w:color="auto"/>
          <w:color w:val="0000FF"/>
        </w:rPr>
        <w:t>,</w:t>
      </w:r>
      <w:r>
        <w:rPr>
          <w:rFonts w:ascii="Arial" w:cs="Arial" w:eastAsia="Arial" w:hAnsi="Arial"/>
          <w:sz w:val="22"/>
          <w:szCs w:val="22"/>
          <w:color w:val="auto"/>
        </w:rPr>
        <w:t xml:space="preserve"> a Eurocurrency Borrowing </w:t>
      </w:r>
      <w:r>
        <w:rPr>
          <w:rFonts w:ascii="Arial" w:cs="Arial" w:eastAsia="Arial" w:hAnsi="Arial"/>
          <w:sz w:val="22"/>
          <w:szCs w:val="22"/>
          <w:color w:val="0000FF"/>
        </w:rPr>
        <w:t>or a Term SOFR</w:t>
      </w:r>
      <w:r>
        <w:rPr>
          <w:rFonts w:ascii="Arial" w:cs="Arial" w:eastAsia="Arial" w:hAnsi="Arial"/>
          <w:sz w:val="22"/>
          <w:szCs w:val="22"/>
          <w:color w:val="auto"/>
        </w:rPr>
        <w:t xml:space="preserve"> </w:t>
      </w:r>
      <w:r>
        <w:rPr>
          <w:rFonts w:ascii="Arial" w:cs="Arial" w:eastAsia="Arial" w:hAnsi="Arial"/>
          <w:sz w:val="22"/>
          <w:szCs w:val="22"/>
          <w:u w:val="single" w:color="auto"/>
          <w:color w:val="0000FF"/>
        </w:rPr>
        <w:t>Borrowing</w:t>
      </w:r>
      <w:r>
        <w:rPr>
          <w:rFonts w:ascii="Arial" w:cs="Arial" w:eastAsia="Arial" w:hAnsi="Arial"/>
          <w:sz w:val="22"/>
          <w:szCs w:val="22"/>
          <w:color w:val="000000"/>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-219075</wp:posOffset>
            </wp:positionV>
            <wp:extent cx="1441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144145" cy="889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-167640</wp:posOffset>
            </wp:positionV>
            <wp:extent cx="9455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60" w:name="page161"/>
    <w:bookmarkEnd w:id="160"/>
    <w:p>
      <w:pPr>
        <w:jc w:val="both"/>
        <w:ind w:left="660" w:firstLine="644"/>
        <w:spacing w:after="0" w:line="223" w:lineRule="auto"/>
        <w:tabs>
          <w:tab w:leader="none" w:pos="187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if the resulting Borrowing is a Eurocurrency Borrowing </w:t>
      </w:r>
      <w:r>
        <w:rPr>
          <w:rFonts w:ascii="Arial" w:cs="Arial" w:eastAsia="Arial" w:hAnsi="Arial"/>
          <w:sz w:val="22"/>
          <w:szCs w:val="22"/>
          <w:color w:val="0000FF"/>
        </w:rPr>
        <w:t>or a Term SOFR Borrowing</w:t>
      </w:r>
      <w:r>
        <w:rPr>
          <w:rFonts w:ascii="Arial" w:cs="Arial" w:eastAsia="Arial" w:hAnsi="Arial"/>
          <w:sz w:val="22"/>
          <w:szCs w:val="22"/>
          <w:color w:val="auto"/>
        </w:rPr>
        <w:t>, the Interest Period to be applicable thereto after giving effect to such election, which shall be a period contemplated by the definition of the term “</w:t>
      </w:r>
      <w:r>
        <w:rPr>
          <w:rFonts w:ascii="Arial" w:cs="Arial" w:eastAsia="Arial" w:hAnsi="Arial"/>
          <w:sz w:val="22"/>
          <w:szCs w:val="22"/>
          <w:u w:val="single" w:color="auto"/>
          <w:color w:val="auto"/>
        </w:rPr>
        <w:t>Interest Period</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-304800</wp:posOffset>
            </wp:positionV>
            <wp:extent cx="16021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1602105" cy="8255"/>
                    </a:xfrm>
                    <a:prstGeom prst="rect">
                      <a:avLst/>
                    </a:prstGeom>
                    <a:noFill/>
                  </pic:spPr>
                </pic:pic>
              </a:graphicData>
            </a:graphic>
          </wp:anchor>
        </w:drawing>
      </w:r>
    </w:p>
    <w:p>
      <w:pPr>
        <w:spacing w:after="0" w:line="139"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 xml:space="preserve">If any such Interest Election Request requests a Eurocurrency Borrowing </w:t>
      </w:r>
      <w:r>
        <w:rPr>
          <w:rFonts w:ascii="Arial" w:cs="Arial" w:eastAsia="Arial" w:hAnsi="Arial"/>
          <w:sz w:val="19"/>
          <w:szCs w:val="19"/>
          <w:u w:val="single" w:color="auto"/>
          <w:color w:val="0000FF"/>
        </w:rPr>
        <w:t>or a Term SOFR Borrowing</w:t>
      </w:r>
      <w:r>
        <w:rPr>
          <w:rFonts w:ascii="Arial" w:cs="Arial" w:eastAsia="Arial" w:hAnsi="Arial"/>
          <w:sz w:val="19"/>
          <w:szCs w:val="19"/>
          <w:color w:val="auto"/>
        </w:rPr>
        <w:t xml:space="preserve"> but does not specify an Interest Period, then the Borrower shall be deemed to have selected an Interest Period of one month’s duration.</w:t>
      </w:r>
    </w:p>
    <w:p>
      <w:pPr>
        <w:spacing w:after="0" w:line="105" w:lineRule="exact"/>
        <w:rPr>
          <w:sz w:val="20"/>
          <w:szCs w:val="20"/>
          <w:color w:val="auto"/>
        </w:rPr>
      </w:pPr>
    </w:p>
    <w:p>
      <w:pPr>
        <w:ind w:firstLine="1304"/>
        <w:spacing w:after="0" w:line="232" w:lineRule="auto"/>
        <w:tabs>
          <w:tab w:leader="none" w:pos="190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Promptly following receipt of an Interest Election Request, the Administrative Agent shall advise each Lender of the details thereof and of such Lender’s portion of each resulting Borrowing.</w:t>
      </w:r>
    </w:p>
    <w:p>
      <w:pPr>
        <w:spacing w:after="0" w:line="158" w:lineRule="exact"/>
        <w:rPr>
          <w:rFonts w:ascii="Arial" w:cs="Arial" w:eastAsia="Arial" w:hAnsi="Arial"/>
          <w:sz w:val="22"/>
          <w:szCs w:val="22"/>
          <w:color w:val="auto"/>
        </w:rPr>
      </w:pPr>
    </w:p>
    <w:p>
      <w:pPr>
        <w:jc w:val="both"/>
        <w:ind w:firstLine="1304"/>
        <w:spacing w:after="0" w:line="247" w:lineRule="auto"/>
        <w:tabs>
          <w:tab w:leader="none" w:pos="178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If the Borrower fails to deliver a timely Interest Election Request with respect to a Eurocurrency Borrowing </w:t>
      </w:r>
      <w:r>
        <w:rPr>
          <w:rFonts w:ascii="Arial" w:cs="Arial" w:eastAsia="Arial" w:hAnsi="Arial"/>
          <w:sz w:val="19"/>
          <w:szCs w:val="19"/>
          <w:u w:val="single" w:color="auto"/>
          <w:color w:val="0000FF"/>
        </w:rPr>
        <w:t>or Term SOFR Borrowing</w:t>
      </w:r>
      <w:r>
        <w:rPr>
          <w:rFonts w:ascii="Arial" w:cs="Arial" w:eastAsia="Arial" w:hAnsi="Arial"/>
          <w:sz w:val="19"/>
          <w:szCs w:val="19"/>
          <w:color w:val="0000FF"/>
        </w:rPr>
        <w:t xml:space="preserve"> </w:t>
      </w:r>
      <w:r>
        <w:rPr>
          <w:rFonts w:ascii="Arial" w:cs="Arial" w:eastAsia="Arial" w:hAnsi="Arial"/>
          <w:sz w:val="19"/>
          <w:szCs w:val="19"/>
          <w:color w:val="000000"/>
        </w:rPr>
        <w:t>prior to the end of the Interest Period applicable thereto, then, unless such Borrowing is repaid as</w:t>
      </w:r>
      <w:r>
        <w:rPr>
          <w:rFonts w:ascii="Arial" w:cs="Arial" w:eastAsia="Arial" w:hAnsi="Arial"/>
          <w:sz w:val="19"/>
          <w:szCs w:val="19"/>
          <w:color w:val="0000FF"/>
        </w:rPr>
        <w:t xml:space="preserve"> </w:t>
      </w:r>
      <w:r>
        <w:rPr>
          <w:rFonts w:ascii="Arial" w:cs="Arial" w:eastAsia="Arial" w:hAnsi="Arial"/>
          <w:sz w:val="19"/>
          <w:szCs w:val="19"/>
          <w:color w:val="000000"/>
        </w:rPr>
        <w:t xml:space="preserve">provided herein, at the end of such Interest Period, such Borrowing shall be converted to an ABR Borrowing. Notwithstanding any contrary provision hereof, if an Event of Default under </w:t>
      </w:r>
      <w:r>
        <w:rPr>
          <w:rFonts w:ascii="Arial" w:cs="Arial" w:eastAsia="Arial" w:hAnsi="Arial"/>
          <w:sz w:val="19"/>
          <w:szCs w:val="19"/>
          <w:u w:val="single" w:color="auto"/>
          <w:color w:val="000000"/>
        </w:rPr>
        <w:t>Section 7.01(a)</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7.01(b)</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7.01(h)</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7.01(i)</w:t>
      </w:r>
      <w:r>
        <w:rPr>
          <w:rFonts w:ascii="Arial" w:cs="Arial" w:eastAsia="Arial" w:hAnsi="Arial"/>
          <w:sz w:val="19"/>
          <w:szCs w:val="19"/>
          <w:color w:val="000000"/>
        </w:rPr>
        <w:t xml:space="preserve"> has occurred and is continuing and the Administrative Agent, at the request of the Required Lenders, so notify the Borrower, then, so long as such Event of Default is continuing, no outstanding Borrowing may be continued for an Interest Period of more than one month’s duration and no Borrowing may be requested as, converted to or continued as a Eurocurrency Loan </w:t>
      </w:r>
      <w:r>
        <w:rPr>
          <w:rFonts w:ascii="Arial" w:cs="Arial" w:eastAsia="Arial" w:hAnsi="Arial"/>
          <w:sz w:val="19"/>
          <w:szCs w:val="19"/>
          <w:color w:val="0000FF"/>
        </w:rPr>
        <w:t>or a Term SOFR Loan</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5451475</wp:posOffset>
            </wp:positionH>
            <wp:positionV relativeFrom="paragraph">
              <wp:posOffset>-33655</wp:posOffset>
            </wp:positionV>
            <wp:extent cx="12566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3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2.08</w:t>
      </w:r>
      <w:r>
        <w:rPr>
          <w:sz w:val="20"/>
          <w:szCs w:val="20"/>
          <w:color w:val="auto"/>
        </w:rPr>
        <w:tab/>
      </w:r>
      <w:r>
        <w:rPr>
          <w:rFonts w:ascii="Arial" w:cs="Arial" w:eastAsia="Arial" w:hAnsi="Arial"/>
          <w:sz w:val="19"/>
          <w:szCs w:val="19"/>
          <w:u w:val="single" w:color="auto"/>
          <w:color w:val="auto"/>
        </w:rPr>
        <w:t>Termination and Reduction of Commitments</w:t>
      </w:r>
      <w:r>
        <w:rPr>
          <w:rFonts w:ascii="Arial" w:cs="Arial" w:eastAsia="Arial" w:hAnsi="Arial"/>
          <w:sz w:val="19"/>
          <w:szCs w:val="19"/>
          <w:color w:val="auto"/>
        </w:rPr>
        <w:t>.</w:t>
      </w:r>
    </w:p>
    <w:p>
      <w:pPr>
        <w:spacing w:after="0" w:line="179" w:lineRule="exact"/>
        <w:rPr>
          <w:sz w:val="20"/>
          <w:szCs w:val="20"/>
          <w:color w:val="auto"/>
        </w:rPr>
      </w:pPr>
    </w:p>
    <w:p>
      <w:pPr>
        <w:ind w:left="1860" w:hanging="556"/>
        <w:spacing w:after="0"/>
        <w:tabs>
          <w:tab w:leader="none" w:pos="186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Unless previously terminated or extended, the Revolving Commitments shall terminate on the Revolving</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Termination Date.</w:t>
      </w:r>
    </w:p>
    <w:p>
      <w:pPr>
        <w:spacing w:after="0" w:line="161" w:lineRule="exact"/>
        <w:rPr>
          <w:rFonts w:ascii="Arial" w:cs="Arial" w:eastAsia="Arial" w:hAnsi="Arial"/>
          <w:sz w:val="19"/>
          <w:szCs w:val="19"/>
          <w:color w:val="auto"/>
        </w:rPr>
      </w:pPr>
    </w:p>
    <w:p>
      <w:pPr>
        <w:jc w:val="both"/>
        <w:ind w:firstLine="1304"/>
        <w:spacing w:after="0" w:line="221" w:lineRule="auto"/>
        <w:tabs>
          <w:tab w:leader="none" w:pos="1862"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The Borrower may at any time, without premium or penalty, terminate, or from time to time reduce, the Commitments of any Class,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each reduction of the Commitments of any Class shall be in an amount that is an integral multiple of $500,000 and not less than $1,000,000 and (ii) the Borrower shall not terminate or reduce any Class of Revolving Commitments to the extent that, after giving effect to any concurrent prepayment of the Revolving Loans of such Class in accordance with </w:t>
      </w:r>
      <w:r>
        <w:rPr>
          <w:rFonts w:ascii="Arial" w:cs="Arial" w:eastAsia="Arial" w:hAnsi="Arial"/>
          <w:sz w:val="21"/>
          <w:szCs w:val="21"/>
          <w:u w:val="single" w:color="auto"/>
          <w:color w:val="auto"/>
        </w:rPr>
        <w:t>Section 2.11</w:t>
      </w:r>
      <w:r>
        <w:rPr>
          <w:rFonts w:ascii="Arial" w:cs="Arial" w:eastAsia="Arial" w:hAnsi="Arial"/>
          <w:sz w:val="21"/>
          <w:szCs w:val="21"/>
          <w:color w:val="auto"/>
        </w:rPr>
        <w:t>, the aggregate Revolving Exposure (calculated using the Exchange Rate in effect as of the date of the proposed termination or reduction) of such Class (excluding the portion of the Revolving Exposure attributable to outstanding Letters of Credit if and to the extent that the Borrower has Cash Collateralized such Letters of Credit or made other arrangements satisfactory to the applicable Issuing Bank with respect to such Letters of Credit) would exceed the aggregate Revolving Commitments of such Class.</w:t>
      </w:r>
    </w:p>
    <w:p>
      <w:pPr>
        <w:spacing w:after="0" w:line="158" w:lineRule="exact"/>
        <w:rPr>
          <w:rFonts w:ascii="Arial" w:cs="Arial" w:eastAsia="Arial" w:hAnsi="Arial"/>
          <w:sz w:val="21"/>
          <w:szCs w:val="21"/>
          <w:color w:val="auto"/>
        </w:rPr>
      </w:pPr>
    </w:p>
    <w:p>
      <w:pPr>
        <w:jc w:val="both"/>
        <w:ind w:firstLine="1304"/>
        <w:spacing w:after="0" w:line="244" w:lineRule="auto"/>
        <w:tabs>
          <w:tab w:leader="none" w:pos="177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of any election to terminate or reduce the Commitments under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at least one Business Day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of the Commitments of any Class delivered by the Borrower may state that such notice is conditioned upon the consummation of an acquisition or sale transaction or upon the effectiveness of other credit facilities or the receipt of proceeds from the issuance of other Indebtedness or any other specified event, in which case such notice may be revoked by the Borrower (by notice to the Administrative Agent on or prior to the specified effective date) if such condition is not satisfied. Any termination or reduction of the Commitments of any Class shall be permanent.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61" w:name="page162"/>
    <w:bookmarkEnd w:id="161"/>
    <w:p>
      <w:pPr>
        <w:spacing w:after="0" w:line="232" w:lineRule="auto"/>
        <w:rPr>
          <w:sz w:val="20"/>
          <w:szCs w:val="20"/>
          <w:color w:val="auto"/>
        </w:rPr>
      </w:pPr>
      <w:r>
        <w:rPr>
          <w:rFonts w:ascii="Arial" w:cs="Arial" w:eastAsia="Arial" w:hAnsi="Arial"/>
          <w:sz w:val="22"/>
          <w:szCs w:val="22"/>
          <w:color w:val="auto"/>
        </w:rPr>
        <w:t>reduction of the Commitments of any Class shall be made ratably among the Lenders in accordance with their respective Commitments of such Class.</w:t>
      </w:r>
    </w:p>
    <w:p>
      <w:pPr>
        <w:spacing w:after="0" w:line="159" w:lineRule="exact"/>
        <w:rPr>
          <w:sz w:val="20"/>
          <w:szCs w:val="20"/>
          <w:color w:val="auto"/>
        </w:rPr>
      </w:pPr>
    </w:p>
    <w:p>
      <w:pPr>
        <w:jc w:val="both"/>
        <w:ind w:firstLine="1304"/>
        <w:spacing w:after="0" w:line="247" w:lineRule="auto"/>
        <w:tabs>
          <w:tab w:leader="none" w:pos="183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The Borrower, in its sole discretion, shall have the right, but not the obligation, at any time so long as no Event of Default has occurred and is continuing, upon at least one Business Days’ notice to a Defaulting Lender (with a copy to the Administrative Agent), to terminate in whole such Defaulting Lender’s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such termination, the aggregate Revolving Exposure of all Revolving Lenders does not exceed the aggregate Revolving Commitments. Such termination shall be effective with respect to such Defaulting Lender’s unused portion of its Commitment on the date set forth in such notice. No termination of the Commitment of a Defaulting Lender shall be deemed a waiver or release of any claim the Borrower, the Administrative Agent, an Issuing Bank or any Lender may have against the Defaulting Lender.</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2.09</w:t>
      </w:r>
      <w:r>
        <w:rPr>
          <w:sz w:val="20"/>
          <w:szCs w:val="20"/>
          <w:color w:val="auto"/>
        </w:rPr>
        <w:tab/>
      </w:r>
      <w:r>
        <w:rPr>
          <w:rFonts w:ascii="Arial" w:cs="Arial" w:eastAsia="Arial" w:hAnsi="Arial"/>
          <w:sz w:val="19"/>
          <w:szCs w:val="19"/>
          <w:u w:val="single" w:color="auto"/>
          <w:color w:val="auto"/>
        </w:rPr>
        <w:t>Repayment of Loans; Evidence of Debt</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1" w:lineRule="auto"/>
        <w:tabs>
          <w:tab w:leader="none" w:pos="187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The Borrower unconditionally promises to pay jointly and severally to the Administrative Agent for the account of each Term Lender the then unpaid principal amount of each Term Loan of such Term Lender as provided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2.10</w:t>
      </w:r>
      <w:r>
        <w:rPr>
          <w:rFonts w:ascii="Arial" w:cs="Arial" w:eastAsia="Arial" w:hAnsi="Arial"/>
          <w:sz w:val="22"/>
          <w:szCs w:val="22"/>
          <w:color w:val="auto"/>
        </w:rPr>
        <w:t xml:space="preserve">. The Borrower unconditionally promises to pay jointly and severally to the Administrative Agent for the account of each Revolving Lender the then unpaid principal amount of each Revolving Loan of such Revolving Lender made to the Borrower on the Revolving Termination Date. The Borrower hereby unconditionally promises to pay to the Swingline Lender the then unpaid principal amount of each Swingline Loan on the earlier of the Revolving Termination Date and the first date after such Swingline Loan is made that is the 15th or last day of a calendar month and is at least two (2) Business Days after such Swingline Loan is made;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on each date that a Revolving Borrowing is made, the Borrower shall repay all Swingline Loans then outstanding.</w:t>
      </w:r>
    </w:p>
    <w:p>
      <w:pPr>
        <w:spacing w:after="0" w:line="158" w:lineRule="exact"/>
        <w:rPr>
          <w:rFonts w:ascii="Arial" w:cs="Arial" w:eastAsia="Arial" w:hAnsi="Arial"/>
          <w:sz w:val="22"/>
          <w:szCs w:val="22"/>
          <w:color w:val="auto"/>
        </w:rPr>
      </w:pPr>
    </w:p>
    <w:p>
      <w:pPr>
        <w:jc w:val="both"/>
        <w:ind w:firstLine="1304"/>
        <w:spacing w:after="0" w:line="234" w:lineRule="auto"/>
        <w:tabs>
          <w:tab w:leader="none" w:pos="1882" w:val="left"/>
        </w:tabs>
        <w:numPr>
          <w:ilvl w:val="0"/>
          <w:numId w:val="104"/>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the indebtedness of the Borrower to such Lender resulting from each Loan made by such Lender to the Borrower, including the amounts of principal and interest payable and paid to such Lender from time to time hereunder.</w:t>
      </w:r>
    </w:p>
    <w:p>
      <w:pPr>
        <w:spacing w:after="0" w:line="157" w:lineRule="exact"/>
        <w:rPr>
          <w:rFonts w:ascii="Arial" w:cs="Arial" w:eastAsia="Arial" w:hAnsi="Arial"/>
          <w:sz w:val="21"/>
          <w:szCs w:val="21"/>
          <w:color w:val="auto"/>
        </w:rPr>
      </w:pPr>
    </w:p>
    <w:p>
      <w:pPr>
        <w:jc w:val="both"/>
        <w:ind w:firstLine="1304"/>
        <w:spacing w:after="0" w:line="216" w:lineRule="auto"/>
        <w:tabs>
          <w:tab w:leader="none" w:pos="177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Administrative Agent shall maintain accounts in which it shall record (i) the amount of each Loan made hereunder to the Borrower,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from the Borrower for the account of the Lenders and each Lender’s share thereof.</w:t>
      </w:r>
    </w:p>
    <w:p>
      <w:pPr>
        <w:spacing w:after="0" w:line="157" w:lineRule="exact"/>
        <w:rPr>
          <w:rFonts w:ascii="Arial" w:cs="Arial" w:eastAsia="Arial" w:hAnsi="Arial"/>
          <w:sz w:val="22"/>
          <w:szCs w:val="22"/>
          <w:color w:val="auto"/>
        </w:rPr>
      </w:pPr>
    </w:p>
    <w:p>
      <w:pPr>
        <w:jc w:val="both"/>
        <w:ind w:firstLine="1304"/>
        <w:spacing w:after="0" w:line="229" w:lineRule="auto"/>
        <w:tabs>
          <w:tab w:leader="none" w:pos="1812"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The entries made in the accounts maintained pursuant to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of this Section shall be </w:t>
      </w:r>
      <w:r>
        <w:rPr>
          <w:rFonts w:ascii="Arial" w:cs="Arial" w:eastAsia="Arial" w:hAnsi="Arial"/>
          <w:sz w:val="21"/>
          <w:szCs w:val="21"/>
          <w:u w:val="single" w:color="auto"/>
          <w:color w:val="auto"/>
        </w:rPr>
        <w:t>prima</w:t>
      </w:r>
      <w:r>
        <w:rPr>
          <w:rFonts w:ascii="Arial" w:cs="Arial" w:eastAsia="Arial" w:hAnsi="Arial"/>
          <w:sz w:val="21"/>
          <w:szCs w:val="21"/>
          <w:color w:val="auto"/>
        </w:rPr>
        <w:t xml:space="preserve"> </w:t>
      </w:r>
      <w:r>
        <w:rPr>
          <w:rFonts w:ascii="Arial" w:cs="Arial" w:eastAsia="Arial" w:hAnsi="Arial"/>
          <w:sz w:val="21"/>
          <w:szCs w:val="21"/>
          <w:u w:val="single" w:color="auto"/>
          <w:color w:val="auto"/>
        </w:rPr>
        <w:t>facie</w:t>
      </w:r>
      <w:r>
        <w:rPr>
          <w:rFonts w:ascii="Arial" w:cs="Arial" w:eastAsia="Arial" w:hAnsi="Arial"/>
          <w:sz w:val="21"/>
          <w:szCs w:val="21"/>
          <w:color w:val="auto"/>
        </w:rPr>
        <w:t xml:space="preserve"> evidence of the existence and amounts of the obligations recorded therein,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of any Lender or the Administrative Agent to maintain such accounts or any error therein shall not in any manner affect the obligation of the Borrower to repay the Loans and pay interest thereon in accordance with the terms of this Agreement.</w:t>
      </w:r>
    </w:p>
    <w:p>
      <w:pPr>
        <w:spacing w:after="0" w:line="158" w:lineRule="exact"/>
        <w:rPr>
          <w:rFonts w:ascii="Arial" w:cs="Arial" w:eastAsia="Arial" w:hAnsi="Arial"/>
          <w:sz w:val="21"/>
          <w:szCs w:val="21"/>
          <w:color w:val="auto"/>
        </w:rPr>
      </w:pPr>
    </w:p>
    <w:p>
      <w:pPr>
        <w:jc w:val="both"/>
        <w:ind w:firstLine="1304"/>
        <w:spacing w:after="0" w:line="243" w:lineRule="auto"/>
        <w:tabs>
          <w:tab w:leader="none" w:pos="183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Any Lender may request that Loans of any Class made by it be evidenced by a promissory note. In such event, the Borrower shall promptly prepare, execute and deliver to such Lender a promissory note payable to such Lender and its registered assigns and substantially in the form of the applicable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set forth in </w:t>
      </w:r>
      <w:r>
        <w:rPr>
          <w:rFonts w:ascii="Arial" w:cs="Arial" w:eastAsia="Arial" w:hAnsi="Arial"/>
          <w:sz w:val="19"/>
          <w:szCs w:val="19"/>
          <w:u w:val="single" w:color="auto"/>
          <w:color w:val="auto"/>
        </w:rPr>
        <w:t>Section 4.01(a)(ii)</w:t>
      </w:r>
    </w:p>
    <w:p>
      <w:pPr>
        <w:spacing w:after="0" w:line="2" w:lineRule="exact"/>
        <w:rPr>
          <w:rFonts w:ascii="Arial" w:cs="Arial" w:eastAsia="Arial" w:hAnsi="Arial"/>
          <w:sz w:val="19"/>
          <w:szCs w:val="19"/>
          <w:color w:val="auto"/>
        </w:rPr>
      </w:pPr>
    </w:p>
    <w:p>
      <w:pPr>
        <w:jc w:val="both"/>
        <w:spacing w:after="0" w:line="217" w:lineRule="auto"/>
        <w:rPr>
          <w:rFonts w:ascii="Arial" w:cs="Arial" w:eastAsia="Arial" w:hAnsi="Arial"/>
          <w:sz w:val="19"/>
          <w:szCs w:val="19"/>
          <w:color w:val="auto"/>
        </w:rPr>
      </w:pPr>
      <w:r>
        <w:rPr>
          <w:rFonts w:ascii="Arial" w:cs="Arial" w:eastAsia="Arial" w:hAnsi="Arial"/>
          <w:sz w:val="22"/>
          <w:szCs w:val="22"/>
          <w:u w:val="single" w:color="auto"/>
          <w:color w:val="auto"/>
        </w:rPr>
        <w:t>(D)</w:t>
      </w:r>
      <w:r>
        <w:rPr>
          <w:rFonts w:ascii="Arial" w:cs="Arial" w:eastAsia="Arial" w:hAnsi="Arial"/>
          <w:sz w:val="22"/>
          <w:szCs w:val="22"/>
          <w:color w:val="auto"/>
        </w:rPr>
        <w:t xml:space="preserve">, the delivery of any such note shall not be a condition precedent to the Closing Date or any Acquisition or Investment. Thereafter, the Loans evidenced by such promissory note and interest thereon shall at all times (including after assignment pursuant to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62" w:name="page163"/>
    <w:bookmarkEnd w:id="162"/>
    <w:p>
      <w:pPr>
        <w:spacing w:after="0" w:line="232" w:lineRule="auto"/>
        <w:rPr>
          <w:sz w:val="20"/>
          <w:szCs w:val="20"/>
          <w:color w:val="auto"/>
        </w:rPr>
      </w:pPr>
      <w:r>
        <w:rPr>
          <w:rFonts w:ascii="Arial" w:cs="Arial" w:eastAsia="Arial" w:hAnsi="Arial"/>
          <w:sz w:val="22"/>
          <w:szCs w:val="22"/>
          <w:color w:val="auto"/>
        </w:rPr>
        <w:t>be represented by one or more promissory notes in such form payable to such payee and its registered assigns (and ownership shall at all times be recorded in the Register).</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2.10</w:t>
      </w:r>
      <w:r>
        <w:rPr>
          <w:sz w:val="20"/>
          <w:szCs w:val="20"/>
          <w:color w:val="auto"/>
        </w:rPr>
        <w:tab/>
      </w:r>
      <w:r>
        <w:rPr>
          <w:rFonts w:ascii="Arial" w:cs="Arial" w:eastAsia="Arial" w:hAnsi="Arial"/>
          <w:sz w:val="19"/>
          <w:szCs w:val="19"/>
          <w:u w:val="single" w:color="auto"/>
          <w:color w:val="auto"/>
        </w:rPr>
        <w:t>Amortization of Term Loans</w:t>
      </w:r>
      <w:r>
        <w:rPr>
          <w:rFonts w:ascii="Arial" w:cs="Arial" w:eastAsia="Arial" w:hAnsi="Arial"/>
          <w:sz w:val="19"/>
          <w:szCs w:val="19"/>
          <w:color w:val="auto"/>
        </w:rPr>
        <w:t>.</w:t>
      </w:r>
    </w:p>
    <w:p>
      <w:pPr>
        <w:spacing w:after="0" w:line="17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 xml:space="preserve">Subject to adjustment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subject to </w:t>
      </w:r>
      <w:r>
        <w:rPr>
          <w:rFonts w:ascii="Arial" w:cs="Arial" w:eastAsia="Arial" w:hAnsi="Arial"/>
          <w:sz w:val="19"/>
          <w:szCs w:val="19"/>
          <w:u w:val="single" w:color="auto"/>
          <w:color w:val="auto"/>
        </w:rPr>
        <w:t>paragraph</w:t>
      </w:r>
      <w:r>
        <w:rPr>
          <w:rFonts w:ascii="Arial" w:cs="Arial" w:eastAsia="Arial" w:hAnsi="Arial"/>
          <w:sz w:val="19"/>
          <w:szCs w:val="19"/>
          <w:color w:val="auto"/>
        </w:rPr>
        <w:t xml:space="preserve"> (i) of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179" w:lineRule="exact"/>
        <w:rPr>
          <w:sz w:val="20"/>
          <w:szCs w:val="20"/>
          <w:color w:val="auto"/>
        </w:rPr>
      </w:pPr>
    </w:p>
    <w:p>
      <w:pPr>
        <w:jc w:val="both"/>
        <w:ind w:left="660" w:firstLine="644"/>
        <w:spacing w:after="0" w:line="218" w:lineRule="auto"/>
        <w:tabs>
          <w:tab w:leader="none" w:pos="175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on and after the First Amendment Funding Date, the Borrower shall repay the Initial Term Loans (including, for the avoidance of doubt, the 2019 Incremental Term Loans) on the last Business Day of each fiscal quarter of the Borrower (commencing with the first fiscal quarter ended after the First Amendment Funding Date) in an aggregate principal amount equal to $1,757,307.56; and</w:t>
      </w:r>
    </w:p>
    <w:p>
      <w:pPr>
        <w:spacing w:after="0" w:line="160" w:lineRule="exact"/>
        <w:rPr>
          <w:rFonts w:ascii="Arial" w:cs="Arial" w:eastAsia="Arial" w:hAnsi="Arial"/>
          <w:sz w:val="22"/>
          <w:szCs w:val="22"/>
          <w:color w:val="auto"/>
        </w:rPr>
      </w:pPr>
    </w:p>
    <w:p>
      <w:pPr>
        <w:ind w:left="660" w:firstLine="644"/>
        <w:spacing w:after="0" w:line="232" w:lineRule="auto"/>
        <w:tabs>
          <w:tab w:leader="none" w:pos="180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without limiting the foregoing, to the extent not previously paid, all Term Loans shall be due and payable on the applicable Term Loan Maturity Date.</w:t>
      </w:r>
      <w:r>
        <w:rPr>
          <w:rFonts w:ascii="Arial" w:cs="Arial" w:eastAsia="Arial" w:hAnsi="Arial"/>
          <w:sz w:val="22"/>
          <w:szCs w:val="22"/>
          <w:color w:val="FF0000"/>
          <w:strike w:val="1"/>
        </w:rPr>
        <w:t>.</w:t>
      </w:r>
    </w:p>
    <w:p>
      <w:pPr>
        <w:spacing w:after="0" w:line="159" w:lineRule="exact"/>
        <w:rPr>
          <w:sz w:val="20"/>
          <w:szCs w:val="20"/>
          <w:color w:val="auto"/>
        </w:rPr>
      </w:pPr>
    </w:p>
    <w:p>
      <w:pPr>
        <w:jc w:val="both"/>
        <w:ind w:firstLine="1304"/>
        <w:spacing w:after="0" w:line="247" w:lineRule="auto"/>
        <w:tabs>
          <w:tab w:leader="none" w:pos="1855"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Any prepayment of a Term Loan Borrowing of any Class shall be applied (i) in the case of prepayments made pursuant to </w:t>
      </w:r>
      <w:r>
        <w:rPr>
          <w:rFonts w:ascii="Arial" w:cs="Arial" w:eastAsia="Arial" w:hAnsi="Arial"/>
          <w:sz w:val="19"/>
          <w:szCs w:val="19"/>
          <w:u w:val="single" w:color="auto"/>
          <w:color w:val="auto"/>
        </w:rPr>
        <w:t>Section 2.11(a)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to reduce the subsequent scheduled repayments of the Term Loan Borrowings of such Class to be made pursuant to this Section as directed by the Borrower, or as otherwise provided in any Extension Amendment, any Incremental Credit Facility Amendment or Refinancing Amendment, and (ii) in the case of prepayments made pursuant to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2.11(d)</w:t>
      </w:r>
      <w:r>
        <w:rPr>
          <w:rFonts w:ascii="Arial" w:cs="Arial" w:eastAsia="Arial" w:hAnsi="Arial"/>
          <w:sz w:val="19"/>
          <w:szCs w:val="19"/>
          <w:color w:val="auto"/>
        </w:rPr>
        <w:t>, to reduce the subsequent scheduled repayments of the Term Loan Borrowings of such Class to be made pursuant to this Section in direct order of maturity, or as otherwise provided in any Extension Amendment, any Incremental Credit Facility Amendment or Refinancing Amendment.</w:t>
      </w:r>
    </w:p>
    <w:p>
      <w:pPr>
        <w:spacing w:after="0" w:line="153" w:lineRule="exact"/>
        <w:rPr>
          <w:rFonts w:ascii="Arial" w:cs="Arial" w:eastAsia="Arial" w:hAnsi="Arial"/>
          <w:sz w:val="19"/>
          <w:szCs w:val="19"/>
          <w:color w:val="auto"/>
        </w:rPr>
      </w:pPr>
    </w:p>
    <w:p>
      <w:pPr>
        <w:jc w:val="both"/>
        <w:ind w:firstLine="1304"/>
        <w:spacing w:after="0" w:line="216" w:lineRule="auto"/>
        <w:tabs>
          <w:tab w:leader="none" w:pos="1792" w:val="left"/>
        </w:tabs>
        <w:numPr>
          <w:ilvl w:val="0"/>
          <w:numId w:val="106"/>
        </w:numPr>
        <w:rPr>
          <w:rFonts w:ascii="Arial" w:cs="Arial" w:eastAsia="Arial" w:hAnsi="Arial"/>
          <w:sz w:val="22"/>
          <w:szCs w:val="22"/>
          <w:color w:val="auto"/>
        </w:rPr>
      </w:pPr>
      <w:r>
        <w:rPr>
          <w:rFonts w:ascii="Arial" w:cs="Arial" w:eastAsia="Arial" w:hAnsi="Arial"/>
          <w:sz w:val="22"/>
          <w:szCs w:val="22"/>
          <w:color w:val="auto"/>
        </w:rPr>
        <w:t>Prior to any repayment of any Term Loan Borrowings of any Class hereunder, the Borrower shall select the Borrowing or Borrowings of the applicable Class to be repaid and shall notify the Administrative Agent by written notice of such election not later than 11:00 a.m., New York City time, on the third Business Day prior thereto. Each repayment of a Borrowing shall be applied ratably to the Loans included in the repaid Borrowing. Repayments of Term Loan Borrowings shall be accompanied by accrued interest on the amount repaid.</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2.11</w:t>
      </w:r>
      <w:r>
        <w:rPr>
          <w:sz w:val="20"/>
          <w:szCs w:val="20"/>
          <w:color w:val="auto"/>
        </w:rPr>
        <w:tab/>
      </w:r>
      <w:r>
        <w:rPr>
          <w:rFonts w:ascii="Arial" w:cs="Arial" w:eastAsia="Arial" w:hAnsi="Arial"/>
          <w:sz w:val="19"/>
          <w:szCs w:val="19"/>
          <w:u w:val="single" w:color="auto"/>
          <w:color w:val="auto"/>
        </w:rPr>
        <w:t>Prepayment of Loans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2" w:lineRule="auto"/>
        <w:tabs>
          <w:tab w:leader="none" w:pos="1754"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The Borrower shall have the right at any time and from time to time, without premium or penalty (but subject to </w:t>
      </w:r>
      <w:r>
        <w:rPr>
          <w:rFonts w:ascii="Arial" w:cs="Arial" w:eastAsia="Arial" w:hAnsi="Arial"/>
          <w:sz w:val="19"/>
          <w:szCs w:val="19"/>
          <w:u w:val="single" w:color="auto"/>
          <w:color w:val="FF0000"/>
          <w:strike w:val="1"/>
        </w:rPr>
        <w:t>Section 2.16</w:t>
      </w:r>
      <w:r>
        <w:rPr>
          <w:rFonts w:ascii="Arial" w:cs="Arial" w:eastAsia="Arial" w:hAnsi="Arial"/>
          <w:sz w:val="19"/>
          <w:szCs w:val="19"/>
          <w:u w:val="single" w:color="auto"/>
          <w:color w:val="0000FF"/>
        </w:rPr>
        <w:t>Section 2.16</w:t>
      </w:r>
      <w:r>
        <w:rPr>
          <w:rFonts w:ascii="Arial" w:cs="Arial" w:eastAsia="Arial" w:hAnsi="Arial"/>
          <w:sz w:val="19"/>
          <w:szCs w:val="19"/>
          <w:color w:val="auto"/>
        </w:rPr>
        <w:t xml:space="preserve"> and the following sentence), to prepay any Borrowing of any Class in whole or in part, as selected and designated by the Borrower, subject to the requirements of this Section. Each voluntary prepayment of any Loan pursuant to this </w:t>
      </w:r>
      <w:r>
        <w:rPr>
          <w:rFonts w:ascii="Arial" w:cs="Arial" w:eastAsia="Arial" w:hAnsi="Arial"/>
          <w:sz w:val="19"/>
          <w:szCs w:val="19"/>
          <w:u w:val="single" w:color="auto"/>
          <w:color w:val="auto"/>
        </w:rPr>
        <w:t>Section 2.11(a)</w:t>
      </w:r>
      <w:r>
        <w:rPr>
          <w:rFonts w:ascii="Arial" w:cs="Arial" w:eastAsia="Arial" w:hAnsi="Arial"/>
          <w:sz w:val="19"/>
          <w:szCs w:val="19"/>
          <w:color w:val="auto"/>
        </w:rPr>
        <w:t xml:space="preserve"> and mandatory prepayment pursuant to </w:t>
      </w:r>
      <w:r>
        <w:rPr>
          <w:rFonts w:ascii="Arial" w:cs="Arial" w:eastAsia="Arial" w:hAnsi="Arial"/>
          <w:sz w:val="19"/>
          <w:szCs w:val="19"/>
          <w:u w:val="single" w:color="auto"/>
          <w:color w:val="auto"/>
        </w:rPr>
        <w:t>Section 2.11(e)</w:t>
      </w:r>
      <w:r>
        <w:rPr>
          <w:rFonts w:ascii="Arial" w:cs="Arial" w:eastAsia="Arial" w:hAnsi="Arial"/>
          <w:sz w:val="19"/>
          <w:szCs w:val="19"/>
          <w:color w:val="auto"/>
        </w:rPr>
        <w:t xml:space="preserve"> shall be made without premium or penalty except that, in the event that on or prior to the date that is six (6) months after the Closing Date, any such prepayment or repayment of Term Loans is made as a result of a Repricing Transaction or any amendment to this Agreement to effectuate a Repricing Transaction, the Borrower shall pay to the Administrative Agent, for the ratable account of each of the applicable Term Lenders, including, for the avoidance of doubt, any Non-Consenting Lender, a prepayment premium in an amount equal to 1.00% of the amount of the Term Loans being so prepaid, repaid or refinanced or the aggregate amount of the applicable Term Loans outstanding immediately prior to such amendment and otherwise subject to the Repricing Transaction, as applicable. Any such voluntary prepayment shall be applied as specified in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2.11(k)</w:t>
      </w:r>
      <w:r>
        <w:rPr>
          <w:rFonts w:ascii="Arial" w:cs="Arial" w:eastAsia="Arial" w:hAnsi="Arial"/>
          <w:sz w:val="19"/>
          <w:szCs w:val="19"/>
          <w:color w:val="auto"/>
        </w:rPr>
        <w:t>. Such amounts shall be due and payable on the date of such prepayment, repayment or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63" w:name="page164"/>
    <w:bookmarkEnd w:id="163"/>
    <w:p>
      <w:pPr>
        <w:jc w:val="both"/>
        <w:ind w:firstLine="1304"/>
        <w:spacing w:after="0" w:line="249" w:lineRule="auto"/>
        <w:tabs>
          <w:tab w:leader="none" w:pos="1773" w:val="left"/>
        </w:tabs>
        <w:numPr>
          <w:ilvl w:val="1"/>
          <w:numId w:val="108"/>
        </w:numPr>
        <w:rPr>
          <w:rFonts w:ascii="Arial" w:cs="Arial" w:eastAsia="Arial" w:hAnsi="Arial"/>
          <w:sz w:val="19"/>
          <w:szCs w:val="19"/>
          <w:color w:val="auto"/>
        </w:rPr>
      </w:pPr>
      <w:r>
        <w:rPr>
          <w:rFonts w:ascii="Arial" w:cs="Arial" w:eastAsia="Arial" w:hAnsi="Arial"/>
          <w:sz w:val="19"/>
          <w:szCs w:val="19"/>
          <w:color w:val="auto"/>
        </w:rPr>
        <w:t xml:space="preserve">In the event and on such occasion that the aggregate Revolving Exposures exceed (A) 103% of the aggregate Revolving Commitments, solely as a result of currency fluctuations or (B) the aggregate Revolving Commitments (other than as a result of currency fluctuations), the Borrower shall prepay (no later than one (1) Business Day after written notice from the Administrative Agent to the Borrower) Revolving Loan Borrowings (or, if no such Borrowings are outstanding, deposit cash collateral in an account with the Administrative Agent pursuant to </w:t>
      </w:r>
      <w:r>
        <w:rPr>
          <w:rFonts w:ascii="Arial" w:cs="Arial" w:eastAsia="Arial" w:hAnsi="Arial"/>
          <w:sz w:val="19"/>
          <w:szCs w:val="19"/>
          <w:u w:val="single" w:color="auto"/>
          <w:color w:val="auto"/>
        </w:rPr>
        <w:t>Section 2.23</w:t>
      </w:r>
      <w:r>
        <w:rPr>
          <w:rFonts w:ascii="Arial" w:cs="Arial" w:eastAsia="Arial" w:hAnsi="Arial"/>
          <w:sz w:val="19"/>
          <w:szCs w:val="19"/>
          <w:color w:val="auto"/>
        </w:rPr>
        <w:t>) in an aggregate amount equal to the amount by which the aggregate Revolving Exposures exceed the aggregate Revolving Commitments.</w:t>
      </w:r>
    </w:p>
    <w:p>
      <w:pPr>
        <w:spacing w:after="0" w:line="151" w:lineRule="exact"/>
        <w:rPr>
          <w:rFonts w:ascii="Arial" w:cs="Arial" w:eastAsia="Arial" w:hAnsi="Arial"/>
          <w:sz w:val="19"/>
          <w:szCs w:val="19"/>
          <w:color w:val="auto"/>
        </w:rPr>
      </w:pPr>
    </w:p>
    <w:p>
      <w:pPr>
        <w:jc w:val="both"/>
        <w:ind w:firstLine="1304"/>
        <w:spacing w:after="0" w:line="239" w:lineRule="auto"/>
        <w:tabs>
          <w:tab w:leader="none" w:pos="1826" w:val="left"/>
        </w:tabs>
        <w:numPr>
          <w:ilvl w:val="1"/>
          <w:numId w:val="108"/>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in the event and on each occasion that any Net Proceeds are received by or on behalf of any Holding Company or any Restricted Subsidiary in respect of any Prepayment Event referred to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definition thereof, the Borrower shall, within thirty (30) days after such Net Proceeds are received, prepay Term Loans on a pro rata basis (except, as to Term Loans made pursuant to an Incremental Credit Facility Amendment, Extension Amendment or a Refinancing Amendment, as otherwise set forth in such Incremental Credit Facility Amendment, Extension Amendment or a Refinancing Amendment or as to Replacement Term Loans), in each case in an aggregate amount equal to (i) 100% of the amount of such Net Proceeds if the First Lien Net Leverage Ratio as of the most recent Applicable Date of Determination is greater than 4.50 to 1.00, (ii) 50%, if the First Lien Net Leverage Ratio as of the most recent Applicable Date of Determination is less than or equal to 4.50 to 1.00 but greater than 4.25 to 1.00, (iii) 25%, if the First Lien Net Leverage Ratio as of the most recent Applicable Date of Determination is less than or equal to 4.25 to 1.00 but greater than 4.00 to 1.00, or</w:t>
      </w:r>
    </w:p>
    <w:p>
      <w:pPr>
        <w:spacing w:after="0" w:line="2" w:lineRule="exact"/>
        <w:rPr>
          <w:rFonts w:ascii="Arial" w:cs="Arial" w:eastAsia="Arial" w:hAnsi="Arial"/>
          <w:sz w:val="19"/>
          <w:szCs w:val="19"/>
          <w:color w:val="auto"/>
        </w:rPr>
      </w:pPr>
    </w:p>
    <w:p>
      <w:pPr>
        <w:jc w:val="both"/>
        <w:ind w:firstLine="8"/>
        <w:spacing w:after="0" w:line="239" w:lineRule="auto"/>
        <w:tabs>
          <w:tab w:leader="none" w:pos="37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0%, if the First Lien Net Leverage Ratio as of the most recent Applicable Date of Determination is less than or equal to 4.00 to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such event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definition of the term “Prepayment Event,” if any Holding Company or any Restricted Subsidiary applies (or commits pursuant to a binding contractual arrangement to apply) the Net Proceeds from such event (or a portion thereof) within eighteen (18) months after receipt of such Net Proceeds to reinvest such proceeds in the business, including in assets of the general type used or useful in the business of the Borrower and the Restricted Subsidiaries (including in connection with a Permitted Acquisition or other permitted Investment or Capital Expenditures), then no prepayment shall be required pursuant to this paragraph in respect of such Net Proceeds except to the extent of any such Net Proceeds therefrom that have not been so applied by the end of the eighteen-month (or, if committed to be so applied within eighteen (18) months of the receipt of such Net Proceeds, twenty four (24) month) period following receipt of such Net Proceeds, at the end of which period a prepayment shall be required in an amount equal to such Net Proceeds that have not been so applied;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with respect to any Prepayment Event referenced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definition thereof, the Borrower may use a portion of such Net Proceeds to prepay or repurchase Indebtedness secured by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Liens securing the Obligations (the “</w:t>
      </w:r>
      <w:r>
        <w:rPr>
          <w:rFonts w:ascii="Arial" w:cs="Arial" w:eastAsia="Arial" w:hAnsi="Arial"/>
          <w:sz w:val="19"/>
          <w:szCs w:val="19"/>
          <w:u w:val="single" w:color="auto"/>
          <w:color w:val="auto"/>
        </w:rPr>
        <w:t>Other Applicable Indebtedness</w:t>
      </w:r>
      <w:r>
        <w:rPr>
          <w:rFonts w:ascii="Arial" w:cs="Arial" w:eastAsia="Arial" w:hAnsi="Arial"/>
          <w:sz w:val="19"/>
          <w:szCs w:val="19"/>
          <w:color w:val="auto"/>
        </w:rPr>
        <w:t xml:space="preserve">”) to the extent required pursuant to the terms of the documentation governing such Other Applicable Indebtedness, in which case, the amount of prepayment required to be made with respect to such Net Proceeds pursuant to this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shall be deemed to be the amount equal to the product of (x) the amount of such Net Proceeds multiplied by (y) a fraction, the numerator of which is the outstanding principal amount of Term Loans required to be prepaid pursuant to this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and the denominator of which is the sum of the outstanding principal amount of such Other Applicable Indebtedness required to be prepaid pursuant to the terms of the documents governing such Other Applicable Indebtedness and the outstanding principal amount of Term Loans required to be prepaid pursuant to this paragraph (for the avoidance of doubt, amounts described in this </w:t>
      </w:r>
      <w:r>
        <w:rPr>
          <w:rFonts w:ascii="Arial" w:cs="Arial" w:eastAsia="Arial" w:hAnsi="Arial"/>
          <w:sz w:val="19"/>
          <w:szCs w:val="19"/>
          <w:u w:val="single" w:color="auto"/>
          <w:color w:val="auto"/>
        </w:rPr>
        <w:t>clause (y)</w:t>
      </w:r>
      <w:r>
        <w:rPr>
          <w:rFonts w:ascii="Arial" w:cs="Arial" w:eastAsia="Arial" w:hAnsi="Arial"/>
          <w:sz w:val="19"/>
          <w:szCs w:val="19"/>
          <w:color w:val="auto"/>
        </w:rPr>
        <w:t xml:space="preserve"> in the calculation of such fraction shall be deemed to refer to then outstanding principal amount of such Indebtedness subject to such prepayment requirement, prior to giving effect to any reduction in the amount thereof as the result of such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64" w:name="page165"/>
    <w:bookmarkEnd w:id="164"/>
    <w:p>
      <w:pPr>
        <w:jc w:val="both"/>
        <w:ind w:firstLine="1304"/>
        <w:spacing w:after="0" w:line="241" w:lineRule="auto"/>
        <w:tabs>
          <w:tab w:leader="none" w:pos="1943"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following the end of each fiscal year of the Borrower, commencing with the fiscal year ending December 31, 2019, the Borrower shall prepay Term Loan Borrowings in an aggregate amount equal to the Required Percentage of Excess Cash Flow of the Borrower and its Restricted Subsidiaries for such fiscal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 shall be reduced by the aggregate principal amount of voluntary prepayments (other than prepayments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c),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Term Loans, voluntary prepayments of Other Applicable Indebtedness and Revolving Loans (to the extent of, in the case of Revolving Loans, a corresponding Revolving Commitment reduction) made during such fiscal year or following the end of such fiscal year but on or prior to the ECF Due Date (without duplication of amounts reducing the amount required to be prepaid in any other period, and except to the extent financed with long term Indebtedness (other than revolving indebtedness)), and no such prepayment shall be required if the amount that would be required to be repaid is less than or equal to $5,000,000 and then, only to the extent of the amount in excess of $5,000,000. Each prepayment pursuant to this paragraph shall be made not later than the fifth (5th) Business Day after the earlier of (x) the date on which financial statements are required to be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for the fiscal year with respect to which such prepayment is made and (y) the date such financial statements are actually delivered (such earlier date, the “</w:t>
      </w:r>
      <w:r>
        <w:rPr>
          <w:rFonts w:ascii="Arial" w:cs="Arial" w:eastAsia="Arial" w:hAnsi="Arial"/>
          <w:sz w:val="19"/>
          <w:szCs w:val="19"/>
          <w:u w:val="single" w:color="auto"/>
          <w:color w:val="auto"/>
        </w:rPr>
        <w:t>ECF Due Date</w:t>
      </w:r>
      <w:r>
        <w:rPr>
          <w:rFonts w:ascii="Arial" w:cs="Arial" w:eastAsia="Arial" w:hAnsi="Arial"/>
          <w:sz w:val="19"/>
          <w:szCs w:val="19"/>
          <w:color w:val="auto"/>
        </w:rPr>
        <w:t xml:space="preserve">”). All prepayments made pursuant to this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shall be applied solely to the outstanding Initial Term Loans (and any Incremental Term Loans, Extended Term Loans or Other Term Loans to the extent provided for in the applicable Incremental Credit Facility Amendment, Extension Amendment or Refinancing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Initial Term Loans receive not less than the pro rata portion of such prepayment unless otherwise agreed).</w:t>
      </w:r>
    </w:p>
    <w:p>
      <w:pPr>
        <w:spacing w:after="0" w:line="158" w:lineRule="exact"/>
        <w:rPr>
          <w:rFonts w:ascii="Arial" w:cs="Arial" w:eastAsia="Arial" w:hAnsi="Arial"/>
          <w:sz w:val="19"/>
          <w:szCs w:val="19"/>
          <w:color w:val="auto"/>
        </w:rPr>
      </w:pPr>
    </w:p>
    <w:p>
      <w:pPr>
        <w:jc w:val="both"/>
        <w:ind w:firstLine="1304"/>
        <w:spacing w:after="0" w:line="244" w:lineRule="auto"/>
        <w:tabs>
          <w:tab w:leader="none" w:pos="1771"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In the event and on each occasion that any Net Proceeds are received by or on behalf of the Borrower or any Restricted Subsidiary in respect of any Prepayment Event referred to in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the definition thereof, the Borrower shall, on the same day as such incurrence or issuance of Indebtedness, prepay the principal amount of the corresponding Credit Agreement Refinanced Debt (in the case of Credit Agreement Refinancing Indebtedness) or each Class of Term Loans on a pro rata basis (in the case of any other Indebtedness giving rise to a Prepayment Event referred to in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the definition thereof), in each case in accordance with </w:t>
      </w:r>
      <w:r>
        <w:rPr>
          <w:rFonts w:ascii="Arial" w:cs="Arial" w:eastAsia="Arial" w:hAnsi="Arial"/>
          <w:sz w:val="19"/>
          <w:szCs w:val="19"/>
          <w:u w:val="single" w:color="auto"/>
          <w:color w:val="auto"/>
        </w:rPr>
        <w:t>Section 2.11(g)</w:t>
      </w:r>
      <w:r>
        <w:rPr>
          <w:rFonts w:ascii="Arial" w:cs="Arial" w:eastAsia="Arial" w:hAnsi="Arial"/>
          <w:sz w:val="19"/>
          <w:szCs w:val="19"/>
          <w:color w:val="auto"/>
        </w:rPr>
        <w:t xml:space="preserve"> and in an aggregate amount the Dollar Equivalent of which is equal to 100% of the Net Proceeds of such issuance or incurrence (which prepayment of principal shall be accompanied by payment of accrued and unpaid interest, premiums and fees and expenses associated with such principal amount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prepayment shall be subject to the second sentence of </w:t>
      </w:r>
      <w:r>
        <w:rPr>
          <w:rFonts w:ascii="Arial" w:cs="Arial" w:eastAsia="Arial" w:hAnsi="Arial"/>
          <w:sz w:val="19"/>
          <w:szCs w:val="19"/>
          <w:u w:val="single" w:color="auto"/>
          <w:color w:val="auto"/>
        </w:rPr>
        <w:t>Section 2.11(a)</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firstLine="1304"/>
        <w:spacing w:after="0" w:line="242" w:lineRule="auto"/>
        <w:tabs>
          <w:tab w:leader="none" w:pos="183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provisions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to the extent that any prepayment required by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2.11(d)</w:t>
      </w:r>
      <w:r>
        <w:rPr>
          <w:rFonts w:ascii="Arial" w:cs="Arial" w:eastAsia="Arial" w:hAnsi="Arial"/>
          <w:sz w:val="19"/>
          <w:szCs w:val="19"/>
          <w:color w:val="auto"/>
        </w:rPr>
        <w:t xml:space="preserve"> of any Foreign Subsidiary (i) would be prohibited or delayed by applicable local law, or (ii) the Borrower has determined in good faith that making all or a part of such prepayment would reasonably be expected to have an adverse tax cost consequence on the Borrower and its Restricted Subsidiaries (other than de minimis adverse tax consequences) as a result of moving cash to make such prepayment (which for the avoidance of doubt, includes, but is not limited to, any prepayment where by doing so the Borrower or any Restricted Subsidiary would incur a withholding tax), in each case the Net Proceeds or Excess Cash Flow so affected may be retained by the applicable Restricted Subsidiary, the portion of such Net Proceeds or Excess Cash Flow so affected will not be required, subject to this </w:t>
      </w:r>
      <w:r>
        <w:rPr>
          <w:rFonts w:ascii="Arial" w:cs="Arial" w:eastAsia="Arial" w:hAnsi="Arial"/>
          <w:sz w:val="19"/>
          <w:szCs w:val="19"/>
          <w:u w:val="single" w:color="auto"/>
          <w:color w:val="auto"/>
        </w:rPr>
        <w:t>Section 2.11(f)</w:t>
      </w:r>
      <w:r>
        <w:rPr>
          <w:rFonts w:ascii="Arial" w:cs="Arial" w:eastAsia="Arial" w:hAnsi="Arial"/>
          <w:sz w:val="19"/>
          <w:szCs w:val="19"/>
          <w:color w:val="auto"/>
        </w:rPr>
        <w:t xml:space="preserve">, to be applied to repay Term Loans at the times provided in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or the Borrower shall not be required to make a prepayment at the time provided in </w:t>
      </w:r>
      <w:r>
        <w:rPr>
          <w:rFonts w:ascii="Arial" w:cs="Arial" w:eastAsia="Arial" w:hAnsi="Arial"/>
          <w:sz w:val="19"/>
          <w:szCs w:val="19"/>
          <w:u w:val="single" w:color="auto"/>
          <w:color w:val="auto"/>
        </w:rPr>
        <w:t>Section 2.11(c)</w:t>
      </w:r>
      <w:r>
        <w:rPr>
          <w:rFonts w:ascii="Arial" w:cs="Arial" w:eastAsia="Arial" w:hAnsi="Arial"/>
          <w:sz w:val="19"/>
          <w:szCs w:val="19"/>
          <w:color w:val="auto"/>
        </w:rPr>
        <w:t>, and instead, such amounts may be retained and shall be available for working capital purposes of the Borrower and the Restricted Subsidiaries (the Borrower and its Restricted Subsidiaries hereby agreeing to use commercially reasonable efforts to otherwise cause the applicable Restricted Subsidiary, to within one year following the date on which the respective payment would otherwise have been required, to overcome or eliminate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65" w:name="page166"/>
    <w:bookmarkEnd w:id="165"/>
    <w:p>
      <w:pPr>
        <w:jc w:val="both"/>
        <w:spacing w:after="0" w:line="241" w:lineRule="auto"/>
        <w:rPr>
          <w:sz w:val="20"/>
          <w:szCs w:val="20"/>
          <w:color w:val="auto"/>
        </w:rPr>
      </w:pPr>
      <w:r>
        <w:rPr>
          <w:rFonts w:ascii="Arial" w:cs="Arial" w:eastAsia="Arial" w:hAnsi="Arial"/>
          <w:sz w:val="19"/>
          <w:szCs w:val="19"/>
          <w:color w:val="auto"/>
        </w:rPr>
        <w:t xml:space="preserve">restrictions and/or to minimize any such costs of prepayment, subject to the foregoing, to make the relevant prepayment), and if within one year following the date on which the respective payment would otherwise have been required, such repatriation of any of such affected Net Proceeds or Excess Cash Flow is permitted under the applicable local law or applicable organizational or constitutive impediment or other impediment or there are no such adverse tax consequences (other than de minimis tax consequences), such repatriation will be promptly effected and such repatriated Net Proceeds or Excess Cash Flow will be promptly (and in any event not later than three Business Days after such repatriation could be made) applied (net of additional taxes, costs and expenses payable or reserved against as a result thereof) (whether or not repatriation actually occurs) to the repayment of the Term Loans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to the extent provided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payments are not permitted and there are such adverse tax consequences (other than de minimis tax consequences) throughout such one year period such prepayment shall not be required;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within one year of a prepayment being not so required, such restrictions are removed, any relevant proceeds will at the end of the then current Interest Period be applied in prepayment in accordance with the terms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The non-application of any prepayment amounts as a consequence of the foregoing provisions will not, for the avoidance of doubt, constitute a Default or an Event of Default and such amounts shall be available for working capital purposes of the Borrower or any Restricted Subsidiary as long as not required to be repaid in accordance with this </w:t>
      </w:r>
      <w:r>
        <w:rPr>
          <w:rFonts w:ascii="Arial" w:cs="Arial" w:eastAsia="Arial" w:hAnsi="Arial"/>
          <w:sz w:val="19"/>
          <w:szCs w:val="19"/>
          <w:u w:val="single" w:color="auto"/>
          <w:color w:val="auto"/>
        </w:rPr>
        <w:t>Section 2.11(f)</w:t>
      </w:r>
      <w:r>
        <w:rPr>
          <w:rFonts w:ascii="Arial" w:cs="Arial" w:eastAsia="Arial" w:hAnsi="Arial"/>
          <w:sz w:val="19"/>
          <w:szCs w:val="19"/>
          <w:color w:val="auto"/>
        </w:rPr>
        <w:t>.</w:t>
      </w:r>
    </w:p>
    <w:p>
      <w:pPr>
        <w:spacing w:after="0" w:line="384" w:lineRule="exact"/>
        <w:rPr>
          <w:sz w:val="20"/>
          <w:szCs w:val="20"/>
          <w:color w:val="auto"/>
        </w:rPr>
      </w:pPr>
    </w:p>
    <w:p>
      <w:pPr>
        <w:jc w:val="both"/>
        <w:ind w:firstLine="1304"/>
        <w:spacing w:after="0" w:line="244" w:lineRule="auto"/>
        <w:tabs>
          <w:tab w:leader="none" w:pos="188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In connection with any optional or mandatory prepayment of Borrowings hereunder the Borrower shall, subject to the provisions of this paragraph and </w:t>
      </w:r>
      <w:r>
        <w:rPr>
          <w:rFonts w:ascii="Arial" w:cs="Arial" w:eastAsia="Arial" w:hAnsi="Arial"/>
          <w:sz w:val="19"/>
          <w:szCs w:val="19"/>
          <w:u w:val="single" w:color="auto"/>
          <w:color w:val="auto"/>
        </w:rPr>
        <w:t>paragraph (k)</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select the Borrowing or Borrowings to be prepaid and shall specify such selection in the notice of such prepayment pursuant to </w:t>
      </w:r>
      <w:r>
        <w:rPr>
          <w:rFonts w:ascii="Arial" w:cs="Arial" w:eastAsia="Arial" w:hAnsi="Arial"/>
          <w:sz w:val="19"/>
          <w:szCs w:val="19"/>
          <w:u w:val="single" w:color="auto"/>
          <w:color w:val="auto"/>
        </w:rPr>
        <w:t>paragraph (h)</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The Administrative Agent will promptly notify each Term Lender holding the applicable Class of Term Loans of the contents of the Borrower’s prepayment notice and of such Lender’s pro rata share of the prepayment. Each such Term Lender may reject all (but not less than all) of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any mandatory prepayment (such declined amounts, the “</w:t>
      </w:r>
      <w:r>
        <w:rPr>
          <w:rFonts w:ascii="Arial" w:cs="Arial" w:eastAsia="Arial" w:hAnsi="Arial"/>
          <w:sz w:val="19"/>
          <w:szCs w:val="19"/>
          <w:u w:val="single" w:color="auto"/>
          <w:color w:val="auto"/>
        </w:rPr>
        <w:t>Declined Proceeds</w:t>
      </w:r>
      <w:r>
        <w:rPr>
          <w:rFonts w:ascii="Arial" w:cs="Arial" w:eastAsia="Arial" w:hAnsi="Arial"/>
          <w:sz w:val="19"/>
          <w:szCs w:val="19"/>
          <w:color w:val="auto"/>
        </w:rPr>
        <w:t xml:space="preserve">”) of Term Loans required to be made pursuant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by providing notice to the Administrative Agent, no later than 11:00 a.m., New York City time, one Business Day following receipt of such mandatory prepayment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no Lender may reject any prepayment made with the proceeds of Credit Agreement Refinancing Indebtedness. Any Declined Proceeds may be retained by the Borrower to the extent they constitute Retained Declined Proceeds.</w:t>
      </w:r>
    </w:p>
    <w:p>
      <w:pPr>
        <w:spacing w:after="0" w:line="154" w:lineRule="exact"/>
        <w:rPr>
          <w:rFonts w:ascii="Arial" w:cs="Arial" w:eastAsia="Arial" w:hAnsi="Arial"/>
          <w:sz w:val="19"/>
          <w:szCs w:val="19"/>
          <w:color w:val="auto"/>
        </w:rPr>
      </w:pPr>
    </w:p>
    <w:p>
      <w:pPr>
        <w:jc w:val="both"/>
        <w:ind w:firstLine="1304"/>
        <w:spacing w:after="0" w:line="242" w:lineRule="auto"/>
        <w:tabs>
          <w:tab w:leader="none" w:pos="177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(and, in the case of prepayment of a Swingline Loan, the Swingline Lender) by hand delivery, electronic communication (including Adobe pdf file) or facsimile of a written notice of any prepayment hereunder (i) in the case of prepayment of a Eurocurrency Borrowing </w:t>
      </w:r>
      <w:r>
        <w:rPr>
          <w:rFonts w:ascii="Arial" w:cs="Arial" w:eastAsia="Arial" w:hAnsi="Arial"/>
          <w:sz w:val="19"/>
          <w:szCs w:val="19"/>
          <w:color w:val="0000FF"/>
        </w:rPr>
        <w:t>or Term SOFR Borrowing</w:t>
      </w:r>
      <w:r>
        <w:rPr>
          <w:rFonts w:ascii="Arial" w:cs="Arial" w:eastAsia="Arial" w:hAnsi="Arial"/>
          <w:sz w:val="19"/>
          <w:szCs w:val="19"/>
          <w:color w:val="auto"/>
        </w:rPr>
        <w:t xml:space="preserve">, not later than 11:00 a.m., New York City time, three (3) Business Days before the date of prepayment, (ii) in the case of prepayment of an ABR Borrowing </w:t>
      </w:r>
      <w:r>
        <w:rPr>
          <w:rFonts w:ascii="Arial" w:cs="Arial" w:eastAsia="Arial" w:hAnsi="Arial"/>
          <w:sz w:val="19"/>
          <w:szCs w:val="19"/>
          <w:color w:val="0000FF"/>
        </w:rPr>
        <w:t>or any Borrowing of Daily SOFR Loans</w:t>
      </w:r>
      <w:r>
        <w:rPr>
          <w:rFonts w:ascii="Arial" w:cs="Arial" w:eastAsia="Arial" w:hAnsi="Arial"/>
          <w:sz w:val="19"/>
          <w:szCs w:val="19"/>
          <w:color w:val="auto"/>
        </w:rPr>
        <w:t xml:space="preserve">, not later than 11:00 a.m., New York City time, one Business Day before the date of prepayment or (iii) in the case of prepayment of a Swingline Loan, not later than 11:00 a.m., New York City time, on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optional prepayment may state that such notice is conditional upon the consummation of an acquisition or sale transaction or upon the effectiveness of other credit facilities or the receipt of the proceeds from the issuance of other Indebtedness or the occurrence of any other specified event, in which case such notice of prepayment may be revoked by the Borrower (by notice to the Administrative Agent on or prior to the specified date) if such condition is not satisfied. Promptly following receipt of any such notice, the Administrative Agent shall advise the Lenders of the contents thereof. Except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-1401445</wp:posOffset>
            </wp:positionV>
            <wp:extent cx="14814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1481455" cy="8255"/>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-1127125</wp:posOffset>
            </wp:positionV>
            <wp:extent cx="22701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2270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66" w:name="page167"/>
    <w:bookmarkEnd w:id="166"/>
    <w:p>
      <w:pPr>
        <w:jc w:val="both"/>
        <w:spacing w:after="0" w:line="216" w:lineRule="auto"/>
        <w:rPr>
          <w:sz w:val="20"/>
          <w:szCs w:val="20"/>
          <w:color w:val="auto"/>
        </w:rPr>
      </w:pPr>
      <w:r>
        <w:rPr>
          <w:rFonts w:ascii="Arial" w:cs="Arial" w:eastAsia="Arial" w:hAnsi="Arial"/>
          <w:sz w:val="22"/>
          <w:szCs w:val="22"/>
          <w:color w:val="auto"/>
        </w:rPr>
        <w:t xml:space="preserve">otherwise provided herein, each partial prepayment of any Borrowing shall be in an amount that would be permitted in the case of an advance of a Borrowing of the same Type as provided in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Arial" w:cs="Arial" w:eastAsia="Arial" w:hAnsi="Arial"/>
          <w:sz w:val="22"/>
          <w:szCs w:val="22"/>
          <w:u w:val="single" w:color="auto"/>
          <w:color w:val="auto"/>
        </w:rPr>
        <w:t>Section 2.13</w:t>
      </w:r>
      <w:r>
        <w:rPr>
          <w:rFonts w:ascii="Arial" w:cs="Arial" w:eastAsia="Arial" w:hAnsi="Arial"/>
          <w:sz w:val="22"/>
          <w:szCs w:val="22"/>
          <w:color w:val="auto"/>
        </w:rPr>
        <w:t xml:space="preserve"> and any prepayment fees required by </w:t>
      </w:r>
      <w:r>
        <w:rPr>
          <w:rFonts w:ascii="Arial" w:cs="Arial" w:eastAsia="Arial" w:hAnsi="Arial"/>
          <w:sz w:val="22"/>
          <w:szCs w:val="22"/>
          <w:u w:val="single" w:color="auto"/>
          <w:color w:val="auto"/>
        </w:rPr>
        <w:t>Section 2.11(a)</w:t>
      </w:r>
      <w:r>
        <w:rPr>
          <w:rFonts w:ascii="Arial" w:cs="Arial" w:eastAsia="Arial" w:hAnsi="Arial"/>
          <w:sz w:val="22"/>
          <w:szCs w:val="22"/>
          <w:color w:val="auto"/>
        </w:rPr>
        <w:t>, to the extent applicable.</w:t>
      </w:r>
    </w:p>
    <w:p>
      <w:pPr>
        <w:spacing w:after="0" w:line="158" w:lineRule="exact"/>
        <w:rPr>
          <w:sz w:val="20"/>
          <w:szCs w:val="20"/>
          <w:color w:val="auto"/>
        </w:rPr>
      </w:pPr>
    </w:p>
    <w:p>
      <w:pPr>
        <w:jc w:val="both"/>
        <w:ind w:firstLine="1304"/>
        <w:spacing w:after="0" w:line="257" w:lineRule="auto"/>
        <w:tabs>
          <w:tab w:leader="none" w:pos="174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the Borrower or any of the Restricted Subsidiaries (in such case, the foregoing being herein referred to as the “</w:t>
      </w:r>
      <w:r>
        <w:rPr>
          <w:rFonts w:ascii="Arial" w:cs="Arial" w:eastAsia="Arial" w:hAnsi="Arial"/>
          <w:sz w:val="19"/>
          <w:szCs w:val="19"/>
          <w:u w:val="single" w:color="auto"/>
          <w:color w:val="auto"/>
        </w:rPr>
        <w:t>Auction Parties</w:t>
      </w:r>
      <w:r>
        <w:rPr>
          <w:rFonts w:ascii="Arial" w:cs="Arial" w:eastAsia="Arial" w:hAnsi="Arial"/>
          <w:sz w:val="19"/>
          <w:szCs w:val="19"/>
          <w:color w:val="auto"/>
        </w:rPr>
        <w:t>” and each, an “</w:t>
      </w:r>
      <w:r>
        <w:rPr>
          <w:rFonts w:ascii="Arial" w:cs="Arial" w:eastAsia="Arial" w:hAnsi="Arial"/>
          <w:sz w:val="19"/>
          <w:szCs w:val="19"/>
          <w:u w:val="single" w:color="auto"/>
          <w:color w:val="auto"/>
        </w:rPr>
        <w:t>Auction Party</w:t>
      </w:r>
      <w:r>
        <w:rPr>
          <w:rFonts w:ascii="Arial" w:cs="Arial" w:eastAsia="Arial" w:hAnsi="Arial"/>
          <w:sz w:val="19"/>
          <w:szCs w:val="19"/>
          <w:color w:val="auto"/>
        </w:rPr>
        <w:t>”) may repurchase outstanding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Default or Event of Default shall have occurred and be continuing at the time of and immediately after giving effect to the repurchase of such Term Loans) on the following basis:</w:t>
      </w:r>
    </w:p>
    <w:p>
      <w:pPr>
        <w:spacing w:after="0" w:line="144" w:lineRule="exact"/>
        <w:rPr>
          <w:rFonts w:ascii="Arial" w:cs="Arial" w:eastAsia="Arial" w:hAnsi="Arial"/>
          <w:sz w:val="19"/>
          <w:szCs w:val="19"/>
          <w:color w:val="auto"/>
        </w:rPr>
      </w:pPr>
    </w:p>
    <w:p>
      <w:pPr>
        <w:jc w:val="both"/>
        <w:ind w:left="1300" w:firstLine="652"/>
        <w:spacing w:after="0" w:line="257" w:lineRule="auto"/>
        <w:tabs>
          <w:tab w:leader="none" w:pos="2469" w:val="left"/>
        </w:tabs>
        <w:numPr>
          <w:ilvl w:val="1"/>
          <w:numId w:val="112"/>
        </w:numPr>
        <w:rPr>
          <w:rFonts w:ascii="Arial" w:cs="Arial" w:eastAsia="Arial" w:hAnsi="Arial"/>
          <w:sz w:val="19"/>
          <w:szCs w:val="19"/>
          <w:color w:val="auto"/>
        </w:rPr>
      </w:pPr>
      <w:r>
        <w:rPr>
          <w:rFonts w:ascii="Arial" w:cs="Arial" w:eastAsia="Arial" w:hAnsi="Arial"/>
          <w:sz w:val="19"/>
          <w:szCs w:val="19"/>
          <w:color w:val="auto"/>
        </w:rPr>
        <w:t>Such Auction Party may repurchase all or any portion of any Class of Term Loans (such Term Loans, “</w:t>
      </w:r>
      <w:r>
        <w:rPr>
          <w:rFonts w:ascii="Arial" w:cs="Arial" w:eastAsia="Arial" w:hAnsi="Arial"/>
          <w:sz w:val="19"/>
          <w:szCs w:val="19"/>
          <w:u w:val="single" w:color="auto"/>
          <w:color w:val="auto"/>
        </w:rPr>
        <w:t>Subject Loans</w:t>
      </w:r>
      <w:r>
        <w:rPr>
          <w:rFonts w:ascii="Arial" w:cs="Arial" w:eastAsia="Arial" w:hAnsi="Arial"/>
          <w:sz w:val="19"/>
          <w:szCs w:val="19"/>
          <w:color w:val="auto"/>
        </w:rPr>
        <w:t xml:space="preserve">”) pursuant to a Dutch Auction (or such other modified Dutch auction conducted pursuant to similar procedures as the Borrower and Administrative Agent may otherwise agree);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proceeds of Revolving Loans shall be used by any Auction Party to repurchase Term Loans pursuant to such Auction;</w:t>
      </w:r>
    </w:p>
    <w:p>
      <w:pPr>
        <w:spacing w:after="0" w:line="144" w:lineRule="exact"/>
        <w:rPr>
          <w:rFonts w:ascii="Arial" w:cs="Arial" w:eastAsia="Arial" w:hAnsi="Arial"/>
          <w:sz w:val="19"/>
          <w:szCs w:val="19"/>
          <w:color w:val="auto"/>
        </w:rPr>
      </w:pPr>
    </w:p>
    <w:p>
      <w:pPr>
        <w:jc w:val="both"/>
        <w:ind w:left="1300" w:firstLine="652"/>
        <w:spacing w:after="0" w:line="244" w:lineRule="auto"/>
        <w:tabs>
          <w:tab w:leader="none" w:pos="2586" w:val="left"/>
        </w:tabs>
        <w:numPr>
          <w:ilvl w:val="1"/>
          <w:numId w:val="112"/>
        </w:numPr>
        <w:rPr>
          <w:rFonts w:ascii="Arial" w:cs="Arial" w:eastAsia="Arial" w:hAnsi="Arial"/>
          <w:sz w:val="19"/>
          <w:szCs w:val="19"/>
          <w:color w:val="auto"/>
        </w:rPr>
      </w:pPr>
      <w:r>
        <w:rPr>
          <w:rFonts w:ascii="Arial" w:cs="Arial" w:eastAsia="Arial" w:hAnsi="Arial"/>
          <w:sz w:val="19"/>
          <w:szCs w:val="19"/>
          <w:color w:val="auto"/>
        </w:rPr>
        <w:t xml:space="preserve">Following repurchase by any Auction Party pursuant to this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the Term Loans so repurchased shall, without further action by any Person, be deemed cancelled for all purposes and no longer outstanding (and may not be resold by any Auction Party) for all purposes of this Agreement. In connection with any Term Loans repurchased and cancelled pursuant to this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the Administrative Agent is authorized to make appropriate entries in the Register to reflect any such cancellation. Any payment made by any Auction Party in connection with a repurchase permitted by this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shall not be subject to any of the pro rata payment or sharing requirements of this Agreement. Notwithstanding anything in this Agreement or any other Loan Documents to the contrary, failure by an Auction Party to make any payment to a Lender required by an agreement permitted by this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shall not constitute a Default or an Event of Default;</w:t>
      </w:r>
    </w:p>
    <w:p>
      <w:pPr>
        <w:spacing w:after="0" w:line="160" w:lineRule="exact"/>
        <w:rPr>
          <w:rFonts w:ascii="Arial" w:cs="Arial" w:eastAsia="Arial" w:hAnsi="Arial"/>
          <w:sz w:val="19"/>
          <w:szCs w:val="19"/>
          <w:color w:val="auto"/>
        </w:rPr>
      </w:pPr>
    </w:p>
    <w:p>
      <w:pPr>
        <w:ind w:left="2500" w:hanging="548"/>
        <w:spacing w:after="0"/>
        <w:tabs>
          <w:tab w:leader="none" w:pos="250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 xml:space="preserve">Each Lender that sells its Term Loans pursuant to this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acknowledges and agrees that</w:t>
      </w:r>
    </w:p>
    <w:p>
      <w:pPr>
        <w:spacing w:after="0" w:line="15" w:lineRule="exact"/>
        <w:rPr>
          <w:rFonts w:ascii="Arial" w:cs="Arial" w:eastAsia="Arial" w:hAnsi="Arial"/>
          <w:sz w:val="19"/>
          <w:szCs w:val="19"/>
          <w:color w:val="auto"/>
        </w:rPr>
      </w:pPr>
    </w:p>
    <w:p>
      <w:pPr>
        <w:jc w:val="both"/>
        <w:ind w:left="1300" w:firstLine="4"/>
        <w:spacing w:after="0"/>
        <w:tabs>
          <w:tab w:leader="none" w:pos="155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Auction Parties may come into possession of additional information regarding the Loans or the Loan Parties at any time after a repurchase has been consummated pursuant to an Auction hereunder that was not known to such Lender or the Auction Parties at the time such repurchase was consummated and that, when taken together with information that was known to the Auction Parties at the time such repurchase was consummated, may be information that would have been material to such Lender’s decision to enter into an assignment of such Term Loans hereunder (“</w:t>
      </w:r>
      <w:r>
        <w:rPr>
          <w:rFonts w:ascii="Arial" w:cs="Arial" w:eastAsia="Arial" w:hAnsi="Arial"/>
          <w:sz w:val="19"/>
          <w:szCs w:val="19"/>
          <w:u w:val="single" w:color="auto"/>
          <w:color w:val="auto"/>
        </w:rPr>
        <w:t>Excluded Information</w:t>
      </w:r>
      <w:r>
        <w:rPr>
          <w:rFonts w:ascii="Arial" w:cs="Arial" w:eastAsia="Arial" w:hAnsi="Arial"/>
          <w:sz w:val="19"/>
          <w:szCs w:val="19"/>
          <w:color w:val="auto"/>
        </w:rPr>
        <w:t xml:space="preserve">”), (ii) such Lender will independently make its own analysis and determination to enter into an assignment of its Loans and to consummate the transactions contemplated by an Auction notwithstanding such Lender’s lack of knowledge of Excluded Information and (iii) none of the Auction Parties, the Investors or any of their respective Affiliates, or any other Person shall have any liability to such Lender with respect to the nondisclosure of the Excluded Information. Each Lender that tenders Loans pursuant to an Auction agrees to the foregoing provisions of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The Administrative Agent and the Lenders hereby consent to the Auctions and the other transactions contemplated by this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and hereby waive the requirements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67" w:name="page168"/>
    <w:bookmarkEnd w:id="167"/>
    <w:p>
      <w:pPr>
        <w:jc w:val="both"/>
        <w:ind w:left="1300"/>
        <w:spacing w:after="0" w:line="218" w:lineRule="auto"/>
        <w:rPr>
          <w:sz w:val="20"/>
          <w:szCs w:val="20"/>
          <w:color w:val="auto"/>
        </w:rPr>
      </w:pPr>
      <w:r>
        <w:rPr>
          <w:rFonts w:ascii="Arial" w:cs="Arial" w:eastAsia="Arial" w:hAnsi="Arial"/>
          <w:sz w:val="22"/>
          <w:szCs w:val="22"/>
          <w:color w:val="auto"/>
        </w:rPr>
        <w:t xml:space="preserve">provision of this Agreement (including any pro rata payment requirements) (it being understood and acknowledged that purchases of the Loans by an Auction Party contemplated by this </w:t>
      </w:r>
      <w:r>
        <w:rPr>
          <w:rFonts w:ascii="Arial" w:cs="Arial" w:eastAsia="Arial" w:hAnsi="Arial"/>
          <w:sz w:val="22"/>
          <w:szCs w:val="22"/>
          <w:u w:val="single" w:color="auto"/>
          <w:color w:val="auto"/>
        </w:rPr>
        <w:t>Section 2.11(i)</w:t>
      </w:r>
      <w:r>
        <w:rPr>
          <w:rFonts w:ascii="Arial" w:cs="Arial" w:eastAsia="Arial" w:hAnsi="Arial"/>
          <w:sz w:val="22"/>
          <w:szCs w:val="22"/>
          <w:color w:val="auto"/>
        </w:rPr>
        <w:t xml:space="preserve"> shall not constitute Investments by such Auction Party) or any other Loan Document that may otherwise prohibit any Auction or any other transaction contemplated by this </w:t>
      </w:r>
      <w:r>
        <w:rPr>
          <w:rFonts w:ascii="Arial" w:cs="Arial" w:eastAsia="Arial" w:hAnsi="Arial"/>
          <w:sz w:val="22"/>
          <w:szCs w:val="22"/>
          <w:u w:val="single" w:color="auto"/>
          <w:color w:val="auto"/>
        </w:rPr>
        <w:t>Section 2.11(i)</w:t>
      </w:r>
      <w:r>
        <w:rPr>
          <w:rFonts w:ascii="Arial" w:cs="Arial" w:eastAsia="Arial" w:hAnsi="Arial"/>
          <w:sz w:val="22"/>
          <w:szCs w:val="22"/>
          <w:color w:val="auto"/>
        </w:rPr>
        <w:t>.</w:t>
      </w:r>
    </w:p>
    <w:p>
      <w:pPr>
        <w:spacing w:after="0" w:line="161" w:lineRule="exact"/>
        <w:rPr>
          <w:sz w:val="20"/>
          <w:szCs w:val="20"/>
          <w:color w:val="auto"/>
        </w:rPr>
      </w:pPr>
    </w:p>
    <w:p>
      <w:pPr>
        <w:jc w:val="both"/>
        <w:ind w:firstLine="1304"/>
        <w:spacing w:after="0" w:line="244" w:lineRule="auto"/>
        <w:tabs>
          <w:tab w:leader="none" w:pos="172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Notwithstanding any of the other provisions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if any prepayment of Eurocurrency Loans is required to be made under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prior to the last day of the Interest Period therefor, in lieu of making any payment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in respect of any such Eurocurrency Loan prior to the last day of the Interest Period therefor, the Borrower may, in their sole discretion, deposit with the Administrative Agent in the currency in which such Loan is denominated, the amount of any such prepayment otherwise required to be made hereunder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Such deposit shall constitute cash collateral for the Eurocurrency Loans to be so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may at any time direct that such deposit be applied to make the applicable payment required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firstLine="1304"/>
        <w:spacing w:after="0" w:line="243" w:lineRule="auto"/>
        <w:tabs>
          <w:tab w:leader="none" w:pos="1836"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Application of Prepayment by Type of Term Loans</w:t>
      </w:r>
      <w:r>
        <w:rPr>
          <w:rFonts w:ascii="Arial" w:cs="Arial" w:eastAsia="Arial" w:hAnsi="Arial"/>
          <w:sz w:val="19"/>
          <w:szCs w:val="19"/>
          <w:color w:val="auto"/>
        </w:rPr>
        <w:t xml:space="preserve">. In connection with any voluntary prepayments by the Borrower pursuant to </w:t>
      </w:r>
      <w:r>
        <w:rPr>
          <w:rFonts w:ascii="Arial" w:cs="Arial" w:eastAsia="Arial" w:hAnsi="Arial"/>
          <w:sz w:val="19"/>
          <w:szCs w:val="19"/>
          <w:u w:val="single" w:color="auto"/>
          <w:color w:val="auto"/>
        </w:rPr>
        <w:t>Section 2.11(a)</w:t>
      </w:r>
      <w:r>
        <w:rPr>
          <w:rFonts w:ascii="Arial" w:cs="Arial" w:eastAsia="Arial" w:hAnsi="Arial"/>
          <w:sz w:val="19"/>
          <w:szCs w:val="19"/>
          <w:color w:val="auto"/>
        </w:rPr>
        <w:t xml:space="preserve">, any voluntary prepayment thereof shall be applied first to ABR Loans to the full extent thereof before application to Eurocurrency Loans </w:t>
      </w:r>
      <w:r>
        <w:rPr>
          <w:rFonts w:ascii="Arial" w:cs="Arial" w:eastAsia="Arial" w:hAnsi="Arial"/>
          <w:sz w:val="19"/>
          <w:szCs w:val="19"/>
          <w:color w:val="0000FF"/>
        </w:rPr>
        <w:t>and Term SOFR Loans</w:t>
      </w:r>
      <w:r>
        <w:rPr>
          <w:rFonts w:ascii="Arial" w:cs="Arial" w:eastAsia="Arial" w:hAnsi="Arial"/>
          <w:sz w:val="19"/>
          <w:szCs w:val="19"/>
          <w:color w:val="auto"/>
        </w:rPr>
        <w:t xml:space="preserve">, in each case in a manner that minimizes the amount of any payments required to be made by the Borrower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In connection with any mandatory prepayments by the Borrower of the Term Loans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such prepayments shall be applied on a pro rata basis to the then outstanding Term Loans being prepaid irrespective of whether such outstanding Term Loans are ABR Loans </w:t>
      </w:r>
      <w:r>
        <w:rPr>
          <w:rFonts w:ascii="Arial" w:cs="Arial" w:eastAsia="Arial" w:hAnsi="Arial"/>
          <w:sz w:val="19"/>
          <w:szCs w:val="19"/>
          <w:color w:val="FF0000"/>
        </w:rPr>
        <w:t>or</w:t>
      </w:r>
      <w:r>
        <w:rPr>
          <w:rFonts w:ascii="Arial" w:cs="Arial" w:eastAsia="Arial" w:hAnsi="Arial"/>
          <w:sz w:val="19"/>
          <w:szCs w:val="19"/>
          <w:u w:val="single" w:color="auto"/>
          <w:color w:val="0000FF"/>
        </w:rPr>
        <w:t>,</w:t>
      </w:r>
      <w:r>
        <w:rPr>
          <w:rFonts w:ascii="Arial" w:cs="Arial" w:eastAsia="Arial" w:hAnsi="Arial"/>
          <w:sz w:val="19"/>
          <w:szCs w:val="19"/>
          <w:color w:val="auto"/>
        </w:rPr>
        <w:t xml:space="preserve"> Eurocurrency Loans </w:t>
      </w:r>
      <w:r>
        <w:rPr>
          <w:rFonts w:ascii="Arial" w:cs="Arial" w:eastAsia="Arial" w:hAnsi="Arial"/>
          <w:sz w:val="19"/>
          <w:szCs w:val="19"/>
          <w:color w:val="0000FF"/>
        </w:rPr>
        <w:t>or Term SOFR Loans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 Lenders exercise the right to waive a given mandatory prepayment of the Term Loans pursuant to </w:t>
      </w:r>
      <w:r>
        <w:rPr>
          <w:rFonts w:ascii="Arial" w:cs="Arial" w:eastAsia="Arial" w:hAnsi="Arial"/>
          <w:sz w:val="19"/>
          <w:szCs w:val="19"/>
          <w:u w:val="single" w:color="auto"/>
          <w:color w:val="auto"/>
        </w:rPr>
        <w:t>Section 2.11(g)</w:t>
      </w:r>
      <w:r>
        <w:rPr>
          <w:rFonts w:ascii="Arial" w:cs="Arial" w:eastAsia="Arial" w:hAnsi="Arial"/>
          <w:sz w:val="19"/>
          <w:szCs w:val="19"/>
          <w:color w:val="auto"/>
        </w:rPr>
        <w:t xml:space="preserve">, then, with respect to such mandatory prepayment, the amount of such mandatory prepayment shall be applied first to Term Loans that are ABR Loans to the full extent thereof before application to Term Loans that are Eurocurrency Loans </w:t>
      </w:r>
      <w:r>
        <w:rPr>
          <w:rFonts w:ascii="Arial" w:cs="Arial" w:eastAsia="Arial" w:hAnsi="Arial"/>
          <w:sz w:val="19"/>
          <w:szCs w:val="19"/>
          <w:u w:val="single" w:color="auto"/>
          <w:color w:val="0000FF"/>
        </w:rPr>
        <w:t>or Term SOFR Loans</w:t>
      </w:r>
      <w:r>
        <w:rPr>
          <w:rFonts w:ascii="Arial" w:cs="Arial" w:eastAsia="Arial" w:hAnsi="Arial"/>
          <w:sz w:val="19"/>
          <w:szCs w:val="19"/>
          <w:color w:val="auto"/>
        </w:rPr>
        <w:t xml:space="preserve"> in a manner that minimizes the amount of any payments required to be made by the Borrower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2730500</wp:posOffset>
            </wp:positionH>
            <wp:positionV relativeFrom="paragraph">
              <wp:posOffset>-987425</wp:posOffset>
            </wp:positionV>
            <wp:extent cx="13125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1312545" cy="8255"/>
                    </a:xfrm>
                    <a:prstGeom prst="rect">
                      <a:avLst/>
                    </a:prstGeom>
                    <a:noFill/>
                  </pic:spPr>
                </pic:pic>
              </a:graphicData>
            </a:graphic>
          </wp:anchor>
        </w:drawing>
        <w:drawing>
          <wp:anchor simplePos="0" relativeHeight="251657728" behindDoc="1" locked="0" layoutInCell="0" allowOverlap="1">
            <wp:simplePos x="0" y="0"/>
            <wp:positionH relativeFrom="column">
              <wp:posOffset>6149975</wp:posOffset>
            </wp:positionH>
            <wp:positionV relativeFrom="paragraph">
              <wp:posOffset>-627380</wp:posOffset>
            </wp:positionV>
            <wp:extent cx="1574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157480" cy="8890"/>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-438785</wp:posOffset>
            </wp:positionV>
            <wp:extent cx="12395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1239520" cy="8255"/>
                    </a:xfrm>
                    <a:prstGeom prst="rect">
                      <a:avLst/>
                    </a:prstGeom>
                    <a:noFill/>
                  </pic:spPr>
                </pic:pic>
              </a:graphicData>
            </a:graphic>
          </wp:anchor>
        </w:drawing>
      </w:r>
    </w:p>
    <w:p>
      <w:pPr>
        <w:spacing w:after="0" w:line="3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2.12</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79" w:lineRule="exact"/>
        <w:rPr>
          <w:sz w:val="20"/>
          <w:szCs w:val="20"/>
          <w:color w:val="auto"/>
        </w:rPr>
      </w:pPr>
    </w:p>
    <w:p>
      <w:pPr>
        <w:jc w:val="both"/>
        <w:ind w:firstLine="1304"/>
        <w:spacing w:after="0" w:line="242" w:lineRule="auto"/>
        <w:tabs>
          <w:tab w:leader="none" w:pos="189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The Borrower agrees to pay to the Administrative Agent for the account of each Revolving Lender, in accordance with its Applicable Percentage of Revolving Commitments, a commitment fee, which shall accrue as specified in the definition of “Applicable Margin” on the average daily amount of the unused Revolving Commitment of such Lender during the period from and including the Closing Date to, but excluding, the date on which the Revolving Commitments terminate, subject to adjustment as provided in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Accrued commitment fees shall be payable in arrears on the third Business Day following the last day of March, June, September and December of each year and on the Revolving Termination Date, commencing on the first such date to occur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commitment fee shall accrue on any undrawn Revolving Commitment of a Defaulting Lender so long as such Lender shall be a Defaulting Lender.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Swingline Loans shall, for purposes of the commitment fee calculations only, not be deemed to be a utilization of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68" w:name="page169"/>
    <w:bookmarkEnd w:id="168"/>
    <w:p>
      <w:pPr>
        <w:jc w:val="both"/>
        <w:ind w:firstLine="1304"/>
        <w:spacing w:after="0" w:line="241" w:lineRule="auto"/>
        <w:tabs>
          <w:tab w:leader="none" w:pos="1868"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The Borrower agrees to pay (i) to the Administrative Agent for the account of each Revolving Lender a participation fee with respect to its participations in Letters of Credit, which shall accrue at the same Applicable Margin used to determine the interest rate applicable to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Revolving Loans on the actual daily amount of such Revolving Lender’s LC Exposure (excluding any portion thereof attributable to unreimbursed LC Disbursements) during the period from and including the Closing Date, to but excluding the date on which such Revolving Lender’s Revolving Commitment terminates, and (ii) to each of the Issuing Banks a fronting fee, which shall accrue at a rate equal to 0.125% per annum on the actual daily amount of the LC Exposure (excluding any portion thereof attributable to unreimbursed LC Disbursements) during the period from and including the Closing Date, to but excluding the date of termination of the Revolving Commitments, as well as each of the Issuing Banks’s standard fees with respect to the issuance, amendment, renewal or extension of any Letter of Credit or processing of drawings thereunder. Participation fees and fronting fees accrued to and excluding the last day of March, June, September and December of each year shall be payable on the third Business Day following such last day, commencing on the first such date to occur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 Revolving Commitments terminate and any such fees accruing after the date on which the Revolving Commitments terminate shall be payable on demand. Any other fees payable to the Issuing Banks pursuant to this paragraph shall be payable within 30 days after written demand (including reasonable supporting documents). All participation fees and fronting fees shall be computed on the basis of a year of 360 days and shall be payable for the actual number of days elapsed (including the first day but excluding the last day).</w:t>
      </w:r>
    </w:p>
    <w:p>
      <w:pPr>
        <w:spacing w:after="0" w:line="377" w:lineRule="exact"/>
        <w:rPr>
          <w:rFonts w:ascii="Arial" w:cs="Arial" w:eastAsia="Arial" w:hAnsi="Arial"/>
          <w:sz w:val="19"/>
          <w:szCs w:val="19"/>
          <w:color w:val="auto"/>
        </w:rPr>
      </w:pPr>
    </w:p>
    <w:p>
      <w:pPr>
        <w:ind w:firstLine="1304"/>
        <w:spacing w:after="0" w:line="232" w:lineRule="auto"/>
        <w:tabs>
          <w:tab w:leader="none" w:pos="1817"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Borrower agrees to pay to the Administrative Agent, for its own account, fees payable in the amounts and at the times separately agreed upon between the Borrower and the Administrative Agent.</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769"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All fees payable hereunder shall be paid by the Borrower on the dates due, in immediately available funds, to the Administrative Agent (or to the Issuing Banks, in the case of fees payable to them) for distribution, in the case of commitment fees and participation fees, to the Lenders entitled thereto. Fees paid shall not be refundable under any circumstances.</w:t>
      </w:r>
    </w:p>
    <w:p>
      <w:pPr>
        <w:spacing w:after="0" w:line="13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2.13</w:t>
      </w:r>
      <w:r>
        <w:rPr>
          <w:sz w:val="20"/>
          <w:szCs w:val="20"/>
          <w:color w:val="auto"/>
        </w:rPr>
        <w:tab/>
      </w:r>
      <w:r>
        <w:rPr>
          <w:rFonts w:ascii="Arial" w:cs="Arial" w:eastAsia="Arial" w:hAnsi="Arial"/>
          <w:sz w:val="19"/>
          <w:szCs w:val="19"/>
          <w:u w:val="single" w:color="auto"/>
          <w:color w:val="auto"/>
        </w:rPr>
        <w:t>Interest</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86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The Loans comprising each ABR Borrowing (including each Swingline Loan) </w:t>
      </w:r>
      <w:r>
        <w:rPr>
          <w:rFonts w:ascii="Arial" w:cs="Arial" w:eastAsia="Arial" w:hAnsi="Arial"/>
          <w:sz w:val="22"/>
          <w:szCs w:val="22"/>
          <w:color w:val="FF0000"/>
          <w:strike w:val="1"/>
        </w:rPr>
        <w:t>_</w:t>
      </w:r>
      <w:r>
        <w:rPr>
          <w:rFonts w:ascii="Arial" w:cs="Arial" w:eastAsia="Arial" w:hAnsi="Arial"/>
          <w:sz w:val="22"/>
          <w:szCs w:val="22"/>
          <w:color w:val="auto"/>
        </w:rPr>
        <w:t xml:space="preserve">shall bear interest at the Alternate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823"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The Loans comprising each Eurocurrency Borrowing shall bear interest at the Adjusted Eurocurrency Rate for the Interest Period in effect for such Borrowing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 </w:t>
      </w:r>
      <w:r>
        <w:rPr>
          <w:rFonts w:ascii="Arial" w:cs="Arial" w:eastAsia="Arial" w:hAnsi="Arial"/>
          <w:sz w:val="19"/>
          <w:szCs w:val="19"/>
          <w:color w:val="0000FF"/>
        </w:rPr>
        <w:t>The Loans comprising each Term SOFR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Borrowing shall bear interest at Adjusted Term SOFR for the Interest Period in effect for such Borrowing plus the Applicable Margin; provided that if Term SOFR shall be determined pursuant to clause (a)(ii) of the definition thereof, each such Loan shall be deemed to bear interest on the outstanding principal amount thereof from the applicable borrowing date at a rate per annum equal to Daily Simple SOFR for each day such Loan remains outstanding plus the Applicable Margin.</w:t>
      </w:r>
    </w:p>
    <w:p>
      <w:pPr>
        <w:spacing w:after="0" w:line="151" w:lineRule="exact"/>
        <w:rPr>
          <w:rFonts w:ascii="Arial" w:cs="Arial" w:eastAsia="Arial" w:hAnsi="Arial"/>
          <w:sz w:val="19"/>
          <w:szCs w:val="19"/>
          <w:color w:val="auto"/>
        </w:rPr>
      </w:pPr>
    </w:p>
    <w:p>
      <w:pPr>
        <w:jc w:val="both"/>
        <w:ind w:firstLine="1304"/>
        <w:spacing w:after="0" w:line="249" w:lineRule="auto"/>
        <w:tabs>
          <w:tab w:leader="none" w:pos="185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(x) any principal of or interest on any Loan or any fee payable by the Borrower hereunder is not paid when due (after the expiration of any applicable grace period), whether at stated maturity, upon acceleration or otherwise or (y) an Event of Default under </w:t>
      </w:r>
      <w:r>
        <w:rPr>
          <w:rFonts w:ascii="Arial" w:cs="Arial" w:eastAsia="Arial" w:hAnsi="Arial"/>
          <w:sz w:val="19"/>
          <w:szCs w:val="19"/>
          <w:u w:val="single" w:color="auto"/>
          <w:color w:val="auto"/>
        </w:rPr>
        <w:t>Section 7.01(h)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has occurred and is continuing, such overdue amount (which, in the case of an Event of Default under </w:t>
      </w:r>
      <w:r>
        <w:rPr>
          <w:rFonts w:ascii="Arial" w:cs="Arial" w:eastAsia="Arial" w:hAnsi="Arial"/>
          <w:sz w:val="19"/>
          <w:szCs w:val="19"/>
          <w:u w:val="single" w:color="auto"/>
          <w:color w:val="auto"/>
        </w:rPr>
        <w:t>Section 7.01(h)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shall be deemed to include the entire outstanding amount of the Loans) shall bear interest, after as well as before judgment, to the fullest extent permitted by law, at a rate per annum equal to (i) in the case of overdue principal or interest of any Loan, 2.00%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then borne by (in the case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4713605</wp:posOffset>
            </wp:positionH>
            <wp:positionV relativeFrom="paragraph">
              <wp:posOffset>-1543685</wp:posOffset>
            </wp:positionV>
            <wp:extent cx="24244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2424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69" w:name="page170"/>
    <w:bookmarkEnd w:id="169"/>
    <w:p>
      <w:pPr>
        <w:jc w:val="both"/>
        <w:spacing w:after="0" w:line="268" w:lineRule="auto"/>
        <w:rPr>
          <w:sz w:val="20"/>
          <w:szCs w:val="20"/>
          <w:color w:val="auto"/>
        </w:rPr>
      </w:pPr>
      <w:r>
        <w:rPr>
          <w:rFonts w:ascii="Arial" w:cs="Arial" w:eastAsia="Arial" w:hAnsi="Arial"/>
          <w:sz w:val="19"/>
          <w:szCs w:val="19"/>
          <w:color w:val="auto"/>
        </w:rPr>
        <w:t xml:space="preserve">principal) such Borrowings or (in the case of interest) the Borrowings to which such overdue amount relates or (ii) in the case of any other amounts, 2.00%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applicable to ABR Loans as provided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default rate shall accrue on the Loans of a Defaulting Lender so long as such Lender shall be a Defaulting Lender.</w:t>
      </w:r>
    </w:p>
    <w:p>
      <w:pPr>
        <w:spacing w:after="0" w:line="132" w:lineRule="exact"/>
        <w:rPr>
          <w:sz w:val="20"/>
          <w:szCs w:val="20"/>
          <w:color w:val="auto"/>
        </w:rPr>
      </w:pPr>
    </w:p>
    <w:p>
      <w:pPr>
        <w:jc w:val="both"/>
        <w:ind w:firstLine="1304"/>
        <w:spacing w:after="0" w:line="247" w:lineRule="auto"/>
        <w:tabs>
          <w:tab w:leader="none" w:pos="1792"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on each Interest Payment Date for such Loan and, in the case of Revolving Loans, upon termination of the applicable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shall be payable on written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Eurocurrency Loan </w:t>
      </w:r>
      <w:r>
        <w:rPr>
          <w:rFonts w:ascii="Arial" w:cs="Arial" w:eastAsia="Arial" w:hAnsi="Arial"/>
          <w:sz w:val="19"/>
          <w:szCs w:val="19"/>
          <w:u w:val="single" w:color="auto"/>
          <w:color w:val="0000FF"/>
        </w:rPr>
        <w:t>or Term SOFR Loan</w:t>
      </w:r>
      <w:r>
        <w:rPr>
          <w:rFonts w:ascii="Arial" w:cs="Arial" w:eastAsia="Arial" w:hAnsi="Arial"/>
          <w:sz w:val="19"/>
          <w:szCs w:val="19"/>
          <w:color w:val="auto"/>
        </w:rPr>
        <w:t xml:space="preserve"> prior to the end of the current Interest Period therefor, accrued interest on such Loan shall be payable on the effective date of such conversion.</w:t>
      </w:r>
    </w:p>
    <w:p>
      <w:pPr>
        <w:spacing w:after="0" w:line="153" w:lineRule="exact"/>
        <w:rPr>
          <w:rFonts w:ascii="Arial" w:cs="Arial" w:eastAsia="Arial" w:hAnsi="Arial"/>
          <w:sz w:val="19"/>
          <w:szCs w:val="19"/>
          <w:color w:val="auto"/>
        </w:rPr>
      </w:pPr>
    </w:p>
    <w:p>
      <w:pPr>
        <w:jc w:val="both"/>
        <w:ind w:firstLine="1304"/>
        <w:spacing w:after="0" w:line="226" w:lineRule="auto"/>
        <w:tabs>
          <w:tab w:leader="none" w:pos="1771" w:val="left"/>
        </w:tabs>
        <w:numPr>
          <w:ilvl w:val="0"/>
          <w:numId w:val="118"/>
        </w:numPr>
        <w:rPr>
          <w:rFonts w:ascii="Arial" w:cs="Arial" w:eastAsia="Arial" w:hAnsi="Arial"/>
          <w:sz w:val="21"/>
          <w:szCs w:val="21"/>
          <w:color w:val="auto"/>
        </w:rPr>
      </w:pPr>
      <w:r>
        <w:rPr>
          <w:rFonts w:ascii="Arial" w:cs="Arial" w:eastAsia="Arial" w:hAnsi="Arial"/>
          <w:sz w:val="21"/>
          <w:szCs w:val="21"/>
          <w:color w:val="auto"/>
        </w:rPr>
        <w:t xml:space="preserve">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w:t>
      </w:r>
      <w:r>
        <w:rPr>
          <w:rFonts w:ascii="Arial" w:cs="Arial" w:eastAsia="Arial" w:hAnsi="Arial"/>
          <w:sz w:val="21"/>
          <w:szCs w:val="21"/>
          <w:color w:val="FF0000"/>
        </w:rPr>
        <w:t>or</w:t>
      </w:r>
      <w:r>
        <w:rPr>
          <w:rFonts w:ascii="Arial" w:cs="Arial" w:eastAsia="Arial" w:hAnsi="Arial"/>
          <w:sz w:val="21"/>
          <w:szCs w:val="21"/>
          <w:u w:val="single" w:color="auto"/>
          <w:color w:val="0000FF"/>
        </w:rPr>
        <w:t>,</w:t>
      </w:r>
      <w:r>
        <w:rPr>
          <w:rFonts w:ascii="Arial" w:cs="Arial" w:eastAsia="Arial" w:hAnsi="Arial"/>
          <w:sz w:val="21"/>
          <w:szCs w:val="21"/>
          <w:color w:val="auto"/>
        </w:rPr>
        <w:t xml:space="preserve"> Adjusted Eurocurrency Rate </w:t>
      </w:r>
      <w:r>
        <w:rPr>
          <w:rFonts w:ascii="Arial" w:cs="Arial" w:eastAsia="Arial" w:hAnsi="Arial"/>
          <w:sz w:val="21"/>
          <w:szCs w:val="21"/>
          <w:u w:val="single" w:color="auto"/>
          <w:color w:val="0000FF"/>
        </w:rPr>
        <w:t>or Adjusted Term SOFR</w:t>
      </w:r>
      <w:r>
        <w:rPr>
          <w:rFonts w:ascii="Arial" w:cs="Arial" w:eastAsia="Arial" w:hAnsi="Arial"/>
          <w:sz w:val="21"/>
          <w:szCs w:val="21"/>
          <w:color w:val="auto"/>
        </w:rPr>
        <w:t xml:space="preserve"> shall be determined by the Administrative Agent, and such determination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-219075</wp:posOffset>
            </wp:positionV>
            <wp:extent cx="1536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153670" cy="8890"/>
                    </a:xfrm>
                    <a:prstGeom prst="rect">
                      <a:avLst/>
                    </a:prstGeom>
                    <a:noFill/>
                  </pic:spPr>
                </pic:pic>
              </a:graphicData>
            </a:graphic>
          </wp:anchor>
        </w:drawing>
      </w:r>
    </w:p>
    <w:p>
      <w:pPr>
        <w:spacing w:after="0" w:line="13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2.14</w:t>
      </w:r>
      <w:r>
        <w:rPr>
          <w:sz w:val="20"/>
          <w:szCs w:val="20"/>
          <w:color w:val="auto"/>
        </w:rPr>
        <w:tab/>
      </w:r>
      <w:r>
        <w:rPr>
          <w:rFonts w:ascii="Arial" w:cs="Arial" w:eastAsia="Arial" w:hAnsi="Arial"/>
          <w:sz w:val="19"/>
          <w:szCs w:val="19"/>
          <w:u w:val="single" w:color="auto"/>
          <w:color w:val="auto"/>
        </w:rPr>
        <w:t>Alternate Rate of Interest</w:t>
      </w:r>
      <w:r>
        <w:rPr>
          <w:rFonts w:ascii="Arial" w:cs="Arial" w:eastAsia="Arial" w:hAnsi="Arial"/>
          <w:sz w:val="19"/>
          <w:szCs w:val="19"/>
          <w:u w:val="single" w:color="auto"/>
          <w:color w:val="FF0000"/>
          <w:strike w:val="1"/>
        </w:rPr>
        <w:t>; Discontinuation of Adjusted Eurocurrency Rate</w:t>
      </w:r>
      <w:r>
        <w:rPr>
          <w:rFonts w:ascii="Arial" w:cs="Arial" w:eastAsia="Arial" w:hAnsi="Arial"/>
          <w:sz w:val="19"/>
          <w:szCs w:val="19"/>
          <w:color w:val="FF0000"/>
          <w:strike w:val="1"/>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8000"/>
        </w:rPr>
        <w:t xml:space="preserve">; Discontinuation of Adjusted Eurocurrency Rate </w:t>
      </w:r>
      <w:r>
        <w:rPr>
          <w:rFonts w:ascii="Arial" w:cs="Arial" w:eastAsia="Arial" w:hAnsi="Arial"/>
          <w:sz w:val="22"/>
          <w:szCs w:val="22"/>
          <w:u w:val="single" w:color="auto"/>
          <w:color w:val="0000FF"/>
        </w:rPr>
        <w:t>or Term SOFR.</w:t>
      </w:r>
    </w:p>
    <w:p>
      <w:pPr>
        <w:spacing w:after="0" w:line="179" w:lineRule="exact"/>
        <w:rPr>
          <w:sz w:val="20"/>
          <w:szCs w:val="20"/>
          <w:color w:val="auto"/>
        </w:rPr>
      </w:pPr>
    </w:p>
    <w:p>
      <w:pPr>
        <w:ind w:firstLine="1304"/>
        <w:spacing w:after="0" w:line="232" w:lineRule="auto"/>
        <w:tabs>
          <w:tab w:leader="none" w:pos="183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Subject to the immediately following sentence, if prior to the commencement of any Interest Period for a Eurocurrency Borrowing </w:t>
      </w:r>
      <w:r>
        <w:rPr>
          <w:rFonts w:ascii="Arial" w:cs="Arial" w:eastAsia="Arial" w:hAnsi="Arial"/>
          <w:sz w:val="22"/>
          <w:szCs w:val="22"/>
          <w:u w:val="single" w:color="auto"/>
          <w:color w:val="0000FF"/>
        </w:rPr>
        <w:t>or Term SOFR Borrowing</w:t>
      </w:r>
      <w:r>
        <w:rPr>
          <w:rFonts w:ascii="Arial" w:cs="Arial" w:eastAsia="Arial" w:hAnsi="Arial"/>
          <w:sz w:val="22"/>
          <w:szCs w:val="22"/>
          <w:color w:val="auto"/>
        </w:rPr>
        <w:t xml:space="preserve"> denominated in any currency:</w:t>
      </w:r>
    </w:p>
    <w:p>
      <w:pPr>
        <w:spacing w:after="0" w:line="159" w:lineRule="exact"/>
        <w:rPr>
          <w:sz w:val="20"/>
          <w:szCs w:val="20"/>
          <w:color w:val="auto"/>
        </w:rPr>
      </w:pPr>
    </w:p>
    <w:p>
      <w:pPr>
        <w:jc w:val="both"/>
        <w:ind w:left="660" w:firstLine="644"/>
        <w:spacing w:after="0" w:line="223" w:lineRule="auto"/>
        <w:tabs>
          <w:tab w:leader="none" w:pos="183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the Administrative Agent determines (which determination shall be conclusive absent manifest error) that adequate and reasonable means do not exist for ascertaining the Adjusted Eurocurrency Rate </w:t>
      </w:r>
      <w:r>
        <w:rPr>
          <w:rFonts w:ascii="Arial" w:cs="Arial" w:eastAsia="Arial" w:hAnsi="Arial"/>
          <w:sz w:val="22"/>
          <w:szCs w:val="22"/>
          <w:u w:val="single" w:color="auto"/>
          <w:color w:val="0000FF"/>
        </w:rPr>
        <w:t>or Term SOFR, as</w:t>
      </w:r>
      <w:r>
        <w:rPr>
          <w:rFonts w:ascii="Arial" w:cs="Arial" w:eastAsia="Arial" w:hAnsi="Arial"/>
          <w:sz w:val="22"/>
          <w:szCs w:val="22"/>
          <w:color w:val="auto"/>
        </w:rPr>
        <w:t xml:space="preserve"> </w:t>
      </w:r>
      <w:r>
        <w:rPr>
          <w:rFonts w:ascii="Arial" w:cs="Arial" w:eastAsia="Arial" w:hAnsi="Arial"/>
          <w:sz w:val="22"/>
          <w:szCs w:val="22"/>
          <w:u w:val="single" w:color="auto"/>
          <w:color w:val="0000FF"/>
        </w:rPr>
        <w:t>applicable,</w:t>
      </w:r>
      <w:r>
        <w:rPr>
          <w:rFonts w:ascii="Arial" w:cs="Arial" w:eastAsia="Arial" w:hAnsi="Arial"/>
          <w:sz w:val="22"/>
          <w:szCs w:val="22"/>
          <w:color w:val="0000FF"/>
        </w:rPr>
        <w:t xml:space="preserve"> </w:t>
      </w:r>
      <w:r>
        <w:rPr>
          <w:rFonts w:ascii="Arial" w:cs="Arial" w:eastAsia="Arial" w:hAnsi="Arial"/>
          <w:sz w:val="22"/>
          <w:szCs w:val="22"/>
          <w:color w:val="000000"/>
        </w:rPr>
        <w:t>for such Interest Period; or</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83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Administrative Agent is advised by the Required Lenders that the Adjusted Eurocurrency Rate for such Interest Period will not adequately and fairly reflect the cost to such Lenders of making or maintaining their Loans included in such Borrowing for such Interest Period;</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 xml:space="preserve">then the Administrative Agent shall give notice thereof to the Borrower and the Lenders by telephone or telecopy as promptly as practicable thereafter and, until the Administrative Agent notifies the Borrower and the Lenders that the circumstances giving rise to such notice no longer exist, (i) any Interest Election Request that requests the conversion of any Borrowing denominated in such currency to, or continuation of any Borrowing denominated in such currency as, a Eurocurrency Borrowing </w:t>
      </w:r>
      <w:r>
        <w:rPr>
          <w:rFonts w:ascii="Arial" w:cs="Arial" w:eastAsia="Arial" w:hAnsi="Arial"/>
          <w:sz w:val="19"/>
          <w:szCs w:val="19"/>
          <w:u w:val="single" w:color="auto"/>
          <w:color w:val="0000FF"/>
        </w:rPr>
        <w:t>or Term SOFR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Borrowing, as applicable</w:t>
      </w:r>
      <w:r>
        <w:rPr>
          <w:rFonts w:ascii="Arial" w:cs="Arial" w:eastAsia="Arial" w:hAnsi="Arial"/>
          <w:sz w:val="19"/>
          <w:szCs w:val="19"/>
          <w:color w:val="0000FF"/>
        </w:rPr>
        <w:t xml:space="preserve"> </w:t>
      </w:r>
      <w:r>
        <w:rPr>
          <w:rFonts w:ascii="Arial" w:cs="Arial" w:eastAsia="Arial" w:hAnsi="Arial"/>
          <w:sz w:val="19"/>
          <w:szCs w:val="19"/>
          <w:color w:val="000000"/>
        </w:rPr>
        <w:t>in such currency that is requested to be continued (A) if such currency is the Dollar,</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(x) in the case of a</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Eurocurrency Borrowing,</w:t>
      </w:r>
      <w:r>
        <w:rPr>
          <w:rFonts w:ascii="Arial" w:cs="Arial" w:eastAsia="Arial" w:hAnsi="Arial"/>
          <w:sz w:val="19"/>
          <w:szCs w:val="19"/>
          <w:color w:val="0000FF"/>
        </w:rPr>
        <w:t xml:space="preserve"> </w:t>
      </w:r>
      <w:r>
        <w:rPr>
          <w:rFonts w:ascii="Arial" w:cs="Arial" w:eastAsia="Arial" w:hAnsi="Arial"/>
          <w:sz w:val="19"/>
          <w:szCs w:val="19"/>
          <w:color w:val="000000"/>
        </w:rPr>
        <w:t>shall be converted to</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an ABR Borrowing denominated in Dollars on the last day of the Interest Period</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applicable thereto and (y) in the case of a Term SOFR Borrowing, shall be converted into a Borrowing of Daily SOFR Loans, or, failing that,</w:t>
      </w:r>
      <w:r>
        <w:rPr>
          <w:rFonts w:ascii="Arial" w:cs="Arial" w:eastAsia="Arial" w:hAnsi="Arial"/>
          <w:sz w:val="19"/>
          <w:szCs w:val="19"/>
          <w:color w:val="0000FF"/>
        </w:rPr>
        <w:t xml:space="preserve"> </w:t>
      </w:r>
      <w:r>
        <w:rPr>
          <w:rFonts w:ascii="Arial" w:cs="Arial" w:eastAsia="Arial" w:hAnsi="Arial"/>
          <w:sz w:val="19"/>
          <w:szCs w:val="19"/>
          <w:color w:val="000000"/>
        </w:rPr>
        <w:t>an ABR Borrowing on the last day of the Interest Period applicable thereto</w:t>
      </w:r>
      <w:r>
        <w:rPr>
          <w:rFonts w:ascii="Arial" w:cs="Arial" w:eastAsia="Arial" w:hAnsi="Arial"/>
          <w:sz w:val="19"/>
          <w:szCs w:val="19"/>
          <w:color w:val="0000FF"/>
        </w:rPr>
        <w:t xml:space="preserve"> </w:t>
      </w:r>
      <w:r>
        <w:rPr>
          <w:rFonts w:ascii="Arial" w:cs="Arial" w:eastAsia="Arial" w:hAnsi="Arial"/>
          <w:sz w:val="19"/>
          <w:szCs w:val="19"/>
          <w:color w:val="FF0000"/>
        </w:rPr>
        <w:t>and</w:t>
      </w:r>
      <w:r>
        <w:rPr>
          <w:rFonts w:ascii="Arial" w:cs="Arial" w:eastAsia="Arial" w:hAnsi="Arial"/>
          <w:sz w:val="19"/>
          <w:szCs w:val="19"/>
          <w:u w:val="single" w:color="auto"/>
          <w:color w:val="0000FF"/>
        </w:rPr>
        <w:t>,</w:t>
      </w:r>
      <w:r>
        <w:rPr>
          <w:rFonts w:ascii="Arial" w:cs="Arial" w:eastAsia="Arial" w:hAnsi="Arial"/>
          <w:sz w:val="19"/>
          <w:szCs w:val="19"/>
          <w:color w:val="0000FF"/>
        </w:rPr>
        <w:t xml:space="preserve"> </w:t>
      </w:r>
      <w:r>
        <w:rPr>
          <w:rFonts w:ascii="Arial" w:cs="Arial" w:eastAsia="Arial" w:hAnsi="Arial"/>
          <w:sz w:val="19"/>
          <w:szCs w:val="19"/>
          <w:color w:val="000000"/>
        </w:rPr>
        <w:t>(B) if such currency</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4770120</wp:posOffset>
            </wp:positionH>
            <wp:positionV relativeFrom="paragraph">
              <wp:posOffset>-86360</wp:posOffset>
            </wp:positionV>
            <wp:extent cx="2324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70" w:name="page171"/>
    <w:bookmarkEnd w:id="170"/>
    <w:p>
      <w:pPr>
        <w:jc w:val="both"/>
        <w:spacing w:after="0" w:line="246" w:lineRule="auto"/>
        <w:rPr>
          <w:sz w:val="20"/>
          <w:szCs w:val="20"/>
          <w:color w:val="auto"/>
        </w:rPr>
      </w:pPr>
      <w:r>
        <w:rPr>
          <w:rFonts w:ascii="Arial" w:cs="Arial" w:eastAsia="Arial" w:hAnsi="Arial"/>
          <w:sz w:val="19"/>
          <w:szCs w:val="19"/>
          <w:u w:val="single" w:color="auto"/>
          <w:color w:val="0000FF"/>
        </w:rPr>
        <w:t>the Euro, shall be converted to an ABR Borrowing denominated in Dollars on the last day of the Interest Period applicable thereto, and (C) if such currency</w:t>
      </w:r>
      <w:r>
        <w:rPr>
          <w:rFonts w:ascii="Arial" w:cs="Arial" w:eastAsia="Arial" w:hAnsi="Arial"/>
          <w:sz w:val="19"/>
          <w:szCs w:val="19"/>
          <w:color w:val="0000FF"/>
        </w:rPr>
        <w:t xml:space="preserve"> </w:t>
      </w:r>
      <w:r>
        <w:rPr>
          <w:rFonts w:ascii="Arial" w:cs="Arial" w:eastAsia="Arial" w:hAnsi="Arial"/>
          <w:sz w:val="19"/>
          <w:szCs w:val="19"/>
          <w:color w:val="000000"/>
        </w:rPr>
        <w:t>is an Alternative Currency, shall bear interest at such rate as the Administrative Agent shall</w:t>
      </w:r>
      <w:r>
        <w:rPr>
          <w:rFonts w:ascii="Arial" w:cs="Arial" w:eastAsia="Arial" w:hAnsi="Arial"/>
          <w:sz w:val="19"/>
          <w:szCs w:val="19"/>
          <w:color w:val="0000FF"/>
        </w:rPr>
        <w:t xml:space="preserve"> </w:t>
      </w:r>
      <w:r>
        <w:rPr>
          <w:rFonts w:ascii="Arial" w:cs="Arial" w:eastAsia="Arial" w:hAnsi="Arial"/>
          <w:sz w:val="19"/>
          <w:szCs w:val="19"/>
          <w:color w:val="000000"/>
        </w:rPr>
        <w:t xml:space="preserve">determine adequately and fairly reflects the cost to such Lenders of making or maintaining their Loans included in such Borrowing for such Interest Period </w:t>
      </w:r>
      <w:r>
        <w:rPr>
          <w:rFonts w:ascii="Arial" w:cs="Arial" w:eastAsia="Arial" w:hAnsi="Arial"/>
          <w:sz w:val="19"/>
          <w:szCs w:val="19"/>
          <w:u w:val="single" w:color="auto"/>
          <w:color w:val="000000"/>
        </w:rPr>
        <w:t>plus</w:t>
      </w:r>
      <w:r>
        <w:rPr>
          <w:rFonts w:ascii="Arial" w:cs="Arial" w:eastAsia="Arial" w:hAnsi="Arial"/>
          <w:sz w:val="19"/>
          <w:szCs w:val="19"/>
          <w:color w:val="000000"/>
        </w:rPr>
        <w:t xml:space="preserve"> the applicable percentage set forth in the definition of “Applicable Margin”; and (ii) if any Borrowing Request requests a Eurocurrency Borrowing denominated in such currency, (A) if such currency is the Dollar </w:t>
      </w:r>
      <w:r>
        <w:rPr>
          <w:rFonts w:ascii="Arial" w:cs="Arial" w:eastAsia="Arial" w:hAnsi="Arial"/>
          <w:sz w:val="19"/>
          <w:szCs w:val="19"/>
          <w:u w:val="single" w:color="auto"/>
          <w:color w:val="0000FF"/>
        </w:rPr>
        <w:t>(x)</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in the case of a Eurocurrency Borrowing,</w:t>
      </w:r>
      <w:r>
        <w:rPr>
          <w:rFonts w:ascii="Arial" w:cs="Arial" w:eastAsia="Arial" w:hAnsi="Arial"/>
          <w:sz w:val="19"/>
          <w:szCs w:val="19"/>
          <w:color w:val="0000FF"/>
        </w:rPr>
        <w:t xml:space="preserve"> </w:t>
      </w:r>
      <w:r>
        <w:rPr>
          <w:rFonts w:ascii="Arial" w:cs="Arial" w:eastAsia="Arial" w:hAnsi="Arial"/>
          <w:sz w:val="19"/>
          <w:szCs w:val="19"/>
          <w:color w:val="000000"/>
        </w:rPr>
        <w:t>such Borrowing shall be made as</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an ABR Borrowing denominated in Dollars and (y) in</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the case of a Term SOFR Borrowing, such Borrowing shall be made as a Borrowing of Daily SOFR Loans, or, failing that,</w:t>
      </w:r>
      <w:r>
        <w:rPr>
          <w:rFonts w:ascii="Arial" w:cs="Arial" w:eastAsia="Arial" w:hAnsi="Arial"/>
          <w:sz w:val="19"/>
          <w:szCs w:val="19"/>
          <w:color w:val="0000FF"/>
        </w:rPr>
        <w:t xml:space="preserve"> </w:t>
      </w:r>
      <w:r>
        <w:rPr>
          <w:rFonts w:ascii="Arial" w:cs="Arial" w:eastAsia="Arial" w:hAnsi="Arial"/>
          <w:sz w:val="19"/>
          <w:szCs w:val="19"/>
          <w:color w:val="000000"/>
        </w:rPr>
        <w:t>an</w:t>
      </w:r>
      <w:r>
        <w:rPr>
          <w:rFonts w:ascii="Arial" w:cs="Arial" w:eastAsia="Arial" w:hAnsi="Arial"/>
          <w:sz w:val="19"/>
          <w:szCs w:val="19"/>
          <w:color w:val="0000FF"/>
        </w:rPr>
        <w:t xml:space="preserve"> </w:t>
      </w:r>
      <w:r>
        <w:rPr>
          <w:rFonts w:ascii="Arial" w:cs="Arial" w:eastAsia="Arial" w:hAnsi="Arial"/>
          <w:sz w:val="19"/>
          <w:szCs w:val="19"/>
          <w:color w:val="000000"/>
        </w:rPr>
        <w:t>ABR Borrowing, and (B) if such currency is an Alternative Currency, such Borrowing Request shall be ineffective.</w:t>
      </w:r>
    </w:p>
    <w:p>
      <w:pPr>
        <w:spacing w:after="0" w:line="152" w:lineRule="exact"/>
        <w:rPr>
          <w:sz w:val="20"/>
          <w:szCs w:val="20"/>
          <w:color w:val="auto"/>
        </w:rPr>
      </w:pPr>
    </w:p>
    <w:p>
      <w:pPr>
        <w:jc w:val="both"/>
        <w:ind w:firstLine="1304"/>
        <w:spacing w:after="0"/>
        <w:tabs>
          <w:tab w:leader="none" w:pos="176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or the other Loan Documents, if at any time there ceases to exist a Eurocurrency Rate or other interbank rate in the London Market regulated or otherwise overseen or authorized by the ICE Benchmark Administration or U.K. Financial Conduct Authority for interest periods greater than one Business Day or the Administrative Agent determines (which determination shall be conclusive absent manifest error) that (i) the circumstances set forth in </w:t>
      </w:r>
      <w:r>
        <w:rPr>
          <w:rFonts w:ascii="Arial" w:cs="Arial" w:eastAsia="Arial" w:hAnsi="Arial"/>
          <w:sz w:val="19"/>
          <w:szCs w:val="19"/>
          <w:u w:val="single" w:color="auto"/>
          <w:color w:val="auto"/>
        </w:rPr>
        <w:t>Section 2.14(a)</w:t>
      </w:r>
      <w:r>
        <w:rPr>
          <w:rFonts w:ascii="Arial" w:cs="Arial" w:eastAsia="Arial" w:hAnsi="Arial"/>
          <w:sz w:val="19"/>
          <w:szCs w:val="19"/>
          <w:color w:val="auto"/>
        </w:rPr>
        <w:t xml:space="preserve"> above have arisen and such circumstances are unlikely to be temporary, (ii) the circumstances above have not arisen but the supervisor for the administrator of the Eurocurrency Rate or a Governmental Authority having jurisdiction over the Administrative Agent has made a public statement identifying a specific date after which the Eurocurrency Rate shall no longer be used for determining interest rates for loans or (iii) syndicated loans currently being executed, or that include language similar to that contained in this paragraph, are being executed or amended (as applicable) to incorporate or adopt a new benchmark interest rate to replace LIBOR, then the Administrative Agent and the Borrower shall endeavor to establish an alternate rate of interest to the Eurocurrency Rate that gives due consideration to the then prevailing market convention for determining a rate of interest for fixed periods for syndicated loans in the United States at such time (it being agreed that such rate shall not result in a higher cost of funding than ABR borrowings), and shall enter into an amendment to the Loan Documents to reflect such alternate rate of interest and such other related changes as may be applicable which are agreed by the Borrower and the Administrative Agent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alternate rate of interest shall be less than zero, such rate shall be deemed to be zero for purposes of this Agreement. Notwithstanding anything to the contrary in the Loan Documents, such amendment shall become effective without any further action or consent of any other party to Loan Documents so long as the Administrative Agent shall not have received, within five Business Days of the date notice of such alternate rate of interest is provided to the Lenders, a written notice from the Required Lenders stating that they object to such amendment.</w:t>
      </w:r>
    </w:p>
    <w:p>
      <w:pPr>
        <w:spacing w:after="0" w:line="3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2.15</w:t>
      </w:r>
      <w:r>
        <w:rPr>
          <w:sz w:val="20"/>
          <w:szCs w:val="20"/>
          <w:color w:val="auto"/>
        </w:rPr>
        <w:tab/>
      </w:r>
      <w:r>
        <w:rPr>
          <w:rFonts w:ascii="Arial" w:cs="Arial" w:eastAsia="Arial" w:hAnsi="Arial"/>
          <w:sz w:val="19"/>
          <w:szCs w:val="19"/>
          <w:u w:val="single" w:color="auto"/>
          <w:color w:val="auto"/>
        </w:rPr>
        <w:t>Increased Costs; Illegality</w:t>
      </w:r>
      <w:r>
        <w:rPr>
          <w:rFonts w:ascii="Arial" w:cs="Arial" w:eastAsia="Arial" w:hAnsi="Arial"/>
          <w:sz w:val="19"/>
          <w:szCs w:val="19"/>
          <w:color w:val="auto"/>
        </w:rPr>
        <w:t>.</w:t>
      </w:r>
    </w:p>
    <w:p>
      <w:pPr>
        <w:spacing w:after="0" w:line="17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If any Change in Law shall:</w:t>
      </w:r>
    </w:p>
    <w:p>
      <w:pPr>
        <w:spacing w:after="0" w:line="179" w:lineRule="exact"/>
        <w:rPr>
          <w:sz w:val="20"/>
          <w:szCs w:val="20"/>
          <w:color w:val="auto"/>
        </w:rPr>
      </w:pPr>
    </w:p>
    <w:p>
      <w:pPr>
        <w:jc w:val="both"/>
        <w:ind w:left="660" w:firstLine="644"/>
        <w:spacing w:after="0" w:line="268" w:lineRule="auto"/>
        <w:tabs>
          <w:tab w:leader="none" w:pos="1735"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Eurocurrency Rate </w:t>
      </w:r>
      <w:r>
        <w:rPr>
          <w:rFonts w:ascii="Arial" w:cs="Arial" w:eastAsia="Arial" w:hAnsi="Arial"/>
          <w:sz w:val="19"/>
          <w:szCs w:val="19"/>
          <w:color w:val="0000FF"/>
        </w:rPr>
        <w:t>or Adjusted Term SOFR</w:t>
      </w:r>
      <w:r>
        <w:rPr>
          <w:rFonts w:ascii="Arial" w:cs="Arial" w:eastAsia="Arial" w:hAnsi="Arial"/>
          <w:sz w:val="19"/>
          <w:szCs w:val="19"/>
          <w:color w:val="auto"/>
        </w:rPr>
        <w:t>);</w:t>
      </w:r>
    </w:p>
    <w:p>
      <w:pPr>
        <w:spacing w:after="0" w:line="132" w:lineRule="exact"/>
        <w:rPr>
          <w:rFonts w:ascii="Arial" w:cs="Arial" w:eastAsia="Arial" w:hAnsi="Arial"/>
          <w:sz w:val="19"/>
          <w:szCs w:val="19"/>
          <w:color w:val="auto"/>
        </w:rPr>
      </w:pPr>
    </w:p>
    <w:p>
      <w:pPr>
        <w:jc w:val="both"/>
        <w:ind w:left="660" w:firstLine="644"/>
        <w:spacing w:after="0" w:line="223" w:lineRule="auto"/>
        <w:tabs>
          <w:tab w:leader="none" w:pos="182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impose on any Lender or any Issuing Bank </w:t>
      </w:r>
      <w:r>
        <w:rPr>
          <w:rFonts w:ascii="Arial" w:cs="Arial" w:eastAsia="Arial" w:hAnsi="Arial"/>
          <w:sz w:val="22"/>
          <w:szCs w:val="22"/>
          <w:color w:val="FF0000"/>
        </w:rPr>
        <w:t>or</w:t>
      </w:r>
      <w:r>
        <w:rPr>
          <w:rFonts w:ascii="Arial" w:cs="Arial" w:eastAsia="Arial" w:hAnsi="Arial"/>
          <w:sz w:val="22"/>
          <w:szCs w:val="22"/>
          <w:u w:val="single" w:color="auto"/>
          <w:color w:val="0000FF"/>
        </w:rPr>
        <w:t>,</w:t>
      </w:r>
      <w:r>
        <w:rPr>
          <w:rFonts w:ascii="Arial" w:cs="Arial" w:eastAsia="Arial" w:hAnsi="Arial"/>
          <w:sz w:val="22"/>
          <w:szCs w:val="22"/>
          <w:color w:val="auto"/>
        </w:rPr>
        <w:t xml:space="preserve"> the London interbank </w:t>
      </w:r>
      <w:r>
        <w:rPr>
          <w:rFonts w:ascii="Arial" w:cs="Arial" w:eastAsia="Arial" w:hAnsi="Arial"/>
          <w:sz w:val="22"/>
          <w:szCs w:val="22"/>
          <w:u w:val="single" w:color="auto"/>
          <w:color w:val="0000FF"/>
        </w:rPr>
        <w:t>market or the Term SOFR</w:t>
      </w:r>
      <w:r>
        <w:rPr>
          <w:rFonts w:ascii="Arial" w:cs="Arial" w:eastAsia="Arial" w:hAnsi="Arial"/>
          <w:sz w:val="22"/>
          <w:szCs w:val="22"/>
          <w:color w:val="auto"/>
        </w:rPr>
        <w:t xml:space="preserve"> market any other condition, cost or expense affecting this Agreement </w:t>
      </w:r>
      <w:r>
        <w:rPr>
          <w:rFonts w:ascii="Arial" w:cs="Arial" w:eastAsia="Arial" w:hAnsi="Arial"/>
          <w:sz w:val="22"/>
          <w:szCs w:val="22"/>
          <w:color w:val="FF0000"/>
        </w:rPr>
        <w:t>or</w:t>
      </w:r>
      <w:r>
        <w:rPr>
          <w:rFonts w:ascii="Arial" w:cs="Arial" w:eastAsia="Arial" w:hAnsi="Arial"/>
          <w:sz w:val="22"/>
          <w:szCs w:val="22"/>
          <w:u w:val="single" w:color="auto"/>
          <w:color w:val="0000FF"/>
        </w:rPr>
        <w:t>,</w:t>
      </w:r>
      <w:r>
        <w:rPr>
          <w:rFonts w:ascii="Arial" w:cs="Arial" w:eastAsia="Arial" w:hAnsi="Arial"/>
          <w:sz w:val="22"/>
          <w:szCs w:val="22"/>
          <w:color w:val="auto"/>
        </w:rPr>
        <w:t xml:space="preserve"> Eurocurrency </w:t>
      </w:r>
      <w:r>
        <w:rPr>
          <w:rFonts w:ascii="Arial" w:cs="Arial" w:eastAsia="Arial" w:hAnsi="Arial"/>
          <w:sz w:val="22"/>
          <w:szCs w:val="22"/>
          <w:u w:val="single" w:color="auto"/>
          <w:color w:val="0000FF"/>
        </w:rPr>
        <w:t>Loans or Term SOFR</w:t>
      </w:r>
      <w:r>
        <w:rPr>
          <w:rFonts w:ascii="Arial" w:cs="Arial" w:eastAsia="Arial" w:hAnsi="Arial"/>
          <w:sz w:val="22"/>
          <w:szCs w:val="22"/>
          <w:color w:val="auto"/>
        </w:rPr>
        <w:t xml:space="preserve"> Loans made by such Lender or any Letter of Credit or participation therein;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-579120</wp:posOffset>
            </wp:positionV>
            <wp:extent cx="13671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1367155"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-356235</wp:posOffset>
            </wp:positionV>
            <wp:extent cx="149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14986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-219075</wp:posOffset>
            </wp:positionV>
            <wp:extent cx="1581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158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71" w:name="page172"/>
    <w:bookmarkEnd w:id="171"/>
    <w:p>
      <w:pPr>
        <w:jc w:val="both"/>
        <w:ind w:left="660" w:firstLine="644"/>
        <w:spacing w:after="0" w:line="234" w:lineRule="auto"/>
        <w:tabs>
          <w:tab w:leader="none" w:pos="1874"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subject any Lender or any Issuing Bank to any additional Taxes of any kind whatsoever with respect to this Agreement or any Loan made by it, or change the basis of taxation of payments to such Lender in respect thereof (except, in each case, for Indemnified Taxes indemnifiable under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and any Excluded Taxes);</w:t>
      </w:r>
    </w:p>
    <w:p>
      <w:pPr>
        <w:spacing w:after="0" w:line="158"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and the result of any of the foregoing shall be to materially increase the cost to such Lender of making, converting to, continuing or maintaining any Loan (or of maintaining its obligation to make any such Loan) of the Borrower or to increase the cost to such Lender or such Issuing Bank of participating in, issuing or maintaining any Letter of Credit for the benefit of the Borrower or to reduce the amount of any sum received or receivable by such Lender or such Issuing Bank hereunder (whether of principal, interest or otherwise) from the Borrower, then the Borrower will pay to such Lender or such Issuing Bank, as the case may be, such additional amount or amounts as will compensate such Lender or such Issuing Bank, as the case may be, for such additional costs incurred or reduction suffered.</w:t>
      </w:r>
    </w:p>
    <w:p>
      <w:pPr>
        <w:spacing w:after="0" w:line="164" w:lineRule="exact"/>
        <w:rPr>
          <w:sz w:val="20"/>
          <w:szCs w:val="20"/>
          <w:color w:val="auto"/>
        </w:rPr>
      </w:pPr>
    </w:p>
    <w:p>
      <w:pPr>
        <w:jc w:val="both"/>
        <w:ind w:firstLine="1304"/>
        <w:spacing w:after="0" w:line="244" w:lineRule="auto"/>
        <w:tabs>
          <w:tab w:leader="none" w:pos="185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If any Lender or any Issuing Bank determines in good faith that any Change in Law regarding capital or liquidity requirements has or would have the effect of materially reducing the rate of return on such Lender’s or such Issuing Bank’s capital or on the capital of such Lender’s or such Issuing Bank’s holding company, if any, as a consequence of this Agreement or the Loans made by, or participations in Letters of Credit held by such Lender to the Borrower or the Letters of Credit issued by such Issuing Bank for the benefit of the Borrower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and liquidity adequacy),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54" w:lineRule="exact"/>
        <w:rPr>
          <w:rFonts w:ascii="Arial" w:cs="Arial" w:eastAsia="Arial" w:hAnsi="Arial"/>
          <w:sz w:val="19"/>
          <w:szCs w:val="19"/>
          <w:color w:val="auto"/>
        </w:rPr>
      </w:pPr>
    </w:p>
    <w:p>
      <w:pPr>
        <w:jc w:val="both"/>
        <w:ind w:firstLine="1304"/>
        <w:spacing w:after="0" w:line="257" w:lineRule="auto"/>
        <w:tabs>
          <w:tab w:leader="none" w:pos="182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A certificate of a Lender or an Issuing Bank setting forth the amount or amounts necessary to compensate such Lender or such Issuing Bank or its holding company, as the case may be, as specified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shall be delivered to the Borrower and shall be conclusive absent manifest error. The Borrower shall pay such Lender or such Issuing Bank, as the case may be, the amount shown as due on any such certificate within ten days after receipt thereof.</w:t>
      </w:r>
    </w:p>
    <w:p>
      <w:pPr>
        <w:spacing w:after="0" w:line="144" w:lineRule="exact"/>
        <w:rPr>
          <w:rFonts w:ascii="Arial" w:cs="Arial" w:eastAsia="Arial" w:hAnsi="Arial"/>
          <w:sz w:val="19"/>
          <w:szCs w:val="19"/>
          <w:color w:val="auto"/>
        </w:rPr>
      </w:pPr>
    </w:p>
    <w:p>
      <w:pPr>
        <w:jc w:val="both"/>
        <w:ind w:firstLine="1304"/>
        <w:spacing w:after="0" w:line="221" w:lineRule="auto"/>
        <w:tabs>
          <w:tab w:leader="none" w:pos="1849"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not be required to compensate a Lender or an Issuing Bank pursuant to this Section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 compensation therefor,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65" w:lineRule="exact"/>
        <w:rPr>
          <w:rFonts w:ascii="Arial" w:cs="Arial" w:eastAsia="Arial" w:hAnsi="Arial"/>
          <w:sz w:val="21"/>
          <w:szCs w:val="21"/>
          <w:color w:val="auto"/>
        </w:rPr>
      </w:pPr>
    </w:p>
    <w:p>
      <w:pPr>
        <w:jc w:val="both"/>
        <w:ind w:firstLine="1304"/>
        <w:spacing w:after="0" w:line="214" w:lineRule="auto"/>
        <w:tabs>
          <w:tab w:leader="none" w:pos="178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 herein, if the adoption of or any change in any Requirement of Law or in the interpretation or application thereof, in each case, first made after the Closing Date, shall make it unlawful for any Lender to make or maintain Eurocurrency Loans </w:t>
      </w:r>
      <w:r>
        <w:rPr>
          <w:rFonts w:ascii="Arial" w:cs="Arial" w:eastAsia="Arial" w:hAnsi="Arial"/>
          <w:sz w:val="22"/>
          <w:szCs w:val="22"/>
          <w:u w:val="single" w:color="auto"/>
          <w:color w:val="0000FF"/>
        </w:rPr>
        <w:t>or Term SOFR Loans</w:t>
      </w:r>
      <w:r>
        <w:rPr>
          <w:rFonts w:ascii="Arial" w:cs="Arial" w:eastAsia="Arial" w:hAnsi="Arial"/>
          <w:sz w:val="22"/>
          <w:szCs w:val="22"/>
          <w:color w:val="auto"/>
        </w:rPr>
        <w:t xml:space="preserve"> as contemplated by this Agreement, such Lender shall promptly give notice thereof to the Administrative Agent and the Borrower, and (a) the commitment of such Lender hereunder to make Eurocurrency Loans </w:t>
      </w:r>
      <w:r>
        <w:rPr>
          <w:rFonts w:ascii="Arial" w:cs="Arial" w:eastAsia="Arial" w:hAnsi="Arial"/>
          <w:sz w:val="22"/>
          <w:szCs w:val="22"/>
          <w:color w:val="0000FF"/>
        </w:rPr>
        <w:t>or Term SOFR Loans</w:t>
      </w:r>
      <w:r>
        <w:rPr>
          <w:rFonts w:ascii="Arial" w:cs="Arial" w:eastAsia="Arial" w:hAnsi="Arial"/>
          <w:sz w:val="22"/>
          <w:szCs w:val="22"/>
          <w:color w:val="auto"/>
        </w:rPr>
        <w:t xml:space="preserve">, continue Eurocurrency Loans </w:t>
      </w:r>
      <w:r>
        <w:rPr>
          <w:rFonts w:ascii="Arial" w:cs="Arial" w:eastAsia="Arial" w:hAnsi="Arial"/>
          <w:sz w:val="22"/>
          <w:szCs w:val="22"/>
          <w:u w:val="single" w:color="auto"/>
          <w:color w:val="0000FF"/>
        </w:rPr>
        <w:t>or Term SOFR Loans</w:t>
      </w:r>
      <w:r>
        <w:rPr>
          <w:rFonts w:ascii="Arial" w:cs="Arial" w:eastAsia="Arial" w:hAnsi="Arial"/>
          <w:sz w:val="22"/>
          <w:szCs w:val="22"/>
          <w:color w:val="auto"/>
        </w:rPr>
        <w:t xml:space="preserve"> as such and convert ABR Loans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1127125</wp:posOffset>
            </wp:positionH>
            <wp:positionV relativeFrom="paragraph">
              <wp:posOffset>-167640</wp:posOffset>
            </wp:positionV>
            <wp:extent cx="12382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72" w:name="page173"/>
    <w:bookmarkEnd w:id="172"/>
    <w:p>
      <w:pPr>
        <w:jc w:val="both"/>
        <w:spacing w:after="0" w:line="221" w:lineRule="auto"/>
        <w:rPr>
          <w:sz w:val="20"/>
          <w:szCs w:val="20"/>
          <w:color w:val="auto"/>
        </w:rPr>
      </w:pPr>
      <w:r>
        <w:rPr>
          <w:rFonts w:ascii="Arial" w:cs="Arial" w:eastAsia="Arial" w:hAnsi="Arial"/>
          <w:sz w:val="21"/>
          <w:szCs w:val="21"/>
          <w:color w:val="auto"/>
        </w:rPr>
        <w:t xml:space="preserve">Eurocurrency Loans </w:t>
      </w:r>
      <w:r>
        <w:rPr>
          <w:rFonts w:ascii="Arial" w:cs="Arial" w:eastAsia="Arial" w:hAnsi="Arial"/>
          <w:sz w:val="21"/>
          <w:szCs w:val="21"/>
          <w:u w:val="single" w:color="auto"/>
          <w:color w:val="0000FF"/>
        </w:rPr>
        <w:t>or Term SOFR Loans</w:t>
      </w:r>
      <w:r>
        <w:rPr>
          <w:rFonts w:ascii="Arial" w:cs="Arial" w:eastAsia="Arial" w:hAnsi="Arial"/>
          <w:sz w:val="21"/>
          <w:szCs w:val="21"/>
          <w:color w:val="auto"/>
        </w:rPr>
        <w:t xml:space="preserve"> shall be suspended during the period of such illegality, (b) such Lender’s Loans then outstanding as Eurocurrency </w:t>
      </w:r>
      <w:r>
        <w:rPr>
          <w:rFonts w:ascii="Arial" w:cs="Arial" w:eastAsia="Arial" w:hAnsi="Arial"/>
          <w:sz w:val="21"/>
          <w:szCs w:val="21"/>
          <w:u w:val="single" w:color="auto"/>
          <w:color w:val="0000FF"/>
        </w:rPr>
        <w:t>Loans or Term SOFR</w:t>
      </w:r>
      <w:r>
        <w:rPr>
          <w:rFonts w:ascii="Arial" w:cs="Arial" w:eastAsia="Arial" w:hAnsi="Arial"/>
          <w:sz w:val="21"/>
          <w:szCs w:val="21"/>
          <w:color w:val="auto"/>
        </w:rPr>
        <w:t xml:space="preserve"> Loans denominated in an Alternative Currency, if any, shall be prepaid by the Borrowers, or redenominated into Dollars in the amount of the Dollar Equivalent thereof, on the respective last days of then current Interest Periods with respect to such Loans or within such earlier period as required by law and (c) such Lender’s Loans then outstanding as Eurocurrency Loans </w:t>
      </w:r>
      <w:r>
        <w:rPr>
          <w:rFonts w:ascii="Arial" w:cs="Arial" w:eastAsia="Arial" w:hAnsi="Arial"/>
          <w:sz w:val="21"/>
          <w:szCs w:val="21"/>
          <w:color w:val="0000FF"/>
        </w:rPr>
        <w:t>or Term SOFR Loans</w:t>
      </w:r>
      <w:r>
        <w:rPr>
          <w:rFonts w:ascii="Arial" w:cs="Arial" w:eastAsia="Arial" w:hAnsi="Arial"/>
          <w:sz w:val="21"/>
          <w:szCs w:val="21"/>
          <w:color w:val="auto"/>
        </w:rPr>
        <w:t xml:space="preserve">, if any, shall be converted automatically to ABR Loans on the respective last days of the then current Interest Periods with respect to such Loans or within such earlier period as required by law. If any such conversion of a Eurocurrency Loan </w:t>
      </w:r>
      <w:r>
        <w:rPr>
          <w:rFonts w:ascii="Arial" w:cs="Arial" w:eastAsia="Arial" w:hAnsi="Arial"/>
          <w:sz w:val="21"/>
          <w:szCs w:val="21"/>
          <w:u w:val="single" w:color="auto"/>
          <w:color w:val="0000FF"/>
        </w:rPr>
        <w:t>or Term SOFR Loan</w:t>
      </w:r>
      <w:r>
        <w:rPr>
          <w:rFonts w:ascii="Arial" w:cs="Arial" w:eastAsia="Arial" w:hAnsi="Arial"/>
          <w:sz w:val="21"/>
          <w:szCs w:val="21"/>
          <w:color w:val="auto"/>
        </w:rPr>
        <w:t xml:space="preserve"> occurs on a day which is not the last day of the then current Interest Period with respect thereto, the Borrower shall pay to such Lender such amounts, if any, as may be required pursuant to </w:t>
      </w:r>
      <w:r>
        <w:rPr>
          <w:rFonts w:ascii="Arial" w:cs="Arial" w:eastAsia="Arial" w:hAnsi="Arial"/>
          <w:sz w:val="21"/>
          <w:szCs w:val="21"/>
          <w:u w:val="single" w:color="auto"/>
          <w:color w:val="auto"/>
        </w:rPr>
        <w:t>Section 2.16</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-579120</wp:posOffset>
            </wp:positionV>
            <wp:extent cx="12763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139" w:lineRule="exact"/>
        <w:rPr>
          <w:sz w:val="20"/>
          <w:szCs w:val="20"/>
          <w:color w:val="auto"/>
        </w:rPr>
      </w:pPr>
    </w:p>
    <w:p>
      <w:pPr>
        <w:jc w:val="both"/>
        <w:ind w:firstLine="1304"/>
        <w:spacing w:after="0" w:line="223" w:lineRule="auto"/>
        <w:tabs>
          <w:tab w:leader="none" w:pos="1784" w:val="left"/>
        </w:tabs>
        <w:numPr>
          <w:ilvl w:val="0"/>
          <w:numId w:val="125"/>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For the avoidance of doubt, invalidity of the Term SOFR determined pursuant to clause (a) thereof without giving effect to clause (a)(ii) thereof shall not affect ability of the Borrower to incur Daily SOFR Loans pursuant to clause (a)(ii) of the definition thereof.</w:t>
      </w:r>
    </w:p>
    <w:p>
      <w:pPr>
        <w:spacing w:after="0" w:line="159" w:lineRule="exact"/>
        <w:rPr>
          <w:sz w:val="20"/>
          <w:szCs w:val="20"/>
          <w:color w:val="auto"/>
        </w:rPr>
      </w:pPr>
    </w:p>
    <w:p>
      <w:pPr>
        <w:jc w:val="both"/>
        <w:ind w:firstLine="1296"/>
        <w:spacing w:after="0"/>
        <w:rPr>
          <w:sz w:val="20"/>
          <w:szCs w:val="20"/>
          <w:color w:val="auto"/>
        </w:rPr>
      </w:pPr>
      <w:r>
        <w:rPr>
          <w:rFonts w:ascii="Arial" w:cs="Arial" w:eastAsia="Arial" w:hAnsi="Arial"/>
          <w:sz w:val="19"/>
          <w:szCs w:val="19"/>
          <w:u w:val="single" w:color="auto"/>
          <w:color w:val="auto"/>
        </w:rPr>
        <w:t>Section 2.16 Break Funding Payments</w:t>
      </w:r>
      <w:r>
        <w:rPr>
          <w:rFonts w:ascii="Arial" w:cs="Arial" w:eastAsia="Arial" w:hAnsi="Arial"/>
          <w:sz w:val="19"/>
          <w:szCs w:val="19"/>
          <w:color w:val="auto"/>
        </w:rPr>
        <w:t xml:space="preserve">. In the event of (a) the payment by the Borrower of any principal of any Eurocurrency Loan </w:t>
      </w:r>
      <w:r>
        <w:rPr>
          <w:rFonts w:ascii="Arial" w:cs="Arial" w:eastAsia="Arial" w:hAnsi="Arial"/>
          <w:sz w:val="19"/>
          <w:szCs w:val="19"/>
          <w:u w:val="single" w:color="auto"/>
          <w:color w:val="0000FF"/>
        </w:rPr>
        <w:t>or Term SOFR Loan</w:t>
      </w:r>
      <w:r>
        <w:rPr>
          <w:rFonts w:ascii="Arial" w:cs="Arial" w:eastAsia="Arial" w:hAnsi="Arial"/>
          <w:sz w:val="19"/>
          <w:szCs w:val="19"/>
          <w:color w:val="auto"/>
        </w:rPr>
        <w:t xml:space="preserve"> other than on the last day of an Interest Period applicable thereto (including as a result of an Event of Default), (b) the conversion by the Borrower of any Eurocurrency Loan </w:t>
      </w:r>
      <w:r>
        <w:rPr>
          <w:rFonts w:ascii="Arial" w:cs="Arial" w:eastAsia="Arial" w:hAnsi="Arial"/>
          <w:sz w:val="19"/>
          <w:szCs w:val="19"/>
          <w:u w:val="single" w:color="auto"/>
          <w:color w:val="0000FF"/>
        </w:rPr>
        <w:t>or Term SOFR Loan</w:t>
      </w:r>
      <w:r>
        <w:rPr>
          <w:rFonts w:ascii="Arial" w:cs="Arial" w:eastAsia="Arial" w:hAnsi="Arial"/>
          <w:sz w:val="19"/>
          <w:szCs w:val="19"/>
          <w:color w:val="auto"/>
        </w:rPr>
        <w:t xml:space="preserve"> other than on the last day of the Interest Period applicable thereto, (c) the failure by the Borrower to borrow, convert into, continue or prepay any Eurocurrency </w:t>
      </w:r>
      <w:r>
        <w:rPr>
          <w:rFonts w:ascii="Arial" w:cs="Arial" w:eastAsia="Arial" w:hAnsi="Arial"/>
          <w:sz w:val="19"/>
          <w:szCs w:val="19"/>
          <w:u w:val="single" w:color="auto"/>
          <w:color w:val="0000FF"/>
        </w:rPr>
        <w:t>Loan or Term SOFR</w:t>
      </w:r>
      <w:r>
        <w:rPr>
          <w:rFonts w:ascii="Arial" w:cs="Arial" w:eastAsia="Arial" w:hAnsi="Arial"/>
          <w:sz w:val="19"/>
          <w:szCs w:val="19"/>
          <w:color w:val="auto"/>
        </w:rPr>
        <w:t xml:space="preserve"> Loan on the date specified in any notice delivered pursuant hereto (regardless of whether such notice may be revoked under </w:t>
      </w:r>
      <w:r>
        <w:rPr>
          <w:rFonts w:ascii="Arial" w:cs="Arial" w:eastAsia="Arial" w:hAnsi="Arial"/>
          <w:sz w:val="19"/>
          <w:szCs w:val="19"/>
          <w:u w:val="single" w:color="auto"/>
          <w:color w:val="auto"/>
        </w:rPr>
        <w:t>Section 2.11(h)</w:t>
      </w:r>
      <w:r>
        <w:rPr>
          <w:rFonts w:ascii="Arial" w:cs="Arial" w:eastAsia="Arial" w:hAnsi="Arial"/>
          <w:sz w:val="19"/>
          <w:szCs w:val="19"/>
          <w:color w:val="auto"/>
        </w:rPr>
        <w:t xml:space="preserve"> and is revoked in accordance therewith) or (d) the assignment of any Eurocurrency Loan </w:t>
      </w:r>
      <w:r>
        <w:rPr>
          <w:rFonts w:ascii="Arial" w:cs="Arial" w:eastAsia="Arial" w:hAnsi="Arial"/>
          <w:sz w:val="19"/>
          <w:szCs w:val="19"/>
          <w:u w:val="single" w:color="auto"/>
          <w:color w:val="0000FF"/>
        </w:rPr>
        <w:t>or Term SOFR Loan</w:t>
      </w:r>
      <w:r>
        <w:rPr>
          <w:rFonts w:ascii="Arial" w:cs="Arial" w:eastAsia="Arial" w:hAnsi="Arial"/>
          <w:sz w:val="19"/>
          <w:szCs w:val="19"/>
          <w:color w:val="auto"/>
        </w:rPr>
        <w:t xml:space="preserve"> other than on the last day of the Interest Period applicable thereto as a result of a request by the Borrower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9.02(c)</w:t>
      </w:r>
      <w:r>
        <w:rPr>
          <w:rFonts w:ascii="Arial" w:cs="Arial" w:eastAsia="Arial" w:hAnsi="Arial"/>
          <w:sz w:val="19"/>
          <w:szCs w:val="19"/>
          <w:color w:val="auto"/>
        </w:rPr>
        <w:t xml:space="preserve">, then, in any such event, the Borrower shall compensate each Lender for the loss, cost and expense attributable to such event (other than loss of profit). In the case of a Eurocurrency Loan </w:t>
      </w:r>
      <w:r>
        <w:rPr>
          <w:rFonts w:ascii="Arial" w:cs="Arial" w:eastAsia="Arial" w:hAnsi="Arial"/>
          <w:sz w:val="19"/>
          <w:szCs w:val="19"/>
          <w:color w:val="0000FF"/>
        </w:rPr>
        <w:t>or Term SOFR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Loan</w:t>
      </w:r>
      <w:r>
        <w:rPr>
          <w:rFonts w:ascii="Arial" w:cs="Arial" w:eastAsia="Arial" w:hAnsi="Arial"/>
          <w:sz w:val="19"/>
          <w:szCs w:val="19"/>
          <w:color w:val="000000"/>
        </w:rPr>
        <w:t>, such loss, cost or expense to any Lender shall be deemed to include an amount determined by such Lender to be the excess,</w:t>
      </w:r>
      <w:r>
        <w:rPr>
          <w:rFonts w:ascii="Arial" w:cs="Arial" w:eastAsia="Arial" w:hAnsi="Arial"/>
          <w:sz w:val="19"/>
          <w:szCs w:val="19"/>
          <w:color w:val="0000FF"/>
        </w:rPr>
        <w:t xml:space="preserve"> </w:t>
      </w:r>
      <w:r>
        <w:rPr>
          <w:rFonts w:ascii="Arial" w:cs="Arial" w:eastAsia="Arial" w:hAnsi="Arial"/>
          <w:sz w:val="19"/>
          <w:szCs w:val="19"/>
          <w:color w:val="000000"/>
        </w:rPr>
        <w:t xml:space="preserve">if any, of (i) the amount of interest that would have accrued on the principal amount of such Loan had such event not occurred, at the Adjusted Eurocurrency Rate </w:t>
      </w:r>
      <w:r>
        <w:rPr>
          <w:rFonts w:ascii="Arial" w:cs="Arial" w:eastAsia="Arial" w:hAnsi="Arial"/>
          <w:sz w:val="19"/>
          <w:szCs w:val="19"/>
          <w:u w:val="single" w:color="auto"/>
          <w:color w:val="0000FF"/>
        </w:rPr>
        <w:t>or Adjusted Term SOFR</w:t>
      </w:r>
      <w:r>
        <w:rPr>
          <w:rFonts w:ascii="Arial" w:cs="Arial" w:eastAsia="Arial" w:hAnsi="Arial"/>
          <w:sz w:val="19"/>
          <w:szCs w:val="19"/>
          <w:color w:val="000000"/>
        </w:rPr>
        <w:t xml:space="preserv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deposits in the applicable currency of a comparable amount and period from other banks in the Eurocurrency market </w:t>
      </w:r>
      <w:r>
        <w:rPr>
          <w:rFonts w:ascii="Arial" w:cs="Arial" w:eastAsia="Arial" w:hAnsi="Arial"/>
          <w:sz w:val="19"/>
          <w:szCs w:val="19"/>
          <w:color w:val="0000FF"/>
        </w:rPr>
        <w:t>or Term SOFR market</w:t>
      </w:r>
      <w:r>
        <w:rPr>
          <w:rFonts w:ascii="Arial" w:cs="Arial" w:eastAsia="Arial" w:hAnsi="Arial"/>
          <w:sz w:val="19"/>
          <w:szCs w:val="19"/>
          <w:color w:val="000000"/>
        </w:rPr>
        <w: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thirty (30)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6257925</wp:posOffset>
            </wp:positionH>
            <wp:positionV relativeFrom="paragraph">
              <wp:posOffset>-1395730</wp:posOffset>
            </wp:positionV>
            <wp:extent cx="8794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879475" cy="8255"/>
                    </a:xfrm>
                    <a:prstGeom prst="rect">
                      <a:avLst/>
                    </a:prstGeom>
                    <a:noFill/>
                  </pic:spPr>
                </pic:pic>
              </a:graphicData>
            </a:graphic>
          </wp:anchor>
        </w:drawing>
        <w:drawing>
          <wp:anchor simplePos="0" relativeHeight="251657728" behindDoc="1" locked="0" layoutInCell="0" allowOverlap="1">
            <wp:simplePos x="0" y="0"/>
            <wp:positionH relativeFrom="column">
              <wp:posOffset>386080</wp:posOffset>
            </wp:positionH>
            <wp:positionV relativeFrom="paragraph">
              <wp:posOffset>-298450</wp:posOffset>
            </wp:positionV>
            <wp:extent cx="13106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4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pursuant to this Section for any costs incurred more than 180 days prior to the date of the event giving rise to such costs.</w:t>
      </w:r>
    </w:p>
    <w:p>
      <w:pPr>
        <w:spacing w:after="0" w:line="13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2.17</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9" w:lineRule="exact"/>
        <w:rPr>
          <w:sz w:val="20"/>
          <w:szCs w:val="20"/>
          <w:color w:val="auto"/>
        </w:rPr>
      </w:pPr>
    </w:p>
    <w:p>
      <w:pPr>
        <w:jc w:val="both"/>
        <w:ind w:firstLine="1304"/>
        <w:spacing w:after="0" w:line="223" w:lineRule="auto"/>
        <w:tabs>
          <w:tab w:leader="none" w:pos="1753" w:val="left"/>
        </w:tabs>
        <w:numPr>
          <w:ilvl w:val="0"/>
          <w:numId w:val="126"/>
        </w:numPr>
        <w:rPr>
          <w:rFonts w:ascii="Arial" w:cs="Arial" w:eastAsia="Arial" w:hAnsi="Arial"/>
          <w:sz w:val="22"/>
          <w:szCs w:val="22"/>
          <w:color w:val="auto"/>
        </w:rPr>
      </w:pPr>
      <w:r>
        <w:rPr>
          <w:rFonts w:ascii="Arial" w:cs="Arial" w:eastAsia="Arial" w:hAnsi="Arial"/>
          <w:sz w:val="22"/>
          <w:szCs w:val="22"/>
          <w:color w:val="auto"/>
        </w:rPr>
        <w:t>Each payment by or on account of any obligation of any Loan Party under any Loan Document shall be made without deduction or withholding for any Taxes, unless such deduction or withholding is required by any Requirement of Law. If any Loan Party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73" w:name="page174"/>
    <w:bookmarkEnd w:id="173"/>
    <w:p>
      <w:pPr>
        <w:jc w:val="both"/>
        <w:spacing w:after="0" w:line="214" w:lineRule="auto"/>
        <w:rPr>
          <w:sz w:val="20"/>
          <w:szCs w:val="20"/>
          <w:color w:val="auto"/>
        </w:rPr>
      </w:pPr>
      <w:r>
        <w:rPr>
          <w:rFonts w:ascii="Arial" w:cs="Arial" w:eastAsia="Arial" w:hAnsi="Arial"/>
          <w:sz w:val="22"/>
          <w:szCs w:val="22"/>
          <w:color w:val="auto"/>
        </w:rPr>
        <w:t xml:space="preserve">Administrative Agent is so required to deduct or withhold Taxes, then such withholding agent shall so deduct or withhold and shall timely pay the full amount of deducted or withheld Taxes to the relevant Governmental Authority in accordance with any applicable law. To the extent such Taxes are Indemnified Taxes, then the amount payable by the applicable Loan Party shall be increased as necessary so that, net of such deduction or withholding (including such deduction or withholding applicable to additional amounts payable under this </w:t>
      </w:r>
      <w:r>
        <w:rPr>
          <w:rFonts w:ascii="Arial" w:cs="Arial" w:eastAsia="Arial" w:hAnsi="Arial"/>
          <w:sz w:val="22"/>
          <w:szCs w:val="22"/>
          <w:u w:val="single" w:color="auto"/>
          <w:color w:val="auto"/>
        </w:rPr>
        <w:t>Section 2.17</w:t>
      </w:r>
      <w:r>
        <w:rPr>
          <w:rFonts w:ascii="Arial" w:cs="Arial" w:eastAsia="Arial" w:hAnsi="Arial"/>
          <w:sz w:val="22"/>
          <w:szCs w:val="22"/>
          <w:color w:val="auto"/>
        </w:rPr>
        <w:t>), the applicable Recipient receives the amount it would have received had no such deduction or withholding been made.</w:t>
      </w:r>
    </w:p>
    <w:p>
      <w:pPr>
        <w:spacing w:after="0" w:line="159" w:lineRule="exact"/>
        <w:rPr>
          <w:sz w:val="20"/>
          <w:szCs w:val="20"/>
          <w:color w:val="auto"/>
        </w:rPr>
      </w:pPr>
    </w:p>
    <w:p>
      <w:pPr>
        <w:ind w:firstLine="1304"/>
        <w:spacing w:after="0" w:line="298" w:lineRule="auto"/>
        <w:tabs>
          <w:tab w:leader="none" w:pos="1767"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In addition, each Loan Party shall pay any Other Taxes to the relevant Governmental Authority in accordance with applicable law, or at the option of the Administrative Agent timely reimburse it for the payment of Other Taxes.</w:t>
      </w:r>
    </w:p>
    <w:p>
      <w:pPr>
        <w:spacing w:after="0" w:line="105" w:lineRule="exact"/>
        <w:rPr>
          <w:rFonts w:ascii="Arial" w:cs="Arial" w:eastAsia="Arial" w:hAnsi="Arial"/>
          <w:sz w:val="19"/>
          <w:szCs w:val="19"/>
          <w:color w:val="auto"/>
        </w:rPr>
      </w:pPr>
    </w:p>
    <w:p>
      <w:pPr>
        <w:jc w:val="both"/>
        <w:ind w:firstLine="1304"/>
        <w:spacing w:after="0" w:line="218" w:lineRule="auto"/>
        <w:tabs>
          <w:tab w:leader="none" w:pos="1753"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As promptly as possible after any payment of Taxes by a Loan Party to a Governmental Authority pursuant to this </w:t>
      </w:r>
      <w:r>
        <w:rPr>
          <w:rFonts w:ascii="Arial" w:cs="Arial" w:eastAsia="Arial" w:hAnsi="Arial"/>
          <w:sz w:val="22"/>
          <w:szCs w:val="22"/>
          <w:u w:val="single" w:color="auto"/>
          <w:color w:val="auto"/>
        </w:rPr>
        <w:t>Section 2.17</w:t>
      </w:r>
      <w:r>
        <w:rPr>
          <w:rFonts w:ascii="Arial" w:cs="Arial" w:eastAsia="Arial" w:hAnsi="Arial"/>
          <w:sz w:val="22"/>
          <w:szCs w:val="22"/>
          <w:color w:val="auto"/>
        </w:rPr>
        <w:t>, such Loan Party shall deliver to the Administrative Agent the original or a certified copy of a receipt issued by such Governmental Authority evidencing such payment or other evidence of such payment reasonably satisfactory to the Administrative Agent.</w:t>
      </w:r>
    </w:p>
    <w:p>
      <w:pPr>
        <w:spacing w:after="0" w:line="160" w:lineRule="exact"/>
        <w:rPr>
          <w:rFonts w:ascii="Arial" w:cs="Arial" w:eastAsia="Arial" w:hAnsi="Arial"/>
          <w:sz w:val="22"/>
          <w:szCs w:val="22"/>
          <w:color w:val="auto"/>
        </w:rPr>
      </w:pPr>
    </w:p>
    <w:p>
      <w:pPr>
        <w:jc w:val="both"/>
        <w:ind w:firstLine="1304"/>
        <w:spacing w:after="0" w:line="242" w:lineRule="auto"/>
        <w:tabs>
          <w:tab w:leader="none" w:pos="1801"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The Loan Parties shall indemnify each Recipient for the full amount of any Indemnified Taxes that are paid or payable by such Recipient in connection with any Loan Document (including Indemnified Taxes imposed or asserted on or attributable to amounts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for which such Loan Party has failed to remit to the Administrative Agent the required receipts or other required documentary evidence and any expenses arising therefrom or with respect thereto, whether or not such Indemnified Taxes were correctly or legally imposed or asserted;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 Recipient does not notify the Loan Parties of any indemnification claim under this Section 2.17(d) within 180 days after such Recipient has received written notice of the claim of a taxing authority giving rise to such indemnification claim, the Loan Parties shall not be required to indemnify such Recipient for any incremental interest or penalties resulting from such Recipient’s failure to notify the Loan Parties within such 180-day period. The indemnity under this </w:t>
      </w:r>
      <w:r>
        <w:rPr>
          <w:rFonts w:ascii="Arial" w:cs="Arial" w:eastAsia="Arial" w:hAnsi="Arial"/>
          <w:sz w:val="19"/>
          <w:szCs w:val="19"/>
          <w:u w:val="single" w:color="auto"/>
          <w:color w:val="auto"/>
        </w:rPr>
        <w:t>Section 2.17(d)</w:t>
      </w:r>
      <w:r>
        <w:rPr>
          <w:rFonts w:ascii="Arial" w:cs="Arial" w:eastAsia="Arial" w:hAnsi="Arial"/>
          <w:sz w:val="19"/>
          <w:szCs w:val="19"/>
          <w:color w:val="auto"/>
        </w:rPr>
        <w:t xml:space="preserve"> shall be paid within 30 days after the Recipient (or the Administrative Agent, on behalf of such Recipient) delivers to the applicable Loan Party a certificate stating the amount of Indemnified Taxes so payable by such Recipient. Such certificate shall be conclusive of the amount so payable absent manifest error. Such Recipient shall deliver a copy of such certificate to the Administrative Agent.</w:t>
      </w:r>
    </w:p>
    <w:p>
      <w:pPr>
        <w:spacing w:after="0" w:line="164" w:lineRule="exact"/>
        <w:rPr>
          <w:rFonts w:ascii="Arial" w:cs="Arial" w:eastAsia="Arial" w:hAnsi="Arial"/>
          <w:sz w:val="19"/>
          <w:szCs w:val="19"/>
          <w:color w:val="auto"/>
        </w:rPr>
      </w:pPr>
    </w:p>
    <w:p>
      <w:pPr>
        <w:jc w:val="both"/>
        <w:ind w:firstLine="1304"/>
        <w:spacing w:after="0" w:line="241" w:lineRule="auto"/>
        <w:tabs>
          <w:tab w:leader="none" w:pos="181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(i) Any Lender that is entitled to an exemption from, or reduction of, any applicable withholding Tax with respect to any payments under any Loan Document shall deliver to the Borrower and the Administrative Agent, at the time or times prescribed by law or reasonably requested by the Borrower or the Administrative Agent, such properly completed and executed documentation reasonably requested by the Borrower or the Administrative Agent as will permit such payments to be made without, or at a reduced rate of, withholding. In addition, any Lender, if requested by the Borrower or the Administrative Agent, shall deliver such other documentation prescribed by law or reasonably requested by the Borrower or the Administrative Agent as will enable the Borrower or the Administrative Agent to determine whether or not such Lender is subject to U.S. backup withholding or information reporting requirements, or any other U.S. or non-U.S. withholding requirements. Upon the reasonable request of the Borrower or the Administrative Agent, any Lender shall update any form or certification previously delivered pursuant to this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If any form or certification previously delivered pursuant to this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expires or becomes obsolete or inaccurate in any respect with respect to a Lender, such Lender shall promptly (and in any event within 10 days after such expiration, obsolescence or inaccuracy) notify the Borrower and the Administrative Agent in writing of such expiration, obsolescence or inaccuracy and update the form or certification if it is legally eligible to do so. Notwithstanding anything to the contrary, the completion, execution and submission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74" w:name="page175"/>
    <w:bookmarkEnd w:id="174"/>
    <w:p>
      <w:pPr>
        <w:jc w:val="both"/>
        <w:spacing w:after="0" w:line="268" w:lineRule="auto"/>
        <w:rPr>
          <w:sz w:val="20"/>
          <w:szCs w:val="20"/>
          <w:color w:val="auto"/>
        </w:rPr>
      </w:pPr>
      <w:r>
        <w:rPr>
          <w:rFonts w:ascii="Arial" w:cs="Arial" w:eastAsia="Arial" w:hAnsi="Arial"/>
          <w:sz w:val="19"/>
          <w:szCs w:val="19"/>
          <w:color w:val="auto"/>
        </w:rPr>
        <w:t xml:space="preserve">such documentation (other than such documentation set forth in </w:t>
      </w:r>
      <w:r>
        <w:rPr>
          <w:rFonts w:ascii="Arial" w:cs="Arial" w:eastAsia="Arial" w:hAnsi="Arial"/>
          <w:sz w:val="19"/>
          <w:szCs w:val="19"/>
          <w:u w:val="single" w:color="auto"/>
          <w:color w:val="auto"/>
        </w:rPr>
        <w:t>Section 2.17(e) (ii)(A)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32" w:lineRule="exact"/>
        <w:rPr>
          <w:sz w:val="20"/>
          <w:szCs w:val="20"/>
          <w:color w:val="auto"/>
        </w:rPr>
      </w:pPr>
    </w:p>
    <w:p>
      <w:pPr>
        <w:jc w:val="both"/>
        <w:ind w:left="660" w:firstLine="644"/>
        <w:spacing w:after="0" w:line="223" w:lineRule="auto"/>
        <w:tabs>
          <w:tab w:leader="none" w:pos="182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Without limiting the generality of the foregoing any Lender shall, if it is legally eligible to do so, deliver to the Borrower and the Administrative Agent on or prior to the date on which such Lender becomes a party hereto, two duly completed and executed original copies of whichever of the following is applicable:</w:t>
      </w:r>
    </w:p>
    <w:p>
      <w:pPr>
        <w:spacing w:after="0" w:line="158" w:lineRule="exact"/>
        <w:rPr>
          <w:rFonts w:ascii="Arial" w:cs="Arial" w:eastAsia="Arial" w:hAnsi="Arial"/>
          <w:sz w:val="22"/>
          <w:szCs w:val="22"/>
          <w:color w:val="auto"/>
        </w:rPr>
      </w:pPr>
    </w:p>
    <w:p>
      <w:pPr>
        <w:ind w:left="1300" w:firstLine="652"/>
        <w:spacing w:after="0" w:line="232" w:lineRule="auto"/>
        <w:tabs>
          <w:tab w:leader="none" w:pos="2523" w:val="left"/>
        </w:tabs>
        <w:numPr>
          <w:ilvl w:val="1"/>
          <w:numId w:val="128"/>
        </w:numPr>
        <w:rPr>
          <w:rFonts w:ascii="Arial" w:cs="Arial" w:eastAsia="Arial" w:hAnsi="Arial"/>
          <w:sz w:val="22"/>
          <w:szCs w:val="22"/>
          <w:color w:val="auto"/>
        </w:rPr>
      </w:pPr>
      <w:r>
        <w:rPr>
          <w:rFonts w:ascii="Arial" w:cs="Arial" w:eastAsia="Arial" w:hAnsi="Arial"/>
          <w:sz w:val="22"/>
          <w:szCs w:val="22"/>
          <w:color w:val="auto"/>
        </w:rPr>
        <w:t>in the case of a Lender that is a U.S. Person, IRS Form W-9 certifying that such Lender is exempt from U.S. federal backup withholding;</w:t>
      </w:r>
    </w:p>
    <w:p>
      <w:pPr>
        <w:spacing w:after="0" w:line="158" w:lineRule="exact"/>
        <w:rPr>
          <w:rFonts w:ascii="Arial" w:cs="Arial" w:eastAsia="Arial" w:hAnsi="Arial"/>
          <w:sz w:val="22"/>
          <w:szCs w:val="22"/>
          <w:color w:val="auto"/>
        </w:rPr>
      </w:pPr>
    </w:p>
    <w:p>
      <w:pPr>
        <w:ind w:left="1300" w:firstLine="652"/>
        <w:spacing w:after="0" w:line="232" w:lineRule="auto"/>
        <w:tabs>
          <w:tab w:leader="none" w:pos="2529" w:val="left"/>
        </w:tabs>
        <w:numPr>
          <w:ilvl w:val="1"/>
          <w:numId w:val="128"/>
        </w:numPr>
        <w:rPr>
          <w:rFonts w:ascii="Arial" w:cs="Arial" w:eastAsia="Arial" w:hAnsi="Arial"/>
          <w:sz w:val="22"/>
          <w:szCs w:val="22"/>
          <w:color w:val="auto"/>
        </w:rPr>
      </w:pPr>
      <w:r>
        <w:rPr>
          <w:rFonts w:ascii="Arial" w:cs="Arial" w:eastAsia="Arial" w:hAnsi="Arial"/>
          <w:sz w:val="22"/>
          <w:szCs w:val="22"/>
          <w:color w:val="auto"/>
        </w:rPr>
        <w:t>in the case of a Foreign Lender claiming the benefits of an income tax treaty to which the United States is a party, IRS Form W-8BEN or W-8BEN-E (or any successor form);</w:t>
      </w:r>
    </w:p>
    <w:p>
      <w:pPr>
        <w:spacing w:after="0" w:line="158" w:lineRule="exact"/>
        <w:rPr>
          <w:rFonts w:ascii="Arial" w:cs="Arial" w:eastAsia="Arial" w:hAnsi="Arial"/>
          <w:sz w:val="22"/>
          <w:szCs w:val="22"/>
          <w:color w:val="auto"/>
        </w:rPr>
      </w:pPr>
    </w:p>
    <w:p>
      <w:pPr>
        <w:jc w:val="both"/>
        <w:ind w:left="1300" w:firstLine="652"/>
        <w:spacing w:after="0" w:line="223" w:lineRule="auto"/>
        <w:tabs>
          <w:tab w:leader="none" w:pos="2530" w:val="left"/>
        </w:tabs>
        <w:numPr>
          <w:ilvl w:val="1"/>
          <w:numId w:val="128"/>
        </w:numPr>
        <w:rPr>
          <w:rFonts w:ascii="Arial" w:cs="Arial" w:eastAsia="Arial" w:hAnsi="Arial"/>
          <w:sz w:val="22"/>
          <w:szCs w:val="22"/>
          <w:color w:val="auto"/>
        </w:rPr>
      </w:pPr>
      <w:r>
        <w:rPr>
          <w:rFonts w:ascii="Arial" w:cs="Arial" w:eastAsia="Arial" w:hAnsi="Arial"/>
          <w:sz w:val="22"/>
          <w:szCs w:val="22"/>
          <w:color w:val="auto"/>
        </w:rPr>
        <w:t>in the case of a Foreign Lender for whom payments under any Loan Document constitute income that is effectively connected with such Lender’s conduct of a trade or business in the United States, IRS Form W-8ECI (or any successor form);</w:t>
      </w:r>
    </w:p>
    <w:p>
      <w:pPr>
        <w:spacing w:after="0" w:line="158" w:lineRule="exact"/>
        <w:rPr>
          <w:rFonts w:ascii="Arial" w:cs="Arial" w:eastAsia="Arial" w:hAnsi="Arial"/>
          <w:sz w:val="22"/>
          <w:szCs w:val="22"/>
          <w:color w:val="auto"/>
        </w:rPr>
      </w:pPr>
    </w:p>
    <w:p>
      <w:pPr>
        <w:jc w:val="both"/>
        <w:ind w:left="1300" w:firstLine="652"/>
        <w:spacing w:after="0" w:line="234" w:lineRule="auto"/>
        <w:tabs>
          <w:tab w:leader="none" w:pos="2534" w:val="left"/>
        </w:tabs>
        <w:numPr>
          <w:ilvl w:val="1"/>
          <w:numId w:val="128"/>
        </w:numPr>
        <w:rPr>
          <w:rFonts w:ascii="Arial" w:cs="Arial" w:eastAsia="Arial" w:hAnsi="Arial"/>
          <w:sz w:val="21"/>
          <w:szCs w:val="21"/>
          <w:color w:val="auto"/>
        </w:rPr>
      </w:pPr>
      <w:r>
        <w:rPr>
          <w:rFonts w:ascii="Arial" w:cs="Arial" w:eastAsia="Arial" w:hAnsi="Arial"/>
          <w:sz w:val="21"/>
          <w:szCs w:val="21"/>
          <w:color w:val="auto"/>
        </w:rPr>
        <w:t xml:space="preserve">in the case of a Foreign Lender claiming the benefits of the exemption for portfolio interest under Section 871(h) or 881(c) of the Code both (1) IRS Form W-8BEN or W-8BEN-E (or any successor form) and (2) a certificate substantially in the form of the applicable </w:t>
      </w:r>
      <w:r>
        <w:rPr>
          <w:rFonts w:ascii="Arial" w:cs="Arial" w:eastAsia="Arial" w:hAnsi="Arial"/>
          <w:sz w:val="21"/>
          <w:szCs w:val="21"/>
          <w:u w:val="single" w:color="auto"/>
          <w:color w:val="auto"/>
        </w:rPr>
        <w:t>Exhibit H</w:t>
      </w:r>
      <w:r>
        <w:rPr>
          <w:rFonts w:ascii="Arial" w:cs="Arial" w:eastAsia="Arial" w:hAnsi="Arial"/>
          <w:sz w:val="21"/>
          <w:szCs w:val="21"/>
          <w:color w:val="auto"/>
        </w:rPr>
        <w:t xml:space="preserve"> (a “</w:t>
      </w:r>
      <w:r>
        <w:rPr>
          <w:rFonts w:ascii="Arial" w:cs="Arial" w:eastAsia="Arial" w:hAnsi="Arial"/>
          <w:sz w:val="21"/>
          <w:szCs w:val="21"/>
          <w:u w:val="single" w:color="auto"/>
          <w:color w:val="auto"/>
        </w:rPr>
        <w:t>U.S. Tax Certificate</w:t>
      </w:r>
      <w:r>
        <w:rPr>
          <w:rFonts w:ascii="Arial" w:cs="Arial" w:eastAsia="Arial" w:hAnsi="Arial"/>
          <w:sz w:val="21"/>
          <w:szCs w:val="21"/>
          <w:color w:val="auto"/>
        </w:rPr>
        <w:t>”);</w:t>
      </w:r>
    </w:p>
    <w:p>
      <w:pPr>
        <w:spacing w:after="0" w:line="157" w:lineRule="exact"/>
        <w:rPr>
          <w:rFonts w:ascii="Arial" w:cs="Arial" w:eastAsia="Arial" w:hAnsi="Arial"/>
          <w:sz w:val="21"/>
          <w:szCs w:val="21"/>
          <w:color w:val="auto"/>
        </w:rPr>
      </w:pPr>
    </w:p>
    <w:p>
      <w:pPr>
        <w:jc w:val="both"/>
        <w:ind w:left="1300" w:firstLine="652"/>
        <w:spacing w:after="0" w:line="247" w:lineRule="auto"/>
        <w:tabs>
          <w:tab w:leader="none" w:pos="2501" w:val="left"/>
        </w:tabs>
        <w:numPr>
          <w:ilvl w:val="1"/>
          <w:numId w:val="128"/>
        </w:numPr>
        <w:rPr>
          <w:rFonts w:ascii="Arial" w:cs="Arial" w:eastAsia="Arial" w:hAnsi="Arial"/>
          <w:sz w:val="19"/>
          <w:szCs w:val="19"/>
          <w:color w:val="auto"/>
        </w:rPr>
      </w:pPr>
      <w:r>
        <w:rPr>
          <w:rFonts w:ascii="Arial" w:cs="Arial" w:eastAsia="Arial" w:hAnsi="Arial"/>
          <w:sz w:val="19"/>
          <w:szCs w:val="19"/>
          <w:color w:val="auto"/>
        </w:rPr>
        <w:t xml:space="preserve">in the case of a Foreign Lender that is not the beneficial owner of payments made under any Loan Document (including a partnership or a participating Lender), (1) an IRS Form W-8IMY on behalf of itself and (2) the relevant forms prescribed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2.17(e)(ii)</w:t>
      </w:r>
      <w:r>
        <w:rPr>
          <w:rFonts w:ascii="Arial" w:cs="Arial" w:eastAsia="Arial" w:hAnsi="Arial"/>
          <w:sz w:val="19"/>
          <w:szCs w:val="19"/>
          <w:color w:val="auto"/>
        </w:rPr>
        <w:t xml:space="preserve"> that would be required of each such beneficial owner or partner of such partnership if such beneficial owner or partner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Lender is a partnership for U.S. federal income tax purposes and one or more of its partners are claiming the exemption for portfolio interest under Section 871(h) or 881(c) of the Code, such Lender may provide a U.S. Tax Certificate on behalf of such partners; or</w:t>
      </w:r>
    </w:p>
    <w:p>
      <w:pPr>
        <w:spacing w:after="0" w:line="153" w:lineRule="exact"/>
        <w:rPr>
          <w:rFonts w:ascii="Arial" w:cs="Arial" w:eastAsia="Arial" w:hAnsi="Arial"/>
          <w:sz w:val="19"/>
          <w:szCs w:val="19"/>
          <w:color w:val="auto"/>
        </w:rPr>
      </w:pPr>
    </w:p>
    <w:p>
      <w:pPr>
        <w:jc w:val="both"/>
        <w:ind w:left="1300" w:firstLine="652"/>
        <w:spacing w:after="0" w:line="268" w:lineRule="auto"/>
        <w:tabs>
          <w:tab w:leader="none" w:pos="2519"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any other form prescribed by law as a basis for claiming exemption from, or a reduction of, U.S. federal withholding Tax together with such supplementary documentation necessary to enable the Borrower or the Administrative Agent to determine the amount of such Tax (if any) required by law to be withheld.</w:t>
      </w:r>
    </w:p>
    <w:p>
      <w:pPr>
        <w:spacing w:after="0" w:line="132" w:lineRule="exact"/>
        <w:rPr>
          <w:rFonts w:ascii="Arial" w:cs="Arial" w:eastAsia="Arial" w:hAnsi="Arial"/>
          <w:sz w:val="19"/>
          <w:szCs w:val="19"/>
          <w:color w:val="auto"/>
        </w:rPr>
      </w:pPr>
    </w:p>
    <w:p>
      <w:pPr>
        <w:jc w:val="both"/>
        <w:ind w:left="660" w:firstLine="644"/>
        <w:spacing w:after="0" w:line="222" w:lineRule="auto"/>
        <w:tabs>
          <w:tab w:leader="none" w:pos="1848"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If a payment made to any Lender would be subject to U.S. federal withholding Tax imposed under FATCA if such Lender were to fail to comply with the applicable reporting requirements of FATCA (including those contained in Section 1471(b) or 1472(b) of the Code, as applicable), such Lender shall deliver to the Borrower and Administrative Agent, at the time or times prescribed by law and at such time or times reasonably requested by the Borrower or the Administrative Agent, such documentation prescribed by applicable law (including as prescribed by Section 1471(b)(3) (C)(i) of the Code) and such other documentation reasonably requested by the Borrower and the Administrative Agent as may be necessary for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75" w:name="page176"/>
    <w:bookmarkEnd w:id="175"/>
    <w:p>
      <w:pPr>
        <w:jc w:val="both"/>
        <w:ind w:left="660"/>
        <w:spacing w:after="0" w:line="218" w:lineRule="auto"/>
        <w:rPr>
          <w:sz w:val="20"/>
          <w:szCs w:val="20"/>
          <w:color w:val="auto"/>
        </w:rPr>
      </w:pPr>
      <w:r>
        <w:rPr>
          <w:rFonts w:ascii="Arial" w:cs="Arial" w:eastAsia="Arial" w:hAnsi="Arial"/>
          <w:sz w:val="22"/>
          <w:szCs w:val="22"/>
          <w:color w:val="auto"/>
        </w:rPr>
        <w:t xml:space="preserve">Agent and the Borrower to comply with their obligations under FATCA, to determine whether such Lender has or has not complied with such Lender’s FATCA obligations and to determine the amount, if any, to deduct and withhold from such payment. Solely for purposes of this </w:t>
      </w:r>
      <w:r>
        <w:rPr>
          <w:rFonts w:ascii="Arial" w:cs="Arial" w:eastAsia="Arial" w:hAnsi="Arial"/>
          <w:sz w:val="22"/>
          <w:szCs w:val="22"/>
          <w:u w:val="single" w:color="auto"/>
          <w:color w:val="auto"/>
        </w:rPr>
        <w:t>Section 2.17(e)(iii)</w:t>
      </w:r>
      <w:r>
        <w:rPr>
          <w:rFonts w:ascii="Arial" w:cs="Arial" w:eastAsia="Arial" w:hAnsi="Arial"/>
          <w:sz w:val="22"/>
          <w:szCs w:val="22"/>
          <w:color w:val="auto"/>
        </w:rPr>
        <w:t>, “FATCA” shall include any amendments after the date of this Agreement.</w:t>
      </w:r>
    </w:p>
    <w:p>
      <w:pPr>
        <w:spacing w:after="0" w:line="161" w:lineRule="exact"/>
        <w:rPr>
          <w:sz w:val="20"/>
          <w:szCs w:val="20"/>
          <w:color w:val="auto"/>
        </w:rPr>
      </w:pPr>
    </w:p>
    <w:p>
      <w:pPr>
        <w:ind w:left="660" w:firstLine="644"/>
        <w:spacing w:after="0" w:line="232" w:lineRule="auto"/>
        <w:tabs>
          <w:tab w:leader="none" w:pos="1901" w:val="left"/>
        </w:tabs>
        <w:numPr>
          <w:ilvl w:val="0"/>
          <w:numId w:val="129"/>
        </w:numPr>
        <w:rPr>
          <w:rFonts w:ascii="Arial" w:cs="Arial" w:eastAsia="Arial" w:hAnsi="Arial"/>
          <w:sz w:val="22"/>
          <w:szCs w:val="22"/>
          <w:color w:val="auto"/>
        </w:rPr>
      </w:pPr>
      <w:r>
        <w:rPr>
          <w:rFonts w:ascii="Arial" w:cs="Arial" w:eastAsia="Arial" w:hAnsi="Arial"/>
          <w:sz w:val="22"/>
          <w:szCs w:val="22"/>
          <w:color w:val="auto"/>
        </w:rPr>
        <w:t>Notwithstanding any other provision of this Section 2.17</w:t>
      </w:r>
      <w:r>
        <w:rPr>
          <w:rFonts w:ascii="Arial" w:cs="Arial" w:eastAsia="Arial" w:hAnsi="Arial"/>
          <w:sz w:val="22"/>
          <w:szCs w:val="22"/>
          <w:u w:val="single" w:color="auto"/>
          <w:color w:val="auto"/>
        </w:rPr>
        <w:t>(e)</w:t>
      </w:r>
      <w:r>
        <w:rPr>
          <w:rFonts w:ascii="Arial" w:cs="Arial" w:eastAsia="Arial" w:hAnsi="Arial"/>
          <w:sz w:val="22"/>
          <w:szCs w:val="22"/>
          <w:color w:val="auto"/>
        </w:rPr>
        <w:t>, a Lender shall not be required to deliver any form that such Lender is not legally eligible to deliver.</w:t>
      </w:r>
    </w:p>
    <w:p>
      <w:pPr>
        <w:spacing w:after="0" w:line="159" w:lineRule="exact"/>
        <w:rPr>
          <w:sz w:val="20"/>
          <w:szCs w:val="20"/>
          <w:color w:val="auto"/>
        </w:rPr>
      </w:pPr>
    </w:p>
    <w:p>
      <w:pPr>
        <w:jc w:val="both"/>
        <w:ind w:firstLine="1304"/>
        <w:spacing w:after="0" w:line="241" w:lineRule="auto"/>
        <w:tabs>
          <w:tab w:leader="none" w:pos="1885"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If any Recipient determines, in its sole discretion (in good faith), that it has received a refund of any Indemnified Taxes as to which it has been indemnified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(including additional amounts paid by any Loan Party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it shall promptly pay to the indemnifying party an amount equal to such refund (but only to the extent of indemnity payments made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with respect to the Taxes giving rise to such refund), net of all reasonable out-of-pocket expenses (including any Taxes) of such Recipient and without interest (other than any net after tax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indemnifying party, upon the request of such Recipient, shall repay to such Recipient the amount paid to such indemnifying party pursuant to the previous sentence (plus any penalties, interest or other charges imposed by the relevant Governmental Authority) in the event such Recipient is required to repay such refund to such Governmental Authority. Notwithstanding anything to the contrary in this </w:t>
      </w:r>
      <w:r>
        <w:rPr>
          <w:rFonts w:ascii="Arial" w:cs="Arial" w:eastAsia="Arial" w:hAnsi="Arial"/>
          <w:sz w:val="19"/>
          <w:szCs w:val="19"/>
          <w:u w:val="single" w:color="auto"/>
          <w:color w:val="auto"/>
        </w:rPr>
        <w:t>Section 2.17(f)</w:t>
      </w:r>
      <w:r>
        <w:rPr>
          <w:rFonts w:ascii="Arial" w:cs="Arial" w:eastAsia="Arial" w:hAnsi="Arial"/>
          <w:sz w:val="19"/>
          <w:szCs w:val="19"/>
          <w:color w:val="auto"/>
        </w:rPr>
        <w:t xml:space="preserve"> in no event will any Recipient be required to pay any amount to an indemnifying party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2.17(f)</w:t>
      </w:r>
      <w:r>
        <w:rPr>
          <w:rFonts w:ascii="Arial" w:cs="Arial" w:eastAsia="Arial" w:hAnsi="Arial"/>
          <w:sz w:val="19"/>
          <w:szCs w:val="19"/>
          <w:color w:val="auto"/>
        </w:rPr>
        <w:t xml:space="preserve"> the payment of which would place the Recipient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9"/>
          <w:szCs w:val="19"/>
          <w:u w:val="single" w:color="auto"/>
          <w:color w:val="auto"/>
        </w:rPr>
        <w:t>Section 2.17(f)</w:t>
      </w:r>
      <w:r>
        <w:rPr>
          <w:rFonts w:ascii="Arial" w:cs="Arial" w:eastAsia="Arial" w:hAnsi="Arial"/>
          <w:sz w:val="19"/>
          <w:szCs w:val="19"/>
          <w:color w:val="auto"/>
        </w:rPr>
        <w:t xml:space="preserve"> shall not be construed to require any Recipient to make available its Tax returns (or any other information relating to its Taxes that it deems confidential) to any Loan Party or any other Person.</w:t>
      </w:r>
    </w:p>
    <w:p>
      <w:pPr>
        <w:spacing w:after="0" w:line="384" w:lineRule="exact"/>
        <w:rPr>
          <w:rFonts w:ascii="Arial" w:cs="Arial" w:eastAsia="Arial" w:hAnsi="Arial"/>
          <w:sz w:val="19"/>
          <w:szCs w:val="19"/>
          <w:color w:val="auto"/>
        </w:rPr>
      </w:pPr>
    </w:p>
    <w:p>
      <w:pPr>
        <w:ind w:left="1780" w:hanging="476"/>
        <w:spacing w:after="0"/>
        <w:tabs>
          <w:tab w:leader="none" w:pos="178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jc w:val="both"/>
        <w:ind w:firstLine="1304"/>
        <w:spacing w:after="0" w:line="218" w:lineRule="auto"/>
        <w:tabs>
          <w:tab w:leader="none" w:pos="1827"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The agreements in this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shall survive the resignation and/or replacement of the Administrative Agent, any assignment of rights by, or the replacement of, a Lender, the termination of the Commitments and the repayment, satisfaction or discharge of all other Obligations. For the avoidance of doubt, for purposes of this </w:t>
      </w:r>
      <w:r>
        <w:rPr>
          <w:rFonts w:ascii="Arial" w:cs="Arial" w:eastAsia="Arial" w:hAnsi="Arial"/>
          <w:sz w:val="22"/>
          <w:szCs w:val="22"/>
          <w:u w:val="single" w:color="auto"/>
          <w:color w:val="auto"/>
        </w:rPr>
        <w:t>Section 2.17</w:t>
      </w:r>
      <w:r>
        <w:rPr>
          <w:rFonts w:ascii="Arial" w:cs="Arial" w:eastAsia="Arial" w:hAnsi="Arial"/>
          <w:sz w:val="22"/>
          <w:szCs w:val="22"/>
          <w:color w:val="auto"/>
        </w:rPr>
        <w:t>, the term “Lender” includes any Issuing Bank.</w:t>
      </w:r>
    </w:p>
    <w:p>
      <w:pPr>
        <w:spacing w:after="0" w:line="16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2.18</w:t>
      </w:r>
      <w:r>
        <w:rPr>
          <w:sz w:val="20"/>
          <w:szCs w:val="20"/>
          <w:color w:val="auto"/>
        </w:rPr>
        <w:tab/>
      </w:r>
      <w:r>
        <w:rPr>
          <w:rFonts w:ascii="Arial" w:cs="Arial" w:eastAsia="Arial" w:hAnsi="Arial"/>
          <w:sz w:val="19"/>
          <w:szCs w:val="19"/>
          <w:u w:val="single" w:color="auto"/>
          <w:color w:val="auto"/>
        </w:rPr>
        <w:t>Payments Generally; Pro Rata Treatment; Sharing of Setoffs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3" w:lineRule="auto"/>
        <w:tabs>
          <w:tab w:leader="none" w:pos="1827"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The Borrower shall make each payment required to be made by it under any Loan Document (whether of principal, interest, fees or reimbursement of LC Disbursements, or of amounts payable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Section 2.16</w:t>
      </w:r>
      <w:r>
        <w:rPr>
          <w:rFonts w:ascii="Arial" w:cs="Arial" w:eastAsia="Arial" w:hAnsi="Arial"/>
          <w:sz w:val="19"/>
          <w:szCs w:val="19"/>
          <w:u w:val="single" w:color="auto"/>
          <w:color w:val="0000FF"/>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0000FF"/>
        </w:rPr>
        <w:t>2.16</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Section 2.17</w:t>
      </w:r>
      <w:r>
        <w:rPr>
          <w:rFonts w:ascii="Arial" w:cs="Arial" w:eastAsia="Arial" w:hAnsi="Arial"/>
          <w:sz w:val="19"/>
          <w:szCs w:val="19"/>
          <w:color w:val="0000FF"/>
        </w:rPr>
        <w:t xml:space="preserve"> </w:t>
      </w:r>
      <w:r>
        <w:rPr>
          <w:rFonts w:ascii="Arial" w:cs="Arial" w:eastAsia="Arial" w:hAnsi="Arial"/>
          <w:sz w:val="19"/>
          <w:szCs w:val="19"/>
          <w:color w:val="000000"/>
        </w:rPr>
        <w:t>or otherwise) prior to the time expressly required hereunder or under such other Loan Document for such</w:t>
      </w:r>
      <w:r>
        <w:rPr>
          <w:rFonts w:ascii="Arial" w:cs="Arial" w:eastAsia="Arial" w:hAnsi="Arial"/>
          <w:sz w:val="19"/>
          <w:szCs w:val="19"/>
          <w:color w:val="0000FF"/>
        </w:rPr>
        <w:t xml:space="preserve"> </w:t>
      </w:r>
      <w:r>
        <w:rPr>
          <w:rFonts w:ascii="Arial" w:cs="Arial" w:eastAsia="Arial" w:hAnsi="Arial"/>
          <w:sz w:val="19"/>
          <w:szCs w:val="19"/>
          <w:color w:val="000000"/>
        </w:rPr>
        <w:t xml:space="preserve">payment (or, if no such time is expressly required, prior to 12:00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Agent’s Office, except payments to be made directly to an Issuing Bank or Swingline Lender as expressly provided herein and except that payments pursuant to </w:t>
      </w:r>
      <w:r>
        <w:rPr>
          <w:rFonts w:ascii="Arial" w:cs="Arial" w:eastAsia="Arial" w:hAnsi="Arial"/>
          <w:sz w:val="19"/>
          <w:szCs w:val="19"/>
          <w:u w:val="single" w:color="auto"/>
          <w:color w:val="000000"/>
        </w:rPr>
        <w:t>Section 2.11</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2.11(i)</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2.12(d)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2.15</w:t>
      </w:r>
      <w:r>
        <w:rPr>
          <w:rFonts w:ascii="Arial" w:cs="Arial" w:eastAsia="Arial" w:hAnsi="Arial"/>
          <w:sz w:val="19"/>
          <w:szCs w:val="19"/>
          <w:color w:val="000000"/>
        </w:rPr>
        <w:t xml:space="preserve">, </w:t>
      </w:r>
      <w:r>
        <w:rPr>
          <w:rFonts w:ascii="Arial" w:cs="Arial" w:eastAsia="Arial" w:hAnsi="Arial"/>
          <w:sz w:val="19"/>
          <w:szCs w:val="19"/>
          <w:u w:val="single" w:color="auto"/>
          <w:color w:val="FF0000"/>
          <w:strike w:val="1"/>
        </w:rPr>
        <w:t>Section 2.16</w:t>
      </w:r>
      <w:r>
        <w:rPr>
          <w:rFonts w:ascii="Arial" w:cs="Arial" w:eastAsia="Arial" w:hAnsi="Arial"/>
          <w:sz w:val="19"/>
          <w:szCs w:val="19"/>
          <w:u w:val="single" w:color="auto"/>
          <w:color w:val="0000FF"/>
        </w:rPr>
        <w:t>Section 2.16</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2.17</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Section 9.03</w:t>
      </w:r>
      <w:r>
        <w:rPr>
          <w:rFonts w:ascii="Arial" w:cs="Arial" w:eastAsia="Arial" w:hAnsi="Arial"/>
          <w:sz w:val="19"/>
          <w:szCs w:val="19"/>
          <w:color w:val="000000"/>
        </w:rPr>
        <w:t xml:space="preserve"> shall be made directly to the Persons entitled thereto and payments pursuant to other Loan Documents shall be made to the Persons specified therein. The Administrative Agent shall distribute any such payments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76" w:name="page177"/>
    <w:bookmarkEnd w:id="176"/>
    <w:p>
      <w:pPr>
        <w:jc w:val="both"/>
        <w:spacing w:after="0" w:line="249" w:lineRule="auto"/>
        <w:rPr>
          <w:sz w:val="20"/>
          <w:szCs w:val="20"/>
          <w:color w:val="auto"/>
        </w:rPr>
      </w:pPr>
      <w:r>
        <w:rPr>
          <w:rFonts w:ascii="Arial" w:cs="Arial" w:eastAsia="Arial" w:hAnsi="Arial"/>
          <w:sz w:val="19"/>
          <w:szCs w:val="19"/>
          <w:color w:val="auto"/>
        </w:rPr>
        <w:t>by it for the account of any other Person to the appropriate recipient promptly following receipt thereof. Unless otherwise provided herein,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under each Loan Document of principal or interest in respect of any Loan (or of any breakage indemnity in respect of any Loan) shall be made in the currency of such Loan and, except as otherwise set forth in any Loan Document, all other payments under each Loan Document shall be made in Dollars.</w:t>
      </w:r>
    </w:p>
    <w:p>
      <w:pPr>
        <w:spacing w:after="0" w:line="152" w:lineRule="exact"/>
        <w:rPr>
          <w:sz w:val="20"/>
          <w:szCs w:val="20"/>
          <w:color w:val="auto"/>
        </w:rPr>
      </w:pPr>
    </w:p>
    <w:p>
      <w:pPr>
        <w:jc w:val="both"/>
        <w:ind w:firstLine="1304"/>
        <w:spacing w:after="0" w:line="224" w:lineRule="auto"/>
        <w:tabs>
          <w:tab w:leader="none" w:pos="1837" w:val="left"/>
        </w:tabs>
        <w:numPr>
          <w:ilvl w:val="1"/>
          <w:numId w:val="132"/>
        </w:numPr>
        <w:rPr>
          <w:rFonts w:ascii="Arial" w:cs="Arial" w:eastAsia="Arial" w:hAnsi="Arial"/>
          <w:sz w:val="21"/>
          <w:szCs w:val="21"/>
          <w:color w:val="auto"/>
        </w:rPr>
      </w:pPr>
      <w:r>
        <w:rPr>
          <w:rFonts w:ascii="Arial" w:cs="Arial" w:eastAsia="Arial" w:hAnsi="Arial"/>
          <w:sz w:val="21"/>
          <w:szCs w:val="21"/>
          <w:color w:val="auto"/>
        </w:rPr>
        <w:t xml:space="preserve">If at any time insufficient funds are received by and available to the Administrative Agent to pay fully all amounts of principal, unreimbursed LC Disbursements, interest and fees then due hereunder, such funds shall be applied (i)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21"/>
          <w:szCs w:val="21"/>
          <w:u w:val="single" w:color="auto"/>
          <w:color w:val="auto"/>
        </w:rPr>
        <w:t>second</w:t>
      </w:r>
      <w:r>
        <w:rPr>
          <w:rFonts w:ascii="Arial" w:cs="Arial" w:eastAsia="Arial" w:hAnsi="Arial"/>
          <w:sz w:val="21"/>
          <w:szCs w:val="21"/>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59" w:lineRule="exact"/>
        <w:rPr>
          <w:rFonts w:ascii="Arial" w:cs="Arial" w:eastAsia="Arial" w:hAnsi="Arial"/>
          <w:sz w:val="21"/>
          <w:szCs w:val="21"/>
          <w:color w:val="auto"/>
        </w:rPr>
      </w:pPr>
    </w:p>
    <w:p>
      <w:pPr>
        <w:jc w:val="both"/>
        <w:ind w:firstLine="1304"/>
        <w:spacing w:after="0" w:line="238" w:lineRule="auto"/>
        <w:tabs>
          <w:tab w:leader="none" w:pos="198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 xml:space="preserve">If, other than as provided elsewhere herein, any Lender shall, by exercising any right of setoff or counterclaim,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or Swingline Loans and accrued interest thereon than the proportion received by any other Lender, then the Lender receiving such greater proportion shall purchase (for cash at face value) participations in the Revolving Loans, Term Loans and participations in LC Disbursements or Swingline Loans of other Lenders to the extent necessary so that the benefit of all such payments shall be shared by the Lenders ratably in accordance with the aggregate amount of principal of and accrued interest on their respective Revolving Loans of the applicable Class, Term Loans of the applicable Class and participations in LC Disbursements or Swingline Loans of the applicable Class,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(v) any payment or prepayment made by or on behalf of the Borrower or any other Loan Party pursuant to and in accordance with the express terms of this Agreement (including the application of funds arising from the existence of a Defaulting Lender), (w) the application of Cash Collateral provided in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from time to time (including the application of funds arising from the existence of a Defaulting Lender),</w:t>
      </w:r>
    </w:p>
    <w:p>
      <w:pPr>
        <w:spacing w:after="0" w:line="8" w:lineRule="exact"/>
        <w:rPr>
          <w:rFonts w:ascii="Arial" w:cs="Arial" w:eastAsia="Arial" w:hAnsi="Arial"/>
          <w:sz w:val="19"/>
          <w:szCs w:val="19"/>
          <w:color w:val="auto"/>
        </w:rPr>
      </w:pPr>
    </w:p>
    <w:p>
      <w:pPr>
        <w:jc w:val="both"/>
        <w:ind w:firstLine="8"/>
        <w:spacing w:after="0" w:line="241" w:lineRule="auto"/>
        <w:tabs>
          <w:tab w:leader="none" w:pos="33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any payment obtained by a Lender as consideration for the assignment of or sale of a participation in any of its Loans or participations in LC Disbursements to any assignee or participant or the termination of any Lender’s commitment and non-pro rata repayment of Liens pursuant to </w:t>
      </w:r>
      <w:r>
        <w:rPr>
          <w:rFonts w:ascii="Arial" w:cs="Arial" w:eastAsia="Arial" w:hAnsi="Arial"/>
          <w:sz w:val="19"/>
          <w:szCs w:val="19"/>
          <w:u w:val="single" w:color="auto"/>
          <w:color w:val="auto"/>
        </w:rPr>
        <w:t>Section 2.19(b)</w:t>
      </w:r>
      <w:r>
        <w:rPr>
          <w:rFonts w:ascii="Arial" w:cs="Arial" w:eastAsia="Arial" w:hAnsi="Arial"/>
          <w:sz w:val="19"/>
          <w:szCs w:val="19"/>
          <w:color w:val="auto"/>
        </w:rPr>
        <w:t>, (y) transactions in connection with an open market purchase or a Dutch Auction, or (z) in connection with a transaction pursuant to an Extension Offer, Refinancing Amendment or Incremental Credit Facility Amendment or amendment in connection with Refinanced Term Loans. For the avoidance of doubt, this Section shall not limit the ability of the Holding Companies the Borrower or any Restricted Subsidiary to (i) purchase and retire Term Loans pursuant to an open market purchase or a Dutch Auction or (ii) pay principal, fees, premiums and interest with respect to Other Revolving Loans, Other Term Loans, Refinanced Term Loans, Incremental Revolving Loans or Incremental Term Loans following the effectiveness of any Refinancing Amendment, any Extension Offer or Incremental Credit Facility Amendment, as applicable, on a basis different from the Loans of such Class that will continue to be held by Lenders that were not Extending Lenders or Lenders pursuant to such Incremental Credit Facility Amendment,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77" w:name="page178"/>
    <w:bookmarkEnd w:id="177"/>
    <w:p>
      <w:pPr>
        <w:jc w:val="both"/>
        <w:ind w:firstLine="1304"/>
        <w:spacing w:after="0" w:line="244" w:lineRule="auto"/>
        <w:tabs>
          <w:tab w:leader="none" w:pos="1772" w:val="left"/>
        </w:tabs>
        <w:numPr>
          <w:ilvl w:val="0"/>
          <w:numId w:val="134"/>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 prior to the date on which any payment is due to the Administrative Agent for the account of the Lenders or the Issuing Banks, as applicable, hereunder that the Borrower will not make such payment, the Administrative Agent may assume that the Borrower will make such payment on such date in accordance herewith and may, in reliance upon such assumption and in its sole discretion,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60" w:lineRule="exact"/>
        <w:rPr>
          <w:rFonts w:ascii="Arial" w:cs="Arial" w:eastAsia="Arial" w:hAnsi="Arial"/>
          <w:sz w:val="19"/>
          <w:szCs w:val="19"/>
          <w:color w:val="auto"/>
        </w:rPr>
      </w:pPr>
    </w:p>
    <w:p>
      <w:pPr>
        <w:jc w:val="both"/>
        <w:ind w:firstLine="1304"/>
        <w:spacing w:after="0" w:line="247" w:lineRule="auto"/>
        <w:tabs>
          <w:tab w:leader="none" w:pos="186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(i) If any Lender shall fail to make any payment required to be made by it pursuant to Section 2.04(c), </w:t>
      </w:r>
      <w:r>
        <w:rPr>
          <w:rFonts w:ascii="Arial" w:cs="Arial" w:eastAsia="Arial" w:hAnsi="Arial"/>
          <w:sz w:val="19"/>
          <w:szCs w:val="19"/>
          <w:u w:val="single" w:color="auto"/>
          <w:color w:val="auto"/>
        </w:rPr>
        <w:t>Section 2.05(d)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2.18(d)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9.03(c)</w:t>
      </w:r>
      <w:r>
        <w:rPr>
          <w:rFonts w:ascii="Arial" w:cs="Arial" w:eastAsia="Arial" w:hAnsi="Arial"/>
          <w:sz w:val="19"/>
          <w:szCs w:val="19"/>
          <w:color w:val="auto"/>
        </w:rPr>
        <w:t xml:space="preserve">,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and/or (ii) hold such amounts in a segregated account over which the Administrative Agent shall have exclusive control as cash collateral for, and application to, any future funding obligations of such Lender under any such Section, in the case of each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in any order as determined by the Administrative Agent in its discretion.</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2.19</w:t>
      </w:r>
      <w:r>
        <w:rPr>
          <w:sz w:val="20"/>
          <w:szCs w:val="20"/>
          <w:color w:val="auto"/>
        </w:rPr>
        <w:tab/>
      </w:r>
      <w:r>
        <w:rPr>
          <w:rFonts w:ascii="Arial" w:cs="Arial" w:eastAsia="Arial" w:hAnsi="Arial"/>
          <w:sz w:val="19"/>
          <w:szCs w:val="19"/>
          <w:u w:val="single" w:color="auto"/>
          <w:color w:val="auto"/>
        </w:rPr>
        <w:t>Mitigation Obligations; Replacement of Lender</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1" w:lineRule="auto"/>
        <w:tabs>
          <w:tab w:leader="none" w:pos="1753" w:val="left"/>
        </w:tabs>
        <w:numPr>
          <w:ilvl w:val="0"/>
          <w:numId w:val="135"/>
        </w:numPr>
        <w:rPr>
          <w:rFonts w:ascii="Arial" w:cs="Arial" w:eastAsia="Arial" w:hAnsi="Arial"/>
          <w:sz w:val="21"/>
          <w:szCs w:val="21"/>
          <w:color w:val="auto"/>
        </w:rPr>
      </w:pPr>
      <w:r>
        <w:rPr>
          <w:rFonts w:ascii="Arial" w:cs="Arial" w:eastAsia="Arial" w:hAnsi="Arial"/>
          <w:sz w:val="21"/>
          <w:szCs w:val="21"/>
          <w:color w:val="auto"/>
        </w:rPr>
        <w:t xml:space="preserve">If any Lender requests compensation under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or if the Borrower is required to pay any additional amount to any Lender or any Governmental Authority for the account of any Lender pursuant to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2.17</w:t>
      </w:r>
      <w:r>
        <w:rPr>
          <w:rFonts w:ascii="Arial" w:cs="Arial" w:eastAsia="Arial" w:hAnsi="Arial"/>
          <w:sz w:val="21"/>
          <w:szCs w:val="21"/>
          <w:color w:val="auto"/>
        </w:rPr>
        <w:t>, as the case may be, in the future and (ii) would not subject such Lender to any unreimbursed cost or expense and would not be inconsistent with its internal policies or otherwise be disadvantageous to such Lender. The Borrower hereby agrees to pay all reasonable costs and expenses incurred by any Lender in connection with any such designation or assignment.</w:t>
      </w:r>
    </w:p>
    <w:p>
      <w:pPr>
        <w:spacing w:after="0" w:line="158" w:lineRule="exact"/>
        <w:rPr>
          <w:rFonts w:ascii="Arial" w:cs="Arial" w:eastAsia="Arial" w:hAnsi="Arial"/>
          <w:sz w:val="21"/>
          <w:szCs w:val="21"/>
          <w:color w:val="auto"/>
        </w:rPr>
      </w:pPr>
    </w:p>
    <w:p>
      <w:pPr>
        <w:jc w:val="both"/>
        <w:ind w:firstLine="1304"/>
        <w:spacing w:after="0" w:line="243" w:lineRule="auto"/>
        <w:tabs>
          <w:tab w:leader="none" w:pos="183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if the Borrower is required to pay any additional amount to any Lender or any Governmental Authority for the account of any Lender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in each case, such Lender has declined or is unable to designate a different lending office in accordance with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immediately above, or if any Lender becomes a Defaulting Lender, then the Borrower may, at its sole expense and effort, upon notice to such Lender and the Administrative Agent, (1) terminate the unused Revolving Commitment of such Lender and repay the Loans of such Lender on a non-pro rata basis, or (2) require such Lender (and such Lender shall be obligated)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 shall have received payment of an amount equal to the outstanding principal of its Loans and funded participations in LC Disbursements and Swingline Loans and, other than in the case of a Defaulting Lender, accrued interest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78" w:name="page179"/>
    <w:bookmarkEnd w:id="178"/>
    <w:p>
      <w:pPr>
        <w:jc w:val="both"/>
        <w:spacing w:after="0" w:line="218" w:lineRule="auto"/>
        <w:rPr>
          <w:sz w:val="20"/>
          <w:szCs w:val="20"/>
          <w:color w:val="auto"/>
        </w:rPr>
      </w:pPr>
      <w:r>
        <w:rPr>
          <w:rFonts w:ascii="Arial" w:cs="Arial" w:eastAsia="Arial" w:hAnsi="Arial"/>
          <w:sz w:val="22"/>
          <w:szCs w:val="22"/>
          <w:color w:val="auto"/>
        </w:rPr>
        <w:t xml:space="preserve">accrued fees and all other amounts payable to it hereunder from the assignee (to the extent of such outstanding principal and accrued interest and fees) or the Borrower (in the case of all other amounts), and (ii) in the case of any such assignment resulting from a claim for compensation under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or payments required to be made pursuant to </w:t>
      </w:r>
      <w:r>
        <w:rPr>
          <w:rFonts w:ascii="Arial" w:cs="Arial" w:eastAsia="Arial" w:hAnsi="Arial"/>
          <w:sz w:val="22"/>
          <w:szCs w:val="22"/>
          <w:u w:val="single" w:color="auto"/>
          <w:color w:val="auto"/>
        </w:rPr>
        <w:t>Section 2.17</w:t>
      </w:r>
      <w:r>
        <w:rPr>
          <w:rFonts w:ascii="Arial" w:cs="Arial" w:eastAsia="Arial" w:hAnsi="Arial"/>
          <w:sz w:val="22"/>
          <w:szCs w:val="22"/>
          <w:color w:val="auto"/>
        </w:rPr>
        <w:t>, such assignment will result in a reduction in such compensation or payments.</w:t>
      </w:r>
    </w:p>
    <w:p>
      <w:pPr>
        <w:spacing w:after="0" w:line="161" w:lineRule="exact"/>
        <w:rPr>
          <w:sz w:val="20"/>
          <w:szCs w:val="20"/>
          <w:color w:val="auto"/>
        </w:rPr>
      </w:pPr>
    </w:p>
    <w:p>
      <w:pPr>
        <w:jc w:val="both"/>
        <w:ind w:firstLine="1304"/>
        <w:spacing w:after="0" w:line="241" w:lineRule="auto"/>
        <w:tabs>
          <w:tab w:leader="none" w:pos="182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Any Lender being replaced pursuant to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above shall (i) execute and deliver an Assignment and Assumption with respect to such Lender’s Commitment and outstanding Loans and participations in LC Disbursements,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such Lender to execute an Assignment and Assumption shall not render such assignment invalid and such assignment shall be recorded in the Register) and (ii) deliver Notes, if any, evidencing such Loans to the Borrower or the Administrative Agent. Pursuant to such Assignment and Assumption, (A) the assignee Lender shall acquire all or a portion, as the case may be, of the assigning Lender’s Commitments and outstanding Loans and participations in LC Disbursements, as applicable, (B) all obligations of the Loan Parties owing to the assigning Lender relating to the Loan Documents and participations so assigned shall be paid in full by the assignee Lender or the Loan Parties (as applicable) to such assigning Lender concurrently with such assignment and assumption, together with any amounts owing to the assigning Lender (other than a Defaulting Lender) under </w:t>
      </w:r>
      <w:r>
        <w:rPr>
          <w:rFonts w:ascii="Arial" w:cs="Arial" w:eastAsia="Arial" w:hAnsi="Arial"/>
          <w:sz w:val="19"/>
          <w:szCs w:val="19"/>
          <w:u w:val="single" w:color="auto"/>
          <w:color w:val="FF0000"/>
          <w:strike w:val="1"/>
        </w:rPr>
        <w:t>Section 2.16</w:t>
      </w:r>
      <w:r>
        <w:rPr>
          <w:rFonts w:ascii="Arial" w:cs="Arial" w:eastAsia="Arial" w:hAnsi="Arial"/>
          <w:sz w:val="19"/>
          <w:szCs w:val="19"/>
          <w:u w:val="single" w:color="auto"/>
          <w:color w:val="0000FF"/>
        </w:rPr>
        <w:t>Section 2.16</w:t>
      </w:r>
      <w:r>
        <w:rPr>
          <w:rFonts w:ascii="Arial" w:cs="Arial" w:eastAsia="Arial" w:hAnsi="Arial"/>
          <w:sz w:val="19"/>
          <w:szCs w:val="19"/>
          <w:color w:val="auto"/>
        </w:rPr>
        <w:t xml:space="preserve"> as a consequence of such assignment and (C) upon such payment and, if so requested by the assignee Lender, the assignor Lender shall deliver to the assignee Lender the appropriate Note or Notes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2.20</w:t>
      </w:r>
      <w:r>
        <w:rPr>
          <w:sz w:val="20"/>
          <w:szCs w:val="20"/>
          <w:color w:val="auto"/>
        </w:rPr>
        <w:tab/>
      </w:r>
      <w:r>
        <w:rPr>
          <w:rFonts w:ascii="Arial" w:cs="Arial" w:eastAsia="Arial" w:hAnsi="Arial"/>
          <w:sz w:val="19"/>
          <w:szCs w:val="19"/>
          <w:u w:val="single" w:color="auto"/>
          <w:color w:val="auto"/>
        </w:rPr>
        <w:t>Incremental Loans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7" w:lineRule="auto"/>
        <w:tabs>
          <w:tab w:leader="none" w:pos="189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At any time and from time to time prior to the Latest Maturity Date, subject to the terms and express conditions set forth herein, the Borrower may by no less than three (3) Business Days’ prior notice to the Administrative Agent (or such lesser number of days reasonably acceptable to the Administrative Agent), request to add one or more new credit facilities (each, an “</w:t>
      </w:r>
      <w:r>
        <w:rPr>
          <w:rFonts w:ascii="Arial" w:cs="Arial" w:eastAsia="Arial" w:hAnsi="Arial"/>
          <w:sz w:val="21"/>
          <w:szCs w:val="21"/>
          <w:u w:val="single" w:color="auto"/>
          <w:color w:val="auto"/>
        </w:rPr>
        <w:t>Incremental Credit Facility</w:t>
      </w:r>
      <w:r>
        <w:rPr>
          <w:rFonts w:ascii="Arial" w:cs="Arial" w:eastAsia="Arial" w:hAnsi="Arial"/>
          <w:sz w:val="21"/>
          <w:szCs w:val="21"/>
          <w:color w:val="auto"/>
        </w:rPr>
        <w:t>”) denominated, in the case of any Incremental Term Facility, in Dollars or any Alternative Currency or, in the case of any Incremental Revolving Facility, at the option of the Borrower, in Dollars or, solely in the case of any Incremental Revolving Facility that is structured as an additional tranche of revolving commitments (and not, for the avoidance of doubt, an increase in the Initial Revolving Commitments) any Alternative Currency, and consisting of one or more additional tranches of term loans or an increase to an existing Class of Term Loans (each, an “</w:t>
      </w:r>
      <w:r>
        <w:rPr>
          <w:rFonts w:ascii="Arial" w:cs="Arial" w:eastAsia="Arial" w:hAnsi="Arial"/>
          <w:sz w:val="21"/>
          <w:szCs w:val="21"/>
          <w:u w:val="single" w:color="auto"/>
          <w:color w:val="auto"/>
        </w:rPr>
        <w:t>Incremental Term Facility</w:t>
      </w:r>
      <w:r>
        <w:rPr>
          <w:rFonts w:ascii="Arial" w:cs="Arial" w:eastAsia="Arial" w:hAnsi="Arial"/>
          <w:sz w:val="21"/>
          <w:szCs w:val="21"/>
          <w:color w:val="auto"/>
        </w:rPr>
        <w:t>”) or one or more additional tranches of revolving commitments or an increase in an existing Class of Revolving Commitments (each, an “</w:t>
      </w:r>
      <w:r>
        <w:rPr>
          <w:rFonts w:ascii="Arial" w:cs="Arial" w:eastAsia="Arial" w:hAnsi="Arial"/>
          <w:sz w:val="21"/>
          <w:szCs w:val="21"/>
          <w:u w:val="single" w:color="auto"/>
          <w:color w:val="auto"/>
        </w:rPr>
        <w:t>Incremental Revolving Facility</w:t>
      </w:r>
      <w:r>
        <w:rPr>
          <w:rFonts w:ascii="Arial" w:cs="Arial" w:eastAsia="Arial" w:hAnsi="Arial"/>
          <w:sz w:val="21"/>
          <w:szCs w:val="21"/>
          <w:color w:val="auto"/>
        </w:rPr>
        <w:t xml:space="preserve">”), or a combination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immediately before and after giving effect to each Incremental Credit Facility Amendment and the applicable Incremental Credit Facility, no Event of Default has occurred and is continuing or would result therefrom (except in the case that the proceeds of any Incremental Credit Facility are being used to finance a Limited Condition Acquisition, in which case instead (x) no Event of Default shall exist or would result therefrom on the LCA Test Date and (y) no Event of Default under </w:t>
      </w:r>
      <w:r>
        <w:rPr>
          <w:rFonts w:ascii="Arial" w:cs="Arial" w:eastAsia="Arial" w:hAnsi="Arial"/>
          <w:sz w:val="21"/>
          <w:szCs w:val="21"/>
          <w:u w:val="single" w:color="auto"/>
          <w:color w:val="auto"/>
        </w:rPr>
        <w:t>Section 7.01(a)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7.01(b)</w:t>
      </w:r>
      <w:r>
        <w:rPr>
          <w:rFonts w:ascii="Arial" w:cs="Arial" w:eastAsia="Arial" w:hAnsi="Arial"/>
          <w:sz w:val="21"/>
          <w:szCs w:val="21"/>
          <w:color w:val="auto"/>
        </w:rPr>
        <w:t xml:space="preserve">, </w:t>
      </w:r>
      <w:r>
        <w:rPr>
          <w:rFonts w:ascii="Arial" w:cs="Arial" w:eastAsia="Arial" w:hAnsi="Arial"/>
          <w:sz w:val="21"/>
          <w:szCs w:val="21"/>
          <w:u w:val="single" w:color="auto"/>
          <w:color w:val="auto"/>
        </w:rPr>
        <w:t>7.01(h)</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7.01(i)</w:t>
      </w:r>
      <w:r>
        <w:rPr>
          <w:rFonts w:ascii="Arial" w:cs="Arial" w:eastAsia="Arial" w:hAnsi="Arial"/>
          <w:sz w:val="21"/>
          <w:szCs w:val="21"/>
          <w:color w:val="auto"/>
        </w:rPr>
        <w:t xml:space="preserve"> shall have occurred and be continuing or would exist after giving effect thereto at the time such acquisition is consummated), (ii) subject to calculation adjustments set forth in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with respect to any Incremental Credit Facility being incurred in connection with a Limited Condition Acquisition, the aggregate principal amount of each Incremental Credit Facility at the time of issuance or incurrence shall not exceed the Maximum Additional Debt Amount at such time, and (iii) with respect to any secured Incremental Credit Facility (other than any Incremental Credit Facility (x) ranking junior in right of payment or with respect to security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79" w:name="page180"/>
    <w:bookmarkEnd w:id="179"/>
    <w:p>
      <w:pPr>
        <w:jc w:val="both"/>
        <w:spacing w:after="0" w:line="242" w:lineRule="auto"/>
        <w:rPr>
          <w:sz w:val="20"/>
          <w:szCs w:val="20"/>
          <w:color w:val="auto"/>
        </w:rPr>
      </w:pPr>
      <w:r>
        <w:rPr>
          <w:rFonts w:ascii="Arial" w:cs="Arial" w:eastAsia="Arial" w:hAnsi="Arial"/>
          <w:sz w:val="19"/>
          <w:szCs w:val="19"/>
          <w:color w:val="auto"/>
        </w:rPr>
        <w:t xml:space="preserve">Obligations (including as a result of being “last out” in any waterfall), (y) incurred in connection with a Permitted Acquisition or other Investment permitted hereunder, or (z) any Specified Incremental Term Facility), in the event that the Yield for any Incremental Term Facility incurred in reliance on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“Maximum Additional Debt Amount” and funded within twelve (12) months of the Closing Date is higher than the Yield for the outstanding Term Loans by more than seventy-five</w:t>
      </w:r>
    </w:p>
    <w:p>
      <w:pPr>
        <w:spacing w:after="0" w:line="1" w:lineRule="exact"/>
        <w:rPr>
          <w:sz w:val="20"/>
          <w:szCs w:val="20"/>
          <w:color w:val="auto"/>
        </w:rPr>
      </w:pPr>
    </w:p>
    <w:p>
      <w:pPr>
        <w:jc w:val="both"/>
        <w:ind w:firstLine="8"/>
        <w:spacing w:after="0" w:line="241" w:lineRule="auto"/>
        <w:tabs>
          <w:tab w:leader="none" w:pos="427"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basis points, then, except in the case of any such Incremental Term Facility having an outside maturity date on or after the first anniversary of the Latest Maturity Date with respect to the Term Loans in effect at the time such Incremental Term Facility is incurred, the Applicable Margin for the outstanding Term Loans shall be increased to the extent necessary so that the Yield for such outstanding Term Loans is equal to the Yield for such Incremental Term Facility minus seventy-five (75) basis points (any such adjustment under </w:t>
      </w:r>
      <w:r>
        <w:rPr>
          <w:rFonts w:ascii="Arial" w:cs="Arial" w:eastAsia="Arial" w:hAnsi="Arial"/>
          <w:sz w:val="19"/>
          <w:szCs w:val="19"/>
          <w:u w:val="single" w:color="auto"/>
          <w:color w:val="auto"/>
        </w:rPr>
        <w:t>clause (I)</w:t>
      </w:r>
      <w:r>
        <w:rPr>
          <w:rFonts w:ascii="Arial" w:cs="Arial" w:eastAsia="Arial" w:hAnsi="Arial"/>
          <w:sz w:val="19"/>
          <w:szCs w:val="19"/>
          <w:color w:val="auto"/>
        </w:rPr>
        <w:t>, the “</w:t>
      </w:r>
      <w:r>
        <w:rPr>
          <w:rFonts w:ascii="Arial" w:cs="Arial" w:eastAsia="Arial" w:hAnsi="Arial"/>
          <w:sz w:val="19"/>
          <w:szCs w:val="19"/>
          <w:u w:val="single" w:color="auto"/>
          <w:color w:val="auto"/>
        </w:rPr>
        <w:t>MFN Adjustment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addition to the foregoing, for purposes of calculating the Yield for any Incremental Credit Facility or Additional Debt that constitutes fixed-rate Indebtedness, the fixed rate coupon of such Indebtedness shall be swapped to a floating rate on a customary matched-maturity basis, and the Yield of such fixed-rate Indebtedness on a floating rate basis shall be reasonably determined in a customary manner by the Administrative Agent based on customary financial methodology in consultation with the Borrower (or, if the Administrative Agent declines (or is unable) to determine such Yield or the appropriate floating rate swap on a matched maturity basis, as reasonably determined in a customary manner based on customary financial methodology by a financial institution reasonably acceptable to the Administrative Agent and the Borrower).</w:t>
      </w:r>
    </w:p>
    <w:p>
      <w:pPr>
        <w:spacing w:after="0" w:line="157" w:lineRule="exact"/>
        <w:rPr>
          <w:rFonts w:ascii="Arial" w:cs="Arial" w:eastAsia="Arial" w:hAnsi="Arial"/>
          <w:sz w:val="19"/>
          <w:szCs w:val="19"/>
          <w:color w:val="auto"/>
        </w:rPr>
      </w:pPr>
    </w:p>
    <w:p>
      <w:pPr>
        <w:jc w:val="both"/>
        <w:ind w:firstLine="1304"/>
        <w:spacing w:after="0"/>
        <w:tabs>
          <w:tab w:leader="none" w:pos="1831" w:val="left"/>
        </w:tabs>
        <w:numPr>
          <w:ilvl w:val="1"/>
          <w:numId w:val="138"/>
        </w:numPr>
        <w:rPr>
          <w:rFonts w:ascii="Arial" w:cs="Arial" w:eastAsia="Arial" w:hAnsi="Arial"/>
          <w:sz w:val="19"/>
          <w:szCs w:val="19"/>
          <w:color w:val="auto"/>
        </w:rPr>
      </w:pPr>
      <w:r>
        <w:rPr>
          <w:rFonts w:ascii="Arial" w:cs="Arial" w:eastAsia="Arial" w:hAnsi="Arial"/>
          <w:sz w:val="19"/>
          <w:szCs w:val="19"/>
          <w:color w:val="auto"/>
        </w:rPr>
        <w:t xml:space="preserve">Each Incremental Term Facility (i) if made a part of any existing tranche of Term Loans, shall have terms identical to those applicable to such Term Loans (other than with respect to fees and original issue discount payable at closing of such Incremental Term Facility) or (ii) if consisting of an additional tranche of term loans shall have such terms as determined by the Borrower and the lenders providing such Incremental Term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 such Incremental Term Facility shall rank </w:t>
      </w:r>
      <w:r>
        <w:rPr>
          <w:rFonts w:ascii="Arial" w:cs="Arial" w:eastAsia="Arial" w:hAnsi="Arial"/>
          <w:sz w:val="19"/>
          <w:szCs w:val="19"/>
          <w:u w:val="single" w:color="auto"/>
          <w:color w:val="auto"/>
        </w:rPr>
        <w:t>pari passu</w:t>
      </w:r>
      <w:r>
        <w:rPr>
          <w:rFonts w:ascii="Arial" w:cs="Arial" w:eastAsia="Arial" w:hAnsi="Arial"/>
          <w:sz w:val="19"/>
          <w:szCs w:val="19"/>
          <w:color w:val="auto"/>
        </w:rPr>
        <w:t xml:space="preserve"> or junior in right of payment and in respect of the Collateral with the Initial Term Loans, (B) no Person is the borrower or a guarantor with respect to such Incremental Term Facility unless such Person is a Loan Party which shall have previously or substantially concurrently guaranteed or borrowed, as applicable, the Obligations, and, if secured, shall only be secured by Collateral, (C) no Incremental Term Facility shall have a final maturity date earlier than the then existing Latest Maturity Date with respect to the Term Loans, and with respect to an Incremental Term Facility ranking junior in respect of the Collateral with the Initial Term Loans or that is unsecured, no such Incremental Term Facility shall mature on or prior to the date that is ninety-one (91) days after the then existing Latest Maturity Date with respect to the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restrictions in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shall not apply to the extent such Incremental Term Facility constitutes (1) a customary bridge facility, so long as the long-term debt into which such customary bridge facility is to be converted or exchanged satisfies the requirements of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and such conversion or exchange is subject only to conditions customary for similar conversions or exchanges or (2) Subject Indebtedness incurred in reliance on the Maturity Limitation Excluded Amount, (D) no Incremental Term Facility shall have a Weighted Average Life to Maturity that is shorter than the Weighted Average Life to Maturity of the then-remaining Initial Term Loans (without giving effect to nominal amortization for periods where amortization has been eliminated as a result of a prepayment of the applicable Initial Term Loans), and with respect to an Incremental Term Facility that ranks junior in respect of the Collateral with the Initial Term Loans or that is unsecured, no such Incremental Term Facility shall have a Weighted Average Life to Maturity that is shorter than the Weighted Average Life to Maturity of the then-remaining Initial Term Loans, plus ninety-one (91) 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restrictions in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shall not apply to the extent such Incremental Term Facility constitutes (1) a customary bridge facility, so long as the long-term debt into which such customary bridge facility is to be converted or exchanged satisfies the requirements of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 and such conversion or exchange is subject only to conditions customary for similar conversions or exchanges or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80" w:name="page181"/>
    <w:bookmarkEnd w:id="180"/>
    <w:p>
      <w:pPr>
        <w:jc w:val="both"/>
        <w:spacing w:after="0" w:line="241" w:lineRule="auto"/>
        <w:rPr>
          <w:sz w:val="20"/>
          <w:szCs w:val="20"/>
          <w:color w:val="auto"/>
        </w:rPr>
      </w:pPr>
      <w:r>
        <w:rPr>
          <w:rFonts w:ascii="Arial" w:cs="Arial" w:eastAsia="Arial" w:hAnsi="Arial"/>
          <w:sz w:val="19"/>
          <w:szCs w:val="19"/>
          <w:color w:val="auto"/>
        </w:rPr>
        <w:t xml:space="preserve">Subject Indebtedness incurred in reliance on the Maturity Limitation Excluded Amount, (E) for purposes of mandatory prepayments (not, for the avoidance of doubt, voluntary prepayments), such Incremental Term Facility shall be treated no more favorably than the Initial Term Loans except those that only apply after the then existing Latest Maturity Date with respect to Term Loans, unless the Borrower and the lenders in respect of such Incremental Term Facility elect lesser payments, (F) except as otherwise provided pursuant to this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any Incremental Term Facility shall be on terms and pursuant to documentation to be determined by the Borrower and the lenders providing any such Incremental Term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covenants and events of default applicable to such indebtedness, taken as a whole, shall either, at the option of the Borrower, (A) reflect market terms and conditions at the time of incurrence or effectiveness (as determined by the Borrower in good faith) or (B) be no more favorable in any material respect to the lenders providing such indebtedness than those of the Loan Documents (as reasonably determined by the Borrower and the Administrative Agent) (except for covenants or other provisions applicable only to the periods after the Latest Maturity Date at the time such Incremental Term Facility is incurred), unless such covenants and events of default are also added for the benefit of the Lenders under the Loan Documents, and (G) if an Incremental Credit Facility ranks junior in right of security or payment priority to the other Term Loans or is unsecured, such Incremental Credit Facility will be established as a separate facility from the then existing Term Loans and, if secured, shall be subject to the Second Lien Intercreditor Agreement.</w:t>
      </w:r>
    </w:p>
    <w:p>
      <w:pPr>
        <w:spacing w:after="0" w:line="384" w:lineRule="exact"/>
        <w:rPr>
          <w:sz w:val="20"/>
          <w:szCs w:val="20"/>
          <w:color w:val="auto"/>
        </w:rPr>
      </w:pPr>
    </w:p>
    <w:p>
      <w:pPr>
        <w:jc w:val="both"/>
        <w:ind w:firstLine="1304"/>
        <w:spacing w:after="0"/>
        <w:tabs>
          <w:tab w:leader="none" w:pos="183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Each Incremental Revolving Facility (i) if made a part of an existing tranche of Revolving Commitments shall have terms identical to those applicable to such Class of Revolving Commitments (other than with respect to fees and original issue discount payable at closing of such Incremental Revolving Facility) or (ii) if consisting of an additional tranche of revolving loans and commitments shall be subject to substantially the same terms as the Initial Revolving Commitments (other than pricing, fees, maturity and other immaterial terms which shall be determined by the Borrower and the lenders providing such Incremental Revolving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 Incremental Revolving Facility shall have a final maturity date earlier than, or require scheduled amortization or mandatory commitment reduction prior to, the then existing Latest Maturity Date with respect to the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restrictions in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shall not apply to the extent such Incremental Revolving Facility constitutes Subject Indebtedness incurred in reliance on the Maturity Limitation Excluded Amount, (B) the covenants, events of default and guarantees (other than maturity fees, discounts, interest rate, redemption terms and redemption premiums) of such Incremental Revolving Facility, if not consistent with the terms of the Initial Revolving Facility, shall be no more favorable (as reasonably determined by the Borrower and the Administrative Agent) to the Lenders providing such Incremental Revolving Facility than the terms of the Initial Revolving Facility are to the Lenders, (C) the Incremental Revolving Facility shall not have the benefit of any financial maintenance covenant more restrictive than the covenant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6.11</w:t>
      </w:r>
      <w:r>
        <w:rPr>
          <w:rFonts w:ascii="Arial" w:cs="Arial" w:eastAsia="Arial" w:hAnsi="Arial"/>
          <w:sz w:val="19"/>
          <w:szCs w:val="19"/>
          <w:color w:val="auto"/>
        </w:rPr>
        <w:t xml:space="preserve"> unless (x) the Initial Revolving Facility has the benefit of such financial maintenance covenant on the same terms or (y) such financial maintenance covenant only applies after the Latest Maturity Date with respect to the Initial Revolving Facility in effect as of the time such Incremental Revolving Facility is incurred and (D) no Person shall be the Borrower or a guarantor with respect to such Incremental Revolving Facility unless such Person is a Loan Party that has previously or substantially concurrently guaranteed or borrowed, as applicable, the Obligations, and, if secured, shall only be secured by Collateral.</w:t>
      </w:r>
    </w:p>
    <w:p>
      <w:pPr>
        <w:spacing w:after="0" w:line="168" w:lineRule="exact"/>
        <w:rPr>
          <w:rFonts w:ascii="Arial" w:cs="Arial" w:eastAsia="Arial" w:hAnsi="Arial"/>
          <w:sz w:val="19"/>
          <w:szCs w:val="19"/>
          <w:color w:val="auto"/>
        </w:rPr>
      </w:pPr>
    </w:p>
    <w:p>
      <w:pPr>
        <w:jc w:val="both"/>
        <w:ind w:firstLine="1304"/>
        <w:spacing w:after="0" w:line="216" w:lineRule="auto"/>
        <w:tabs>
          <w:tab w:leader="none" w:pos="1917"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Each notice from the Borrower pursuant to this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shall set forth the requested amount and proposed terms of the relevant Incremental Credit Facility. Any additional bank, financial institution, existing Lender or other Person that elects to provide commitments under an Incremental Credit Facility shall be reasonably satisfactory to the Borrower and, in the case of any Incremental Revolving Facility and, to the extent such consent would be required for an assignment of such Loans or Commitments pursuant to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81" w:name="page182"/>
    <w:bookmarkEnd w:id="181"/>
    <w:p>
      <w:pPr>
        <w:jc w:val="both"/>
        <w:spacing w:after="0"/>
        <w:rPr>
          <w:sz w:val="20"/>
          <w:szCs w:val="20"/>
          <w:color w:val="auto"/>
        </w:rPr>
      </w:pPr>
      <w:r>
        <w:rPr>
          <w:rFonts w:ascii="Arial" w:cs="Arial" w:eastAsia="Arial" w:hAnsi="Arial"/>
          <w:sz w:val="19"/>
          <w:szCs w:val="19"/>
          <w:color w:val="auto"/>
        </w:rPr>
        <w:t>the Administrative Agent and the Issuing Banks (such consents not to be unreasonably withheld, delayed or conditioned) (any such bank, financial institution, existing Lender or other Person being called an “</w:t>
      </w:r>
      <w:r>
        <w:rPr>
          <w:rFonts w:ascii="Arial" w:cs="Arial" w:eastAsia="Arial" w:hAnsi="Arial"/>
          <w:sz w:val="19"/>
          <w:szCs w:val="19"/>
          <w:u w:val="single" w:color="auto"/>
          <w:color w:val="auto"/>
        </w:rPr>
        <w:t>Additional Lender</w:t>
      </w:r>
      <w:r>
        <w:rPr>
          <w:rFonts w:ascii="Arial" w:cs="Arial" w:eastAsia="Arial" w:hAnsi="Arial"/>
          <w:sz w:val="19"/>
          <w:szCs w:val="19"/>
          <w:color w:val="auto"/>
        </w:rPr>
        <w:t xml:space="preserve">”) and, if not already a Lender and such Incremental Credit Facility is documented under this Agreement, shall become a Lender under this Agreement pursuant to an amendment (an “ </w:t>
      </w:r>
      <w:r>
        <w:rPr>
          <w:rFonts w:ascii="Arial" w:cs="Arial" w:eastAsia="Arial" w:hAnsi="Arial"/>
          <w:sz w:val="19"/>
          <w:szCs w:val="19"/>
          <w:u w:val="single" w:color="auto"/>
          <w:color w:val="auto"/>
        </w:rPr>
        <w:t>Incremental Credit Facility Amendment</w:t>
      </w:r>
      <w:r>
        <w:rPr>
          <w:rFonts w:ascii="Arial" w:cs="Arial" w:eastAsia="Arial" w:hAnsi="Arial"/>
          <w:sz w:val="19"/>
          <w:szCs w:val="19"/>
          <w:color w:val="auto"/>
        </w:rPr>
        <w:t xml:space="preserve">”) to this Agreement and, as appropriate, the other Loan Documents, executed by the Holding Companies, the Borrower, such Additional Lender (in the case of this Agreement and, as appropriate, any other Loan Document, as applicable) and the Administrative Agent and/or the Collateral Agent. No Lender shall be obligated to provide any Commitments under an Incremental Credit Facility unless it so agrees. Commitments in respect of any Incremental Credit Facilities which are documented under this Agreement shall become Commitments under this Agreement. An Incremental Credit Facility Amendment may, without the consent of any other Lenders, effect such amendments to any Loan Documents as may be necessary, advisable or appropriate, in the reasonable opinion of the Administrative Agent and the Borrower, to effect the provisions of this </w:t>
      </w:r>
      <w:r>
        <w:rPr>
          <w:rFonts w:ascii="Arial" w:cs="Arial" w:eastAsia="Arial" w:hAnsi="Arial"/>
          <w:sz w:val="19"/>
          <w:szCs w:val="19"/>
          <w:u w:val="single" w:color="auto"/>
          <w:color w:val="auto"/>
        </w:rPr>
        <w:t>Section 2.20 (</w:t>
      </w:r>
      <w:r>
        <w:rPr>
          <w:rFonts w:ascii="Arial" w:cs="Arial" w:eastAsia="Arial" w:hAnsi="Arial"/>
          <w:sz w:val="19"/>
          <w:szCs w:val="19"/>
          <w:color w:val="auto"/>
        </w:rPr>
        <w:t xml:space="preserve">including to provide for voting provisions applicable to the Additional Lenders comparable to the provisions of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the second proviso of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and to change the amortization schedule (but not decreasing the amortization payments required to be made to any Lender) or extending the call protection or other terms of existing Term Loans in a manner required to make the Incremental Term Loans fungible with such Term Loans). The effectiveness of any Incremental Credit Facility Amendment shall, unless otherwise agreed to by the Additional Lenders, be subject to the satisfaction (or waiver) on the date thereof (each, an “</w:t>
      </w:r>
      <w:r>
        <w:rPr>
          <w:rFonts w:ascii="Arial" w:cs="Arial" w:eastAsia="Arial" w:hAnsi="Arial"/>
          <w:sz w:val="19"/>
          <w:szCs w:val="19"/>
          <w:u w:val="single" w:color="auto"/>
          <w:color w:val="auto"/>
        </w:rPr>
        <w:t>Incremental Facility Closing Date</w:t>
      </w:r>
      <w:r>
        <w:rPr>
          <w:rFonts w:ascii="Arial" w:cs="Arial" w:eastAsia="Arial" w:hAnsi="Arial"/>
          <w:sz w:val="19"/>
          <w:szCs w:val="19"/>
          <w:color w:val="auto"/>
        </w:rPr>
        <w:t xml:space="preserve">”) of the express conditions in respect of such Incremental Credit Facility Amendment to be mutually agreed upon by the Additional Lenders and the Borrower customary for transactions of the type in respect of which the applicable Incremental Credit Facility relates. The proceeds of any Loans under an Incremental Credit Facility will be used, directly or indirectly, for working capital and/or general corporate purposes and/or any other purposes not prohibited hereunder (including Restricted Payments, Acquisitions and other Investments). This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shall supersede any provisions in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to the contrary.</w:t>
      </w:r>
    </w:p>
    <w:p>
      <w:pPr>
        <w:spacing w:after="0" w:line="164" w:lineRule="exact"/>
        <w:rPr>
          <w:sz w:val="20"/>
          <w:szCs w:val="20"/>
          <w:color w:val="auto"/>
        </w:rPr>
      </w:pPr>
    </w:p>
    <w:p>
      <w:pPr>
        <w:jc w:val="both"/>
        <w:ind w:firstLine="1304"/>
        <w:spacing w:after="0" w:line="241" w:lineRule="auto"/>
        <w:tabs>
          <w:tab w:leader="none" w:pos="1853"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Upon each increase in the Revolving Commitments under any Revolving Credit Facility pursuant to this </w:t>
      </w:r>
      <w:r>
        <w:rPr>
          <w:rFonts w:ascii="Arial" w:cs="Arial" w:eastAsia="Arial" w:hAnsi="Arial"/>
          <w:sz w:val="19"/>
          <w:szCs w:val="19"/>
          <w:u w:val="single" w:color="auto"/>
          <w:color w:val="auto"/>
        </w:rPr>
        <w:t>Section 2.20</w:t>
      </w:r>
      <w:r>
        <w:rPr>
          <w:rFonts w:ascii="Arial" w:cs="Arial" w:eastAsia="Arial" w:hAnsi="Arial"/>
          <w:sz w:val="19"/>
          <w:szCs w:val="19"/>
          <w:color w:val="auto"/>
        </w:rPr>
        <w:t>, each Revolving Lender immediately prior to such increase will automatically and without further act be deemed to have assigned to each Lender providing a portion of the Incremental Revolving Commitments (each, an “</w:t>
      </w:r>
      <w:r>
        <w:rPr>
          <w:rFonts w:ascii="Arial" w:cs="Arial" w:eastAsia="Arial" w:hAnsi="Arial"/>
          <w:sz w:val="19"/>
          <w:szCs w:val="19"/>
          <w:u w:val="single" w:color="auto"/>
          <w:color w:val="auto"/>
        </w:rPr>
        <w:t>Incremental Revolving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 in respect of such increase, and each such Incremental Revolving Lender will automatically and without further act be deemed to have assumed, a portion of such Revolving Lender’s participations hereunder in outstanding Letters of Credit under such Revolving Credit Facility such that, after giving effect to each such deemed assignment and assumption of participations, the percentage of the aggregate outstanding participations hereunder in such Letters of Credit under such Revolving Credit Facility held by each Revolving Lender (including each such Incremental Revolving Lender), as applicable, will equal the percentage of the aggregate Revolving Commitments of all Revolving Lenders under such Revolving Credit Facility. Additionally, if any Revolving Loans are outstanding under a Revolving Credit Facility at the time any Incremental Revolving Commitments are established, the applicable Revolving Lenders immediately after effectiveness of such Incremental Revolving Commitments shall purchase and assign at par such amounts of the Revolving Loans outstanding under such Revolving Credit Facility at such time as the Administrative Agent may require such that each Revolving Lender holds its Applicable Percentage of all Revolving Loans outstanding under such Revolving Credit Facility immediately after giving effect to all such assignments. The Administrative Agent and the Lenders hereby agree that the minimum borrowing, pro rata borrowing and pro rata payment requirements contained elsewhere in this Agreement shall not apply to the transactions effected pursuant to the immediately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82" w:name="page183"/>
    <w:bookmarkEnd w:id="182"/>
    <w:p>
      <w:pPr>
        <w:jc w:val="both"/>
        <w:ind w:firstLine="1296"/>
        <w:spacing w:after="0" w:line="241" w:lineRule="auto"/>
        <w:rPr>
          <w:sz w:val="20"/>
          <w:szCs w:val="20"/>
          <w:color w:val="auto"/>
        </w:rPr>
      </w:pPr>
      <w:r>
        <w:rPr>
          <w:rFonts w:ascii="Arial" w:cs="Arial" w:eastAsia="Arial" w:hAnsi="Arial"/>
          <w:sz w:val="19"/>
          <w:szCs w:val="19"/>
          <w:u w:val="single" w:color="auto"/>
          <w:color w:val="auto"/>
        </w:rPr>
        <w:t>Section 2.21 Refinancing Amendments</w:t>
      </w:r>
      <w:r>
        <w:rPr>
          <w:rFonts w:ascii="Arial" w:cs="Arial" w:eastAsia="Arial" w:hAnsi="Arial"/>
          <w:sz w:val="19"/>
          <w:szCs w:val="19"/>
          <w:color w:val="auto"/>
        </w:rPr>
        <w:t>. At any time after the Closing Date, the Borrower may obtain from any existing Lender or any other Person reasonably satisfactory to the Borrower (any such existing Lender or other Person being called an “</w:t>
      </w:r>
      <w:r>
        <w:rPr>
          <w:rFonts w:ascii="Arial" w:cs="Arial" w:eastAsia="Arial" w:hAnsi="Arial"/>
          <w:sz w:val="19"/>
          <w:szCs w:val="19"/>
          <w:u w:val="single" w:color="auto"/>
          <w:color w:val="auto"/>
        </w:rPr>
        <w:t>Additional Refinancing Lender</w:t>
      </w:r>
      <w:r>
        <w:rPr>
          <w:rFonts w:ascii="Arial" w:cs="Arial" w:eastAsia="Arial" w:hAnsi="Arial"/>
          <w:sz w:val="19"/>
          <w:szCs w:val="19"/>
          <w:color w:val="auto"/>
        </w:rPr>
        <w:t>”) (and, in the case of any Additional Refinancing Lender (other than any existing Lender) that will hold Other Commitments, such Person shall also be reasonably satisfactory to the Administrative Agent and, in the case of Other Revolving Commitments, each of the Issuing Banks) Credit Agreement Refinancing Indebtedness in respect of</w:t>
      </w:r>
    </w:p>
    <w:p>
      <w:pPr>
        <w:spacing w:after="0" w:line="1" w:lineRule="exact"/>
        <w:rPr>
          <w:sz w:val="20"/>
          <w:szCs w:val="20"/>
          <w:color w:val="auto"/>
        </w:rPr>
      </w:pPr>
    </w:p>
    <w:p>
      <w:pPr>
        <w:jc w:val="both"/>
        <w:ind w:firstLine="8"/>
        <w:spacing w:after="0" w:line="237" w:lineRule="auto"/>
        <w:tabs>
          <w:tab w:leader="none" w:pos="31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all or any portion of the Term Loans then outstanding under this Agreement (which for purposes of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will be deemed to include any then outstanding Other Term Loans constituting Term Loans) or (b) all or any portion of the Revolving Commitments (including the corresponding portion of the Revolving Loans) under this Agreement (which for purposes of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will be deemed to include any then outstanding Other Revolving Commitments (including the corresponding portion of the Other Revolving Loans)), in the form of Other Term Loans, Other Term Commitments, Other Revolving Loans or Other Revolving Commitments, in each case pursuant to a Refinancing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Credit Agreement Refinancing Indebtedness shall rank </w:t>
      </w:r>
      <w:r>
        <w:rPr>
          <w:rFonts w:ascii="Arial" w:cs="Arial" w:eastAsia="Arial" w:hAnsi="Arial"/>
          <w:sz w:val="19"/>
          <w:szCs w:val="19"/>
          <w:u w:val="single" w:color="auto"/>
          <w:color w:val="auto"/>
        </w:rPr>
        <w:t>pari passu</w:t>
      </w:r>
      <w:r>
        <w:rPr>
          <w:rFonts w:ascii="Arial" w:cs="Arial" w:eastAsia="Arial" w:hAnsi="Arial"/>
          <w:sz w:val="19"/>
          <w:szCs w:val="19"/>
          <w:color w:val="auto"/>
        </w:rPr>
        <w:t xml:space="preserve"> or junior in right of payment and of security with the other Loans and Commitments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Credit Agreement Refinancing Indebtedness ranks junior in right of security or payment priority such Credit Agreement Refinancing Indebtedness shall be established as a separate facility and, if secured, shall be subject to customary intercreditor terms reasonably agreed between the Borrower and the Administrative Agent), (ii) such Credit Agreement Refinancing Indebtedness shall have such pricing, interest, fees, premiums and optional prepayment and redemption terms as may be agreed by the Holding Companies, the Borrower and the Additional Refinancing Lenders thereof,</w:t>
      </w:r>
    </w:p>
    <w:p>
      <w:pPr>
        <w:spacing w:after="0" w:line="2" w:lineRule="exact"/>
        <w:rPr>
          <w:rFonts w:ascii="Arial" w:cs="Arial" w:eastAsia="Arial" w:hAnsi="Arial"/>
          <w:sz w:val="19"/>
          <w:szCs w:val="19"/>
          <w:color w:val="auto"/>
        </w:rPr>
      </w:pPr>
    </w:p>
    <w:p>
      <w:pPr>
        <w:jc w:val="both"/>
        <w:ind w:firstLine="8"/>
        <w:spacing w:after="0" w:line="237" w:lineRule="auto"/>
        <w:tabs>
          <w:tab w:leader="none" w:pos="411"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such Credit Agreement Refinancing Indebtedness shall only be secured by assets consisting of Collateral, and (iv) such Credit Agreement Refinancing Indebtedness shall satisfy the requirements set forth in </w:t>
      </w:r>
      <w:r>
        <w:rPr>
          <w:rFonts w:ascii="Arial" w:cs="Arial" w:eastAsia="Arial" w:hAnsi="Arial"/>
          <w:sz w:val="19"/>
          <w:szCs w:val="19"/>
          <w:u w:val="single" w:color="auto"/>
          <w:color w:val="auto"/>
        </w:rPr>
        <w:t>clauses (u)</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(y)</w:t>
      </w:r>
      <w:r>
        <w:rPr>
          <w:rFonts w:ascii="Arial" w:cs="Arial" w:eastAsia="Arial" w:hAnsi="Arial"/>
          <w:sz w:val="19"/>
          <w:szCs w:val="19"/>
          <w:color w:val="auto"/>
        </w:rPr>
        <w:t xml:space="preserve"> of the definition of “Credit Agreement Refinancing Indebtedness”. Subject to the consent of the Issuing Banks, any Refinancing Amendment may provide for the issuance of Letters of Credit for the account of the Borrower pursuant to any Other Revolving Commitments established thereby on terms substantially equivalent to the terms applicable to Letters of Credit under this Agreement before giving effect to such Refinancing Amendment.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or reasonably advisable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Commitments). Any Refinancing Amendment may, without the consent of any other Lenders, effect such amendments to this Agreement and the other Loan Documents as may be necessary, or reasonably advisable or appropriate, in the reasonable opinion of the Administrative Agent and the Borrower, to effect the provisions of 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shall supersede any provisions in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to the contrary. Notwithstanding anything to the contrary in 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or otherwise, (1) the borrowing and repayment (except for (A) payments of interest and fees at different rates on Other Revolving Commitments (and related outstandings), (B) repayments required upon the maturity date of the Other Revolving Commitments and (C) repayment made in connection with a permanent repayment and termination in full of commitments) of Loans with respect to Other Revolving Commitments after the date of obtaining any Other Revolving Commitments shall be made on at least a pro rata basis with all other Revolving Commitments,</w:t>
      </w:r>
    </w:p>
    <w:p>
      <w:pPr>
        <w:spacing w:after="0" w:line="4" w:lineRule="exact"/>
        <w:rPr>
          <w:rFonts w:ascii="Arial" w:cs="Arial" w:eastAsia="Arial" w:hAnsi="Arial"/>
          <w:sz w:val="19"/>
          <w:szCs w:val="19"/>
          <w:color w:val="auto"/>
        </w:rPr>
      </w:pPr>
    </w:p>
    <w:p>
      <w:pPr>
        <w:jc w:val="both"/>
        <w:spacing w:after="0" w:line="212" w:lineRule="auto"/>
        <w:rPr>
          <w:rFonts w:ascii="Arial" w:cs="Arial" w:eastAsia="Arial" w:hAnsi="Arial"/>
          <w:sz w:val="19"/>
          <w:szCs w:val="19"/>
          <w:color w:val="auto"/>
        </w:rPr>
      </w:pPr>
      <w:r>
        <w:rPr>
          <w:rFonts w:ascii="Arial" w:cs="Arial" w:eastAsia="Arial" w:hAnsi="Arial"/>
          <w:sz w:val="22"/>
          <w:szCs w:val="22"/>
          <w:color w:val="auto"/>
        </w:rPr>
        <w:t xml:space="preserve">(2) subject to the provisions of </w:t>
      </w:r>
      <w:r>
        <w:rPr>
          <w:rFonts w:ascii="Arial" w:cs="Arial" w:eastAsia="Arial" w:hAnsi="Arial"/>
          <w:sz w:val="22"/>
          <w:szCs w:val="22"/>
          <w:u w:val="single" w:color="auto"/>
          <w:color w:val="auto"/>
        </w:rPr>
        <w:t>Section 2.05(o)</w:t>
      </w:r>
      <w:r>
        <w:rPr>
          <w:rFonts w:ascii="Arial" w:cs="Arial" w:eastAsia="Arial" w:hAnsi="Arial"/>
          <w:sz w:val="22"/>
          <w:szCs w:val="22"/>
          <w:color w:val="auto"/>
        </w:rPr>
        <w:t xml:space="preserve"> to the extent dealing with Letters of Credit which mature or expire after a maturity date when there exist Other Revolving Commitments with a longer maturity date and subject to the consent of the Issuing Banks, all Letters of Credit shall be participated on a pro rata basis by all Revolving Lenders in accordance with all other Revolving Commitments (and except as provided in </w:t>
      </w:r>
      <w:r>
        <w:rPr>
          <w:rFonts w:ascii="Arial" w:cs="Arial" w:eastAsia="Arial" w:hAnsi="Arial"/>
          <w:sz w:val="22"/>
          <w:szCs w:val="22"/>
          <w:u w:val="single" w:color="auto"/>
          <w:color w:val="auto"/>
        </w:rPr>
        <w:t>Section 2.05(o)</w:t>
      </w:r>
      <w:r>
        <w:rPr>
          <w:rFonts w:ascii="Arial" w:cs="Arial" w:eastAsia="Arial" w:hAnsi="Arial"/>
          <w:sz w:val="22"/>
          <w:szCs w:val="22"/>
          <w:color w:val="auto"/>
        </w:rPr>
        <w:t>, without giving effect to changes thereto on an earlier maturity date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83" w:name="page184"/>
    <w:bookmarkEnd w:id="183"/>
    <w:p>
      <w:pPr>
        <w:jc w:val="both"/>
        <w:spacing w:after="0" w:line="246" w:lineRule="auto"/>
        <w:rPr>
          <w:sz w:val="20"/>
          <w:szCs w:val="20"/>
          <w:color w:val="auto"/>
        </w:rPr>
      </w:pPr>
      <w:r>
        <w:rPr>
          <w:rFonts w:ascii="Arial" w:cs="Arial" w:eastAsia="Arial" w:hAnsi="Arial"/>
          <w:sz w:val="19"/>
          <w:szCs w:val="19"/>
          <w:color w:val="auto"/>
        </w:rPr>
        <w:t>Letters of Credit theretofore incurred or issued), (3) the permanent repayment of Revolving Loans with respect to, and termination of, Other Revolving Commitments after the date of obtaining any Other Revolving Commitments shall be made on at least a pro rata basis with all other Revolving Commitments, except that the Borrower shall be permitted to permanently repay and terminate commitments of any such Class on a non-rata basis as compared to any other Class with a later maturity date than such Class and (4) assignments and participations of Other Revolving Commitments and Other Revolving Loans shall be governed by the same assignment and participation provisions applicable to Revolving Commitments and Revolving Loans. The Lenders agree that the Borrower may require the Lenders holding Credit Agreement Refinanced Indebtedness to assign their Loans and Commitments to the providers of the applicable Credit Agreement Refinancing Indebtedness.</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2.22</w:t>
      </w:r>
      <w:r>
        <w:rPr>
          <w:sz w:val="20"/>
          <w:szCs w:val="20"/>
          <w:color w:val="auto"/>
        </w:rPr>
        <w:tab/>
      </w:r>
      <w:r>
        <w:rPr>
          <w:rFonts w:ascii="Arial" w:cs="Arial" w:eastAsia="Arial" w:hAnsi="Arial"/>
          <w:sz w:val="19"/>
          <w:szCs w:val="19"/>
          <w:u w:val="single" w:color="auto"/>
          <w:color w:val="auto"/>
        </w:rPr>
        <w:t>Defaulting Lenders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3" w:lineRule="auto"/>
        <w:tabs>
          <w:tab w:leader="none" w:pos="1752"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59" w:lineRule="exact"/>
        <w:rPr>
          <w:sz w:val="20"/>
          <w:szCs w:val="20"/>
          <w:color w:val="auto"/>
        </w:rPr>
      </w:pPr>
    </w:p>
    <w:p>
      <w:pPr>
        <w:ind w:left="660" w:firstLine="644"/>
        <w:spacing w:after="0" w:line="232" w:lineRule="auto"/>
        <w:tabs>
          <w:tab w:leader="none" w:pos="1767"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Waivers and Amendments</w:t>
      </w:r>
      <w:r>
        <w:rPr>
          <w:rFonts w:ascii="Arial" w:cs="Arial" w:eastAsia="Arial" w:hAnsi="Arial"/>
          <w:sz w:val="22"/>
          <w:szCs w:val="22"/>
          <w:color w:val="auto"/>
        </w:rPr>
        <w:t xml:space="preserve">. That Defaulting Lender’s right to approve or disapprove any amendment, waiver or consent with respect to this Agreement shall be restricted as set forth in </w:t>
      </w:r>
      <w:r>
        <w:rPr>
          <w:rFonts w:ascii="Arial" w:cs="Arial" w:eastAsia="Arial" w:hAnsi="Arial"/>
          <w:sz w:val="22"/>
          <w:szCs w:val="22"/>
          <w:u w:val="single" w:color="auto"/>
          <w:color w:val="auto"/>
        </w:rPr>
        <w:t>Section 9.02</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660" w:firstLine="644"/>
        <w:spacing w:after="0"/>
        <w:tabs>
          <w:tab w:leader="none" w:pos="1866"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Reallocation of Payments</w:t>
      </w:r>
      <w:r>
        <w:rPr>
          <w:rFonts w:ascii="Arial" w:cs="Arial" w:eastAsia="Arial" w:hAnsi="Arial"/>
          <w:sz w:val="19"/>
          <w:szCs w:val="19"/>
          <w:color w:val="auto"/>
        </w:rPr>
        <w:t xml:space="preserve">. Any payment of principal, interest, fees, indemnity payments or other amounts received by the Administrative Agent for the account of that Defaulting Lender (whether voluntary or mandatory, at maturity, pursuant to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or otherwise, and including any amounts made available to the Administrative Agent by that Defaulting Lender pursuant to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that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that Defaulting Lender to the Issuing Banks;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so determined by the Administrative Agent or requested by an Issuing Bank, to be held as Cash Collateral for future funding obligations of that Defaulting Lender of any participation in any Letter of Credit;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Borrower may request, to the funding of any Loan in respect of which that Defaulting Lender has failed to fund its portion thereof as required by this Agreement;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Borrower, to be held in a non-interest-bearing deposit account and released in order to satisfy obligations of that Defaulting Lender to fund Loans under this Agreement;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or the Issuing Banks as a result of any judgment of a court of competent jurisdiction obtained by any Lender or any Issuing Bank against that Defaulting Lender as a result of that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to the payment of any amounts owing to the Borrower as a result of any judgment of a court of competent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jurisdiction obtained by the Borrower against that Defaulting Lender as a result of that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that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LC Disbursement in respect of which that Defaulting Lender has not fully funded its appropriate share and (y) such Loans or LC Disbursements were made at a time when the conditions set forth in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were satisfied or waived, such payment shall be applied solely to pay the Loans of, and LC Disbursements owed to, all non-Defaulting Lenders on a pro rata basis prior to being applied to the payment of any Loans of, or LC Disbursements owed to, that Defaulting Lender. Any payments, prepayments or other amounts paid or payable to a Defaulting Lender that are applied (or held) to pay amounts owed by a Defaulting Lender or to post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84" w:name="page185"/>
    <w:bookmarkEnd w:id="184"/>
    <w:p>
      <w:pPr>
        <w:ind w:left="660"/>
        <w:spacing w:after="0" w:line="232" w:lineRule="auto"/>
        <w:rPr>
          <w:sz w:val="20"/>
          <w:szCs w:val="20"/>
          <w:color w:val="auto"/>
        </w:rPr>
      </w:pPr>
      <w:r>
        <w:rPr>
          <w:rFonts w:ascii="Arial" w:cs="Arial" w:eastAsia="Arial" w:hAnsi="Arial"/>
          <w:sz w:val="22"/>
          <w:szCs w:val="22"/>
          <w:color w:val="auto"/>
        </w:rPr>
        <w:t xml:space="preserve">Cash Collateral pursuant to this </w:t>
      </w:r>
      <w:r>
        <w:rPr>
          <w:rFonts w:ascii="Arial" w:cs="Arial" w:eastAsia="Arial" w:hAnsi="Arial"/>
          <w:sz w:val="22"/>
          <w:szCs w:val="22"/>
          <w:u w:val="single" w:color="auto"/>
          <w:color w:val="auto"/>
        </w:rPr>
        <w:t>Section 2.22(a)(ii)</w:t>
      </w:r>
      <w:r>
        <w:rPr>
          <w:rFonts w:ascii="Arial" w:cs="Arial" w:eastAsia="Arial" w:hAnsi="Arial"/>
          <w:sz w:val="22"/>
          <w:szCs w:val="22"/>
          <w:color w:val="auto"/>
        </w:rPr>
        <w:t xml:space="preserve"> shall be deemed paid to and redirected by that Defaulting Lender, and each Lender irrevocably consents hereto.</w:t>
      </w:r>
    </w:p>
    <w:p>
      <w:pPr>
        <w:spacing w:after="0" w:line="159" w:lineRule="exact"/>
        <w:rPr>
          <w:sz w:val="20"/>
          <w:szCs w:val="20"/>
          <w:color w:val="auto"/>
        </w:rPr>
      </w:pPr>
    </w:p>
    <w:p>
      <w:pPr>
        <w:jc w:val="both"/>
        <w:ind w:left="660" w:firstLine="644"/>
        <w:spacing w:after="0" w:line="243" w:lineRule="auto"/>
        <w:tabs>
          <w:tab w:leader="none" w:pos="1857"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Certain Fees</w:t>
      </w:r>
      <w:r>
        <w:rPr>
          <w:rFonts w:ascii="Arial" w:cs="Arial" w:eastAsia="Arial" w:hAnsi="Arial"/>
          <w:sz w:val="19"/>
          <w:szCs w:val="19"/>
          <w:color w:val="auto"/>
        </w:rPr>
        <w:t xml:space="preserve">. (a) Commitment fees shall continue to accrue on the amount of the Revolving Commitment of such Defaulting Lender pursuant to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only to the extent of the Revolving Loans of such Defaulting Lender and (b) a Defaulting Lender shall not be entitled to receive any default rate of interest pursuant to </w:t>
      </w:r>
      <w:r>
        <w:rPr>
          <w:rFonts w:ascii="Arial" w:cs="Arial" w:eastAsia="Arial" w:hAnsi="Arial"/>
          <w:sz w:val="19"/>
          <w:szCs w:val="19"/>
          <w:u w:val="single" w:color="auto"/>
          <w:color w:val="auto"/>
        </w:rPr>
        <w:t>Section 2.13(c)</w:t>
      </w:r>
      <w:r>
        <w:rPr>
          <w:rFonts w:ascii="Arial" w:cs="Arial" w:eastAsia="Arial" w:hAnsi="Arial"/>
          <w:sz w:val="19"/>
          <w:szCs w:val="19"/>
          <w:color w:val="auto"/>
        </w:rPr>
        <w:t xml:space="preserve">, in each case, for any period during which that Lender is a Defaulting Lender and (A) if the participations in Letters of Credit and Swingline Loans are reallocated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 then the fees payable to the Lenders pursuant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2.12(a)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shall be adjusted to reflect the higher amounts of such participations allocated to such Lenders, and (B) if all or any portion of such Defaulting Lender’s LC Exposure or Swingline Exposure is neither reallocated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 nor Cash Collateralized pursuant to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then, without prejudice to any rights or remedies of the Issuing Banks or any other Lender hereunder, all letter of credit fees payable under </w:t>
      </w:r>
      <w:r>
        <w:rPr>
          <w:rFonts w:ascii="Arial" w:cs="Arial" w:eastAsia="Arial" w:hAnsi="Arial"/>
          <w:sz w:val="19"/>
          <w:szCs w:val="19"/>
          <w:u w:val="single" w:color="auto"/>
          <w:color w:val="auto"/>
        </w:rPr>
        <w:t>Section 2.12(c)</w:t>
      </w:r>
      <w:r>
        <w:rPr>
          <w:rFonts w:ascii="Arial" w:cs="Arial" w:eastAsia="Arial" w:hAnsi="Arial"/>
          <w:sz w:val="19"/>
          <w:szCs w:val="19"/>
          <w:color w:val="auto"/>
        </w:rPr>
        <w:t xml:space="preserve"> with respect to such Defaulting Lender’s LC Exposure shall be payable to the Issuing Banks until and to the extent that such LC Exposure is reallocated and/or Cash Collateralized.</w:t>
      </w:r>
    </w:p>
    <w:p>
      <w:pPr>
        <w:spacing w:after="0" w:line="158" w:lineRule="exact"/>
        <w:rPr>
          <w:rFonts w:ascii="Arial" w:cs="Arial" w:eastAsia="Arial" w:hAnsi="Arial"/>
          <w:sz w:val="19"/>
          <w:szCs w:val="19"/>
          <w:color w:val="auto"/>
        </w:rPr>
      </w:pPr>
    </w:p>
    <w:p>
      <w:pPr>
        <w:jc w:val="both"/>
        <w:ind w:left="660" w:firstLine="644"/>
        <w:spacing w:after="0" w:line="241" w:lineRule="auto"/>
        <w:tabs>
          <w:tab w:leader="none" w:pos="1930"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Reallocation of Pro Rata Shares to Reduce LC Exposure and Swingline Exposure</w:t>
      </w:r>
      <w:r>
        <w:rPr>
          <w:rFonts w:ascii="Arial" w:cs="Arial" w:eastAsia="Arial" w:hAnsi="Arial"/>
          <w:sz w:val="19"/>
          <w:szCs w:val="19"/>
          <w:color w:val="auto"/>
        </w:rPr>
        <w:t xml:space="preserve">. During any period in which there is a Defaulting Lender with a Revolving Commitment, for purposes of computing the amount of the obligation of each non-Defaulting Lender to acquire, refinance or fund participations in Letters of Credit, the “Applicable Percentage” of each non-Defaulting Lender with a Revolving Commitment, shall be computed without giving effect to the Revolving Commitment of that Defaulting Lender, and such obligation to so acquire, refinance or fund participations in such Letters of Credit or Swingline Loans, as applicable, shall automatically be reallocated among the non-Defaulting Lenders with Revolving Commitments upon such Defaulting Lender becoming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aggregate obligation of each non-Defaulting Lender to acquire, refinance or fund participations in such Letters of Credit shall not exceed the positive difference, if any, of (1) the Revolving Commitment, as applicable, of that non-Defaulting Lender minus (2) the aggregate outstanding amount of the Revolving Loans of that Lender and (y) such reallocation does not cause the aggregate Revolving Exposure of any Non-Defaulting Lender to exceed such Non-Defaulting Lender’s Revolving Commitments. No reallocation hereunder shall constitute a waiver or release of any claim of any party hereunder against a Defaulting Lender with a Revolving Commitment arising from that Lender having become a Defaulting Lender, including any claim of a non-Defaulting Revolving Lender as a result of such Non-Defaulting Lender’s increased exposure following such reallocation.</w:t>
      </w:r>
    </w:p>
    <w:p>
      <w:pPr>
        <w:spacing w:after="0" w:line="384" w:lineRule="exact"/>
        <w:rPr>
          <w:rFonts w:ascii="Arial" w:cs="Arial" w:eastAsia="Arial" w:hAnsi="Arial"/>
          <w:sz w:val="19"/>
          <w:szCs w:val="19"/>
          <w:color w:val="auto"/>
        </w:rPr>
      </w:pPr>
    </w:p>
    <w:p>
      <w:pPr>
        <w:jc w:val="both"/>
        <w:ind w:left="660" w:firstLine="644"/>
        <w:spacing w:after="0" w:line="222" w:lineRule="auto"/>
        <w:tabs>
          <w:tab w:leader="none" w:pos="1892" w:val="left"/>
        </w:tabs>
        <w:numPr>
          <w:ilvl w:val="0"/>
          <w:numId w:val="145"/>
        </w:numPr>
        <w:rPr>
          <w:rFonts w:ascii="Arial" w:cs="Arial" w:eastAsia="Arial" w:hAnsi="Arial"/>
          <w:sz w:val="21"/>
          <w:szCs w:val="21"/>
          <w:color w:val="auto"/>
        </w:rPr>
      </w:pPr>
      <w:r>
        <w:rPr>
          <w:rFonts w:ascii="Arial" w:cs="Arial" w:eastAsia="Arial" w:hAnsi="Arial"/>
          <w:sz w:val="21"/>
          <w:szCs w:val="21"/>
          <w:color w:val="auto"/>
        </w:rPr>
        <w:t xml:space="preserve">So long as such Lender is a Defaulting Lender, the Swingline Lender shall not be required to fund any Swingline Loans and no Issuing Bank shall be required to issue, amend, increase, renew or extend any Letter of Credit, unless it is satisfied that the has received assurances satisfactory to it that non-Defaulting Lenders will cover the related exposure in accordance with this </w:t>
      </w:r>
      <w:r>
        <w:rPr>
          <w:rFonts w:ascii="Arial" w:cs="Arial" w:eastAsia="Arial" w:hAnsi="Arial"/>
          <w:sz w:val="21"/>
          <w:szCs w:val="21"/>
          <w:u w:val="single" w:color="auto"/>
          <w:color w:val="auto"/>
        </w:rPr>
        <w:t>Section 2.22</w:t>
      </w:r>
      <w:r>
        <w:rPr>
          <w:rFonts w:ascii="Arial" w:cs="Arial" w:eastAsia="Arial" w:hAnsi="Arial"/>
          <w:sz w:val="21"/>
          <w:szCs w:val="21"/>
          <w:color w:val="auto"/>
        </w:rPr>
        <w:t xml:space="preserve"> and/or Cash Collateral will be provided by the Borrower in accordance with </w:t>
      </w:r>
      <w:r>
        <w:rPr>
          <w:rFonts w:ascii="Arial" w:cs="Arial" w:eastAsia="Arial" w:hAnsi="Arial"/>
          <w:sz w:val="21"/>
          <w:szCs w:val="21"/>
          <w:u w:val="single" w:color="auto"/>
          <w:color w:val="auto"/>
        </w:rPr>
        <w:t>Section 2.23</w:t>
      </w:r>
      <w:r>
        <w:rPr>
          <w:rFonts w:ascii="Arial" w:cs="Arial" w:eastAsia="Arial" w:hAnsi="Arial"/>
          <w:sz w:val="21"/>
          <w:szCs w:val="21"/>
          <w:color w:val="auto"/>
        </w:rPr>
        <w:t xml:space="preserve">, and participating interests in any newly made Swingline Loan or any newly issued or increased Letter of Credit shall be allocated among non-Defaulting Lenders in a manner consistent with </w:t>
      </w:r>
      <w:r>
        <w:rPr>
          <w:rFonts w:ascii="Arial" w:cs="Arial" w:eastAsia="Arial" w:hAnsi="Arial"/>
          <w:sz w:val="21"/>
          <w:szCs w:val="21"/>
          <w:u w:val="single" w:color="auto"/>
          <w:color w:val="auto"/>
        </w:rPr>
        <w:t>Section 2.22(a)(iv)</w:t>
      </w:r>
      <w:r>
        <w:rPr>
          <w:rFonts w:ascii="Arial" w:cs="Arial" w:eastAsia="Arial" w:hAnsi="Arial"/>
          <w:sz w:val="21"/>
          <w:szCs w:val="21"/>
          <w:color w:val="auto"/>
        </w:rPr>
        <w:t xml:space="preserve"> (and such Defaulting Lender shall not participate therein).</w:t>
      </w:r>
    </w:p>
    <w:p>
      <w:pPr>
        <w:spacing w:after="0" w:line="164" w:lineRule="exact"/>
        <w:rPr>
          <w:rFonts w:ascii="Arial" w:cs="Arial" w:eastAsia="Arial" w:hAnsi="Arial"/>
          <w:sz w:val="21"/>
          <w:szCs w:val="21"/>
          <w:color w:val="auto"/>
        </w:rPr>
      </w:pPr>
    </w:p>
    <w:p>
      <w:pPr>
        <w:jc w:val="both"/>
        <w:ind w:left="660" w:firstLine="644"/>
        <w:spacing w:after="0" w:line="268" w:lineRule="auto"/>
        <w:tabs>
          <w:tab w:leader="none" w:pos="1964"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If (i) a parent of any Lender shall become the subject of a proceeding under the Bankruptcy Code, as applicable, following the date hereof and for so long as such proceeding shall continue or (ii) the Swingline Lender or any Issuing Bank has a good faith belief that any Lender has defaulted in fulfilling its obligations under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85" w:name="page186"/>
    <w:bookmarkEnd w:id="185"/>
    <w:p>
      <w:pPr>
        <w:jc w:val="both"/>
        <w:ind w:left="660"/>
        <w:spacing w:after="0" w:line="216" w:lineRule="auto"/>
        <w:rPr>
          <w:sz w:val="20"/>
          <w:szCs w:val="20"/>
          <w:color w:val="auto"/>
        </w:rPr>
      </w:pPr>
      <w:r>
        <w:rPr>
          <w:rFonts w:ascii="Arial" w:cs="Arial" w:eastAsia="Arial" w:hAnsi="Arial"/>
          <w:sz w:val="22"/>
          <w:szCs w:val="22"/>
          <w:color w:val="auto"/>
        </w:rPr>
        <w:t>more other agreements in which such Lender commits to extend credit, the Swingline Lender shall not be required to fund any Swingline Loan and no Issuing Bank shall be required to issue, amend or increase any Letter of Credit, unless the Swingline Lender or the Issuing Bank, as the case may be, shall have entered into arrangements with the Borrower or such Lender, satisfactory to the Swingline Lender or the Issuing Bank, as the case may be, to defease any risk to it in respect of such Lender hereunder.</w:t>
      </w:r>
    </w:p>
    <w:p>
      <w:pPr>
        <w:spacing w:after="0" w:line="158" w:lineRule="exact"/>
        <w:rPr>
          <w:sz w:val="20"/>
          <w:szCs w:val="20"/>
          <w:color w:val="auto"/>
        </w:rPr>
      </w:pPr>
    </w:p>
    <w:p>
      <w:pPr>
        <w:jc w:val="both"/>
        <w:ind w:firstLine="1304"/>
        <w:spacing w:after="0" w:line="242" w:lineRule="auto"/>
        <w:tabs>
          <w:tab w:leader="none" w:pos="1842"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the Swingline Lender and the Issuing Banks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Loans and funded and unfunded participations in Letters of Credit to be held on a pro rata basis by the Lenders in accordance with their Applicable Percentage without giving effect to </w:t>
      </w:r>
      <w:r>
        <w:rPr>
          <w:rFonts w:ascii="Arial" w:cs="Arial" w:eastAsia="Arial" w:hAnsi="Arial"/>
          <w:sz w:val="19"/>
          <w:szCs w:val="19"/>
          <w:u w:val="single" w:color="auto"/>
          <w:color w:val="auto"/>
        </w:rPr>
        <w:t>Section 2.22(a)(iv)</w:t>
      </w:r>
      <w:r>
        <w:rPr>
          <w:rFonts w:ascii="Arial" w:cs="Arial" w:eastAsia="Arial" w:hAnsi="Arial"/>
          <w:sz w:val="19"/>
          <w:szCs w:val="19"/>
          <w:color w:val="auto"/>
        </w:rPr>
        <w:t xml:space="preserve">, whereupon that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3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2.23</w:t>
      </w:r>
      <w:r>
        <w:rPr>
          <w:sz w:val="20"/>
          <w:szCs w:val="20"/>
          <w:color w:val="auto"/>
        </w:rPr>
        <w:tab/>
      </w:r>
      <w:r>
        <w:rPr>
          <w:rFonts w:ascii="Arial" w:cs="Arial" w:eastAsia="Arial" w:hAnsi="Arial"/>
          <w:sz w:val="19"/>
          <w:szCs w:val="19"/>
          <w:u w:val="single" w:color="auto"/>
          <w:color w:val="auto"/>
        </w:rPr>
        <w:t>Cash Collateral</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2" w:lineRule="auto"/>
        <w:tabs>
          <w:tab w:leader="none" w:pos="1871"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Certain Credit Support Events</w:t>
      </w:r>
      <w:r>
        <w:rPr>
          <w:rFonts w:ascii="Arial" w:cs="Arial" w:eastAsia="Arial" w:hAnsi="Arial"/>
          <w:sz w:val="19"/>
          <w:szCs w:val="19"/>
          <w:color w:val="auto"/>
        </w:rPr>
        <w:t xml:space="preserve">. If, as of the date of termination of all Revolving Commitments, any LC Exposure for any reason remains outstanding, the Borrower shall promptly provide Cash Collateral in an amount equal to 103% of the then outstanding amount of all LC Exposure. At any time that there shall exist a Defaulting Lender, on the Business Day following the written request of the Administrative Agent, the Borrower shall deliver to the Administrative Agent Cash Collateral in an amount equal to 103% of all LC Exposure (after giving effect to </w:t>
      </w:r>
      <w:r>
        <w:rPr>
          <w:rFonts w:ascii="Arial" w:cs="Arial" w:eastAsia="Arial" w:hAnsi="Arial"/>
          <w:sz w:val="19"/>
          <w:szCs w:val="19"/>
          <w:u w:val="single" w:color="auto"/>
          <w:color w:val="auto"/>
        </w:rPr>
        <w:t>Section 2.22(a)(iv)</w:t>
      </w:r>
      <w:r>
        <w:rPr>
          <w:rFonts w:ascii="Arial" w:cs="Arial" w:eastAsia="Arial" w:hAnsi="Arial"/>
          <w:sz w:val="19"/>
          <w:szCs w:val="19"/>
          <w:color w:val="auto"/>
        </w:rPr>
        <w:t xml:space="preserve"> and any Cash Collateral provided by such Defaulting Lender). If at any time the Administrative Agent determines that any funds held as Cash Collateral are subject to any right or claim of any Person other than the Administrative Agent or that the total amount of such funds is less than the aggregate outstanding amount of all LC Exposure, the Borrower will, within three Business Days of written demand by the Administrative Agent, pay to the Administrative Agent, as additional funds to be deposited as Cash Collateral, an amount equal to the excess of (x) such aggregate outstanding amount over (y) the total amount of funds, if any, then held as Cash Collateral to secure such LC Exposure that the Administrative Agent determines to be free and clear of any such right and claim. Upon the drawing of any Letter of Credit for which funds are on deposit as Cash Collateral, such funds shall be applied, to the extent permitted under applicable laws, to reimburse the applicable Issuing Bank.</w:t>
      </w:r>
    </w:p>
    <w:p>
      <w:pPr>
        <w:spacing w:after="0" w:line="160" w:lineRule="exact"/>
        <w:rPr>
          <w:rFonts w:ascii="Arial" w:cs="Arial" w:eastAsia="Arial" w:hAnsi="Arial"/>
          <w:sz w:val="19"/>
          <w:szCs w:val="19"/>
          <w:color w:val="auto"/>
        </w:rPr>
      </w:pPr>
    </w:p>
    <w:p>
      <w:pPr>
        <w:jc w:val="both"/>
        <w:ind w:firstLine="1304"/>
        <w:spacing w:after="0" w:line="221" w:lineRule="auto"/>
        <w:tabs>
          <w:tab w:leader="none" w:pos="1855"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Grant of Security Interest</w:t>
      </w:r>
      <w:r>
        <w:rPr>
          <w:rFonts w:ascii="Arial" w:cs="Arial" w:eastAsia="Arial" w:hAnsi="Arial"/>
          <w:sz w:val="21"/>
          <w:szCs w:val="21"/>
          <w:color w:val="auto"/>
        </w:rPr>
        <w:t xml:space="preserve">. All Cash Collateral (other than credit support not constituting funds subject to deposit) shall be maintained in one or more blocked, non-interest-bearing deposit and/or securities accounts with or established by the Administrative Agent. The Borrower, and to the extent provided by any Lender, such Lender, hereby grants to (and subjects to the control of) the Administrative Agent, for the benefit of the Administrative Agent, the Issuing Banks and the applicable Revolving Lenders, and agrees to maintain, a first priority security interest (subject to Liens of the type permitted by </w:t>
      </w:r>
      <w:r>
        <w:rPr>
          <w:rFonts w:ascii="Arial" w:cs="Arial" w:eastAsia="Arial" w:hAnsi="Arial"/>
          <w:sz w:val="21"/>
          <w:szCs w:val="21"/>
          <w:u w:val="single" w:color="auto"/>
          <w:color w:val="auto"/>
        </w:rPr>
        <w:t>Section 6.02(b)</w:t>
      </w:r>
      <w:r>
        <w:rPr>
          <w:rFonts w:ascii="Arial" w:cs="Arial" w:eastAsia="Arial" w:hAnsi="Arial"/>
          <w:sz w:val="21"/>
          <w:szCs w:val="21"/>
          <w:color w:val="auto"/>
        </w:rPr>
        <w:t xml:space="preserve">) in all such cash, Cash Equivalents, deposit and/or securities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21"/>
          <w:szCs w:val="21"/>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86" w:name="page187"/>
    <w:bookmarkEnd w:id="186"/>
    <w:p>
      <w:pPr>
        <w:jc w:val="both"/>
        <w:spacing w:after="0" w:line="226" w:lineRule="auto"/>
        <w:rPr>
          <w:sz w:val="20"/>
          <w:szCs w:val="20"/>
          <w:color w:val="auto"/>
        </w:rPr>
      </w:pPr>
      <w:r>
        <w:rPr>
          <w:rFonts w:ascii="Arial" w:cs="Arial" w:eastAsia="Arial" w:hAnsi="Arial"/>
          <w:sz w:val="21"/>
          <w:szCs w:val="21"/>
          <w:u w:val="single" w:color="auto"/>
          <w:color w:val="auto"/>
        </w:rPr>
        <w:t>2.23(c)</w:t>
      </w:r>
      <w:r>
        <w:rPr>
          <w:rFonts w:ascii="Arial" w:cs="Arial" w:eastAsia="Arial" w:hAnsi="Arial"/>
          <w:sz w:val="21"/>
          <w:szCs w:val="21"/>
          <w:color w:val="auto"/>
        </w:rPr>
        <w:t>. If at any time the Administrative Agent determines that Cash Collateral is subject to any non-permitted right or claim of any Person other than the Administrative Agent as herein provided, or that the total amount of such Cash Collateral is less than 103% of the applicable LC Exposure and other obligations secured thereby, the Borrower or the relevant Defaulting Lender will, promptly following written demand by the Administrative Agent, pay or provide to the Administrative Agent additional Cash Collateral in an amount sufficient to eliminate such deficiency.</w:t>
      </w:r>
    </w:p>
    <w:p>
      <w:pPr>
        <w:spacing w:after="0" w:line="159" w:lineRule="exact"/>
        <w:rPr>
          <w:sz w:val="20"/>
          <w:szCs w:val="20"/>
          <w:color w:val="auto"/>
        </w:rPr>
      </w:pPr>
    </w:p>
    <w:p>
      <w:pPr>
        <w:jc w:val="both"/>
        <w:ind w:firstLine="1304"/>
        <w:spacing w:after="0" w:line="216" w:lineRule="auto"/>
        <w:tabs>
          <w:tab w:leader="none" w:pos="1761"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Application</w:t>
      </w:r>
      <w:r>
        <w:rPr>
          <w:rFonts w:ascii="Arial" w:cs="Arial" w:eastAsia="Arial" w:hAnsi="Arial"/>
          <w:sz w:val="22"/>
          <w:szCs w:val="22"/>
          <w:color w:val="auto"/>
        </w:rPr>
        <w:t xml:space="preserve">. Notwithstanding anything to the contrary contained in this Agreement, Cash Collateral provided under this </w:t>
      </w:r>
      <w:r>
        <w:rPr>
          <w:rFonts w:ascii="Arial" w:cs="Arial" w:eastAsia="Arial" w:hAnsi="Arial"/>
          <w:sz w:val="22"/>
          <w:szCs w:val="22"/>
          <w:u w:val="single" w:color="auto"/>
          <w:color w:val="auto"/>
        </w:rPr>
        <w:t>Section 2.23</w:t>
      </w:r>
      <w:r>
        <w:rPr>
          <w:rFonts w:ascii="Arial" w:cs="Arial" w:eastAsia="Arial" w:hAnsi="Arial"/>
          <w:sz w:val="22"/>
          <w:szCs w:val="22"/>
          <w:color w:val="auto"/>
        </w:rPr>
        <w:t xml:space="preserve"> or otherwise in respect of Letters of Credit shall be held and applied to the satisfaction of the specific LC Disbursement,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57" w:lineRule="exact"/>
        <w:rPr>
          <w:rFonts w:ascii="Arial" w:cs="Arial" w:eastAsia="Arial" w:hAnsi="Arial"/>
          <w:sz w:val="22"/>
          <w:szCs w:val="22"/>
          <w:color w:val="auto"/>
        </w:rPr>
      </w:pPr>
    </w:p>
    <w:p>
      <w:pPr>
        <w:jc w:val="both"/>
        <w:ind w:firstLine="1304"/>
        <w:spacing w:after="0" w:line="247" w:lineRule="auto"/>
        <w:tabs>
          <w:tab w:leader="none" w:pos="1913"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Cash Collateral (or the appropriate portion thereof) provided to reduce LC Exposure or other obligations shall be released promptly following (i) the elimination of the applicable LC Exposure or other obligations giving rise thereto (including by the termination of Defaulting Lender status of the applicable Lender (or, as appropriate, its assignee)) or (ii) the Administrative Agent’s good faith determination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Cash Collateral furnished by or on behalf of a Loan Party shall not be released during the continuance of an Event of Default and (y) the Person providing Cash Collateral and the Issuing Banks may agree that Cash Collateral shall not be released but instead held to support future anticipated LC Exposure or other obligations.</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2.24</w:t>
      </w:r>
      <w:r>
        <w:rPr>
          <w:sz w:val="20"/>
          <w:szCs w:val="20"/>
          <w:color w:val="auto"/>
        </w:rPr>
        <w:tab/>
      </w:r>
      <w:r>
        <w:rPr>
          <w:rFonts w:ascii="Arial" w:cs="Arial" w:eastAsia="Arial" w:hAnsi="Arial"/>
          <w:sz w:val="19"/>
          <w:szCs w:val="19"/>
          <w:u w:val="single" w:color="auto"/>
          <w:color w:val="auto"/>
        </w:rPr>
        <w:t>Extensions of Term Loans and Revolving Commitments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1" w:lineRule="auto"/>
        <w:tabs>
          <w:tab w:leader="none" w:pos="191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pursuant to one or more offers (each, an “</w:t>
      </w:r>
      <w:r>
        <w:rPr>
          <w:rFonts w:ascii="Arial" w:cs="Arial" w:eastAsia="Arial" w:hAnsi="Arial"/>
          <w:sz w:val="19"/>
          <w:szCs w:val="19"/>
          <w:u w:val="single" w:color="auto"/>
          <w:color w:val="auto"/>
        </w:rPr>
        <w:t>Extension Offer</w:t>
      </w:r>
      <w:r>
        <w:rPr>
          <w:rFonts w:ascii="Arial" w:cs="Arial" w:eastAsia="Arial" w:hAnsi="Arial"/>
          <w:sz w:val="19"/>
          <w:szCs w:val="19"/>
          <w:color w:val="auto"/>
        </w:rPr>
        <w:t>”) made from time to time by (i) the Borrower to all Lenders of Term Loans of the applicable Class with a like maturity date or (ii) the Borrower to all Lenders with Revolving Commitments of the applicable Class with a like maturity date, in each case on a pro rata basis (based on the aggregate outstanding principal amount of the respective Term Loans or Revolving Commitments with a like maturity date, as the case may be) and offered on the same terms to each such Lender, the Borrower is hereby permitted to consummate from time to time transactions with individual Lenders that accept the terms contained in such Extension Offers to extend the maturity date of each such Lender’s Term Loans and/or Revolving Commitments and otherwise modify the terms of such Term Loans and/or Revolving Commitments pursuant to the terms of the relevant Extension Offer (including by increasing the interest rate, premiums or fees payable in respect of such Term Loans and/or Revolving Commitments (and related outstandings) and/or modifying the amortization schedule, optional prepayment terms, required prepayment dates and participation in prepayments in respect of such Lender’s Term Loans) (each, an “</w:t>
      </w:r>
      <w:r>
        <w:rPr>
          <w:rFonts w:ascii="Arial" w:cs="Arial" w:eastAsia="Arial" w:hAnsi="Arial"/>
          <w:sz w:val="19"/>
          <w:szCs w:val="19"/>
          <w:u w:val="single" w:color="auto"/>
          <w:color w:val="auto"/>
        </w:rPr>
        <w:t>Extension</w:t>
      </w:r>
      <w:r>
        <w:rPr>
          <w:rFonts w:ascii="Arial" w:cs="Arial" w:eastAsia="Arial" w:hAnsi="Arial"/>
          <w:sz w:val="19"/>
          <w:szCs w:val="19"/>
          <w:color w:val="auto"/>
        </w:rPr>
        <w:t>”, and each group of Term Loans or Revolving Commitments, as applicable, in each case as so extended, as well as the Initial Term Loans and the Initial Revolving Commitments (in each case not so extended), being a separate Class; any Extended Term Loans shall constitute a separate Class of Term Loans from the Class of Term Loans from which they were converted, and any Extended Revolving Commitments shall constitute a separate Class of Revolving Commitments from the Class of Revolving Commitments from which they were converted), so long as the following terms are satisfied (or waived):</w:t>
      </w:r>
    </w:p>
    <w:p>
      <w:pPr>
        <w:spacing w:after="0" w:line="162" w:lineRule="exact"/>
        <w:rPr>
          <w:sz w:val="20"/>
          <w:szCs w:val="20"/>
          <w:color w:val="auto"/>
        </w:rPr>
      </w:pPr>
    </w:p>
    <w:p>
      <w:pPr>
        <w:jc w:val="both"/>
        <w:ind w:left="660" w:firstLine="644"/>
        <w:spacing w:after="0" w:line="268" w:lineRule="auto"/>
        <w:tabs>
          <w:tab w:leader="none" w:pos="173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except as to interest rates, fees, premiums, amortization, prepayments, AHYDO Catch-Up Payments and final maturity (which shall be determined by the Borrower and set forth in the relevant Extension Offer and which shall be no earlier than the maturity date of the Class of Revolving Commitments for which such Extension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87" w:name="page188"/>
    <w:bookmarkEnd w:id="187"/>
    <w:p>
      <w:pPr>
        <w:jc w:val="both"/>
        <w:ind w:left="660"/>
        <w:spacing w:after="0"/>
        <w:rPr>
          <w:sz w:val="20"/>
          <w:szCs w:val="20"/>
          <w:color w:val="auto"/>
        </w:rPr>
      </w:pPr>
      <w:r>
        <w:rPr>
          <w:rFonts w:ascii="Arial" w:cs="Arial" w:eastAsia="Arial" w:hAnsi="Arial"/>
          <w:sz w:val="19"/>
          <w:szCs w:val="19"/>
          <w:color w:val="auto"/>
        </w:rPr>
        <w:t xml:space="preserve">was made), the Revolving Commitment of any Revolving Lender that agrees to an Extension with respect to such Revolving Commitment (an “ </w:t>
      </w:r>
      <w:r>
        <w:rPr>
          <w:rFonts w:ascii="Arial" w:cs="Arial" w:eastAsia="Arial" w:hAnsi="Arial"/>
          <w:sz w:val="19"/>
          <w:szCs w:val="19"/>
          <w:u w:val="single" w:color="auto"/>
          <w:color w:val="auto"/>
        </w:rPr>
        <w:t>Extending Revolving Loan Lender</w:t>
      </w:r>
      <w:r>
        <w:rPr>
          <w:rFonts w:ascii="Arial" w:cs="Arial" w:eastAsia="Arial" w:hAnsi="Arial"/>
          <w:sz w:val="19"/>
          <w:szCs w:val="19"/>
          <w:color w:val="auto"/>
        </w:rPr>
        <w:t>”) extended pursuant to an Extension (an “</w:t>
      </w:r>
      <w:r>
        <w:rPr>
          <w:rFonts w:ascii="Arial" w:cs="Arial" w:eastAsia="Arial" w:hAnsi="Arial"/>
          <w:sz w:val="19"/>
          <w:szCs w:val="19"/>
          <w:u w:val="single" w:color="auto"/>
          <w:color w:val="auto"/>
        </w:rPr>
        <w:t>Extended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Revolving Commitment</w:t>
      </w:r>
      <w:r>
        <w:rPr>
          <w:rFonts w:ascii="Arial" w:cs="Arial" w:eastAsia="Arial" w:hAnsi="Arial"/>
          <w:sz w:val="19"/>
          <w:szCs w:val="19"/>
          <w:color w:val="auto"/>
        </w:rPr>
        <w:t>” and the loans made pursuant thereto, the “</w:t>
      </w:r>
      <w:r>
        <w:rPr>
          <w:rFonts w:ascii="Arial" w:cs="Arial" w:eastAsia="Arial" w:hAnsi="Arial"/>
          <w:sz w:val="19"/>
          <w:szCs w:val="19"/>
          <w:u w:val="single" w:color="auto"/>
          <w:color w:val="auto"/>
        </w:rPr>
        <w:t>Extended Revolving Loans</w:t>
      </w:r>
      <w:r>
        <w:rPr>
          <w:rFonts w:ascii="Arial" w:cs="Arial" w:eastAsia="Arial" w:hAnsi="Arial"/>
          <w:sz w:val="19"/>
          <w:szCs w:val="19"/>
          <w:color w:val="auto"/>
        </w:rPr>
        <w:t xml:space="preserve">”), and the related outstandings, shall have covenants and events of default, if not consistent with the terms of the Revolving Commitments, not materially more restrictive to the Loan Parties (as determined in good faith by the Borrower), when taken as a whole, than the terms of the Revolving Commitment unless (x) the Revolving Lenders receive the benefit of such more restrictive terms or (y) any such provisions apply only after the Revolving Termination Date (as determined in good faith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the borrowing and repayment (except for (A) payments of interest and fees at different rates on Extended Revolving Commitments (and related outstandings), (B) repayments required upon the maturity date of the non-extended Revolving Commitments and (C) repayments made in connection with a permanent repayment and termination of commitments) of Loans with respect to Extended Revolving Commitments after the applicable Extension date shall be made on a pro rata basis or less with all other Revolving Commitments, (2) all Letters of Credit shall be participated on a pro rata basis or less by all Lenders with Revolving Commitments in accordance with their percentage of the Revolving Commitments, (3) the permanent repayment of Revolving Loans with respect to, and termination of, Extended Revolving Commitments after the applicable Extension date shall be made on a pro rata basis with all other Revolving Commitments, except that the Borrower shall be permitted to permanently repay and terminate commitments of any such Class on a non-pro rata basis as compared to any other Class with a later maturity date than such Class, (4) assignments and participations of Extended Revolving Commitments and Extended Revolving Loans shall be governed by the same assignment and participation provisions applicable to Revolving Commitments and Revolving Loans and (5) at no time shall there be Revolving Commitments hereunder (including Extended Revolving Commitments and any Initial Revolving Commitments) which have more than four different maturity dates,</w:t>
      </w:r>
    </w:p>
    <w:p>
      <w:pPr>
        <w:spacing w:after="0" w:line="164" w:lineRule="exact"/>
        <w:rPr>
          <w:sz w:val="20"/>
          <w:szCs w:val="20"/>
          <w:color w:val="auto"/>
        </w:rPr>
      </w:pPr>
    </w:p>
    <w:p>
      <w:pPr>
        <w:jc w:val="both"/>
        <w:ind w:left="660" w:firstLine="644"/>
        <w:spacing w:after="0" w:line="221" w:lineRule="auto"/>
        <w:tabs>
          <w:tab w:leader="none" w:pos="1892" w:val="left"/>
        </w:tabs>
        <w:numPr>
          <w:ilvl w:val="0"/>
          <w:numId w:val="151"/>
        </w:numPr>
        <w:rPr>
          <w:rFonts w:ascii="Arial" w:cs="Arial" w:eastAsia="Arial" w:hAnsi="Arial"/>
          <w:sz w:val="21"/>
          <w:szCs w:val="21"/>
          <w:color w:val="auto"/>
        </w:rPr>
      </w:pPr>
      <w:r>
        <w:rPr>
          <w:rFonts w:ascii="Arial" w:cs="Arial" w:eastAsia="Arial" w:hAnsi="Arial"/>
          <w:sz w:val="21"/>
          <w:szCs w:val="21"/>
          <w:color w:val="auto"/>
        </w:rPr>
        <w:t xml:space="preserve">except as to interest rates, fees, premiums, amortization, prepayments, AHYDO Catch-Up Payments and final maturity (which shall, subject to the immediately succeeding </w:t>
      </w:r>
      <w:r>
        <w:rPr>
          <w:rFonts w:ascii="Arial" w:cs="Arial" w:eastAsia="Arial" w:hAnsi="Arial"/>
          <w:sz w:val="21"/>
          <w:szCs w:val="21"/>
          <w:u w:val="single" w:color="auto"/>
          <w:color w:val="auto"/>
        </w:rPr>
        <w:t>clauses (iv)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w:t>
      </w:r>
      <w:r>
        <w:rPr>
          <w:rFonts w:ascii="Arial" w:cs="Arial" w:eastAsia="Arial" w:hAnsi="Arial"/>
          <w:sz w:val="21"/>
          <w:szCs w:val="21"/>
          <w:color w:val="auto"/>
        </w:rPr>
        <w:t>, be determined by the Borrower and set forth in the relevant Extension Offer), the Term Loans of any Term Lender that agrees to an Extension with respect to such Term Loans (an “</w:t>
      </w:r>
      <w:r>
        <w:rPr>
          <w:rFonts w:ascii="Arial" w:cs="Arial" w:eastAsia="Arial" w:hAnsi="Arial"/>
          <w:sz w:val="21"/>
          <w:szCs w:val="21"/>
          <w:u w:val="single" w:color="auto"/>
          <w:color w:val="auto"/>
        </w:rPr>
        <w:t>Extending Term Lender</w:t>
      </w:r>
      <w:r>
        <w:rPr>
          <w:rFonts w:ascii="Arial" w:cs="Arial" w:eastAsia="Arial" w:hAnsi="Arial"/>
          <w:sz w:val="21"/>
          <w:szCs w:val="21"/>
          <w:color w:val="auto"/>
        </w:rPr>
        <w:t>”, and together with Extending Revolving Loan Lenders, “</w:t>
      </w:r>
      <w:r>
        <w:rPr>
          <w:rFonts w:ascii="Arial" w:cs="Arial" w:eastAsia="Arial" w:hAnsi="Arial"/>
          <w:sz w:val="21"/>
          <w:szCs w:val="21"/>
          <w:u w:val="single" w:color="auto"/>
          <w:color w:val="auto"/>
        </w:rPr>
        <w:t>Extending Lenders</w:t>
      </w:r>
      <w:r>
        <w:rPr>
          <w:rFonts w:ascii="Arial" w:cs="Arial" w:eastAsia="Arial" w:hAnsi="Arial"/>
          <w:sz w:val="21"/>
          <w:szCs w:val="21"/>
          <w:color w:val="auto"/>
        </w:rPr>
        <w:t>”) extended pursuant to any Extension (“</w:t>
      </w:r>
      <w:r>
        <w:rPr>
          <w:rFonts w:ascii="Arial" w:cs="Arial" w:eastAsia="Arial" w:hAnsi="Arial"/>
          <w:sz w:val="21"/>
          <w:szCs w:val="21"/>
          <w:u w:val="single" w:color="auto"/>
          <w:color w:val="auto"/>
        </w:rPr>
        <w:t>Extended Term Loans</w:t>
      </w:r>
      <w:r>
        <w:rPr>
          <w:rFonts w:ascii="Arial" w:cs="Arial" w:eastAsia="Arial" w:hAnsi="Arial"/>
          <w:sz w:val="21"/>
          <w:szCs w:val="21"/>
          <w:color w:val="auto"/>
        </w:rPr>
        <w:t>”) shall have covenants and events of default, if not consistent with the terms of the Term Loans, not materially more restrictive to the Loan Parties (as determined in good faith by the Borrower), when taken as a whole, than the terms of the Term Loans unless (x) the Lenders of the Term Loans receive the benefit of such more restrictive terms or (y) any such provisions apply only after the Term Loan Maturity Date,</w:t>
      </w:r>
    </w:p>
    <w:p>
      <w:pPr>
        <w:spacing w:after="0" w:line="158" w:lineRule="exact"/>
        <w:rPr>
          <w:rFonts w:ascii="Arial" w:cs="Arial" w:eastAsia="Arial" w:hAnsi="Arial"/>
          <w:sz w:val="21"/>
          <w:szCs w:val="21"/>
          <w:color w:val="auto"/>
        </w:rPr>
      </w:pPr>
    </w:p>
    <w:p>
      <w:pPr>
        <w:jc w:val="both"/>
        <w:ind w:left="660" w:firstLine="644"/>
        <w:spacing w:after="0" w:line="223" w:lineRule="auto"/>
        <w:tabs>
          <w:tab w:leader="none" w:pos="1862"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final maturity date of any Extended Term Loans shall be no earlier than the Term Loan Maturity Date of the Class of Term Loans for which such Extension Offer was made and at no time shall the Term Loans (including Extended Term Loans) have more than six different maturity dates,</w:t>
      </w:r>
    </w:p>
    <w:p>
      <w:pPr>
        <w:spacing w:after="0" w:line="158" w:lineRule="exact"/>
        <w:rPr>
          <w:rFonts w:ascii="Arial" w:cs="Arial" w:eastAsia="Arial" w:hAnsi="Arial"/>
          <w:sz w:val="22"/>
          <w:szCs w:val="22"/>
          <w:color w:val="auto"/>
        </w:rPr>
      </w:pPr>
    </w:p>
    <w:p>
      <w:pPr>
        <w:jc w:val="both"/>
        <w:ind w:left="660" w:firstLine="644"/>
        <w:spacing w:after="0" w:line="268" w:lineRule="auto"/>
        <w:tabs>
          <w:tab w:leader="none" w:pos="1873"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Weighted Average Life to Maturity of any Extended Term Loans shall be no shorter than the remaining Weighted Average Life to Maturity of the Term Loans extended thereby (without giving effect to nominal amortization for periods where amortization has been eliminated as a result of a prepayment of the applicable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88" w:name="page189"/>
    <w:bookmarkEnd w:id="188"/>
    <w:p>
      <w:pPr>
        <w:jc w:val="both"/>
        <w:ind w:left="660" w:firstLine="644"/>
        <w:spacing w:after="0" w:line="221" w:lineRule="auto"/>
        <w:tabs>
          <w:tab w:leader="none" w:pos="1913" w:val="left"/>
        </w:tabs>
        <w:numPr>
          <w:ilvl w:val="0"/>
          <w:numId w:val="152"/>
        </w:numPr>
        <w:rPr>
          <w:rFonts w:ascii="Arial" w:cs="Arial" w:eastAsia="Arial" w:hAnsi="Arial"/>
          <w:sz w:val="21"/>
          <w:szCs w:val="21"/>
          <w:color w:val="auto"/>
        </w:rPr>
      </w:pPr>
      <w:r>
        <w:rPr>
          <w:rFonts w:ascii="Arial" w:cs="Arial" w:eastAsia="Arial" w:hAnsi="Arial"/>
          <w:sz w:val="21"/>
          <w:szCs w:val="21"/>
          <w:color w:val="auto"/>
        </w:rPr>
        <w:t>if the aggregate principal amount of Term Loans (calculated on the face amount thereof) or Revolving Commitments, as the case may be, in respect of which Term Lenders or Revolving Lenders, as the case may be, shall have accepted the relevant Extension Offer shall exceed the maximum aggregate principal amount of Term Loans or Revolving Commitments, as the case may be, offered to be extended by the Borrower pursuant to such Extension Offer, then the Term Loans or Revolving Loans, as the case may be, of such Term Lenders or Revolving Lenders, as the case may be, shall be extended ratably up to such maximum amount based on the respective principal amounts (but not to exceed actual holdings of record) with respect to which such Term Lenders or Revolving Lenders, as the case may be, have accepted such Extension Offer,</w:t>
      </w:r>
    </w:p>
    <w:p>
      <w:pPr>
        <w:spacing w:after="0" w:line="165" w:lineRule="exact"/>
        <w:rPr>
          <w:rFonts w:ascii="Arial" w:cs="Arial" w:eastAsia="Arial" w:hAnsi="Arial"/>
          <w:sz w:val="21"/>
          <w:szCs w:val="21"/>
          <w:color w:val="auto"/>
        </w:rPr>
      </w:pPr>
    </w:p>
    <w:p>
      <w:pPr>
        <w:ind w:left="1840" w:hanging="536"/>
        <w:spacing w:after="0"/>
        <w:tabs>
          <w:tab w:leader="none" w:pos="184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all documentation in respect of such Extension shall be consistent with the foregoing, and</w:t>
      </w:r>
    </w:p>
    <w:p>
      <w:pPr>
        <w:spacing w:after="0" w:line="179" w:lineRule="exact"/>
        <w:rPr>
          <w:rFonts w:ascii="Arial" w:cs="Arial" w:eastAsia="Arial" w:hAnsi="Arial"/>
          <w:sz w:val="22"/>
          <w:szCs w:val="22"/>
          <w:color w:val="auto"/>
        </w:rPr>
      </w:pPr>
    </w:p>
    <w:p>
      <w:pPr>
        <w:ind w:left="1900" w:hanging="596"/>
        <w:spacing w:after="0"/>
        <w:tabs>
          <w:tab w:leader="none" w:pos="19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any applicable Minimum Extension Condition shall be satisfied unless waived by the Borrower.</w:t>
      </w:r>
    </w:p>
    <w:p>
      <w:pPr>
        <w:spacing w:after="0" w:line="179" w:lineRule="exact"/>
        <w:rPr>
          <w:sz w:val="20"/>
          <w:szCs w:val="20"/>
          <w:color w:val="auto"/>
        </w:rPr>
      </w:pPr>
    </w:p>
    <w:p>
      <w:pPr>
        <w:jc w:val="both"/>
        <w:ind w:firstLine="1304"/>
        <w:spacing w:after="0" w:line="243" w:lineRule="auto"/>
        <w:tabs>
          <w:tab w:leader="none" w:pos="1949"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With respect to all Extensions consummated by the Borrower pursuant to this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(i) such Extensions shall not constitute voluntary or mandatory payments or prepayments for purposes of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and (ii) no Extension Offer is required to be in any minimum amount or any minimum increment,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may at their election specify as a condition (a “</w:t>
      </w:r>
      <w:r>
        <w:rPr>
          <w:rFonts w:ascii="Arial" w:cs="Arial" w:eastAsia="Arial" w:hAnsi="Arial"/>
          <w:sz w:val="19"/>
          <w:szCs w:val="19"/>
          <w:u w:val="single" w:color="auto"/>
          <w:color w:val="auto"/>
        </w:rPr>
        <w:t>Minimum Extension Condition</w:t>
      </w:r>
      <w:r>
        <w:rPr>
          <w:rFonts w:ascii="Arial" w:cs="Arial" w:eastAsia="Arial" w:hAnsi="Arial"/>
          <w:sz w:val="19"/>
          <w:szCs w:val="19"/>
          <w:color w:val="auto"/>
        </w:rPr>
        <w:t xml:space="preserve">”) to consummating any such Extension that a minimum amount (to be determined and specified in the relevant Extension Offer in the Borrower’s sole discretion and may be waived by the Borrower) of Term Loans or Revolving Commitments (as applicable) of any or all applicable Classes be tendered. The Administrative Agent and the Lenders hereby consent to the consummation of the transactions contemplated by this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(including, for the avoidance of doubt, payment of any interest, fees or premium in respect of any Extended Term Loans and/or Extended Revolving Commitments on such terms as may be set forth in the relevant Extension Offer) and hereby waive the requirements of any provision of this Agreement (including any pro rata payment or amendment section) or any other Loan Document that may otherwise prohibit or restrict any such Extension or any other transaction contemplated by this </w:t>
      </w:r>
      <w:r>
        <w:rPr>
          <w:rFonts w:ascii="Arial" w:cs="Arial" w:eastAsia="Arial" w:hAnsi="Arial"/>
          <w:sz w:val="19"/>
          <w:szCs w:val="19"/>
          <w:u w:val="single" w:color="auto"/>
          <w:color w:val="auto"/>
        </w:rPr>
        <w:t>Section 2.24</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1304"/>
        <w:spacing w:after="0" w:line="241" w:lineRule="auto"/>
        <w:tabs>
          <w:tab w:leader="none" w:pos="1863"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No consent of any Lender or any Agent shall be required to effectuate any Extension, other than (i) the consent of each Lender agreeing to such Extension with respect to one or more of its Term Loans and/or Revolving Commitments (or a portion thereof), (ii) with respect to any Extension of the Revolving Commitments, the consent of each of the Issuing Banks and (iii) to the extent directly adversely amending or modifying the rights or duties of the Administrative Agent beyond those of the type already required to perform under the Loan Documents, the Administrative Agent, which consents shall not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will promptly notify the Administrative Agent of any such Extensions. All Extended Term Loans, Extended Revolving Commitments and all obligations in respect thereof shall be Obligations under this Agreement and the other Loan Documents that are secured by the Collateral on a pari passu basis with all other applicable Obligations under this Agreement and the other Loan Documents. The Lenders hereby irrevocably authorize the Administrative Agent and, to the extent applicable, the Collateral Agent, to enter into amendments to this Agreement and the other Loan Documents with the Borrower and other Loan Parties as may be necessary or advisable in order to establish new Classes in respect of Revolving Commitments or Term Loans so extended and such technical amendments as may be necessary, advisable or appropriate in the reasonable opinion of the Administrative Agent and the Borrower in connection with the establishment of such new Classes, in each case on terms consistent with this </w:t>
      </w:r>
      <w:r>
        <w:rPr>
          <w:rFonts w:ascii="Arial" w:cs="Arial" w:eastAsia="Arial" w:hAnsi="Arial"/>
          <w:sz w:val="19"/>
          <w:szCs w:val="19"/>
          <w:u w:val="single" w:color="auto"/>
          <w:color w:val="auto"/>
        </w:rPr>
        <w:t>Section 2.24</w:t>
      </w:r>
      <w:r>
        <w:rPr>
          <w:rFonts w:ascii="Arial" w:cs="Arial" w:eastAsia="Arial" w:hAnsi="Arial"/>
          <w:sz w:val="19"/>
          <w:szCs w:val="19"/>
          <w:color w:val="auto"/>
        </w:rPr>
        <w:t>. In addition, any such amendment shall provide that, to the extent consented to by each relevant Issuing Bank, (a) with respect to any Letters of Credit the expiration date for which extend beyond the maturity date for the non-extended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89" w:name="page190"/>
    <w:bookmarkEnd w:id="189"/>
    <w:p>
      <w:pPr>
        <w:jc w:val="both"/>
        <w:spacing w:after="0" w:line="242" w:lineRule="auto"/>
        <w:rPr>
          <w:sz w:val="20"/>
          <w:szCs w:val="20"/>
          <w:color w:val="auto"/>
        </w:rPr>
      </w:pPr>
      <w:r>
        <w:rPr>
          <w:rFonts w:ascii="Arial" w:cs="Arial" w:eastAsia="Arial" w:hAnsi="Arial"/>
          <w:sz w:val="19"/>
          <w:szCs w:val="19"/>
          <w:color w:val="auto"/>
        </w:rPr>
        <w:t>Commitments, participations in such Letters of Credit on such maturity date shall be reallocated from Lenders holding Revolving Commitments to Lenders holding Extended Revolving Commitments in accordance with the terms of such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participation interests shall, upon receipt thereof by the relevant Lenders holding Revolving Commitments, be deemed to be participation interests in respect of such Revolving Commitments and the terms of such participation interests (including the commission applicable thereto) shall be adjusted accordingly) and (b) limitations on drawings of Revolving Loans and issuances, extensions and amendments to Letters of Credit shall be implemented giving effect to the foregoing reallocation prior to such reallocation actually occurring to ensure that sufficient Extended Revolving Commitments are available to participate in any such Letters of Credit. Without limiting the foregoing, in connection with any Extensions the respective Loan Parties shall (at their expense) amend (and the Administrative Agent is hereby directed to amend) any Mortgage that has a maturity date prior to the latest termination date of any Extended Term Loans or Extended Revolving Commitments so that such maturity date is extended to the latest termination date of any Extended Term Loans or Extended Revolving Commitments (or such later date as may be advised by local counsel to the Administrative Agent). No Lender shall be required to participate in any Extension.</w:t>
      </w:r>
    </w:p>
    <w:p>
      <w:pPr>
        <w:spacing w:after="0" w:line="164" w:lineRule="exact"/>
        <w:rPr>
          <w:sz w:val="20"/>
          <w:szCs w:val="20"/>
          <w:color w:val="auto"/>
        </w:rPr>
      </w:pPr>
    </w:p>
    <w:p>
      <w:pPr>
        <w:jc w:val="both"/>
        <w:ind w:firstLine="1304"/>
        <w:spacing w:after="0" w:line="216" w:lineRule="auto"/>
        <w:tabs>
          <w:tab w:leader="none" w:pos="1881"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In connection with any Extension, the Borrower shall provide the Administrative Agent at least five (5) Business Days (or such shorter period as may be agreed by the Administrative Agent) prior written notice thereof, and shall agree to such procedures (to ensure reasonable administrative management of the credit facilities hereunder after such Extension), if any, as may be established by, or acceptable to, the Administrative Agent, in each case acting reasonably to accomplish the purposes of this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2.25</w:t>
      </w:r>
      <w:r>
        <w:rPr>
          <w:sz w:val="20"/>
          <w:szCs w:val="20"/>
          <w:color w:val="auto"/>
        </w:rPr>
        <w:tab/>
      </w:r>
      <w:r>
        <w:rPr>
          <w:rFonts w:ascii="Arial" w:cs="Arial" w:eastAsia="Arial" w:hAnsi="Arial"/>
          <w:sz w:val="19"/>
          <w:szCs w:val="19"/>
          <w:u w:val="single" w:color="auto"/>
          <w:color w:val="auto"/>
        </w:rPr>
        <w:t>Term Loan Exchange Notes</w:t>
      </w:r>
      <w:r>
        <w:rPr>
          <w:rFonts w:ascii="Arial" w:cs="Arial" w:eastAsia="Arial" w:hAnsi="Arial"/>
          <w:sz w:val="19"/>
          <w:szCs w:val="19"/>
          <w:color w:val="FF0000"/>
        </w:rPr>
        <w:t>.</w:t>
      </w:r>
    </w:p>
    <w:p>
      <w:pPr>
        <w:spacing w:after="0" w:line="179" w:lineRule="exact"/>
        <w:rPr>
          <w:sz w:val="20"/>
          <w:szCs w:val="20"/>
          <w:color w:val="auto"/>
        </w:rPr>
      </w:pPr>
    </w:p>
    <w:p>
      <w:pPr>
        <w:jc w:val="both"/>
        <w:ind w:firstLine="1304"/>
        <w:spacing w:after="0"/>
        <w:tabs>
          <w:tab w:leader="none" w:pos="186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Borrower may by written notice to the Administrative Agent elect to offer (each a “</w:t>
      </w:r>
      <w:r>
        <w:rPr>
          <w:rFonts w:ascii="Arial" w:cs="Arial" w:eastAsia="Arial" w:hAnsi="Arial"/>
          <w:sz w:val="19"/>
          <w:szCs w:val="19"/>
          <w:u w:val="single" w:color="auto"/>
          <w:color w:val="auto"/>
        </w:rPr>
        <w:t>Permitted Debt</w:t>
      </w:r>
      <w:r>
        <w:rPr>
          <w:rFonts w:ascii="Arial" w:cs="Arial" w:eastAsia="Arial" w:hAnsi="Arial"/>
          <w:sz w:val="19"/>
          <w:szCs w:val="19"/>
          <w:color w:val="auto"/>
        </w:rPr>
        <w:t xml:space="preserve"> </w:t>
      </w:r>
      <w:r>
        <w:rPr>
          <w:rFonts w:ascii="Arial" w:cs="Arial" w:eastAsia="Arial" w:hAnsi="Arial"/>
          <w:sz w:val="19"/>
          <w:szCs w:val="19"/>
          <w:u w:val="single" w:color="auto"/>
          <w:color w:val="auto"/>
        </w:rPr>
        <w:t>Exchange Offer</w:t>
      </w:r>
      <w:r>
        <w:rPr>
          <w:rFonts w:ascii="Arial" w:cs="Arial" w:eastAsia="Arial" w:hAnsi="Arial"/>
          <w:sz w:val="19"/>
          <w:szCs w:val="19"/>
          <w:color w:val="auto"/>
        </w:rPr>
        <w:t>”) to issue to Lenders holding Term Loans under this Agreement first priority senior secured notes and/or junior lien secured notes and/or unsecured notes (the “</w:t>
      </w:r>
      <w:r>
        <w:rPr>
          <w:rFonts w:ascii="Arial" w:cs="Arial" w:eastAsia="Arial" w:hAnsi="Arial"/>
          <w:sz w:val="19"/>
          <w:szCs w:val="19"/>
          <w:u w:val="single" w:color="auto"/>
          <w:color w:val="auto"/>
        </w:rPr>
        <w:t>Term Loan Exchange Notes</w:t>
      </w:r>
      <w:r>
        <w:rPr>
          <w:rFonts w:ascii="Arial" w:cs="Arial" w:eastAsia="Arial" w:hAnsi="Arial"/>
          <w:sz w:val="19"/>
          <w:szCs w:val="19"/>
          <w:color w:val="auto"/>
        </w:rPr>
        <w:t>”) in exchange for all or any portion of the Term Loans (each such exchange, a “</w:t>
      </w:r>
      <w:r>
        <w:rPr>
          <w:rFonts w:ascii="Arial" w:cs="Arial" w:eastAsia="Arial" w:hAnsi="Arial"/>
          <w:sz w:val="19"/>
          <w:szCs w:val="19"/>
          <w:u w:val="single" w:color="auto"/>
          <w:color w:val="auto"/>
        </w:rPr>
        <w:t>Permitted Debt Exchange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Term Loan Exchange Notes may not be in an aggregate principal amount greater than the Term Loans being exchanged (the “</w:t>
      </w:r>
      <w:r>
        <w:rPr>
          <w:rFonts w:ascii="Arial" w:cs="Arial" w:eastAsia="Arial" w:hAnsi="Arial"/>
          <w:sz w:val="19"/>
          <w:szCs w:val="19"/>
          <w:u w:val="single" w:color="auto"/>
          <w:color w:val="auto"/>
        </w:rPr>
        <w:t>Base Exchange Amount</w:t>
      </w:r>
      <w:r>
        <w:rPr>
          <w:rFonts w:ascii="Arial" w:cs="Arial" w:eastAsia="Arial" w:hAnsi="Arial"/>
          <w:sz w:val="19"/>
          <w:szCs w:val="19"/>
          <w:color w:val="auto"/>
        </w:rPr>
        <w:t xml:space="preserve">”) plus unpaid accrued interest and premium (if any) thereon and underwriting discounts, fees, commissions and expenses in connection with the issuance of the Term Loan Exchange Notes,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Borrower may issue Term Loan Exchange Notes in excess of the Base Exchange Amount so long as the incurrence of the Indebtedness in respect of such excess Term Loan Exchange Notes would otherwise be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 Each such notice shall specify the date (each, a “</w:t>
      </w:r>
      <w:r>
        <w:rPr>
          <w:rFonts w:ascii="Arial" w:cs="Arial" w:eastAsia="Arial" w:hAnsi="Arial"/>
          <w:sz w:val="19"/>
          <w:szCs w:val="19"/>
          <w:u w:val="single" w:color="auto"/>
          <w:color w:val="auto"/>
        </w:rPr>
        <w:t>Term Loan Exchange</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on which the Borrower proposes that the Term Loan Exchange Notes shall be issued, which shall be a date not less than five (5) Business Days after the date on which such notice is delivered to the Administrative Agent (or such shorter period as may be agreed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(v) the Weighted Average Life to Maturity of such Term Loan Exchange Notes shall not be shorter than the then remaining Weighted Average Life to Maturity of the Term Loans being exchanged (without giving effect to nominal amortization for periods where amortization has been eliminated as a result of a prepayment of the applicable Term Loans) and the Term Loan Exchange Notes shall not have a final maturity before the Term Loan Maturity Date then in effect for the Class or Classes of Term Loans being exchanged (it being understood that acceleration or mandatory repayment, prepayment, redemption or repurchase of such Term Loan Exchange Notes upon the occurrence of an event of default, a change in control, an event of loss or an asset disposition shall not be deemed to constitute a change in the stated final maturity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restrictions in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shall not apply to the extent such Term Loan Exchange Notes constitute Subject Indebtedness incurred in reliance on the Maturity Limitation Excluded Amount; (w) if secured, such Term Loan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90" w:name="page191"/>
    <w:bookmarkEnd w:id="190"/>
    <w:p>
      <w:pPr>
        <w:jc w:val="both"/>
        <w:spacing w:after="0" w:line="241" w:lineRule="auto"/>
        <w:rPr>
          <w:sz w:val="20"/>
          <w:szCs w:val="20"/>
          <w:color w:val="auto"/>
        </w:rPr>
      </w:pPr>
      <w:r>
        <w:rPr>
          <w:rFonts w:ascii="Arial" w:cs="Arial" w:eastAsia="Arial" w:hAnsi="Arial"/>
          <w:sz w:val="19"/>
          <w:szCs w:val="19"/>
          <w:color w:val="auto"/>
        </w:rPr>
        <w:t>Notes shall rank pari passu or junior in right of payment and of security with or to the Loans being exchanged hereunder; (x) the affirmative and negative covenants (but not the financial maintenance covenants) and events of default (other than maturity, fees, discounts, interest rate, redemption terms and redemption premiums, and other than any such affirmative and negative covenants and events of default that apply only after the Latest Maturity Date in effect as of the time such Term Loan Exchange Notes are issued) of the Term Loan Exchange Notes, if not consistent with the terms of the Term Loans, shall either, at the option of the Borrower, (I) reflect market terms and conditions at the time of issuance (as determined by the Borrower in good faith) or (II) not be materially more restrictive to the Loan Parties when taken as a whole (as reasonably determined by the Borrower) than the terms of the Term Loans, in each case, unless the Term Loans are also given the benefit of such affirmative and negative covenants and events of default and (y) the obligations in respect of the Term Loan Exchange Notes (A) shall not be secured by Liens on any asset of the Holding Companies, the Borrower and the Subsidiaries other than assets constituting Collateral, (B) if such Term Loan Exchange Notes are secured, all security therefor shall be granted pursuant to documentation that is not more restrictive than the Security Documents in any material respect taken as a whole (as determined by the Borrower) and (X) if secured on a pari passu basis, the Senior Representative for such Term Loan Exchange Notes shall enter into a Pari Passu Intercreditor Agreement or (Y) if secured on a junior basis, a Senior Representative acting on behalf of the holders of such Term Loan Exchange Notes shall have become party to a Second Lien Intercreditor Agreement, or (C) shall not be incurred or Guaranteed by any Subsidiary unless such Subsidiary is a Loan Party that shall have previously or substantially concurrently Guaranteed or borrowed such Term Loans being exchanged, except to the extent otherwise permitted hereunder.</w:t>
      </w:r>
    </w:p>
    <w:p>
      <w:pPr>
        <w:spacing w:after="0" w:line="158" w:lineRule="exact"/>
        <w:rPr>
          <w:sz w:val="20"/>
          <w:szCs w:val="20"/>
          <w:color w:val="auto"/>
        </w:rPr>
      </w:pPr>
    </w:p>
    <w:p>
      <w:pPr>
        <w:jc w:val="both"/>
        <w:ind w:firstLine="1304"/>
        <w:spacing w:after="0" w:line="247" w:lineRule="auto"/>
        <w:tabs>
          <w:tab w:leader="none" w:pos="1773" w:val="left"/>
        </w:tabs>
        <w:numPr>
          <w:ilvl w:val="1"/>
          <w:numId w:val="156"/>
        </w:numPr>
        <w:rPr>
          <w:rFonts w:ascii="Arial" w:cs="Arial" w:eastAsia="Arial" w:hAnsi="Arial"/>
          <w:sz w:val="19"/>
          <w:szCs w:val="19"/>
          <w:color w:val="auto"/>
        </w:rPr>
      </w:pPr>
      <w:r>
        <w:rPr>
          <w:rFonts w:ascii="Arial" w:cs="Arial" w:eastAsia="Arial" w:hAnsi="Arial"/>
          <w:sz w:val="19"/>
          <w:szCs w:val="19"/>
          <w:color w:val="auto"/>
        </w:rPr>
        <w:t>The Borrower shall offer to issue Term Loan Exchange Notes in exchange for any Class of Term Loans to all Lenders holding such Class of Term Loans (other than any Lender that, if requested by the Borrower, is unable to certify that it is</w:t>
      </w:r>
    </w:p>
    <w:p>
      <w:pPr>
        <w:jc w:val="both"/>
        <w:ind w:firstLine="8"/>
        <w:spacing w:after="0" w:line="241" w:lineRule="auto"/>
        <w:tabs>
          <w:tab w:leader="none" w:pos="27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 “qualified institutional buyer” (as defined in Rule 144A under the Securities Act), (ii) an institutional “accredited investor” (as defined in Rule 501 under the Securities Act) or (iii) not a “U.S. person” as defined in Rule 902 under the Securities Act) on a pro rata basis, and such Lenders may choose to accept or decline to receive such Term Loan Exchange Notes in their sole discretion. Any such Term Loans exchanged for Term Loan Exchange Notes shall be automatically and immediately, without further action by any Person, cancelled on the Term Loan Exchange Effective Date for all purposes of this Agreement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 Permitted Debt Exchange to the Borrower for immediate cancellation), and accrued and unpaid interest on such Term Loans shall be paid to the exchanging Lenders on the Term Loan Exchange Effective Date, or, if agreed to by the Borrower and the Administrative Agent, the next scheduled Interest Payment Date with respect to such Term Loans (with such interest accruing until the date of consummation of such Permitted Debt Exchange).</w:t>
      </w:r>
    </w:p>
    <w:p>
      <w:pPr>
        <w:spacing w:after="0" w:line="157" w:lineRule="exact"/>
        <w:rPr>
          <w:rFonts w:ascii="Arial" w:cs="Arial" w:eastAsia="Arial" w:hAnsi="Arial"/>
          <w:sz w:val="19"/>
          <w:szCs w:val="19"/>
          <w:color w:val="auto"/>
        </w:rPr>
      </w:pPr>
    </w:p>
    <w:p>
      <w:pPr>
        <w:jc w:val="both"/>
        <w:ind w:firstLine="1304"/>
        <w:spacing w:after="0" w:line="221" w:lineRule="auto"/>
        <w:tabs>
          <w:tab w:leader="none" w:pos="1776" w:val="left"/>
        </w:tabs>
        <w:numPr>
          <w:ilvl w:val="1"/>
          <w:numId w:val="157"/>
        </w:numPr>
        <w:rPr>
          <w:rFonts w:ascii="Arial" w:cs="Arial" w:eastAsia="Arial" w:hAnsi="Arial"/>
          <w:sz w:val="21"/>
          <w:szCs w:val="21"/>
          <w:color w:val="auto"/>
        </w:rPr>
      </w:pPr>
      <w:r>
        <w:rPr>
          <w:rFonts w:ascii="Arial" w:cs="Arial" w:eastAsia="Arial" w:hAnsi="Arial"/>
          <w:sz w:val="21"/>
          <w:szCs w:val="21"/>
          <w:color w:val="auto"/>
        </w:rPr>
        <w:t>If the aggregate principal amount of all Term Loans (calculated on the face amount thereof) of a given Class tendered by Lenders in respect of the relevant Permitted Debt Exchange Offer (with no Lender being permitted to tender a principal amount of Term Loans which exceeds the principal amount of the applicable Class actually held by it) shall exceed the maximum aggregate principal amount of Term Loans of such Class offered to be exchanged by the Borrower pursuant to such Permitted Debt Exchange Offer, then the Borrower shall exchange Term Loans under the relevant Class tendered by such Lenders ratably up to such maximum based on the respective principal amounts so tendered or, if such Permitted Debt Exchange Offer shall have been made with respect to multiple Classes without specifying a maximum aggregate principal amount offered to be exchanged for such Class,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91" w:name="page192"/>
    <w:bookmarkEnd w:id="191"/>
    <w:p>
      <w:pPr>
        <w:jc w:val="both"/>
        <w:spacing w:after="0" w:line="249" w:lineRule="auto"/>
        <w:rPr>
          <w:sz w:val="20"/>
          <w:szCs w:val="20"/>
          <w:color w:val="auto"/>
        </w:rPr>
      </w:pPr>
      <w:r>
        <w:rPr>
          <w:rFonts w:ascii="Arial" w:cs="Arial" w:eastAsia="Arial" w:hAnsi="Arial"/>
          <w:sz w:val="19"/>
          <w:szCs w:val="19"/>
          <w:color w:val="auto"/>
        </w:rPr>
        <w:t>principal amount of all Term Loans (calculated on the face amount thereof) of all Classes tendered by Lenders in respect of the relevant Permitted Debt Exchange Offer (with no Lender being permitted to tender a principal amount of Term Loans which exceeds the principal amount thereof actually held by it) shall exceed the maximum aggregate principal amount of Term Loans of all relevant Classes offered to be exchanged by the Borrower pursuant to such Permitted Debt Exchange Offer, then the Borrower shall exchange Term Loans across all Classes subject to such Permitted Debt Exchange Offer tendered by such Lenders ratably up to such maximum amount based on the respective principal amounts so tendered.</w:t>
      </w:r>
    </w:p>
    <w:p>
      <w:pPr>
        <w:spacing w:after="0" w:line="152" w:lineRule="exact"/>
        <w:rPr>
          <w:sz w:val="20"/>
          <w:szCs w:val="20"/>
          <w:color w:val="auto"/>
        </w:rPr>
      </w:pPr>
    </w:p>
    <w:p>
      <w:pPr>
        <w:jc w:val="both"/>
        <w:ind w:firstLine="1304"/>
        <w:spacing w:after="0" w:line="241" w:lineRule="auto"/>
        <w:tabs>
          <w:tab w:leader="none" w:pos="1793" w:val="left"/>
        </w:tabs>
        <w:numPr>
          <w:ilvl w:val="1"/>
          <w:numId w:val="158"/>
        </w:numPr>
        <w:rPr>
          <w:rFonts w:ascii="Arial" w:cs="Arial" w:eastAsia="Arial" w:hAnsi="Arial"/>
          <w:sz w:val="19"/>
          <w:szCs w:val="19"/>
          <w:color w:val="auto"/>
        </w:rPr>
      </w:pPr>
      <w:r>
        <w:rPr>
          <w:rFonts w:ascii="Arial" w:cs="Arial" w:eastAsia="Arial" w:hAnsi="Arial"/>
          <w:sz w:val="19"/>
          <w:szCs w:val="19"/>
          <w:color w:val="auto"/>
        </w:rPr>
        <w:t xml:space="preserve">With respect to all Permitted Debt Exchanges effected by the Borrower pursuant to this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unless waived by the Borrower, such Permitted Debt Exchange Offer shall be made for not less than $10,000,000 in aggregate principal amount of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foregoing the Borrower may at their election specify (A) as a condition to consummating any such Permitted Debt Exchange that a minimum amount (to be determined and specified in the relevant Permitted Debt Exchange Offer in the Borrower’s discretion) of Term Loans of any or all applicable Classes be tendered and/or</w:t>
      </w:r>
    </w:p>
    <w:p>
      <w:pPr>
        <w:spacing w:after="0" w:line="1" w:lineRule="exact"/>
        <w:rPr>
          <w:rFonts w:ascii="Arial" w:cs="Arial" w:eastAsia="Arial" w:hAnsi="Arial"/>
          <w:sz w:val="19"/>
          <w:szCs w:val="19"/>
          <w:color w:val="auto"/>
        </w:rPr>
      </w:pPr>
    </w:p>
    <w:p>
      <w:pPr>
        <w:jc w:val="both"/>
        <w:ind w:firstLine="8"/>
        <w:spacing w:after="0" w:line="244" w:lineRule="auto"/>
        <w:tabs>
          <w:tab w:leader="none" w:pos="348"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as a condition to consummating any such Permitted Debt Exchange that no more than a maximum amount (to be determined and specified in the relevant Permitted Debt Exchange Offer in the Borrower’s discretion) of Term Loans of any or all applicable Classes will be accepted for exchange. The Administrative Agent and the Lenders hereby acknowledge and agree that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2.25</w:t>
      </w:r>
      <w:r>
        <w:rPr>
          <w:rFonts w:ascii="Arial" w:cs="Arial" w:eastAsia="Arial" w:hAnsi="Arial"/>
          <w:sz w:val="19"/>
          <w:szCs w:val="19"/>
          <w:color w:val="auto"/>
        </w:rPr>
        <w:t xml:space="preserve"> shall supersede any provisions of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to the contrary, waive the requirements of any other provision of this Agreement or any other Loan Document that may otherwise prohibit the incurrence of any Indebtedness expressly provided for by this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and hereby agree not to assert any Default or Event of Default in connection with the implementation of any such Permitted Debt Exchange or any other transaction contemplated by this </w:t>
      </w:r>
      <w:r>
        <w:rPr>
          <w:rFonts w:ascii="Arial" w:cs="Arial" w:eastAsia="Arial" w:hAnsi="Arial"/>
          <w:sz w:val="19"/>
          <w:szCs w:val="19"/>
          <w:u w:val="single" w:color="auto"/>
          <w:color w:val="auto"/>
        </w:rPr>
        <w:t>Section 2.25</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firstLine="1304"/>
        <w:spacing w:after="0" w:line="244" w:lineRule="auto"/>
        <w:tabs>
          <w:tab w:leader="none" w:pos="1812" w:val="left"/>
        </w:tabs>
        <w:numPr>
          <w:ilvl w:val="1"/>
          <w:numId w:val="159"/>
        </w:numPr>
        <w:rPr>
          <w:rFonts w:ascii="Arial" w:cs="Arial" w:eastAsia="Arial" w:hAnsi="Arial"/>
          <w:sz w:val="19"/>
          <w:szCs w:val="19"/>
          <w:color w:val="auto"/>
        </w:rPr>
      </w:pPr>
      <w:r>
        <w:rPr>
          <w:rFonts w:ascii="Arial" w:cs="Arial" w:eastAsia="Arial" w:hAnsi="Arial"/>
          <w:sz w:val="19"/>
          <w:szCs w:val="19"/>
          <w:color w:val="auto"/>
        </w:rPr>
        <w:t xml:space="preserve">In connection with each Permitted Debt Exchange, the Borrower shall provide the Administrative Agent at least five (5) Business Days’ (or such shorter period as may be agreed by the Administrative Agent) prior written notice thereof, and the Borrower and the Administrative Agent, acting reasonably, shall mutually agree to such procedures as may be necessary or advisable to accomplish the purposes of this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terms of any Permitted Debt Exchange Offer shall provide that the date by which the relevant Lenders are required to indicate their election to participate in such Permitted Debt Exchange shall be not less than five (5) Business Days following the date on which the Permitted Debt Exchange Offer is made. The Borrower shall provide the final results of such Permitted Debt Exchange to the Administrative Agent no later than one (1) Business Day prior to the proposed date of effectiveness for such Permitted Debt Exchange and the Administrative Agent shall be entitled to conclusively rely on such results.</w:t>
      </w:r>
    </w:p>
    <w:p>
      <w:pPr>
        <w:spacing w:after="0" w:line="160" w:lineRule="exact"/>
        <w:rPr>
          <w:rFonts w:ascii="Arial" w:cs="Arial" w:eastAsia="Arial" w:hAnsi="Arial"/>
          <w:sz w:val="19"/>
          <w:szCs w:val="19"/>
          <w:color w:val="auto"/>
        </w:rPr>
      </w:pPr>
    </w:p>
    <w:p>
      <w:pPr>
        <w:jc w:val="both"/>
        <w:ind w:firstLine="1304"/>
        <w:spacing w:after="0" w:line="214" w:lineRule="auto"/>
        <w:tabs>
          <w:tab w:leader="none" w:pos="1821" w:val="left"/>
        </w:tabs>
        <w:numPr>
          <w:ilvl w:val="1"/>
          <w:numId w:val="159"/>
        </w:numPr>
        <w:rPr>
          <w:rFonts w:ascii="Arial" w:cs="Arial" w:eastAsia="Arial" w:hAnsi="Arial"/>
          <w:sz w:val="22"/>
          <w:szCs w:val="22"/>
          <w:color w:val="auto"/>
        </w:rPr>
      </w:pPr>
      <w:r>
        <w:rPr>
          <w:rFonts w:ascii="Arial" w:cs="Arial" w:eastAsia="Arial" w:hAnsi="Arial"/>
          <w:sz w:val="22"/>
          <w:szCs w:val="22"/>
          <w:color w:val="auto"/>
        </w:rPr>
        <w:t>The Borrower shall be responsible for compliance with, and hereby agrees to comply with, all applicable securities and other laws in connection with each Permitted Debt Exchange, it being understood and agreed that (x) neither the Administrative Agent nor any Lender assumes any responsibility in connection with the Borrower’s compliance with such laws in connection with any Permitted Debt Exchange and (y) each Lender shall be solely responsible for its compliance with any applicable “insider trading” laws and regulations to which such Lender may be subject under the Securities Exchange Act of 1934, as amended.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jc w:val="center"/>
        <w:spacing w:after="0"/>
        <w:rPr>
          <w:sz w:val="20"/>
          <w:szCs w:val="20"/>
          <w:color w:val="auto"/>
        </w:rPr>
      </w:pPr>
      <w:r>
        <w:rPr>
          <w:rFonts w:ascii="Arial" w:cs="Arial" w:eastAsia="Arial" w:hAnsi="Arial"/>
          <w:sz w:val="22"/>
          <w:szCs w:val="22"/>
          <w:u w:val="single" w:color="auto"/>
          <w:color w:val="auto"/>
        </w:rPr>
        <w:t>Representations and Warranties</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The Borrower and, solely with respect to the representations and warranties applicable to it, each Holding Company, represents and warrants to the Lenders that (it being understood that the following representations and warranties shall be deemed made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92" w:name="page193"/>
    <w:bookmarkEnd w:id="192"/>
    <w:p>
      <w:pPr>
        <w:jc w:val="both"/>
        <w:spacing w:after="0" w:line="247" w:lineRule="auto"/>
        <w:rPr>
          <w:sz w:val="20"/>
          <w:szCs w:val="20"/>
          <w:color w:val="auto"/>
        </w:rPr>
      </w:pPr>
      <w:r>
        <w:rPr>
          <w:rFonts w:ascii="Arial" w:cs="Arial" w:eastAsia="Arial" w:hAnsi="Arial"/>
          <w:sz w:val="21"/>
          <w:szCs w:val="21"/>
          <w:color w:val="auto"/>
        </w:rPr>
        <w:t>to any Foreign Subsidiary only to the extent relevant under applicable law), as of the Closing Date and as of each date the representations and warranties are made or deemed made in accordance with the terms of the Loan Documents:</w:t>
      </w:r>
    </w:p>
    <w:p>
      <w:pPr>
        <w:spacing w:after="0" w:line="151"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 xml:space="preserve">Section 3.01 Organization; Powers. Each of the Holding Companies, the Borrower and the Restricted Subsidiaries (a) is duly organized or incorporated and validly existing, (b) to the extent such concept is applicable in the corresponding jurisdiction, is in good standing under the laws of the jurisdiction of its organization or incorporation and (c) has all requisite organizational or constitutional power and authority to (i) carry on its business as now conducted and as proposed to be conducted and (ii) execute, deliver and perform its obligations under each Loan Document to which it is a party, except, in the case of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only, where the failure to do so, individually or in the aggregate, would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-850265</wp:posOffset>
            </wp:positionV>
            <wp:extent cx="22555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4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u w:val="single" w:color="auto"/>
          <w:color w:val="auto"/>
        </w:rPr>
        <w:t>Section 3.02 Authorization; Enforceability</w:t>
      </w:r>
      <w:r>
        <w:rPr>
          <w:rFonts w:ascii="Arial" w:cs="Arial" w:eastAsia="Arial" w:hAnsi="Arial"/>
          <w:sz w:val="19"/>
          <w:szCs w:val="19"/>
          <w:color w:val="auto"/>
        </w:rPr>
        <w:t>. This Agreement (and the lending transactions contemplated hereby to occur on the Closing Date) have been duly authorized by all necessary corporate, shareholder or other organizational action by the Holding Companies and the Borrower and constitutes, and each other Loan Document to which any Loan Party is a party has been duly authorized by all necessary corporate, shareholder or other organizational action by such Loan Party, and each Loan Document constitutes, or when executed and delivered by such Loan Party, will constitute, a legal, valid and binding obligation on such Loan Party (as the case may be), enforceable in accordance with its terms, subject to (i) applicable bankruptcy, insolvency, winding-up, reorganization, moratorium or other laws affecting creditors’ rights generally and subject to general principles of equity, regardless of whether considered in a proceeding in equity or at law and (ii) the need for filings and registrations necessary to create or perfect the Liens on the Collateral granted by the Loan Parties in favor of the Secured Parties.</w:t>
      </w:r>
    </w:p>
    <w:p>
      <w:pPr>
        <w:spacing w:after="0" w:line="161"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u w:val="single" w:color="auto"/>
          <w:color w:val="auto"/>
        </w:rPr>
        <w:t>Section 3.03 Approvals; No Conflicts</w:t>
      </w:r>
      <w:r>
        <w:rPr>
          <w:rFonts w:ascii="Arial" w:cs="Arial" w:eastAsia="Arial" w:hAnsi="Arial"/>
          <w:sz w:val="19"/>
          <w:szCs w:val="19"/>
          <w:color w:val="auto"/>
        </w:rPr>
        <w:t xml:space="preserve">. The execution, delivery and performance by the Loan Parties of the Loan Documents to which such Loan Parties are a party (a) do not require any consent or approval of, registration or filing with, or any other action by, any Governmental Authority or any other Person, except (i) such as have been obtained or made and are in full force and effect, in each case as of the Closing Date, (ii) filings and registrations of charges necessary to perfect Liens created under the Loan Documents and to release existing Liens (if any), and (iii) those consents, approvals, registrations, filings or other actions, the failure of which to obtain or make would not reasonably be expected to result in a Material Adverse Effect, (b) will not violate any Organizational Document of any Loan Party, (c) will not violate any Requirement of Law applicable to the Borrower or any Restricted Subsidiary, (d) will not violate or result in a default under any indenture, agreement or other instrument in each case constituting Material Indebtedness binding upon the Borrower or any Restricted Subsidiary or their respective assets, or give rise to a right thereunder to require any payment to be made by the Borrower or any Restricted Subsidiary or give rise to a right of, or result in, termination, cancelation or acceleration of any obligation thereunder, in each case as of the Closing Date, and (e) will not result in the creation or imposition of any Lien on any asset of the Borrower or any Restricted Subsidiary, except Liens created under the Loan Documents and Liens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except in the cases of </w:t>
      </w:r>
      <w:r>
        <w:rPr>
          <w:rFonts w:ascii="Arial" w:cs="Arial" w:eastAsia="Arial" w:hAnsi="Arial"/>
          <w:sz w:val="19"/>
          <w:szCs w:val="19"/>
          <w:u w:val="single" w:color="auto"/>
          <w:color w:val="auto"/>
        </w:rPr>
        <w:t>clauses (c)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where such violations, individually or in the aggregate, would not reasonably be expected to result in a Material Adverse Effect.</w:t>
      </w:r>
    </w:p>
    <w:p>
      <w:pPr>
        <w:spacing w:after="0" w:line="3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3.04</w:t>
      </w:r>
      <w:r>
        <w:rPr>
          <w:sz w:val="20"/>
          <w:szCs w:val="20"/>
          <w:color w:val="auto"/>
        </w:rPr>
        <w:tab/>
      </w:r>
      <w:r>
        <w:rPr>
          <w:rFonts w:ascii="Arial" w:cs="Arial" w:eastAsia="Arial" w:hAnsi="Arial"/>
          <w:sz w:val="19"/>
          <w:szCs w:val="19"/>
          <w:u w:val="single" w:color="auto"/>
          <w:color w:val="auto"/>
        </w:rPr>
        <w:t>Financial Condition; No Material Adverse Change</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68" w:lineRule="auto"/>
        <w:tabs>
          <w:tab w:leader="none" w:pos="176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Audited Financial Statements and the Unaudited Financial Statements have been prepared in accordance with GAAP and present fairly in all material respects the financial condition and the results of operations and cash flows of the applicable entities to which they relate as of the dates and for the periods to which they relate. The Pro Forma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93" w:name="page194"/>
    <w:bookmarkEnd w:id="193"/>
    <w:p>
      <w:pPr>
        <w:jc w:val="both"/>
        <w:spacing w:after="0" w:line="216" w:lineRule="auto"/>
        <w:rPr>
          <w:sz w:val="20"/>
          <w:szCs w:val="20"/>
          <w:color w:val="auto"/>
        </w:rPr>
      </w:pPr>
      <w:r>
        <w:rPr>
          <w:rFonts w:ascii="Arial" w:cs="Arial" w:eastAsia="Arial" w:hAnsi="Arial"/>
          <w:sz w:val="22"/>
          <w:szCs w:val="22"/>
          <w:color w:val="auto"/>
        </w:rPr>
        <w:t>Statements have been prepared in good faith, based on assumptions believed by the Borrower to be reasonable as of the date of delivery thereof, and present fairly in all material respects on a pro forma basis the estimated financial position of the Borrower and its Subsidiaries as at the twelve-month period ending December 31, 2017 and their estimated results of operations for the periods covered thereby, assuming that the Transactions had actually occurred at such date or at the beginning of the periods covered thereby.</w:t>
      </w:r>
    </w:p>
    <w:p>
      <w:pPr>
        <w:spacing w:after="0" w:line="158" w:lineRule="exact"/>
        <w:rPr>
          <w:sz w:val="20"/>
          <w:szCs w:val="20"/>
          <w:color w:val="auto"/>
        </w:rPr>
      </w:pPr>
    </w:p>
    <w:p>
      <w:pPr>
        <w:ind w:firstLine="1304"/>
        <w:spacing w:after="0" w:line="232" w:lineRule="auto"/>
        <w:tabs>
          <w:tab w:leader="none" w:pos="1849" w:val="left"/>
        </w:tabs>
        <w:numPr>
          <w:ilvl w:val="0"/>
          <w:numId w:val="161"/>
        </w:numPr>
        <w:rPr>
          <w:rFonts w:ascii="Arial" w:cs="Arial" w:eastAsia="Arial" w:hAnsi="Arial"/>
          <w:sz w:val="22"/>
          <w:szCs w:val="22"/>
          <w:color w:val="auto"/>
        </w:rPr>
      </w:pPr>
      <w:r>
        <w:rPr>
          <w:rFonts w:ascii="Arial" w:cs="Arial" w:eastAsia="Arial" w:hAnsi="Arial"/>
          <w:sz w:val="22"/>
          <w:szCs w:val="22"/>
          <w:color w:val="auto"/>
        </w:rPr>
        <w:t>Since the Closing Date, no event, change or condition has occurred that has had, or would reasonably be expected to have, a Material Adverse Effect.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Each Lender and the Administrative Agent hereby acknowledges and agrees that the Borrower and the Subsidiaries may be required to restate historical financial statements as the result of the implementation of changes in GAAP, or the respective interpretation thereof, and that such restatements will not in and of themselves result in a Default or an Event of Default under the Loan Documents.</w:t>
      </w:r>
    </w:p>
    <w:p>
      <w:pPr>
        <w:spacing w:after="0" w:line="16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3.05</w:t>
      </w:r>
      <w:r>
        <w:rPr>
          <w:sz w:val="20"/>
          <w:szCs w:val="20"/>
          <w:color w:val="auto"/>
        </w:rPr>
        <w:tab/>
      </w:r>
      <w:r>
        <w:rPr>
          <w:rFonts w:ascii="Arial" w:cs="Arial" w:eastAsia="Arial" w:hAnsi="Arial"/>
          <w:sz w:val="19"/>
          <w:szCs w:val="19"/>
          <w:u w:val="single" w:color="auto"/>
          <w:color w:val="auto"/>
        </w:rPr>
        <w:t>Properties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34" w:lineRule="auto"/>
        <w:tabs>
          <w:tab w:leader="none" w:pos="1792"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Each of the Borrower and the Restricted Subsidiaries has good title to, valid leasehold interests in, or rights to use, all its real and personal property material to its business, except for Liens permitted under </w:t>
      </w:r>
      <w:r>
        <w:rPr>
          <w:rFonts w:ascii="Arial" w:cs="Arial" w:eastAsia="Arial" w:hAnsi="Arial"/>
          <w:sz w:val="21"/>
          <w:szCs w:val="21"/>
          <w:u w:val="single" w:color="auto"/>
          <w:color w:val="auto"/>
        </w:rPr>
        <w:t>Section 6.02</w:t>
      </w:r>
      <w:r>
        <w:rPr>
          <w:rFonts w:ascii="Arial" w:cs="Arial" w:eastAsia="Arial" w:hAnsi="Arial"/>
          <w:sz w:val="21"/>
          <w:szCs w:val="21"/>
          <w:color w:val="auto"/>
        </w:rPr>
        <w:t xml:space="preserve"> and except where the failure to have such interest would not reasonably be expected to have a Material Adverse Effect.</w:t>
      </w:r>
    </w:p>
    <w:p>
      <w:pPr>
        <w:spacing w:after="0" w:line="157" w:lineRule="exact"/>
        <w:rPr>
          <w:rFonts w:ascii="Arial" w:cs="Arial" w:eastAsia="Arial" w:hAnsi="Arial"/>
          <w:sz w:val="21"/>
          <w:szCs w:val="21"/>
          <w:color w:val="auto"/>
        </w:rPr>
      </w:pPr>
    </w:p>
    <w:p>
      <w:pPr>
        <w:jc w:val="both"/>
        <w:ind w:firstLine="1304"/>
        <w:spacing w:after="0" w:line="223" w:lineRule="auto"/>
        <w:tabs>
          <w:tab w:leader="none" w:pos="1785" w:val="left"/>
        </w:tabs>
        <w:numPr>
          <w:ilvl w:val="0"/>
          <w:numId w:val="162"/>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3.05</w:t>
      </w:r>
      <w:r>
        <w:rPr>
          <w:rFonts w:ascii="Arial" w:cs="Arial" w:eastAsia="Arial" w:hAnsi="Arial"/>
          <w:sz w:val="22"/>
          <w:szCs w:val="22"/>
          <w:color w:val="auto"/>
        </w:rPr>
        <w:t xml:space="preserve"> hereto is a complete and accurate list of all Material Real Property owned by any Loan Party as of the Closing Date, showing as of the Closing Date the street address (to the extent available), county or other relevant jurisdiction, state and record owner</w:t>
      </w:r>
    </w:p>
    <w:p>
      <w:pPr>
        <w:spacing w:after="0" w:line="158" w:lineRule="exact"/>
        <w:rPr>
          <w:rFonts w:ascii="Arial" w:cs="Arial" w:eastAsia="Arial" w:hAnsi="Arial"/>
          <w:sz w:val="22"/>
          <w:szCs w:val="22"/>
          <w:color w:val="auto"/>
        </w:rPr>
      </w:pPr>
    </w:p>
    <w:p>
      <w:pPr>
        <w:jc w:val="both"/>
        <w:ind w:firstLine="1304"/>
        <w:spacing w:after="0" w:line="219" w:lineRule="auto"/>
        <w:tabs>
          <w:tab w:leader="none" w:pos="1844"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Except as could not, individually or in the aggregate, reasonably be expected to have a Material Adverse Effect (i) the Borrower and the Restricted Subsidiaries own, or are licensed to use, all Intellectual Property that is necessary for the operation of their respective businesses as currently conducted, free and clear of all Liens (other than Liens permitted under </w:t>
      </w:r>
      <w:r>
        <w:rPr>
          <w:rFonts w:ascii="Arial" w:cs="Arial" w:eastAsia="Arial" w:hAnsi="Arial"/>
          <w:sz w:val="21"/>
          <w:szCs w:val="21"/>
          <w:u w:val="single" w:color="auto"/>
          <w:color w:val="auto"/>
        </w:rPr>
        <w:t>Section 6.02</w:t>
      </w:r>
      <w:r>
        <w:rPr>
          <w:rFonts w:ascii="Arial" w:cs="Arial" w:eastAsia="Arial" w:hAnsi="Arial"/>
          <w:sz w:val="21"/>
          <w:szCs w:val="21"/>
          <w:color w:val="auto"/>
        </w:rPr>
        <w:t>), (ii) to the knowledge of the Borrower, all registered and issued Intellectual Property rights owned by the Borrower and the Restricted Subsidiaries are valid and enforceable, (iii) the conduct of, and the use of Intellectual Property in, the respective businesses of the Borrower and the Restricted Subsidiaries does not infringe, misappropriate, dilute, or otherwise violate the rights of any other Person, and (iv) there are no claims, actions, suits or proceedings pending against or, to the knowledge of the Borrower, threatened in writing against the Borrower or any Restricted Subsidiary (A) alleging any infringement, misappropriation, dilution or violation by the Borrower or any Restricted Subsidiary of any Intellectual Property right of any other Person, or (B) challenging the ownership, use, validity or enforceability of any Intellectual Property owned by or licensed to the Borrower or any Restricted Subsidiary.</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3.06</w:t>
      </w:r>
      <w:r>
        <w:rPr>
          <w:sz w:val="20"/>
          <w:szCs w:val="20"/>
          <w:color w:val="auto"/>
        </w:rPr>
        <w:tab/>
      </w:r>
      <w:r>
        <w:rPr>
          <w:rFonts w:ascii="Arial" w:cs="Arial" w:eastAsia="Arial" w:hAnsi="Arial"/>
          <w:sz w:val="19"/>
          <w:szCs w:val="19"/>
          <w:u w:val="single" w:color="auto"/>
          <w:color w:val="auto"/>
        </w:rPr>
        <w:t>Litigation and Environmental Matters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6" w:lineRule="auto"/>
        <w:tabs>
          <w:tab w:leader="none" w:pos="191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There are no actions, suits, investigations or proceedings by or before any arbitrator or Governmental Authority pending against or, to the knowledge of the Borrower, threatened in writing against any Holding Company, the Borrower or any Subsidiary as to which there is a reasonable possibility of an adverse determination and that, if adversely determined would reasonably be expected, individually or in the aggregate, to result in a Material Adverse Effect (other than the Disclosed Matters).</w:t>
      </w:r>
    </w:p>
    <w:p>
      <w:pPr>
        <w:spacing w:after="0" w:line="157" w:lineRule="exact"/>
        <w:rPr>
          <w:rFonts w:ascii="Arial" w:cs="Arial" w:eastAsia="Arial" w:hAnsi="Arial"/>
          <w:sz w:val="22"/>
          <w:szCs w:val="22"/>
          <w:color w:val="auto"/>
        </w:rPr>
      </w:pPr>
    </w:p>
    <w:p>
      <w:pPr>
        <w:ind w:firstLine="1304"/>
        <w:spacing w:after="0" w:line="232" w:lineRule="auto"/>
        <w:tabs>
          <w:tab w:leader="none" w:pos="1851" w:val="left"/>
        </w:tabs>
        <w:numPr>
          <w:ilvl w:val="0"/>
          <w:numId w:val="163"/>
        </w:numPr>
        <w:rPr>
          <w:rFonts w:ascii="Arial" w:cs="Arial" w:eastAsia="Arial" w:hAnsi="Arial"/>
          <w:sz w:val="22"/>
          <w:szCs w:val="22"/>
          <w:color w:val="auto"/>
        </w:rPr>
      </w:pPr>
      <w:r>
        <w:rPr>
          <w:rFonts w:ascii="Arial" w:cs="Arial" w:eastAsia="Arial" w:hAnsi="Arial"/>
          <w:sz w:val="22"/>
          <w:szCs w:val="22"/>
          <w:color w:val="auto"/>
        </w:rPr>
        <w:t>Except for the Disclosed Matters and except with respect to any other matters that, individually or in the aggregate, would not reasonably be expected to result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94" w:name="page195"/>
    <w:bookmarkEnd w:id="194"/>
    <w:p>
      <w:pPr>
        <w:jc w:val="both"/>
        <w:spacing w:after="0" w:line="234" w:lineRule="auto"/>
        <w:rPr>
          <w:sz w:val="20"/>
          <w:szCs w:val="20"/>
          <w:color w:val="auto"/>
        </w:rPr>
      </w:pPr>
      <w:r>
        <w:rPr>
          <w:rFonts w:ascii="Arial" w:cs="Arial" w:eastAsia="Arial" w:hAnsi="Arial"/>
          <w:sz w:val="21"/>
          <w:szCs w:val="21"/>
          <w:color w:val="auto"/>
        </w:rPr>
        <w:t>Material Adverse Effect, neither any Holding Company, the Borrower nor any Subsidiary (i) has failed to comply with any Environmental Law or to obtain, maintain or comply with any Environmental Permit, (ii) has become subject to any Environmental Liability or (iii) has received written notice of any claim with respect to any Environmental Liability.</w:t>
      </w:r>
    </w:p>
    <w:p>
      <w:pPr>
        <w:spacing w:after="0" w:line="158" w:lineRule="exact"/>
        <w:rPr>
          <w:sz w:val="20"/>
          <w:szCs w:val="20"/>
          <w:color w:val="auto"/>
        </w:rPr>
      </w:pPr>
    </w:p>
    <w:p>
      <w:pPr>
        <w:ind w:firstLine="1304"/>
        <w:spacing w:after="0" w:line="298" w:lineRule="auto"/>
        <w:tabs>
          <w:tab w:leader="none" w:pos="1879" w:val="left"/>
        </w:tabs>
        <w:numPr>
          <w:ilvl w:val="0"/>
          <w:numId w:val="164"/>
        </w:numPr>
        <w:rPr>
          <w:rFonts w:ascii="Arial" w:cs="Arial" w:eastAsia="Arial" w:hAnsi="Arial"/>
          <w:sz w:val="19"/>
          <w:szCs w:val="19"/>
          <w:color w:val="auto"/>
        </w:rPr>
      </w:pPr>
      <w:r>
        <w:rPr>
          <w:rFonts w:ascii="Arial" w:cs="Arial" w:eastAsia="Arial" w:hAnsi="Arial"/>
          <w:sz w:val="19"/>
          <w:szCs w:val="19"/>
          <w:color w:val="auto"/>
        </w:rPr>
        <w:t>Since the date of this Agreement, there has been no change in the status of the Disclosed Matters that, individually or in the aggregate, has resulted in, or would reasonably be expected to result in, a Material Adverse Effect.</w:t>
      </w:r>
    </w:p>
    <w:p>
      <w:pPr>
        <w:spacing w:after="0" w:line="1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3.07</w:t>
      </w:r>
      <w:r>
        <w:rPr>
          <w:sz w:val="20"/>
          <w:szCs w:val="20"/>
          <w:color w:val="auto"/>
        </w:rPr>
        <w:tab/>
      </w:r>
      <w:r>
        <w:rPr>
          <w:rFonts w:ascii="Arial" w:cs="Arial" w:eastAsia="Arial" w:hAnsi="Arial"/>
          <w:sz w:val="19"/>
          <w:szCs w:val="19"/>
          <w:u w:val="single" w:color="auto"/>
          <w:color w:val="auto"/>
        </w:rPr>
        <w:t>Compliance with Laws</w:t>
      </w:r>
      <w:r>
        <w:rPr>
          <w:rFonts w:ascii="Arial" w:cs="Arial" w:eastAsia="Arial" w:hAnsi="Arial"/>
          <w:sz w:val="19"/>
          <w:szCs w:val="19"/>
          <w:color w:val="FF0000"/>
          <w:strike w:val="1"/>
        </w:rPr>
        <w:t>.</w:t>
      </w:r>
    </w:p>
    <w:p>
      <w:pPr>
        <w:spacing w:after="0" w:line="179" w:lineRule="exact"/>
        <w:rPr>
          <w:sz w:val="20"/>
          <w:szCs w:val="20"/>
          <w:color w:val="auto"/>
        </w:rPr>
      </w:pPr>
    </w:p>
    <w:p>
      <w:pPr>
        <w:jc w:val="both"/>
        <w:ind w:firstLine="1304"/>
        <w:spacing w:after="0" w:line="223" w:lineRule="auto"/>
        <w:tabs>
          <w:tab w:leader="none" w:pos="1418" w:val="left"/>
        </w:tabs>
        <w:numPr>
          <w:ilvl w:val="0"/>
          <w:numId w:val="165"/>
        </w:numPr>
        <w:rPr>
          <w:rFonts w:ascii="Arial" w:cs="Arial" w:eastAsia="Arial" w:hAnsi="Arial"/>
          <w:sz w:val="22"/>
          <w:szCs w:val="22"/>
          <w:u w:val="single" w:color="auto"/>
          <w:color w:val="0000FF"/>
        </w:rPr>
      </w:pPr>
      <w:r>
        <w:rPr>
          <w:rFonts w:ascii="Arial" w:cs="Arial" w:eastAsia="Arial" w:hAnsi="Arial"/>
          <w:sz w:val="22"/>
          <w:szCs w:val="22"/>
          <w:color w:val="auto"/>
        </w:rPr>
        <w:t>Each of Holdings, the Borrower and the Restricted Subsidiaries is in compliance with all Requirements of Law applicable to it or its property, except, where the failure to do so, individually or in the aggregate, would not reasonably be expected to result in a Material Adverse Effect.</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u w:val="single" w:color="auto"/>
          <w:color w:val="auto"/>
        </w:rPr>
        <w:t>Section 3.08 Investment Company Status</w:t>
      </w:r>
      <w:r>
        <w:rPr>
          <w:rFonts w:ascii="Arial" w:cs="Arial" w:eastAsia="Arial" w:hAnsi="Arial"/>
          <w:sz w:val="19"/>
          <w:szCs w:val="19"/>
          <w:color w:val="auto"/>
        </w:rPr>
        <w:t>. None of Holdings, the Borrower nor any other Loan Party is required to be registered as an “investment company” as defined in, or subject to regulation under, the Investment Company Act of 1940.</w:t>
      </w:r>
    </w:p>
    <w:p>
      <w:pPr>
        <w:spacing w:after="0" w:line="10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u w:val="single" w:color="auto"/>
          <w:color w:val="auto"/>
        </w:rPr>
        <w:t>Section 3.09 Taxes</w:t>
      </w:r>
      <w:r>
        <w:rPr>
          <w:rFonts w:ascii="Arial" w:cs="Arial" w:eastAsia="Arial" w:hAnsi="Arial"/>
          <w:sz w:val="22"/>
          <w:szCs w:val="22"/>
          <w:color w:val="auto"/>
        </w:rPr>
        <w:t>. Each Holding Company, the Borrower and the Restricted Subsidiaries (a) has timely filed or caused to be filed all material Tax returns, filings, elections and reports required to have been filed and (b) has paid or caused to be paid all material Taxes required to have been paid by it, except any Taxes that are being contested in good faith by appropriate proceedings for which adequate reserves have been provided in accordance with GAAP or applicable foreign accounting principles.</w:t>
      </w:r>
    </w:p>
    <w:p>
      <w:pPr>
        <w:spacing w:after="0" w:line="158"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u w:val="single" w:color="auto"/>
          <w:color w:val="auto"/>
        </w:rPr>
        <w:t>Section 3.10 ERISA</w:t>
      </w:r>
      <w:r>
        <w:rPr>
          <w:rFonts w:ascii="Arial" w:cs="Arial" w:eastAsia="Arial" w:hAnsi="Arial"/>
          <w:sz w:val="19"/>
          <w:szCs w:val="19"/>
          <w:color w:val="auto"/>
        </w:rPr>
        <w:t>. (a) No ERISA Event has occurred or is reasonably expected to occur that, when taken together with all other such ERISA Events, for which liability is reasonably expected to occur, would reasonably be expected to result in a Material Adverse Effect, (b) with respect to each employee benefit plan as defined in Section 3(3) of ERISA, each of the Borrower and its respective ERISA Affiliates is in compliance with the applicable provisions of ERISA and the Code and the regulations and published interpretations thereunder, except as would not result in a Material Adverse Effect, (c) there exists no Unfunded Pension Liability with respect to any Plans that would reasonably be expected to result in a Material Adverse Effect, and (d) each Foreign Pension Plan is in compliance with all requirements of law applicable thereto and the respective requirements of the governing documents for such plan, except as would not result in a Material Adverse Effect. With respect to each Foreign Pension Plan, neither the Borrower, any Subsidiaries nor any of their respective directors, officers, employees or agents has engaged in a transaction which would subject the Borrower or any Subsidiary, directly or indirectly, to a tax or civil penalty which could reasonably be expected, individually or in the aggregate, to result in a Material Adverse Effect. With respect to each Foreign Pension Plan, all employer and employee contributions required by applicable law or by the terms of any such Foreign Pension Plan have been made, or, if applicable, accrued in accordance with ordinary accounting practices in the jurisdiction in which any such Foreign Pension Plan is maintained, except as would not result in a Material Adverse Effect. The aggregate unfunded liabilities with respect to any Foreign Pension Plans would not reasonably be expected to result in a Material Adverse Effect.</w:t>
      </w:r>
    </w:p>
    <w:p>
      <w:pPr>
        <w:spacing w:after="0" w:line="3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3.11</w:t>
      </w:r>
      <w:r>
        <w:rPr>
          <w:sz w:val="20"/>
          <w:szCs w:val="20"/>
          <w:color w:val="auto"/>
        </w:rPr>
        <w:tab/>
      </w:r>
      <w:r>
        <w:rPr>
          <w:rFonts w:ascii="Arial" w:cs="Arial" w:eastAsia="Arial" w:hAnsi="Arial"/>
          <w:sz w:val="19"/>
          <w:szCs w:val="19"/>
          <w:u w:val="single" w:color="auto"/>
          <w:color w:val="auto"/>
        </w:rPr>
        <w:t>Disclosure</w:t>
      </w:r>
      <w:r>
        <w:rPr>
          <w:rFonts w:ascii="Arial" w:cs="Arial" w:eastAsia="Arial" w:hAnsi="Arial"/>
          <w:sz w:val="19"/>
          <w:szCs w:val="19"/>
          <w:u w:val="single" w:color="auto"/>
          <w:color w:val="0000FF"/>
        </w:rPr>
        <w:t>.</w:t>
      </w:r>
    </w:p>
    <w:p>
      <w:pPr>
        <w:spacing w:after="0" w:line="179" w:lineRule="exact"/>
        <w:rPr>
          <w:sz w:val="20"/>
          <w:szCs w:val="20"/>
          <w:color w:val="auto"/>
        </w:rPr>
      </w:pPr>
    </w:p>
    <w:p>
      <w:pPr>
        <w:jc w:val="both"/>
        <w:ind w:firstLine="1304"/>
        <w:spacing w:after="0" w:line="223" w:lineRule="auto"/>
        <w:tabs>
          <w:tab w:leader="none" w:pos="1774" w:val="left"/>
        </w:tabs>
        <w:numPr>
          <w:ilvl w:val="0"/>
          <w:numId w:val="166"/>
        </w:numPr>
        <w:rPr>
          <w:rFonts w:ascii="Arial" w:cs="Arial" w:eastAsia="Arial" w:hAnsi="Arial"/>
          <w:sz w:val="22"/>
          <w:szCs w:val="22"/>
          <w:color w:val="0000FF"/>
        </w:rPr>
      </w:pPr>
      <w:r>
        <w:rPr>
          <w:rFonts w:ascii="Arial" w:cs="Arial" w:eastAsia="Arial" w:hAnsi="Arial"/>
          <w:sz w:val="22"/>
          <w:szCs w:val="22"/>
          <w:color w:val="FF0000"/>
          <w:strike w:val="1"/>
        </w:rPr>
        <w:t>. (a)</w:t>
      </w:r>
      <w:r>
        <w:rPr>
          <w:rFonts w:ascii="Arial" w:cs="Arial" w:eastAsia="Arial" w:hAnsi="Arial"/>
          <w:sz w:val="22"/>
          <w:szCs w:val="22"/>
          <w:color w:val="FF0000"/>
        </w:rPr>
        <w:t xml:space="preserve"> </w:t>
      </w:r>
      <w:r>
        <w:rPr>
          <w:rFonts w:ascii="Arial" w:cs="Arial" w:eastAsia="Arial" w:hAnsi="Arial"/>
          <w:sz w:val="22"/>
          <w:szCs w:val="22"/>
          <w:color w:val="000000"/>
        </w:rPr>
        <w:t>The representations and warranties of each Loan Party contained in any Loan Document or in any other</w:t>
      </w:r>
      <w:r>
        <w:rPr>
          <w:rFonts w:ascii="Arial" w:cs="Arial" w:eastAsia="Arial" w:hAnsi="Arial"/>
          <w:sz w:val="22"/>
          <w:szCs w:val="22"/>
          <w:color w:val="FF0000"/>
        </w:rPr>
        <w:t xml:space="preserve"> </w:t>
      </w:r>
      <w:r>
        <w:rPr>
          <w:rFonts w:ascii="Arial" w:cs="Arial" w:eastAsia="Arial" w:hAnsi="Arial"/>
          <w:sz w:val="22"/>
          <w:szCs w:val="22"/>
          <w:color w:val="000000"/>
        </w:rPr>
        <w:t>documents, certificates or written statements furnished by or on behalf of Holdings, the Borrower or any Restricted Subsidiary to the Administrative Agent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-304800</wp:posOffset>
            </wp:positionV>
            <wp:extent cx="3035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95" w:name="page196"/>
    <w:bookmarkEnd w:id="195"/>
    <w:p>
      <w:pPr>
        <w:jc w:val="both"/>
        <w:spacing w:after="0" w:line="242" w:lineRule="auto"/>
        <w:rPr>
          <w:sz w:val="20"/>
          <w:szCs w:val="20"/>
          <w:color w:val="auto"/>
        </w:rPr>
      </w:pPr>
      <w:r>
        <w:rPr>
          <w:rFonts w:ascii="Arial" w:cs="Arial" w:eastAsia="Arial" w:hAnsi="Arial"/>
          <w:sz w:val="19"/>
          <w:szCs w:val="19"/>
          <w:color w:val="auto"/>
        </w:rPr>
        <w:t>connection with the transactions contemplated hereby (other than projections, estimates, budgets, forecasts, pro forma financial information and other forward-looking information and information of a general economic or general industry nature and other general market data), when taken as a whole, do not, as of the date furnished, contain any untrue statement of a material fact or omit to state any material fact necessary to make the statements therein not materially misleading in the light of the circumstances under which they were made (after giving effect to all supplements thereto from time to time). Any projections and pro forma financial information contained in such materials (including any Projections) were prepared in good faith based upon assumptions believed by such Loan Party to be reasonable at the time of delivery thereof, it being understood by the Agents and the Lenders that such projections as to future events (i) are not to be viewed as facts, (ii)(A) are subject to significant uncertainties and contingencies, many of which are beyond the control of the Loan Parties, (B) no assurance is given by the Loan Parties that the results forecast in any such projections will be realized and (C) the actual results during the period or periods covered by any such projections may differ from the forecast results set forth in such projections and such differences may be material and (iii) are not a guarantee of performance.</w:t>
      </w:r>
    </w:p>
    <w:p>
      <w:pPr>
        <w:spacing w:after="0" w:line="385" w:lineRule="exact"/>
        <w:rPr>
          <w:sz w:val="20"/>
          <w:szCs w:val="20"/>
          <w:color w:val="auto"/>
        </w:rPr>
      </w:pPr>
    </w:p>
    <w:p>
      <w:pPr>
        <w:ind w:left="1300"/>
        <w:spacing w:after="0"/>
        <w:rPr>
          <w:sz w:val="20"/>
          <w:szCs w:val="20"/>
          <w:color w:val="auto"/>
        </w:rPr>
      </w:pPr>
      <w:r>
        <w:rPr>
          <w:rFonts w:ascii="Arial" w:cs="Arial" w:eastAsia="Arial" w:hAnsi="Arial"/>
          <w:sz w:val="22"/>
          <w:szCs w:val="22"/>
          <w:color w:val="FF0000"/>
          <w:strike w:val="1"/>
        </w:rPr>
        <w:t>(a)</w:t>
      </w:r>
    </w:p>
    <w:p>
      <w:pPr>
        <w:spacing w:after="0" w:line="179" w:lineRule="exact"/>
        <w:rPr>
          <w:sz w:val="20"/>
          <w:szCs w:val="20"/>
          <w:color w:val="auto"/>
        </w:rPr>
      </w:pPr>
    </w:p>
    <w:p>
      <w:pPr>
        <w:ind w:firstLine="1304"/>
        <w:spacing w:after="0" w:line="232" w:lineRule="auto"/>
        <w:tabs>
          <w:tab w:leader="none" w:pos="1798" w:val="left"/>
        </w:tabs>
        <w:numPr>
          <w:ilvl w:val="0"/>
          <w:numId w:val="167"/>
        </w:numPr>
        <w:rPr>
          <w:rFonts w:ascii="Arial" w:cs="Arial" w:eastAsia="Arial" w:hAnsi="Arial"/>
          <w:sz w:val="22"/>
          <w:szCs w:val="22"/>
          <w:color w:val="0000FF"/>
        </w:rPr>
      </w:pPr>
      <w:r>
        <w:rPr>
          <w:rFonts w:ascii="Arial" w:cs="Arial" w:eastAsia="Arial" w:hAnsi="Arial"/>
          <w:sz w:val="22"/>
          <w:szCs w:val="22"/>
          <w:color w:val="FF0000"/>
          <w:strike w:val="1"/>
        </w:rPr>
        <w:t>(b)</w:t>
      </w:r>
      <w:r>
        <w:rPr>
          <w:rFonts w:ascii="Arial" w:cs="Arial" w:eastAsia="Arial" w:hAnsi="Arial"/>
          <w:sz w:val="22"/>
          <w:szCs w:val="22"/>
          <w:color w:val="FF0000"/>
        </w:rPr>
        <w:t xml:space="preserve"> </w:t>
      </w:r>
      <w:r>
        <w:rPr>
          <w:rFonts w:ascii="Arial" w:cs="Arial" w:eastAsia="Arial" w:hAnsi="Arial"/>
          <w:sz w:val="22"/>
          <w:szCs w:val="22"/>
          <w:color w:val="000000"/>
        </w:rPr>
        <w:t>As of the Closing Date, the information included in the Beneficial Ownership Certification is true and</w:t>
      </w:r>
      <w:r>
        <w:rPr>
          <w:rFonts w:ascii="Arial" w:cs="Arial" w:eastAsia="Arial" w:hAnsi="Arial"/>
          <w:sz w:val="22"/>
          <w:szCs w:val="22"/>
          <w:color w:val="FF0000"/>
        </w:rPr>
        <w:t xml:space="preserve"> </w:t>
      </w:r>
      <w:r>
        <w:rPr>
          <w:rFonts w:ascii="Arial" w:cs="Arial" w:eastAsia="Arial" w:hAnsi="Arial"/>
          <w:sz w:val="22"/>
          <w:szCs w:val="22"/>
          <w:color w:val="000000"/>
        </w:rPr>
        <w:t>correct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-167640</wp:posOffset>
            </wp:positionV>
            <wp:extent cx="3187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318770" cy="8255"/>
                    </a:xfrm>
                    <a:prstGeom prst="rect">
                      <a:avLst/>
                    </a:prstGeom>
                    <a:noFill/>
                  </pic:spPr>
                </pic:pic>
              </a:graphicData>
            </a:graphic>
          </wp:anchor>
        </w:drawing>
      </w:r>
    </w:p>
    <w:p>
      <w:pPr>
        <w:spacing w:after="0" w:line="13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u w:val="single" w:color="auto"/>
          <w:color w:val="auto"/>
        </w:rPr>
        <w:t>Section 3.12 Labor Matters</w:t>
      </w:r>
      <w:r>
        <w:rPr>
          <w:rFonts w:ascii="Arial" w:cs="Arial" w:eastAsia="Arial" w:hAnsi="Arial"/>
          <w:sz w:val="21"/>
          <w:szCs w:val="21"/>
          <w:color w:val="auto"/>
        </w:rPr>
        <w:t>. As of the Closing Date, there are no strikes, work stoppages or material labor disputes against Holdings, the Borrower or any Restricted Subsidiary pending or, to the actual knowledge of the Borrower, threatened in writing, in each case, that would reasonably be expected to have a Material Adverse Effect.</w:t>
      </w:r>
    </w:p>
    <w:p>
      <w:pPr>
        <w:spacing w:after="0" w:line="15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u w:val="single" w:color="auto"/>
          <w:color w:val="auto"/>
        </w:rPr>
        <w:t>Section 3.13 Capitalization of Subsidiaries</w:t>
      </w:r>
      <w:r>
        <w:rPr>
          <w:rFonts w:ascii="Arial" w:cs="Arial" w:eastAsia="Arial" w:hAnsi="Arial"/>
          <w:sz w:val="19"/>
          <w:szCs w:val="19"/>
          <w:color w:val="auto"/>
        </w:rPr>
        <w:t xml:space="preserve">. As of the Closing Date,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sets forth the name of and the percentage ownership by each of the Holding Companies and the Subsidiaries in each Subsidiary (other than Foreign Subsidiaries which are inactive, dormant or have only de minimis assets) and identifies each Subsidiary that is a Loan Party as of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inaccuracies in the name and ownership of any Foreign Subsidiary that is not a Material Subsidiary shall be deemed not material for all purposes under this Agreement and the other Loan Documents.</w:t>
      </w:r>
    </w:p>
    <w:p>
      <w:pPr>
        <w:spacing w:after="0" w:line="14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u w:val="single" w:color="auto"/>
          <w:color w:val="auto"/>
        </w:rPr>
        <w:t>Section 3.14 Solvency</w:t>
      </w:r>
      <w:r>
        <w:rPr>
          <w:rFonts w:ascii="Arial" w:cs="Arial" w:eastAsia="Arial" w:hAnsi="Arial"/>
          <w:sz w:val="22"/>
          <w:szCs w:val="22"/>
          <w:color w:val="auto"/>
        </w:rPr>
        <w:t>. As of the Closing Date, after giving effect to the consummation of the Transactions, Holdings and the Restricted Subsidiaries on a consolidated basis are Solvent.</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3.15</w:t>
      </w:r>
      <w:r>
        <w:rPr>
          <w:sz w:val="20"/>
          <w:szCs w:val="20"/>
          <w:color w:val="auto"/>
        </w:rPr>
        <w:tab/>
      </w: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921" w:val="left"/>
        </w:tabs>
        <w:numPr>
          <w:ilvl w:val="0"/>
          <w:numId w:val="168"/>
        </w:numPr>
        <w:rPr>
          <w:rFonts w:ascii="Arial" w:cs="Arial" w:eastAsia="Arial" w:hAnsi="Arial"/>
          <w:sz w:val="22"/>
          <w:szCs w:val="22"/>
          <w:color w:val="auto"/>
        </w:rPr>
      </w:pPr>
      <w:r>
        <w:rPr>
          <w:rFonts w:ascii="Arial" w:cs="Arial" w:eastAsia="Arial" w:hAnsi="Arial"/>
          <w:sz w:val="22"/>
          <w:szCs w:val="22"/>
          <w:color w:val="auto"/>
        </w:rPr>
        <w:t>None of Holdings, the Borrower or any Restricted Subsidiary is engaged principally, or as one of its important activities, in the business of extending credit for the purpose of buying or carrying Margin Stock.</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85"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Taking into account all of the Transactions, no part of the proceeds of the Loans will be used, whether directly or indirectly, and whether immediately, incidentally or ultimately, for any purpose that entails a violation of the provisions of the Regulations of the Board, including Regulation T, U or X thereof.</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Section 3.16 Senior Indebtedness; Subordination. The Obligations hereunder and under the other Loan Documents are within the definition of “First Lien Debt”, “Senior Debt” (or any comparable term) and “Designated Senior Debt” (or any comparable terms),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-304800</wp:posOffset>
            </wp:positionV>
            <wp:extent cx="30511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3051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96" w:name="page197"/>
    <w:bookmarkEnd w:id="196"/>
    <w:p>
      <w:pPr>
        <w:jc w:val="both"/>
        <w:spacing w:after="0" w:line="232" w:lineRule="auto"/>
        <w:rPr>
          <w:sz w:val="20"/>
          <w:szCs w:val="20"/>
          <w:color w:val="auto"/>
        </w:rPr>
      </w:pPr>
      <w:r>
        <w:rPr>
          <w:rFonts w:ascii="Arial" w:cs="Arial" w:eastAsia="Arial" w:hAnsi="Arial"/>
          <w:sz w:val="22"/>
          <w:szCs w:val="22"/>
          <w:color w:val="auto"/>
        </w:rPr>
        <w:t>extent applicable, under and as defined in the subordination provisions in the documentation governing Subordinated Indebtedness, if any.</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auto"/>
        </w:rPr>
        <w:t>Section 3.17 Use of Proceeds</w:t>
      </w:r>
      <w:r>
        <w:rPr>
          <w:rFonts w:ascii="Arial" w:cs="Arial" w:eastAsia="Arial" w:hAnsi="Arial"/>
          <w:sz w:val="22"/>
          <w:szCs w:val="22"/>
          <w:color w:val="auto"/>
        </w:rPr>
        <w:t xml:space="preserve">. The proceeds of the Term Loans and the Revolving Loans will be used in accordance with </w:t>
      </w:r>
      <w:r>
        <w:rPr>
          <w:rFonts w:ascii="Arial" w:cs="Arial" w:eastAsia="Arial" w:hAnsi="Arial"/>
          <w:sz w:val="22"/>
          <w:szCs w:val="22"/>
          <w:u w:val="single" w:color="auto"/>
          <w:color w:val="auto"/>
        </w:rPr>
        <w:t>Section 5.09</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proceeds of any Incremental Credit Facility may be used for any purpose agreed to by the lenders thereof to the extent not otherwise in violation of this Agreement.</w:t>
      </w:r>
    </w:p>
    <w:p>
      <w:pPr>
        <w:spacing w:after="0" w:line="159" w:lineRule="exact"/>
        <w:rPr>
          <w:sz w:val="20"/>
          <w:szCs w:val="20"/>
          <w:color w:val="auto"/>
        </w:rPr>
      </w:pPr>
    </w:p>
    <w:p>
      <w:pPr>
        <w:jc w:val="both"/>
        <w:ind w:firstLine="1296"/>
        <w:spacing w:after="0"/>
        <w:rPr>
          <w:sz w:val="20"/>
          <w:szCs w:val="20"/>
          <w:color w:val="auto"/>
        </w:rPr>
      </w:pPr>
      <w:r>
        <w:rPr>
          <w:rFonts w:ascii="Arial" w:cs="Arial" w:eastAsia="Arial" w:hAnsi="Arial"/>
          <w:sz w:val="19"/>
          <w:szCs w:val="19"/>
          <w:u w:val="single" w:color="auto"/>
          <w:color w:val="auto"/>
        </w:rPr>
        <w:t>Section 3.18 Security Documents</w:t>
      </w:r>
      <w:r>
        <w:rPr>
          <w:rFonts w:ascii="Arial" w:cs="Arial" w:eastAsia="Arial" w:hAnsi="Arial"/>
          <w:sz w:val="19"/>
          <w:szCs w:val="19"/>
          <w:color w:val="auto"/>
        </w:rPr>
        <w:t>. The Security Documents are effective to create in favor of the Collateral Agent for the benefit of the applicable Secured Parties legal, valid and enforceable (subject to (a) applicable bankruptcy, insolvency, winding-up, reorganization, moratorium or other laws affecting creditors’ rights generally and subject to general principles of equity, regardless of whether considered in a proceeding in equity or at law, (b) any filings, notices and recordings and other perfection requirements necessary to create or perfect the Liens on the Collateral granted by the Loan Parties in favor of the Secured Parties (which filings, notices or recordings shall be made to the extent required by any Security Document) and</w:t>
      </w:r>
    </w:p>
    <w:p>
      <w:pPr>
        <w:spacing w:after="0" w:line="3" w:lineRule="exact"/>
        <w:rPr>
          <w:sz w:val="20"/>
          <w:szCs w:val="20"/>
          <w:color w:val="auto"/>
        </w:rPr>
      </w:pPr>
    </w:p>
    <w:p>
      <w:pPr>
        <w:jc w:val="both"/>
        <w:ind w:firstLine="8"/>
        <w:spacing w:after="0" w:line="237" w:lineRule="auto"/>
        <w:tabs>
          <w:tab w:leader="none" w:pos="323" w:val="left"/>
        </w:tabs>
        <w:numPr>
          <w:ilvl w:val="0"/>
          <w:numId w:val="169"/>
        </w:numPr>
        <w:rPr>
          <w:rFonts w:ascii="Arial" w:cs="Arial" w:eastAsia="Arial" w:hAnsi="Arial"/>
          <w:sz w:val="19"/>
          <w:szCs w:val="19"/>
          <w:color w:val="auto"/>
        </w:rPr>
      </w:pPr>
      <w:r>
        <w:rPr>
          <w:rFonts w:ascii="Arial" w:cs="Arial" w:eastAsia="Arial" w:hAnsi="Arial"/>
          <w:sz w:val="19"/>
          <w:szCs w:val="19"/>
          <w:color w:val="auto"/>
        </w:rPr>
        <w:t>with respect to enforceability against Foreign Subsidiaries or under non-U.S. laws, the effect of non-U.S. laws, rules and regulations as they relate to pledges, if any, of Equity Interests in Foreign Subsidiaries and intercompany Indebtedness owed by Foreign Subsidiaries) first priority Liens on, and security interests in, the Collateral (subject to Permitted Encumbrances) and,</w:t>
      </w:r>
    </w:p>
    <w:p>
      <w:pPr>
        <w:jc w:val="both"/>
        <w:ind w:firstLine="8"/>
        <w:spacing w:after="0" w:line="209" w:lineRule="auto"/>
        <w:tabs>
          <w:tab w:leader="none" w:pos="31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when all appropriate filings, notices or recordings are made in the appropriate offices, corporate records or with the appropriate Persons as may be required under applicable laws and any Security Document (which filings, notices or recordings shall be made to the extent required by any Security Document) and (ii) upon the taking of possession or control by the Collateral Agent of such Collateral with respect to which a security interest may be perfected only by possession or control (which possession or control shall be given to the Collateral Agent to the extent required by any Security Document), such Security Document will constitute fully perfected Liens on, and security interests in, all right, title and interest of the Loan Parties in such Collateral to the extent such Liens and security interests can be perfected by such filings, notices, recordings, possession or control.</w:t>
      </w:r>
    </w:p>
    <w:p>
      <w:pPr>
        <w:spacing w:after="0" w:line="16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3.19</w:t>
      </w:r>
      <w:r>
        <w:rPr>
          <w:sz w:val="20"/>
          <w:szCs w:val="20"/>
          <w:color w:val="auto"/>
        </w:rPr>
        <w:tab/>
      </w:r>
      <w:r>
        <w:rPr>
          <w:rFonts w:ascii="Arial" w:cs="Arial" w:eastAsia="Arial" w:hAnsi="Arial"/>
          <w:sz w:val="19"/>
          <w:szCs w:val="19"/>
          <w:u w:val="single" w:color="auto"/>
          <w:color w:val="auto"/>
        </w:rPr>
        <w:t>OFAC; FCPA; Patriot Act</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2" w:lineRule="auto"/>
        <w:tabs>
          <w:tab w:leader="none" w:pos="1894" w:val="left"/>
        </w:tabs>
        <w:numPr>
          <w:ilvl w:val="0"/>
          <w:numId w:val="171"/>
        </w:numPr>
        <w:rPr>
          <w:rFonts w:ascii="Arial" w:cs="Arial" w:eastAsia="Arial" w:hAnsi="Arial"/>
          <w:sz w:val="21"/>
          <w:szCs w:val="21"/>
          <w:color w:val="auto"/>
        </w:rPr>
      </w:pPr>
      <w:r>
        <w:rPr>
          <w:rFonts w:ascii="Arial" w:cs="Arial" w:eastAsia="Arial" w:hAnsi="Arial"/>
          <w:sz w:val="21"/>
          <w:szCs w:val="21"/>
          <w:color w:val="auto"/>
        </w:rPr>
        <w:t>None of Holdings or any of the Restricted Subsidiaries, nor any director or officer thereof, nor, to the knowledge of the Borrower, any employee of the Borrower or any of the Restricted Subsidiaries is a Person that is, or is in the aggregate, fifty percent or greater owned by Persons that are: (i) the target of any sanctions administered or enforced by the U.S. Department of the Treasury’s Office of Foreign Assets Control or the U.S. State Department, the United Nations Security Council, the European Union, Her Majesty’s Treasury or other relevant sanctions authority (collectively, “</w:t>
      </w:r>
      <w:r>
        <w:rPr>
          <w:rFonts w:ascii="Arial" w:cs="Arial" w:eastAsia="Arial" w:hAnsi="Arial"/>
          <w:sz w:val="21"/>
          <w:szCs w:val="21"/>
          <w:u w:val="single" w:color="auto"/>
          <w:color w:val="auto"/>
        </w:rPr>
        <w:t>Sanctions</w:t>
      </w:r>
      <w:r>
        <w:rPr>
          <w:rFonts w:ascii="Arial" w:cs="Arial" w:eastAsia="Arial" w:hAnsi="Arial"/>
          <w:sz w:val="21"/>
          <w:szCs w:val="21"/>
          <w:color w:val="auto"/>
        </w:rPr>
        <w:t>”), or (ii) located, organized or resident in a country or territory that is, or whose government is, the target of Sanctions (currently, the Crimea Region of Ukraine, Cuba, Iran, North Korea and Syria).</w:t>
      </w:r>
    </w:p>
    <w:p>
      <w:pPr>
        <w:spacing w:after="0" w:line="164" w:lineRule="exact"/>
        <w:rPr>
          <w:rFonts w:ascii="Arial" w:cs="Arial" w:eastAsia="Arial" w:hAnsi="Arial"/>
          <w:sz w:val="21"/>
          <w:szCs w:val="21"/>
          <w:color w:val="auto"/>
        </w:rPr>
      </w:pPr>
    </w:p>
    <w:p>
      <w:pPr>
        <w:jc w:val="both"/>
        <w:ind w:firstLine="1304"/>
        <w:spacing w:after="0" w:line="247" w:lineRule="auto"/>
        <w:tabs>
          <w:tab w:leader="none" w:pos="1774"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Borrower will not, directly or, knowingly, indirectly, use the proceeds of the Loans or lend, contribute or otherwise make available such proceeds to any subsidiary, joint venture partner or other Person, (i) to fund any activities or business of or with any Person, or in any country or territory, that, at the time of such funding, is, or whose government is, the target of any Sanctions, in any manner that would cause or result in the violation of Sanctions by any Loan Party,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(the “</w:t>
      </w:r>
      <w:r>
        <w:rPr>
          <w:rFonts w:ascii="Arial" w:cs="Arial" w:eastAsia="Arial" w:hAnsi="Arial"/>
          <w:sz w:val="19"/>
          <w:szCs w:val="19"/>
          <w:u w:val="single" w:color="auto"/>
          <w:color w:val="auto"/>
        </w:rPr>
        <w:t>FCPA</w:t>
      </w:r>
      <w:r>
        <w:rPr>
          <w:rFonts w:ascii="Arial" w:cs="Arial" w:eastAsia="Arial" w:hAnsi="Arial"/>
          <w:sz w:val="19"/>
          <w:szCs w:val="19"/>
          <w:color w:val="auto"/>
        </w:rPr>
        <w:t>”) or any other applicable anti-corruption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97" w:name="page198"/>
    <w:bookmarkEnd w:id="197"/>
    <w:p>
      <w:pPr>
        <w:jc w:val="both"/>
        <w:ind w:firstLine="1304"/>
        <w:spacing w:after="0" w:line="214" w:lineRule="auto"/>
        <w:tabs>
          <w:tab w:leader="none" w:pos="1777" w:val="left"/>
        </w:tabs>
        <w:numPr>
          <w:ilvl w:val="0"/>
          <w:numId w:val="172"/>
        </w:numPr>
        <w:rPr>
          <w:rFonts w:ascii="Arial" w:cs="Arial" w:eastAsia="Arial" w:hAnsi="Arial"/>
          <w:sz w:val="22"/>
          <w:szCs w:val="22"/>
          <w:color w:val="auto"/>
        </w:rPr>
      </w:pPr>
      <w:r>
        <w:rPr>
          <w:rFonts w:ascii="Arial" w:cs="Arial" w:eastAsia="Arial" w:hAnsi="Arial"/>
          <w:sz w:val="22"/>
          <w:szCs w:val="22"/>
          <w:color w:val="auto"/>
        </w:rPr>
        <w:t>Holdings, the Borrower and the other Loan Parties are in compliance in all material respects with the Patriot Act (to the extent applicable), applicable U.S. anti-money-laundering laws, and all applicable U.S. anti-corruption laws and Sanctions, and, in the case of any applicable material jurisdictions with respect to the Borrower and the other Loan Parties, anti-money-laundering laws and anti-corruption laws and Sanctions of relevant applicable foreign jurisdictions. The Borrower has implemented and maintain measures reasonably designed to ensure compliance by the Borrower, and the Restricted Subsidiaries with all applicable anti-corruption laws.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jc w:val="center"/>
        <w:spacing w:after="0"/>
        <w:rPr>
          <w:sz w:val="20"/>
          <w:szCs w:val="20"/>
          <w:color w:val="auto"/>
        </w:rPr>
      </w:pPr>
      <w:r>
        <w:rPr>
          <w:rFonts w:ascii="Arial" w:cs="Arial" w:eastAsia="Arial" w:hAnsi="Arial"/>
          <w:sz w:val="22"/>
          <w:szCs w:val="22"/>
          <w:u w:val="single" w:color="auto"/>
          <w:color w:val="auto"/>
        </w:rPr>
        <w:t>Conditions</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auto"/>
        </w:rPr>
        <w:t>Section 4.01 Closing Date</w:t>
      </w:r>
      <w:r>
        <w:rPr>
          <w:rFonts w:ascii="Arial" w:cs="Arial" w:eastAsia="Arial" w:hAnsi="Arial"/>
          <w:sz w:val="22"/>
          <w:szCs w:val="22"/>
          <w:color w:val="auto"/>
        </w:rPr>
        <w:t>. The Agreement and the obligations of the Lenders to make the extensions of credit to be made hereunder on the Closing Date shall not become effective until the date on which each of the following express conditions is satisfied (or waived by the Joint Lead Arrangers):</w:t>
      </w:r>
    </w:p>
    <w:p>
      <w:pPr>
        <w:spacing w:after="0" w:line="159" w:lineRule="exact"/>
        <w:rPr>
          <w:sz w:val="20"/>
          <w:szCs w:val="20"/>
          <w:color w:val="auto"/>
        </w:rPr>
      </w:pPr>
    </w:p>
    <w:p>
      <w:pPr>
        <w:jc w:val="both"/>
        <w:ind w:firstLine="1304"/>
        <w:spacing w:after="0" w:line="239" w:lineRule="auto"/>
        <w:tabs>
          <w:tab w:leader="none" w:pos="1772"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The Administrative Agent (or its counsel) shall have received: (A) from the Borrower either (i) a counterpart of this Agreement and the Security Agreement signed on behalf of the Borrower or (ii) written evidence reasonably satisfactory to the Administrative Agent (which may include telecopy or electronic transmission (including Adobe pdf file) of a signed signature page of this Agreement and the Security Agreement) that the Borrower has signed a counterpart of this Agreement, together with all Schedules hereto, and the Security Agreement, (B) from the Loan Parties, executed counterparts of the Guaranty and the Security Agreement, (C) [reserved], (D) from the Borrower, a Note executed by the Borrower for each Lender that requests such a Note at least three (3) Business Days prior to the Closing Date, (E) with respect to each Loan Party, UCC-1 financing statements, as applicable, in a form appropriate for filing in the state of organization or formation, the jurisdiction in which its chief executive office is located or the jurisdiction in which its assets are located, as the case may be, of such Loan Party or for Holdings or any other Loan Party that is a Foreign Subsidiary, the District of Columbia, (F) executed intellectual property security agreements, as required pursuant to the Security Agreement, (G) if required to be delivered on or prior to the Closing Date pursuant to the Security Agreement, delivery of stock or share certificates for certificated Equity Interests that constitute Collateral, together with appropriate instruments of transfer endorsed in blank, subject to any rules, regulations and restrictions relating to pledges or share mortgages under applicable law, (H) from the Loan Parties party thereto, executed counterparts of the Second Lien Intercreditor Agreement and (I) if required to be delivered on or prior to the Closing Date pursuant to the Security Agreement, all agreements or instruments representing or evidencing the Collateral accompanied by instruments of transfer and stock powers undated and endorsed in blank; </w:t>
      </w:r>
      <w:r>
        <w:rPr>
          <w:rFonts w:ascii="Arial" w:cs="Arial" w:eastAsia="Arial" w:hAnsi="Arial"/>
          <w:sz w:val="19"/>
          <w:szCs w:val="19"/>
          <w:u w:val="single" w:color="auto"/>
          <w:color w:val="auto"/>
        </w:rPr>
        <w:t>provided</w:t>
      </w:r>
      <w:r>
        <w:rPr>
          <w:rFonts w:ascii="Arial" w:cs="Arial" w:eastAsia="Arial" w:hAnsi="Arial"/>
          <w:sz w:val="19"/>
          <w:szCs w:val="19"/>
          <w:color w:val="auto"/>
        </w:rPr>
        <w:t>, in each case, that to the extent any Collateral or any security interests therein (including the creation, perfection or priority of any security interest) is not or cannot be provided on the Closing Date (other than (i) a lien on Collateral that may be perfected solely by the filing of a financing statement under and in connection with the UCC, (ii) by intellectual property filings with the United States Patent and Trademark Office and the United States Copyright Office and (iii) a pledge of the certificated Equity Interests of the Borrower and the Subsidiary Guarantors, in each case, organized under the laws of the United States with respect to which a lien may be perfected after the Closing Date by the delivery of a stock or equivalent certificate together with a stock power or similar instrument of transfer endorsed in blank), then the provision and/or perfection, as applicable, of any such Collateral shall not constitute a condition precedent to the Initial Term Loans or the Initial Revolving Borrowing, but may instead be delivered and/or perfected within ninety (90) days after the Closing Date, subject to such extensions as are reasonably agreed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98" w:name="page199"/>
    <w:bookmarkEnd w:id="198"/>
    <w:p>
      <w:pPr>
        <w:jc w:val="both"/>
        <w:ind w:firstLine="1304"/>
        <w:spacing w:after="0" w:line="223" w:lineRule="auto"/>
        <w:tabs>
          <w:tab w:leader="none" w:pos="1805" w:val="left"/>
        </w:tabs>
        <w:numPr>
          <w:ilvl w:val="1"/>
          <w:numId w:val="174"/>
        </w:numPr>
        <w:rPr>
          <w:rFonts w:ascii="Arial" w:cs="Arial" w:eastAsia="Arial" w:hAnsi="Arial"/>
          <w:sz w:val="22"/>
          <w:szCs w:val="22"/>
          <w:color w:val="auto"/>
        </w:rPr>
      </w:pPr>
      <w:r>
        <w:rPr>
          <w:rFonts w:ascii="Arial" w:cs="Arial" w:eastAsia="Arial" w:hAnsi="Arial"/>
          <w:sz w:val="22"/>
          <w:szCs w:val="22"/>
          <w:color w:val="auto"/>
        </w:rPr>
        <w:t>The Administrative Agent shall have received a customary written opinion (addressed to the Administrative Agent, the Collateral Agent, the Issuing Lenders and the Lenders and dated the Closing Date) of Kirkland &amp; Ellis LLP, special counsel to the Borrower and the other Loan Parties.</w:t>
      </w:r>
    </w:p>
    <w:p>
      <w:pPr>
        <w:spacing w:after="0" w:line="158" w:lineRule="exact"/>
        <w:rPr>
          <w:rFonts w:ascii="Arial" w:cs="Arial" w:eastAsia="Arial" w:hAnsi="Arial"/>
          <w:sz w:val="22"/>
          <w:szCs w:val="22"/>
          <w:color w:val="auto"/>
        </w:rPr>
      </w:pPr>
    </w:p>
    <w:p>
      <w:pPr>
        <w:jc w:val="both"/>
        <w:ind w:firstLine="1304"/>
        <w:spacing w:after="0" w:line="238" w:lineRule="auto"/>
        <w:tabs>
          <w:tab w:leader="none" w:pos="1790" w:val="left"/>
        </w:tabs>
        <w:numPr>
          <w:ilvl w:val="1"/>
          <w:numId w:val="174"/>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(i) a copy of each Organizational Document of the Borrower and the Loan Parties and, to the extent applicable, certified as of a recent date by the appropriate governmental official; (ii) signature and incumbency certificates of the officers of such Person executing the Loan Documents to which it is a party; (iii) resolutions of the board of directors or similar governing body of the Borrower and the Loan Parties approving and authorizing the execution, delivery and performance of this Agreement and the other Loan Documents to which such Loan Party is a party, certified as of the Closing Date by such Loan Party as being in full force and effect without modification or amendment; (iv) a specimen of the signature of each person authorized by the resolution referred into in paragraph (iii) above in relation to the Loan Documents and related documents; (v) a good standing certificate (to the extent such concept is known in the relevant jurisdiction) from the applicable Governmental Authority of the Borrower and the Loan Parties jurisdiction of incorporation, organization or formation dated a recent date prior to the Closing Date; and (vi) a certificate of (x) a Responsible Officer of each Loan Party that the documents referred to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are in full force and effect as of the Closing Date and (y) a Responsible Officer of the Borrower that the conditions specified in </w:t>
      </w:r>
      <w:r>
        <w:rPr>
          <w:rFonts w:ascii="Arial" w:cs="Arial" w:eastAsia="Arial" w:hAnsi="Arial"/>
          <w:sz w:val="19"/>
          <w:szCs w:val="19"/>
          <w:u w:val="single" w:color="auto"/>
          <w:color w:val="auto"/>
        </w:rPr>
        <w:t>clauses (j)</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(l)</w:t>
      </w:r>
      <w:r>
        <w:rPr>
          <w:rFonts w:ascii="Arial" w:cs="Arial" w:eastAsia="Arial" w:hAnsi="Arial"/>
          <w:sz w:val="19"/>
          <w:szCs w:val="19"/>
          <w:color w:val="auto"/>
        </w:rPr>
        <w:t xml:space="preserve"> below have been satisfied;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Loan Party on the Closing Date that is a Foreign Subsidiary, in lieu of delivery of the items set forth in </w:t>
      </w:r>
      <w:r>
        <w:rPr>
          <w:rFonts w:ascii="Arial" w:cs="Arial" w:eastAsia="Arial" w:hAnsi="Arial"/>
          <w:sz w:val="19"/>
          <w:szCs w:val="19"/>
          <w:u w:val="single" w:color="auto"/>
          <w:color w:val="auto"/>
        </w:rPr>
        <w:t>clauses</w:t>
      </w:r>
    </w:p>
    <w:p>
      <w:pPr>
        <w:spacing w:after="0" w:line="9" w:lineRule="exact"/>
        <w:rPr>
          <w:rFonts w:ascii="Arial" w:cs="Arial" w:eastAsia="Arial" w:hAnsi="Arial"/>
          <w:sz w:val="19"/>
          <w:szCs w:val="19"/>
          <w:color w:val="auto"/>
        </w:rPr>
      </w:pPr>
    </w:p>
    <w:p>
      <w:pPr>
        <w:ind w:left="260" w:hanging="252"/>
        <w:spacing w:after="0"/>
        <w:tabs>
          <w:tab w:leader="none" w:pos="260" w:val="left"/>
        </w:tabs>
        <w:numPr>
          <w:ilvl w:val="0"/>
          <w:numId w:val="175"/>
        </w:numPr>
        <w:rPr>
          <w:rFonts w:ascii="Arial" w:cs="Arial" w:eastAsia="Arial" w:hAnsi="Arial"/>
          <w:sz w:val="21"/>
          <w:szCs w:val="21"/>
          <w:u w:val="single" w:color="auto"/>
          <w:color w:val="auto"/>
        </w:rPr>
      </w:pPr>
      <w:r>
        <w:rPr>
          <w:rFonts w:ascii="Arial" w:cs="Arial" w:eastAsia="Arial" w:hAnsi="Arial"/>
          <w:sz w:val="21"/>
          <w:szCs w:val="21"/>
          <w:color w:val="auto"/>
        </w:rPr>
        <w:t xml:space="preserve">through </w:t>
      </w:r>
      <w:r>
        <w:rPr>
          <w:rFonts w:ascii="Arial" w:cs="Arial" w:eastAsia="Arial" w:hAnsi="Arial"/>
          <w:sz w:val="21"/>
          <w:szCs w:val="21"/>
          <w:u w:val="single" w:color="auto"/>
          <w:color w:val="auto"/>
        </w:rPr>
        <w:t>(iv)</w:t>
      </w:r>
      <w:r>
        <w:rPr>
          <w:rFonts w:ascii="Arial" w:cs="Arial" w:eastAsia="Arial" w:hAnsi="Arial"/>
          <w:sz w:val="21"/>
          <w:szCs w:val="21"/>
          <w:color w:val="auto"/>
        </w:rPr>
        <w:t>, such Loan Party shall deliver a customary director’s certificate, including customary attachments thereto.</w:t>
      </w:r>
    </w:p>
    <w:p>
      <w:pPr>
        <w:spacing w:after="0" w:line="172" w:lineRule="exact"/>
        <w:rPr>
          <w:rFonts w:ascii="Arial" w:cs="Arial" w:eastAsia="Arial" w:hAnsi="Arial"/>
          <w:sz w:val="21"/>
          <w:szCs w:val="21"/>
          <w:u w:val="single" w:color="auto"/>
          <w:color w:val="auto"/>
        </w:rPr>
      </w:pPr>
    </w:p>
    <w:p>
      <w:pPr>
        <w:ind w:firstLine="1304"/>
        <w:spacing w:after="0" w:line="232" w:lineRule="auto"/>
        <w:tabs>
          <w:tab w:leader="none" w:pos="1819" w:val="left"/>
        </w:tabs>
        <w:numPr>
          <w:ilvl w:val="1"/>
          <w:numId w:val="175"/>
        </w:numPr>
        <w:rPr>
          <w:rFonts w:ascii="Arial" w:cs="Arial" w:eastAsia="Arial" w:hAnsi="Arial"/>
          <w:sz w:val="22"/>
          <w:szCs w:val="22"/>
          <w:color w:val="auto"/>
        </w:rPr>
      </w:pPr>
      <w:r>
        <w:rPr>
          <w:rFonts w:ascii="Arial" w:cs="Arial" w:eastAsia="Arial" w:hAnsi="Arial"/>
          <w:sz w:val="22"/>
          <w:szCs w:val="22"/>
          <w:color w:val="auto"/>
        </w:rPr>
        <w:t>The Administrative Agent shall have received a Borrowing Request relating to the Borrowing of the Initial Term Loans and the Initial Revolving Borrowing on the Closing Date.</w:t>
      </w:r>
    </w:p>
    <w:p>
      <w:pPr>
        <w:spacing w:after="0" w:line="158" w:lineRule="exact"/>
        <w:rPr>
          <w:rFonts w:ascii="Arial" w:cs="Arial" w:eastAsia="Arial" w:hAnsi="Arial"/>
          <w:sz w:val="22"/>
          <w:szCs w:val="22"/>
          <w:color w:val="auto"/>
        </w:rPr>
      </w:pPr>
    </w:p>
    <w:p>
      <w:pPr>
        <w:jc w:val="both"/>
        <w:ind w:firstLine="1304"/>
        <w:spacing w:after="0" w:line="212" w:lineRule="auto"/>
        <w:tabs>
          <w:tab w:leader="none" w:pos="1813" w:val="left"/>
        </w:tabs>
        <w:numPr>
          <w:ilvl w:val="1"/>
          <w:numId w:val="175"/>
        </w:numPr>
        <w:rPr>
          <w:rFonts w:ascii="Arial" w:cs="Arial" w:eastAsia="Arial" w:hAnsi="Arial"/>
          <w:sz w:val="22"/>
          <w:szCs w:val="22"/>
          <w:color w:val="auto"/>
        </w:rPr>
      </w:pPr>
      <w:r>
        <w:rPr>
          <w:rFonts w:ascii="Arial" w:cs="Arial" w:eastAsia="Arial" w:hAnsi="Arial"/>
          <w:sz w:val="22"/>
          <w:szCs w:val="22"/>
          <w:color w:val="auto"/>
        </w:rPr>
        <w:t xml:space="preserve">The Administrative Agent, the Joint Lead Arrangers and the Joint Bookrunners shall have received all fees and other amounts earned, due and payable by any Loan Party on or prior to the Closing Date, including, to the extent invoiced, reimbursement or payment of all reasonable out-of-pocket expenses (including fees, charges and disbursements of counsel) required to be reimbursed or paid by Holdings or its Affiliate under the Commitment Letter, the applicable Fee Letter or any Loan Document,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expenses to be paid as a condition to the Closing Date must be invoiced at least three (3) Business Days prior to the Closing Date and may be offset against the proceeds of the Initial Term Loans or Initial Revolving Borrowing.</w:t>
      </w:r>
    </w:p>
    <w:p>
      <w:pPr>
        <w:spacing w:after="0" w:line="163" w:lineRule="exact"/>
        <w:rPr>
          <w:rFonts w:ascii="Arial" w:cs="Arial" w:eastAsia="Arial" w:hAnsi="Arial"/>
          <w:sz w:val="22"/>
          <w:szCs w:val="22"/>
          <w:color w:val="auto"/>
        </w:rPr>
      </w:pPr>
    </w:p>
    <w:p>
      <w:pPr>
        <w:ind w:firstLine="1304"/>
        <w:spacing w:after="0" w:line="232" w:lineRule="auto"/>
        <w:tabs>
          <w:tab w:leader="none" w:pos="1844" w:val="left"/>
        </w:tabs>
        <w:numPr>
          <w:ilvl w:val="1"/>
          <w:numId w:val="175"/>
        </w:numPr>
        <w:rPr>
          <w:rFonts w:ascii="Arial" w:cs="Arial" w:eastAsia="Arial" w:hAnsi="Arial"/>
          <w:sz w:val="22"/>
          <w:szCs w:val="22"/>
          <w:color w:val="auto"/>
        </w:rPr>
      </w:pPr>
      <w:r>
        <w:rPr>
          <w:rFonts w:ascii="Arial" w:cs="Arial" w:eastAsia="Arial" w:hAnsi="Arial"/>
          <w:sz w:val="22"/>
          <w:szCs w:val="22"/>
          <w:color w:val="auto"/>
        </w:rPr>
        <w:t>The Joint Lead Arrangers shall have received the Audited Financial Statements, the Unaudited Financial Statements and the Pro Forma Financial Statements.</w:t>
      </w:r>
    </w:p>
    <w:p>
      <w:pPr>
        <w:spacing w:after="0" w:line="158" w:lineRule="exact"/>
        <w:rPr>
          <w:rFonts w:ascii="Arial" w:cs="Arial" w:eastAsia="Arial" w:hAnsi="Arial"/>
          <w:sz w:val="22"/>
          <w:szCs w:val="22"/>
          <w:color w:val="auto"/>
        </w:rPr>
      </w:pPr>
    </w:p>
    <w:p>
      <w:pPr>
        <w:jc w:val="both"/>
        <w:ind w:firstLine="1304"/>
        <w:spacing w:after="0" w:line="244" w:lineRule="auto"/>
        <w:tabs>
          <w:tab w:leader="none" w:pos="1770" w:val="left"/>
        </w:tabs>
        <w:numPr>
          <w:ilvl w:val="1"/>
          <w:numId w:val="175"/>
        </w:numPr>
        <w:rPr>
          <w:rFonts w:ascii="Arial" w:cs="Arial" w:eastAsia="Arial" w:hAnsi="Arial"/>
          <w:sz w:val="19"/>
          <w:szCs w:val="19"/>
          <w:color w:val="auto"/>
        </w:rPr>
      </w:pPr>
      <w:r>
        <w:rPr>
          <w:rFonts w:ascii="Arial" w:cs="Arial" w:eastAsia="Arial" w:hAnsi="Arial"/>
          <w:sz w:val="19"/>
          <w:szCs w:val="19"/>
          <w:color w:val="auto"/>
        </w:rPr>
        <w:t>Substantially concurrently with the funding of the Initial Term Loans, the Closing Date Recapitalization shall be consummated, in all material respects, in accordance with the terms of the Recapitalization Agreement without giving effect to any amendments, waivers, consents, supplements or other modifications of any provision thereof or any condition to the obligations of the parties thereto to consummate the Closing Date Recapitalization (other than any such waivers or amendments as are not materially adverse to the interests of the Lenders) unless consented to by the Joint Lead Arrangers (it being understood that (a) any modification, amendment, consent or waiver to or under the definition of “Parent Material Adverse Effect” in the Recapitalization Agreement shall be deemed to be material and adverse to the interests of the Lenders, (b) any amendment that results in a change of the amount of proceeds from the sale of the Purchased Shares (as defined in the Recapitalization Agreement) shall not be deemed material so long as there is a corresponding dollar for dollar reduction in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199" w:name="page200"/>
    <w:bookmarkEnd w:id="199"/>
    <w:p>
      <w:pPr>
        <w:spacing w:after="0" w:line="298" w:lineRule="auto"/>
        <w:rPr>
          <w:sz w:val="20"/>
          <w:szCs w:val="20"/>
          <w:color w:val="auto"/>
        </w:rPr>
      </w:pPr>
      <w:r>
        <w:rPr>
          <w:rFonts w:ascii="Arial" w:cs="Arial" w:eastAsia="Arial" w:hAnsi="Arial"/>
          <w:sz w:val="19"/>
          <w:szCs w:val="19"/>
          <w:color w:val="auto"/>
        </w:rPr>
        <w:t xml:space="preserve">Distribution and (c) other than as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the granting of any consent under the Recapitalization Agreement that is not materially adverse to the interests of the Lenders shall not otherwise constitute an amendment or waiver).</w:t>
      </w:r>
    </w:p>
    <w:p>
      <w:pPr>
        <w:spacing w:after="0" w:line="105" w:lineRule="exact"/>
        <w:rPr>
          <w:sz w:val="20"/>
          <w:szCs w:val="20"/>
          <w:color w:val="auto"/>
        </w:rPr>
      </w:pPr>
    </w:p>
    <w:p>
      <w:pPr>
        <w:ind w:left="1780" w:hanging="476"/>
        <w:spacing w:after="0"/>
        <w:tabs>
          <w:tab w:leader="none" w:pos="178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Administrative Agent shall have received a Solvency Certificate.</w:t>
      </w:r>
    </w:p>
    <w:p>
      <w:pPr>
        <w:spacing w:after="0" w:line="179" w:lineRule="exact"/>
        <w:rPr>
          <w:rFonts w:ascii="Arial" w:cs="Arial" w:eastAsia="Arial" w:hAnsi="Arial"/>
          <w:sz w:val="22"/>
          <w:szCs w:val="22"/>
          <w:color w:val="auto"/>
        </w:rPr>
      </w:pPr>
    </w:p>
    <w:p>
      <w:pPr>
        <w:jc w:val="both"/>
        <w:ind w:firstLine="1304"/>
        <w:spacing w:after="0" w:line="226" w:lineRule="auto"/>
        <w:tabs>
          <w:tab w:leader="none" w:pos="1805" w:val="left"/>
        </w:tabs>
        <w:numPr>
          <w:ilvl w:val="0"/>
          <w:numId w:val="176"/>
        </w:numPr>
        <w:rPr>
          <w:rFonts w:ascii="Arial" w:cs="Arial" w:eastAsia="Arial" w:hAnsi="Arial"/>
          <w:sz w:val="21"/>
          <w:szCs w:val="21"/>
          <w:color w:val="auto"/>
        </w:rPr>
      </w:pPr>
      <w:r>
        <w:rPr>
          <w:rFonts w:ascii="Arial" w:cs="Arial" w:eastAsia="Arial" w:hAnsi="Arial"/>
          <w:sz w:val="21"/>
          <w:szCs w:val="21"/>
          <w:color w:val="auto"/>
        </w:rPr>
        <w:t>So long as requested at least ten (10) days prior to the Closing Date, the Administrative Agent shall have received, at least three (3) Business Days prior to the Closing Date, (a) all documentation and other information with respect to the Borrower that is required by regulatory authorities under applicable “know your customer” and anti-money laundering rules and regulations, including the Patriot Act and (b) a Beneficial Ownership Certification from any Borrower or Guarantor that qualifies as a Beneficial Owner under the Beneficial Ownership Regulation.</w:t>
      </w:r>
    </w:p>
    <w:p>
      <w:pPr>
        <w:spacing w:after="0" w:line="159" w:lineRule="exact"/>
        <w:rPr>
          <w:rFonts w:ascii="Arial" w:cs="Arial" w:eastAsia="Arial" w:hAnsi="Arial"/>
          <w:sz w:val="21"/>
          <w:szCs w:val="21"/>
          <w:color w:val="auto"/>
        </w:rPr>
      </w:pPr>
    </w:p>
    <w:p>
      <w:pPr>
        <w:jc w:val="both"/>
        <w:ind w:firstLine="1304"/>
        <w:spacing w:after="0" w:line="218" w:lineRule="auto"/>
        <w:tabs>
          <w:tab w:leader="none" w:pos="1729"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 The Specified Recapitalization Agreement Representations shall be true and correct as of the Closing Date (or true and correct as of a specified date, if earlier) and (ii) the Specified Representations shall be true and correct in all material respects (or, if qualified by materiality, in all respects) as of the Closing Date (or true and correct in all material respects (or, if qualified by materiality, in all respects) as of a specified date, if earlier).</w:t>
      </w:r>
    </w:p>
    <w:p>
      <w:pPr>
        <w:spacing w:after="0" w:line="160" w:lineRule="exact"/>
        <w:rPr>
          <w:rFonts w:ascii="Arial" w:cs="Arial" w:eastAsia="Arial" w:hAnsi="Arial"/>
          <w:sz w:val="22"/>
          <w:szCs w:val="22"/>
          <w:color w:val="auto"/>
        </w:rPr>
      </w:pPr>
    </w:p>
    <w:p>
      <w:pPr>
        <w:jc w:val="both"/>
        <w:ind w:firstLine="1304"/>
        <w:spacing w:after="0" w:line="257" w:lineRule="auto"/>
        <w:tabs>
          <w:tab w:leader="none" w:pos="1832" w:val="left"/>
        </w:tabs>
        <w:numPr>
          <w:ilvl w:val="0"/>
          <w:numId w:val="176"/>
        </w:numPr>
        <w:rPr>
          <w:rFonts w:ascii="Arial" w:cs="Arial" w:eastAsia="Arial" w:hAnsi="Arial"/>
          <w:sz w:val="19"/>
          <w:szCs w:val="19"/>
          <w:color w:val="auto"/>
        </w:rPr>
      </w:pPr>
      <w:r>
        <w:rPr>
          <w:rFonts w:ascii="Arial" w:cs="Arial" w:eastAsia="Arial" w:hAnsi="Arial"/>
          <w:sz w:val="19"/>
          <w:szCs w:val="19"/>
          <w:color w:val="auto"/>
        </w:rPr>
        <w:t>Prior to, or substantially concurrently with the funding of the Initial Term Loans and the Initial Revolving Borrowing, all existing third-party debt for borrowed money of the Borrower and its Subsidiaries under the Existing Credit Agreement, and all Liens and guarantees in support thereof, will be repaid, redeemed, defeased, discharged, refinanced or terminated and all commitments thereunder terminated (the foregoing, collectively, the “</w:t>
      </w:r>
      <w:r>
        <w:rPr>
          <w:rFonts w:ascii="Arial" w:cs="Arial" w:eastAsia="Arial" w:hAnsi="Arial"/>
          <w:sz w:val="19"/>
          <w:szCs w:val="19"/>
          <w:u w:val="single" w:color="auto"/>
          <w:color w:val="auto"/>
        </w:rPr>
        <w:t>Closing Date Refinancing</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ind w:left="1720" w:hanging="416"/>
        <w:spacing w:after="0"/>
        <w:tabs>
          <w:tab w:leader="none" w:pos="172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Since August 3, 2018, no Parent Material Adverse Effect shall have occurred.</w:t>
      </w:r>
    </w:p>
    <w:p>
      <w:pPr>
        <w:spacing w:after="0" w:line="179" w:lineRule="exact"/>
        <w:rPr>
          <w:rFonts w:ascii="Arial" w:cs="Arial" w:eastAsia="Arial" w:hAnsi="Arial"/>
          <w:sz w:val="22"/>
          <w:szCs w:val="22"/>
          <w:color w:val="auto"/>
        </w:rPr>
      </w:pPr>
    </w:p>
    <w:p>
      <w:pPr>
        <w:jc w:val="both"/>
        <w:ind w:firstLine="1304"/>
        <w:spacing w:after="0" w:line="216" w:lineRule="auto"/>
        <w:tabs>
          <w:tab w:leader="none" w:pos="182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 Prior to, or substantially concurrently with the funding of the Initial Term Loans and the Initial Revolving Borrowing, the Borrower shall have received the cash proceeds of the Second Lien Loans and (ii) on the Closing Date, immediately after giving effect to the Transactions, Francisco Partners, Spectrum and the New Sponsor shall, collectively, directly or indirectly (whether by contract or otherwise) control not less than a majority of the economic and voting interests in Holdings.</w:t>
      </w:r>
    </w:p>
    <w:p>
      <w:pPr>
        <w:spacing w:after="0" w:line="157" w:lineRule="exact"/>
        <w:rPr>
          <w:rFonts w:ascii="Arial" w:cs="Arial" w:eastAsia="Arial" w:hAnsi="Arial"/>
          <w:sz w:val="22"/>
          <w:szCs w:val="22"/>
          <w:color w:val="auto"/>
        </w:rPr>
      </w:pPr>
    </w:p>
    <w:p>
      <w:pPr>
        <w:ind w:firstLine="1304"/>
        <w:spacing w:after="0" w:line="232" w:lineRule="auto"/>
        <w:tabs>
          <w:tab w:leader="none" w:pos="182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Borrower shall have delivered to the Administrative Agent an executed copy of the Second Lien Loan Documents to be entered into on the Closing Date.</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For purposes of determining whether the conditions set forth in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have been satisfied, by releasing its signature page hereto or to an Assignment and Assumption, the Administrative Agent and each Lender party hereto shall be deemed to have consented to, approved, accepted or be satisfied with each document or other matter required hereunder to be consented to or approved by, or acceptable or satisfactory to, the Administrative Agent or such Lender, as the case may be.</w:t>
      </w:r>
    </w:p>
    <w:p>
      <w:pPr>
        <w:spacing w:after="0" w:line="14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u w:val="single" w:color="auto"/>
          <w:color w:val="auto"/>
        </w:rPr>
        <w:t>Section 4.02 Each Credit Event</w:t>
      </w:r>
      <w:r>
        <w:rPr>
          <w:rFonts w:ascii="Arial" w:cs="Arial" w:eastAsia="Arial" w:hAnsi="Arial"/>
          <w:sz w:val="19"/>
          <w:szCs w:val="19"/>
          <w:color w:val="auto"/>
        </w:rPr>
        <w:t xml:space="preserve">. The obligation of (i) each Lender to make a Loan on the occasion of any Borrowing after the Closing Date and (ii) each of the Issuing Banks to issue, renew, increase or extend any Letter of Credit after the Closing Date (each event referred to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a “</w:t>
      </w:r>
      <w:r>
        <w:rPr>
          <w:rFonts w:ascii="Arial" w:cs="Arial" w:eastAsia="Arial" w:hAnsi="Arial"/>
          <w:sz w:val="19"/>
          <w:szCs w:val="19"/>
          <w:u w:val="single" w:color="auto"/>
          <w:color w:val="auto"/>
        </w:rPr>
        <w:t>Credit Event</w:t>
      </w:r>
      <w:r>
        <w:rPr>
          <w:rFonts w:ascii="Arial" w:cs="Arial" w:eastAsia="Arial" w:hAnsi="Arial"/>
          <w:sz w:val="19"/>
          <w:szCs w:val="19"/>
          <w:color w:val="auto"/>
        </w:rPr>
        <w:t>”), is subject to receipt of the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color w:val="auto"/>
        </w:rPr>
        <w:t>therefor in accordance herewith and to the satisfaction (or waiver) of the following express conditions:</w:t>
      </w:r>
    </w:p>
    <w:p>
      <w:pPr>
        <w:spacing w:after="0" w:line="179" w:lineRule="exact"/>
        <w:rPr>
          <w:sz w:val="20"/>
          <w:szCs w:val="20"/>
          <w:color w:val="auto"/>
        </w:rPr>
      </w:pPr>
    </w:p>
    <w:p>
      <w:pPr>
        <w:jc w:val="both"/>
        <w:ind w:firstLine="1304"/>
        <w:spacing w:after="0" w:line="224" w:lineRule="auto"/>
        <w:tabs>
          <w:tab w:leader="none" w:pos="1838" w:val="left"/>
        </w:tabs>
        <w:numPr>
          <w:ilvl w:val="0"/>
          <w:numId w:val="177"/>
        </w:numPr>
        <w:rPr>
          <w:rFonts w:ascii="Arial" w:cs="Arial" w:eastAsia="Arial" w:hAnsi="Arial"/>
          <w:sz w:val="21"/>
          <w:szCs w:val="21"/>
          <w:color w:val="auto"/>
        </w:rPr>
      </w:pPr>
      <w:r>
        <w:rPr>
          <w:rFonts w:ascii="Arial" w:cs="Arial" w:eastAsia="Arial" w:hAnsi="Arial"/>
          <w:sz w:val="21"/>
          <w:szCs w:val="21"/>
          <w:color w:val="auto"/>
        </w:rPr>
        <w:t>The representations and warranties of each Loan Party set forth in the Loan Documents shall be true and correct in all material respects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representations and warranties which are qualified by materiality, Material Adverse Effect or similar language shall be true and correct in all respects), in each case on and as of the date of such Credit Event (or true and correct as of a specified date, if earlier);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any Incremental Credit Facility the proceeds of which will be used to finance a Permitted Acquisition or similar permitted Investment, such representations shall be limited to customary “SunGard” specified representations.</w:t>
      </w:r>
    </w:p>
    <w:p>
      <w:pPr>
        <w:spacing w:after="0" w:line="159" w:lineRule="exact"/>
        <w:rPr>
          <w:rFonts w:ascii="Arial" w:cs="Arial" w:eastAsia="Arial" w:hAnsi="Arial"/>
          <w:sz w:val="21"/>
          <w:szCs w:val="21"/>
          <w:color w:val="auto"/>
        </w:rPr>
      </w:pPr>
    </w:p>
    <w:p>
      <w:pPr>
        <w:ind w:firstLine="1304"/>
        <w:spacing w:after="0" w:line="232" w:lineRule="auto"/>
        <w:tabs>
          <w:tab w:leader="none" w:pos="178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 xml:space="preserve">At the time of and immediately after giving effect to such Credit Event, no Default or Event of Default shall have occurred and be continuing, subject to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of the proviso to </w:t>
      </w:r>
      <w:r>
        <w:rPr>
          <w:rFonts w:ascii="Arial" w:cs="Arial" w:eastAsia="Arial" w:hAnsi="Arial"/>
          <w:sz w:val="22"/>
          <w:szCs w:val="22"/>
          <w:u w:val="single" w:color="auto"/>
          <w:color w:val="auto"/>
        </w:rPr>
        <w:t>Section 2.20(a)</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860" w:hanging="556"/>
        <w:spacing w:after="0"/>
        <w:tabs>
          <w:tab w:leader="none" w:pos="186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 Borrowing Request meeting the requirements of </w:t>
      </w:r>
      <w:r>
        <w:rPr>
          <w:rFonts w:ascii="Arial" w:cs="Arial" w:eastAsia="Arial" w:hAnsi="Arial"/>
          <w:sz w:val="19"/>
          <w:szCs w:val="19"/>
          <w:u w:val="single" w:color="auto"/>
          <w:color w:val="auto"/>
        </w:rPr>
        <w:t>Section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2.03</w:t>
      </w:r>
      <w:r>
        <w:rPr>
          <w:rFonts w:ascii="Arial" w:cs="Arial" w:eastAsia="Arial" w:hAnsi="Arial"/>
          <w:sz w:val="22"/>
          <w:szCs w:val="22"/>
          <w:color w:val="auto"/>
        </w:rPr>
        <w:t>.</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Each Borrowing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conversion or a continuation of a Borrowing shall not constitute a “ </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for purposes of this Section) and each issuance, renewal, increase or extension of a Letter of Credit (other than any Borrowing or issuance of a Letter of Credit on the Closing Date) shall be deemed to constitute a representation and warranty by the Borrower on the date thereof as to the matters specified in </w:t>
      </w:r>
      <w:r>
        <w:rPr>
          <w:rFonts w:ascii="Arial" w:cs="Arial" w:eastAsia="Arial" w:hAnsi="Arial"/>
          <w:sz w:val="22"/>
          <w:szCs w:val="22"/>
          <w:u w:val="single" w:color="auto"/>
          <w:color w:val="auto"/>
        </w:rPr>
        <w:t>paragraphs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Section.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jc w:val="center"/>
        <w:spacing w:after="0"/>
        <w:rPr>
          <w:sz w:val="20"/>
          <w:szCs w:val="20"/>
          <w:color w:val="auto"/>
        </w:rPr>
      </w:pPr>
      <w:r>
        <w:rPr>
          <w:rFonts w:ascii="Arial" w:cs="Arial" w:eastAsia="Arial" w:hAnsi="Arial"/>
          <w:sz w:val="22"/>
          <w:szCs w:val="22"/>
          <w:u w:val="single" w:color="auto"/>
          <w:color w:val="auto"/>
        </w:rPr>
        <w:t>Affirmative Covenants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From and after the Closing Date and until the Termination Date, the Borrower covenants and agrees with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Lenders that:</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u w:val="single" w:color="auto"/>
          <w:color w:val="auto"/>
        </w:rPr>
        <w:t>Section 5.01 Financial Statements and Other Information</w:t>
      </w:r>
      <w:r>
        <w:rPr>
          <w:rFonts w:ascii="Arial" w:cs="Arial" w:eastAsia="Arial" w:hAnsi="Arial"/>
          <w:sz w:val="22"/>
          <w:szCs w:val="22"/>
          <w:color w:val="auto"/>
        </w:rPr>
        <w:t>. The Borrower will furnish to the Administrative Agent which will furnish to the Lenders:</w:t>
      </w:r>
    </w:p>
    <w:p>
      <w:pPr>
        <w:spacing w:after="0" w:line="159" w:lineRule="exact"/>
        <w:rPr>
          <w:sz w:val="20"/>
          <w:szCs w:val="20"/>
          <w:color w:val="auto"/>
        </w:rPr>
      </w:pPr>
    </w:p>
    <w:p>
      <w:pPr>
        <w:jc w:val="both"/>
        <w:ind w:firstLine="1304"/>
        <w:spacing w:after="0" w:line="239" w:lineRule="auto"/>
        <w:tabs>
          <w:tab w:leader="none" w:pos="1828" w:val="left"/>
        </w:tabs>
        <w:numPr>
          <w:ilvl w:val="1"/>
          <w:numId w:val="178"/>
        </w:numPr>
        <w:rPr>
          <w:rFonts w:ascii="Arial" w:cs="Arial" w:eastAsia="Arial" w:hAnsi="Arial"/>
          <w:sz w:val="19"/>
          <w:szCs w:val="19"/>
          <w:color w:val="auto"/>
        </w:rPr>
      </w:pPr>
      <w:r>
        <w:rPr>
          <w:rFonts w:ascii="Arial" w:cs="Arial" w:eastAsia="Arial" w:hAnsi="Arial"/>
          <w:sz w:val="19"/>
          <w:szCs w:val="19"/>
          <w:color w:val="auto"/>
        </w:rPr>
        <w:t>within 120 days after the end of each fiscal year of the Borrower (or within 150 days after the end of the fiscal year ending December 31, 2018), the audited consolidated balance sheet and audited consolidated statements of income, stockholders’ equity and cash flows as of the end of and for such year for the Borrower and the Subsidiaries, and related notes thereto, setting forth in each case in comparative form the figures for the previous fiscal year (beginning with the fiscal year ending December 31, 2019), all reported on by an independent public accountants of recognized national standing or other independent public accountants reasonably acceptable to the Administrative Agent, with an unmodified report and opinion by such independent public accountants without an emphasis of matter paragraph related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(except to the extent such emphasis paragraph results solely from (i) the impending maturity of any Credit Facility, any Additional Debt, the Second Lien Loans or any Permitted Refinancing of any of the foregoing within twelve months,</w:t>
      </w:r>
    </w:p>
    <w:p>
      <w:pPr>
        <w:jc w:val="both"/>
        <w:ind w:firstLine="8"/>
        <w:spacing w:after="0" w:line="251" w:lineRule="auto"/>
        <w:tabs>
          <w:tab w:leader="none" w:pos="324"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activities, operations, financial results, assets or liabilities of any Unrestricted Subsidiary or (iii) any breach or impending breach of the covenant in Section 6.11 or any other financial covenant in the documentation evidencing any Material Indebtedness (if any)) and, for avoidance of doubt, without modification as to the scope of such audit, to the effect that such consolidated financial statements present fairly in all material respects the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01" w:name="page202"/>
    <w:bookmarkEnd w:id="201"/>
    <w:p>
      <w:pPr>
        <w:spacing w:after="0" w:line="232" w:lineRule="auto"/>
        <w:rPr>
          <w:sz w:val="20"/>
          <w:szCs w:val="20"/>
          <w:color w:val="auto"/>
        </w:rPr>
      </w:pPr>
      <w:r>
        <w:rPr>
          <w:rFonts w:ascii="Arial" w:cs="Arial" w:eastAsia="Arial" w:hAnsi="Arial"/>
          <w:sz w:val="22"/>
          <w:szCs w:val="22"/>
          <w:color w:val="auto"/>
        </w:rPr>
        <w:t>of the Borrower and its Subsidiaries on a consolidated basis in accordance in all material respects with GAAP (except as otherwise disclosed in such financial statements);</w:t>
      </w:r>
    </w:p>
    <w:p>
      <w:pPr>
        <w:spacing w:after="0" w:line="159" w:lineRule="exact"/>
        <w:rPr>
          <w:sz w:val="20"/>
          <w:szCs w:val="20"/>
          <w:color w:val="auto"/>
        </w:rPr>
      </w:pPr>
    </w:p>
    <w:p>
      <w:pPr>
        <w:jc w:val="both"/>
        <w:ind w:firstLine="1304"/>
        <w:spacing w:after="0" w:line="244" w:lineRule="auto"/>
        <w:tabs>
          <w:tab w:leader="none" w:pos="1806" w:val="left"/>
        </w:tabs>
        <w:numPr>
          <w:ilvl w:val="1"/>
          <w:numId w:val="180"/>
        </w:numPr>
        <w:rPr>
          <w:rFonts w:ascii="Arial" w:cs="Arial" w:eastAsia="Arial" w:hAnsi="Arial"/>
          <w:sz w:val="19"/>
          <w:szCs w:val="19"/>
          <w:color w:val="auto"/>
        </w:rPr>
      </w:pPr>
      <w:r>
        <w:rPr>
          <w:rFonts w:ascii="Arial" w:cs="Arial" w:eastAsia="Arial" w:hAnsi="Arial"/>
          <w:sz w:val="19"/>
          <w:szCs w:val="19"/>
          <w:color w:val="auto"/>
        </w:rPr>
        <w:t>within forty-five (45) days (or, in the case of the first three fiscal quarters ending after the Closing Date for which financials are required to be delivered hereunder, sixty (60) days) after the end of each of the first three fiscal quarters of each fiscal year of the Borrower, commencing with the fiscal quarter ending September 30, 2018, the unaudited consolidated balance sheet and unaudited consolidated statements of income and cash flows as of the end of and for such fiscal quarter and the then-elapsed portion of the fiscal year for the Borrower and the Subsidiaries, setting forth in each case in comparative form the figures for the corresponding period or periods of (or, in the case of the balance sheet, as of the end of) the previous fiscal year (beginning with the fiscal quarter ending September 30, 2019), all certified by its Financial Officer as presenting fairly in all material respects the financial condition and results of operations of the Borrower and the Subsidiaries, subject to normal year-end audit adjustments and the absence of footnotes;</w:t>
      </w:r>
    </w:p>
    <w:p>
      <w:pPr>
        <w:spacing w:after="0" w:line="160" w:lineRule="exact"/>
        <w:rPr>
          <w:rFonts w:ascii="Arial" w:cs="Arial" w:eastAsia="Arial" w:hAnsi="Arial"/>
          <w:sz w:val="19"/>
          <w:szCs w:val="19"/>
          <w:color w:val="auto"/>
        </w:rPr>
      </w:pPr>
    </w:p>
    <w:p>
      <w:pPr>
        <w:jc w:val="both"/>
        <w:ind w:firstLine="1304"/>
        <w:spacing w:after="0"/>
        <w:tabs>
          <w:tab w:leader="none" w:pos="1768" w:val="left"/>
        </w:tabs>
        <w:numPr>
          <w:ilvl w:val="1"/>
          <w:numId w:val="180"/>
        </w:numPr>
        <w:rPr>
          <w:rFonts w:ascii="Arial" w:cs="Arial" w:eastAsia="Arial" w:hAnsi="Arial"/>
          <w:sz w:val="19"/>
          <w:szCs w:val="19"/>
          <w:color w:val="auto"/>
        </w:rPr>
      </w:pPr>
      <w:r>
        <w:rPr>
          <w:rFonts w:ascii="Arial" w:cs="Arial" w:eastAsia="Arial" w:hAnsi="Arial"/>
          <w:sz w:val="19"/>
          <w:szCs w:val="19"/>
          <w:color w:val="auto"/>
        </w:rPr>
        <w:t xml:space="preserve">commencing with the first full fiscal quarter beginning after the Closing Date, concurrently with the delivery of any financial statements under </w:t>
      </w:r>
      <w:r>
        <w:rPr>
          <w:rFonts w:ascii="Arial" w:cs="Arial" w:eastAsia="Arial" w:hAnsi="Arial"/>
          <w:sz w:val="19"/>
          <w:szCs w:val="19"/>
          <w:u w:val="single" w:color="auto"/>
          <w:color w:val="auto"/>
        </w:rPr>
        <w:t>paragraphs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 Compliance Certificate (i) certifying as to whether a Default has occurred and is continuing and, if a Default has occurred and is continuing, specifying the details thereof and any action taken or proposed to be taken with respect thereto, (ii) setting forth a reasonably detailed calculation of the First Lien Net Leverage Ratio and, in the case of financial statements delivered under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above, beginning with the financial statements for the fiscal year of the Borrower ending December 31, 2019, a reasonably detailed calculation of Excess Cash Flow for such fiscal year and</w:t>
      </w:r>
    </w:p>
    <w:p>
      <w:pPr>
        <w:spacing w:after="0" w:line="3" w:lineRule="exact"/>
        <w:rPr>
          <w:rFonts w:ascii="Arial" w:cs="Arial" w:eastAsia="Arial" w:hAnsi="Arial"/>
          <w:sz w:val="19"/>
          <w:szCs w:val="19"/>
          <w:color w:val="auto"/>
        </w:rPr>
      </w:pPr>
    </w:p>
    <w:p>
      <w:pPr>
        <w:jc w:val="both"/>
        <w:ind w:firstLine="8"/>
        <w:spacing w:after="0" w:line="214" w:lineRule="auto"/>
        <w:tabs>
          <w:tab w:leader="none" w:pos="40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stating whether any material change in GAAP or in the application thereof has occurred since the date of the then most recently delivered audited financial statements that would affect the compliance or non-compliance with any financial ratio or requirement in this Agreement and, if any such change has occurred, specifying the effect of such change on the financial statements accompanying such certificate;</w:t>
      </w:r>
    </w:p>
    <w:p>
      <w:pPr>
        <w:spacing w:after="0" w:line="159" w:lineRule="exact"/>
        <w:rPr>
          <w:rFonts w:ascii="Arial" w:cs="Arial" w:eastAsia="Arial" w:hAnsi="Arial"/>
          <w:sz w:val="22"/>
          <w:szCs w:val="22"/>
          <w:color w:val="auto"/>
        </w:rPr>
      </w:pPr>
    </w:p>
    <w:p>
      <w:pPr>
        <w:jc w:val="both"/>
        <w:ind w:firstLine="1304"/>
        <w:spacing w:after="0" w:line="246" w:lineRule="auto"/>
        <w:tabs>
          <w:tab w:leader="none" w:pos="1901" w:val="left"/>
        </w:tabs>
        <w:numPr>
          <w:ilvl w:val="1"/>
          <w:numId w:val="181"/>
        </w:numPr>
        <w:rPr>
          <w:rFonts w:ascii="Arial" w:cs="Arial" w:eastAsia="Arial" w:hAnsi="Arial"/>
          <w:sz w:val="19"/>
          <w:szCs w:val="19"/>
          <w:color w:val="auto"/>
        </w:rPr>
      </w:pPr>
      <w:r>
        <w:rPr>
          <w:rFonts w:ascii="Arial" w:cs="Arial" w:eastAsia="Arial" w:hAnsi="Arial"/>
          <w:sz w:val="19"/>
          <w:szCs w:val="19"/>
          <w:color w:val="auto"/>
        </w:rPr>
        <w:t xml:space="preserve">prior to the consummation of an IPO, concurrently with the delivery of any financial statements under paragraph (a) above, a reasonably detailed consolidated budget for the following fiscal year as customarily prepared by management of the Borrower for its internal use consistent in scope with the financial statements provided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5.01(a)</w:t>
      </w:r>
      <w:r>
        <w:rPr>
          <w:rFonts w:ascii="Arial" w:cs="Arial" w:eastAsia="Arial" w:hAnsi="Arial"/>
          <w:sz w:val="19"/>
          <w:szCs w:val="19"/>
          <w:color w:val="auto"/>
        </w:rPr>
        <w:t xml:space="preserve"> setting forth the principal assumptions upon which such budget is based (collectively, the “</w:t>
      </w:r>
      <w:r>
        <w:rPr>
          <w:rFonts w:ascii="Arial" w:cs="Arial" w:eastAsia="Arial" w:hAnsi="Arial"/>
          <w:sz w:val="19"/>
          <w:szCs w:val="19"/>
          <w:u w:val="single" w:color="auto"/>
          <w:color w:val="auto"/>
        </w:rPr>
        <w:t>Projections</w:t>
      </w:r>
      <w:r>
        <w:rPr>
          <w:rFonts w:ascii="Arial" w:cs="Arial" w:eastAsia="Arial" w:hAnsi="Arial"/>
          <w:sz w:val="19"/>
          <w:szCs w:val="19"/>
          <w:color w:val="auto"/>
        </w:rPr>
        <w:t>”), it being understood and agreed that any financial or business projections furnished by any Loan Party (i)(A) are subject to significant uncertainties and contingencies, which may be beyond the control of the Loan Parties, (B) no assurance is given by the Loan Parties that the results or forecast in any such projections will be realized and (C) the actual results may differ from the forecast results set forth in such projections and such differences may be material and (ii) are not a guarantee of performance;</w:t>
      </w:r>
    </w:p>
    <w:p>
      <w:pPr>
        <w:spacing w:after="0" w:line="152" w:lineRule="exact"/>
        <w:rPr>
          <w:rFonts w:ascii="Arial" w:cs="Arial" w:eastAsia="Arial" w:hAnsi="Arial"/>
          <w:sz w:val="19"/>
          <w:szCs w:val="19"/>
          <w:color w:val="auto"/>
        </w:rPr>
      </w:pPr>
    </w:p>
    <w:p>
      <w:pPr>
        <w:jc w:val="both"/>
        <w:ind w:firstLine="1304"/>
        <w:spacing w:after="0" w:line="223" w:lineRule="auto"/>
        <w:tabs>
          <w:tab w:leader="none" w:pos="1812" w:val="left"/>
        </w:tabs>
        <w:numPr>
          <w:ilvl w:val="1"/>
          <w:numId w:val="181"/>
        </w:numPr>
        <w:rPr>
          <w:rFonts w:ascii="Arial" w:cs="Arial" w:eastAsia="Arial" w:hAnsi="Arial"/>
          <w:sz w:val="22"/>
          <w:szCs w:val="22"/>
          <w:color w:val="auto"/>
        </w:rPr>
      </w:pPr>
      <w:r>
        <w:rPr>
          <w:rFonts w:ascii="Arial" w:cs="Arial" w:eastAsia="Arial" w:hAnsi="Arial"/>
          <w:sz w:val="22"/>
          <w:szCs w:val="22"/>
          <w:color w:val="auto"/>
        </w:rPr>
        <w:t>promptly after the same become publicly available, copies of all material periodic and other reports, proxy statements and other materials filed by Holdings, the Borrower or any Restricted Subsidiary with the SEC or with any national securities exchange;</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75" w:val="left"/>
        </w:tabs>
        <w:numPr>
          <w:ilvl w:val="1"/>
          <w:numId w:val="181"/>
        </w:numPr>
        <w:rPr>
          <w:rFonts w:ascii="Arial" w:cs="Arial" w:eastAsia="Arial" w:hAnsi="Arial"/>
          <w:sz w:val="22"/>
          <w:szCs w:val="22"/>
          <w:color w:val="auto"/>
        </w:rPr>
      </w:pPr>
      <w:r>
        <w:rPr>
          <w:rFonts w:ascii="Arial" w:cs="Arial" w:eastAsia="Arial" w:hAnsi="Arial"/>
          <w:sz w:val="22"/>
          <w:szCs w:val="22"/>
          <w:color w:val="auto"/>
        </w:rPr>
        <w:t xml:space="preserve">simultaneously with the delivery of each set of consolidated financial statements referred to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the related consolidating financial statements reflecting the adjustments necessary to eliminate the accounts of Unrestricted Subsidiaries (if any) from such consolidated financial statements;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64" w:val="left"/>
        </w:tabs>
        <w:numPr>
          <w:ilvl w:val="1"/>
          <w:numId w:val="181"/>
        </w:numPr>
        <w:rPr>
          <w:rFonts w:ascii="Arial" w:cs="Arial" w:eastAsia="Arial" w:hAnsi="Arial"/>
          <w:sz w:val="22"/>
          <w:szCs w:val="22"/>
          <w:color w:val="auto"/>
        </w:rPr>
      </w:pPr>
      <w:r>
        <w:rPr>
          <w:rFonts w:ascii="Arial" w:cs="Arial" w:eastAsia="Arial" w:hAnsi="Arial"/>
          <w:sz w:val="22"/>
          <w:szCs w:val="22"/>
          <w:color w:val="auto"/>
        </w:rPr>
        <w:t>promptly following any reasonable request therefor, such other information regarding the operations, business affairs and financial condition of Holdings, the Borrower or any Restricted Subsidiary as the Administrative Agent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02" w:name="page203"/>
    <w:bookmarkEnd w:id="202"/>
    <w:p>
      <w:pPr>
        <w:jc w:val="both"/>
        <w:spacing w:after="0" w:line="244" w:lineRule="auto"/>
        <w:rPr>
          <w:sz w:val="20"/>
          <w:szCs w:val="20"/>
          <w:color w:val="auto"/>
        </w:rPr>
      </w:pPr>
      <w:r>
        <w:rPr>
          <w:rFonts w:ascii="Arial" w:cs="Arial" w:eastAsia="Arial" w:hAnsi="Arial"/>
          <w:sz w:val="19"/>
          <w:szCs w:val="19"/>
          <w:color w:val="auto"/>
        </w:rPr>
        <w:t xml:space="preserve">including information requested on behalf of any Lender to comply with </w:t>
      </w:r>
      <w:r>
        <w:rPr>
          <w:rFonts w:ascii="Arial" w:cs="Arial" w:eastAsia="Arial" w:hAnsi="Arial"/>
          <w:sz w:val="19"/>
          <w:szCs w:val="19"/>
          <w:u w:val="single" w:color="auto"/>
          <w:color w:val="auto"/>
        </w:rPr>
        <w:t>Section 9.14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none of Holdings, the Borrower nor any Restricted Subsidiary will be required to disclose or permit the inspection or discussion of, any document, information or other matter (i) that constitutes trade secrets or proprietary information, (ii) in respect of which disclosure to the Administrative Agent or any Lender (or their representatives or contractors) is prohibited by law, fiduciary duty or any binding third-party agreement (not entered into in contemplation hereof) or (iii) that is subject to attorney-client or similar privilege or constitutes attorney work product;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the event that Holdings, the Borrower or any Restricted Subsidiary do not provide information in reliance on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Holdings, the Borrower or such Restricted Subsidiary shall provide notice to the Administrative Agent that such information is being withheld and shall use commercially reasonable efforts to communicate the applicable information in a way that would not violate the applicable restrictions; and</w:t>
      </w:r>
    </w:p>
    <w:p>
      <w:pPr>
        <w:spacing w:after="0" w:line="161" w:lineRule="exact"/>
        <w:rPr>
          <w:sz w:val="20"/>
          <w:szCs w:val="20"/>
          <w:color w:val="auto"/>
        </w:rPr>
      </w:pPr>
    </w:p>
    <w:p>
      <w:pPr>
        <w:jc w:val="both"/>
        <w:ind w:firstLine="1304"/>
        <w:spacing w:after="0" w:line="223" w:lineRule="auto"/>
        <w:tabs>
          <w:tab w:leader="none" w:pos="195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promptly following any request therefor, information and documentation reasonably requested by the Administrative Agent or any Lender for purposes of compliance with applicable “know your customer” requirements under the PATRIOT Act or other applicable anti-money laundering laws.</w:t>
      </w:r>
    </w:p>
    <w:p>
      <w:pPr>
        <w:spacing w:after="0" w:line="15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Notwithstanding the foregoing, the obligations in </w:t>
      </w:r>
      <w:r>
        <w:rPr>
          <w:rFonts w:ascii="Arial" w:cs="Arial" w:eastAsia="Arial" w:hAnsi="Arial"/>
          <w:sz w:val="19"/>
          <w:szCs w:val="19"/>
          <w:u w:val="single" w:color="auto"/>
          <w:color w:val="auto"/>
        </w:rPr>
        <w:t>paragraphs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may be satisfied with respect to financial information of the Borrower and the Subsidiaries by furnishing (A) the applicable consolidated financial statements of Holdings or any direct or indirect parent of the Holding Companies that, directly or indirectly, holds all of the Equity Interests of the Holding Companies or (B) the Form 10-K or 10-Q, as applicable, of Holdings or any direct or indirect parent of the Holding Companies filed with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each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to the extent such information is in lieu of information required to be provided under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(1) such materials are accompanied by a report and opinion of an independent registered public accounting firm of nationally recognized standing or other Person reasonably acceptable to the Administrative Agent, with an unmodified report by such independent public accountants without an emphasis of matter paragraph related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(except to the extent such emphasis paragraph results solely from (i) a current maturity of any Credit Facility, any Additional Debt, the Second Lien Loans, any Permitted Refinancing of any of the foregoing or any other Material Indebtedness or (ii) any potential inability to satisfy the covenant under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or any other financial covenant in the documentation evidencing any Material Indebtedness (if any) on a future date or in a future period) and, for avoidance of doubt, without modification as to the scope of such audit, to the effect that such consolidated financial statements present fairly in all material respects the financial condition and results of operations of the Borrower and the Subsidiaries on a consolidated basis in accordance in all material respects with GAAP (except as otherwise disclosed in such financial statements) and (2) such materials are accompanied by the related consolidated financial statements reflecting the adjustments necessary to eliminate the accounts of Persons other than the Borrower and its Restricted Subsidiaries from such consolidated financial statements.</w:t>
      </w:r>
    </w:p>
    <w:p>
      <w:pPr>
        <w:spacing w:after="0" w:line="385"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 xml:space="preserve">Any financial statements or other documents, reports, proxy statements or other materials (to the extent any such financial statements or documents, reports, proxy statements or other materials are included in materials otherwise filed with the SEC) required to be delivered pursuant to this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Sections 5.01(c)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(g)</w:t>
      </w:r>
      <w:r>
        <w:rPr>
          <w:rFonts w:ascii="Arial" w:cs="Arial" w:eastAsia="Arial" w:hAnsi="Arial"/>
          <w:sz w:val="22"/>
          <w:szCs w:val="22"/>
          <w:color w:val="auto"/>
        </w:rPr>
        <w:t>) may be satisfied with respect to such financial statements or other documents, reports, proxy statements or other materials by the filing of Form 8-K, 10-K or 10-Q, as applicable, of Holdings or any direct or indirect parent of Holdings with the SEC. All financial statements and other documents,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03" w:name="page204"/>
    <w:bookmarkEnd w:id="203"/>
    <w:p>
      <w:pPr>
        <w:jc w:val="both"/>
        <w:spacing w:after="0" w:line="241" w:lineRule="auto"/>
        <w:rPr>
          <w:sz w:val="20"/>
          <w:szCs w:val="20"/>
          <w:color w:val="auto"/>
        </w:rPr>
      </w:pPr>
      <w:r>
        <w:rPr>
          <w:rFonts w:ascii="Arial" w:cs="Arial" w:eastAsia="Arial" w:hAnsi="Arial"/>
          <w:sz w:val="19"/>
          <w:szCs w:val="19"/>
          <w:color w:val="auto"/>
        </w:rPr>
        <w:t xml:space="preserve">proxy statements or other materials required to be delivered pursuant to this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may be delivered electronically and, if so delivered, shall be deemed to have been delivered on the date (i) such financial statements and/or other documents are posted on the SEC’s website on the Internet at www.sec.gov, (ii) on which the Borrower posts such documents, or provide a link thereto, on the Borrower’s website or (iii) on which such documents are posted on the Borrower’s behalf on an Internet or Intranet website, if any, to which the Administrative Agent and each Lender has access (whether a commercial third-party website or a website sponsored by an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Borrower shall, at the request of the Administrative Agent, continue to deliver copies (which delivery may be by electronic transmission (including Adobe pdf copy)) of such documents to the Administrative Agent and (B) the Borrower shall notify (which notification may be by facsimile or electronic transmission (including Adobe pdf copy)) the Administrative Agent of the posting of any such documents on any website. Each Lender shall be solely responsible for timely accessing posted documents or requesting delivery of paper copies of such documents from the Administrative Agent and maintaining its copies of such documents. Each Lender and the Administrative Agent hereby acknowledges and agrees that the Holding Companies and the Restricted Subsidiaries may be required to restate historical financial statements as the result of the implementation of changes in GAAP, or the respective interpretation thereof, and that such restatements will not in and of themselves result in a Default or an Event of Default under the Loan Documents solely as a result of such restatement.</w:t>
      </w:r>
    </w:p>
    <w:p>
      <w:pPr>
        <w:spacing w:after="0" w:line="384"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The Borrower hereby acknowledges that (a) the Administrative Agent will make available to the Lenders and the Issuing Banks materials and/or information provided by or on behalf of the Borrower hereunder (collectively,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w:t>
      </w:r>
      <w:r>
        <w:rPr>
          <w:rFonts w:ascii="Arial" w:cs="Arial" w:eastAsia="Arial" w:hAnsi="Arial"/>
          <w:sz w:val="19"/>
          <w:szCs w:val="19"/>
          <w:u w:val="single" w:color="auto"/>
          <w:color w:val="auto"/>
        </w:rPr>
        <w:t>Materials</w:t>
      </w:r>
      <w:r>
        <w:rPr>
          <w:rFonts w:ascii="Arial" w:cs="Arial" w:eastAsia="Arial" w:hAnsi="Arial"/>
          <w:sz w:val="19"/>
          <w:szCs w:val="19"/>
          <w:color w:val="auto"/>
        </w:rPr>
        <w:t>”) by posting the Borrower Materials on IntraLinks or another similar electronic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and (b) certain of the Lenders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may have personnel who do not wish to receive material non-public information with respect to the Holding Companies, the Borrower or the Subsidiaries, or the respective securities of any of the foregoing, and who may be engaged in investment and other market-related activities with respect to such Persons’ securities. The Borrower hereby agrees that it will identify in writing that portion of the Borrower Materials that are to be made available to Public Lenders and</w:t>
      </w:r>
    </w:p>
    <w:p>
      <w:pPr>
        <w:spacing w:after="0" w:line="1" w:lineRule="exact"/>
        <w:rPr>
          <w:sz w:val="20"/>
          <w:szCs w:val="20"/>
          <w:color w:val="auto"/>
        </w:rPr>
      </w:pPr>
    </w:p>
    <w:p>
      <w:pPr>
        <w:jc w:val="both"/>
        <w:ind w:firstLine="8"/>
        <w:spacing w:after="0" w:line="218" w:lineRule="auto"/>
        <w:tabs>
          <w:tab w:leader="none" w:pos="318" w:val="left"/>
        </w:tabs>
        <w:numPr>
          <w:ilvl w:val="0"/>
          <w:numId w:val="183"/>
        </w:numPr>
        <w:rPr>
          <w:rFonts w:ascii="Arial" w:cs="Arial" w:eastAsia="Arial" w:hAnsi="Arial"/>
          <w:sz w:val="21"/>
          <w:szCs w:val="21"/>
          <w:color w:val="auto"/>
        </w:rPr>
      </w:pPr>
      <w:r>
        <w:rPr>
          <w:rFonts w:ascii="Arial" w:cs="Arial" w:eastAsia="Arial" w:hAnsi="Arial"/>
          <w:sz w:val="21"/>
          <w:szCs w:val="21"/>
          <w:color w:val="auto"/>
        </w:rPr>
        <w:t>by clearly and conspicuously marking Borrower Materials “PUBLIC,” the Borrower shall be deemed to have authorized the Administrative Agent, the Joint Lead Arrangers, the Issuing Banks and the Lenders to treat the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to the extent the Borrower Materials constitute Information, they shall remain subject to the provisions of </w:t>
      </w:r>
      <w:r>
        <w:rPr>
          <w:rFonts w:ascii="Arial" w:cs="Arial" w:eastAsia="Arial" w:hAnsi="Arial"/>
          <w:sz w:val="21"/>
          <w:szCs w:val="21"/>
          <w:u w:val="single" w:color="auto"/>
          <w:color w:val="auto"/>
        </w:rPr>
        <w:t>Section 9.12</w:t>
      </w:r>
      <w:r>
        <w:rPr>
          <w:rFonts w:ascii="Arial" w:cs="Arial" w:eastAsia="Arial" w:hAnsi="Arial"/>
          <w:sz w:val="21"/>
          <w:szCs w:val="21"/>
          <w:color w:val="auto"/>
        </w:rPr>
        <w:t xml:space="preserve">); (y) all Borrower Materials marked “PUBLIC” are permitted to be made available through a portion of the Platform designated “Public Side Information;” and (z) unless expressly identified as containing material non-public information, Borrower Materials will be deemed to be appropriate for distribution to Public Lenders. Notwithstanding the foregoing, to the extent the Borrower has had reasonable opportunity to review, the following Borrower Materials shall be deemed to be marked “PUBLIC,” unless the Borrower notifies the Administrative Agent promptly that any such document contains material non-public information: (1) the Loan Documents, (2) notification of changes in the terms of the Loans, and (3) the financial statements and certificates delivered in connection with </w:t>
      </w:r>
      <w:r>
        <w:rPr>
          <w:rFonts w:ascii="Arial" w:cs="Arial" w:eastAsia="Arial" w:hAnsi="Arial"/>
          <w:sz w:val="21"/>
          <w:szCs w:val="21"/>
          <w:u w:val="single" w:color="auto"/>
          <w:color w:val="auto"/>
        </w:rPr>
        <w:t>Section 5.01(a)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w:t>
      </w:r>
    </w:p>
    <w:p>
      <w:pPr>
        <w:spacing w:after="0" w:line="158"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foreign, United States Federal and state securities laws, to make reference to Communications that are not made available through the “Public Side Information”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04" w:name="page205"/>
    <w:bookmarkEnd w:id="204"/>
    <w:p>
      <w:pPr>
        <w:jc w:val="both"/>
        <w:spacing w:after="0" w:line="232" w:lineRule="auto"/>
        <w:rPr>
          <w:sz w:val="20"/>
          <w:szCs w:val="20"/>
          <w:color w:val="auto"/>
        </w:rPr>
      </w:pPr>
      <w:r>
        <w:rPr>
          <w:rFonts w:ascii="Arial" w:cs="Arial" w:eastAsia="Arial" w:hAnsi="Arial"/>
          <w:sz w:val="22"/>
          <w:szCs w:val="22"/>
          <w:color w:val="auto"/>
        </w:rPr>
        <w:t>the Platform and that may contain material non-public information with respect to the Borrower, or its securities for purposes of United States Federal or state securities laws.</w:t>
      </w:r>
    </w:p>
    <w:p>
      <w:pPr>
        <w:spacing w:after="0" w:line="15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THE PLATFORM IS PROVIDED “AS IS” AND “AS AVAILABLE.” THE ADMINISTRATIVE AGENT DOES NOT WARRANT THE ACCURACY OR COMPLETENESS OF THE BORROWER MATERIALS OR THE ADEQUACY OF THE PLATFORM, AND EXPRESSLY DISCLAIMS LIABILITY FOR ERRORS IN OR OMISSIONS FROM THE BORROWER MATERIALS. NO WARRANTY OF ANY KIND, EXPRESS, IMPLIED OR STATUTORY, INCLUDING ANY WARRANTY OF MERCHANTABILITY, FITNESS FOR A PARTICULAR PURPOSE, NON-INFRINGEMENT OF THIRD-PARTY RIGHTS OR FREEDOM FROM VIRUSES OR OTHER CODE DEFECTS, IS MADE BY THE ADMINISTRATIVE AGENT IN CONNECTION WITH THE BORROWER MATERIALS OR THE PLATFORM.</w:t>
      </w:r>
    </w:p>
    <w:p>
      <w:pPr>
        <w:spacing w:after="0" w:line="16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auto"/>
        </w:rPr>
        <w:t>Section 5.02 Notices of Material Events</w:t>
      </w:r>
      <w:r>
        <w:rPr>
          <w:rFonts w:ascii="Arial" w:cs="Arial" w:eastAsia="Arial" w:hAnsi="Arial"/>
          <w:sz w:val="22"/>
          <w:szCs w:val="22"/>
          <w:color w:val="auto"/>
        </w:rPr>
        <w:t>. The Borrower will furnish to the Administrative Agent (for distribution to each Lender through the Administrative Agent) prompt written notice of a Responsible Officer of the Borrower’s obtaining knowledge of any of the following:</w:t>
      </w:r>
    </w:p>
    <w:p>
      <w:pPr>
        <w:spacing w:after="0" w:line="159" w:lineRule="exact"/>
        <w:rPr>
          <w:sz w:val="20"/>
          <w:szCs w:val="20"/>
          <w:color w:val="auto"/>
        </w:rPr>
      </w:pPr>
    </w:p>
    <w:p>
      <w:pPr>
        <w:ind w:firstLine="1304"/>
        <w:spacing w:after="0" w:line="232" w:lineRule="auto"/>
        <w:tabs>
          <w:tab w:leader="none" w:pos="1755"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occurrence of any Default or Event of Default, in each case, except to the extent the Administrative Agent shall have furnished the Borrower written notice thereof;</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76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to the knowledge of a Responsible Officer of the Borrower, the filing or commencement of any action, suit or proceeding by or before any arbitrator or Governmental Authority against or threatened in writing against the Borrower or any Restricted Subsidiary that would reasonably be expected to be adversely determined and if adversely determined, would reasonably be expected to result, after giving effect to the coverage and policy limits of applicable insurance policies, in a Material Adverse Effect;</w:t>
      </w:r>
    </w:p>
    <w:p>
      <w:pPr>
        <w:spacing w:after="0" w:line="157" w:lineRule="exact"/>
        <w:rPr>
          <w:rFonts w:ascii="Arial" w:cs="Arial" w:eastAsia="Arial" w:hAnsi="Arial"/>
          <w:sz w:val="22"/>
          <w:szCs w:val="22"/>
          <w:color w:val="auto"/>
        </w:rPr>
      </w:pPr>
    </w:p>
    <w:p>
      <w:pPr>
        <w:ind w:left="1760" w:hanging="456"/>
        <w:spacing w:after="0"/>
        <w:tabs>
          <w:tab w:leader="none" w:pos="176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the occurrence of any ERISA Event that would reasonably be expected to result in a Material Adverse Effect;</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61" w:lineRule="exact"/>
        <w:rPr>
          <w:rFonts w:ascii="Arial" w:cs="Arial" w:eastAsia="Arial" w:hAnsi="Arial"/>
          <w:sz w:val="19"/>
          <w:szCs w:val="19"/>
          <w:color w:val="auto"/>
        </w:rPr>
      </w:pPr>
    </w:p>
    <w:p>
      <w:pPr>
        <w:ind w:firstLine="1304"/>
        <w:spacing w:after="0" w:line="298" w:lineRule="auto"/>
        <w:tabs>
          <w:tab w:leader="none" w:pos="177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any other development (including receipt of written notice of any claim or condition arising under or relating to any Environmental Law) that results in, or would reasonably be expected to result in, a Material Adverse Effect.</w:t>
      </w:r>
    </w:p>
    <w:p>
      <w:pPr>
        <w:spacing w:after="0" w:line="10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Each notice delivered under this Section shall be accompanied by a written statement of a Responsible Officer of the Borrower setting forth the details of the event or development requiring such notice and any action taken or proposed to be taken with respect thereto. Documents required to be delivered pursuant to this </w:t>
      </w: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may be delivered electronically in accordance with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16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u w:val="single" w:color="auto"/>
          <w:color w:val="auto"/>
        </w:rPr>
        <w:t>Section 5.03 Existence; Conduct of Business</w:t>
      </w:r>
      <w:r>
        <w:rPr>
          <w:rFonts w:ascii="Arial" w:cs="Arial" w:eastAsia="Arial" w:hAnsi="Arial"/>
          <w:sz w:val="19"/>
          <w:szCs w:val="19"/>
          <w:color w:val="auto"/>
        </w:rPr>
        <w:t xml:space="preserve">. The Borrower will, and Holdings will cause each of the Holding Companies and each of the Restricted Subsidiaries to, do or cause to be done all things reasonably necessary to obtain, preserve, renew and keep in full force and effect (a) its legal existence (except as otherwise permitted hereunder), (b) the business licenses, permits, privileges, franchises and other rights, other than Intellectual Property rights (which are covered in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necessary to conduct its business and (c) the Intellectual Property rights owned by the Borrower or a Restricted Subsidiary and necessary to conduct their respective businesses, except, in the case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(other than with respect to the Borrower),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to the extent that the failure to do so would not reasonably be expected to result in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any transaction otherwise permitted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05" w:name="page206"/>
    <w:bookmarkEnd w:id="205"/>
    <w:p>
      <w:pPr>
        <w:jc w:val="both"/>
        <w:ind w:firstLine="1296"/>
        <w:spacing w:after="0" w:line="243" w:lineRule="auto"/>
        <w:rPr>
          <w:sz w:val="20"/>
          <w:szCs w:val="20"/>
          <w:color w:val="auto"/>
        </w:rPr>
      </w:pPr>
      <w:r>
        <w:rPr>
          <w:rFonts w:ascii="Arial" w:cs="Arial" w:eastAsia="Arial" w:hAnsi="Arial"/>
          <w:sz w:val="19"/>
          <w:szCs w:val="19"/>
          <w:u w:val="single" w:color="auto"/>
          <w:color w:val="auto"/>
        </w:rPr>
        <w:t>Section 5.04 Payment of Taxes</w:t>
      </w:r>
      <w:r>
        <w:rPr>
          <w:rFonts w:ascii="Arial" w:cs="Arial" w:eastAsia="Arial" w:hAnsi="Arial"/>
          <w:sz w:val="19"/>
          <w:szCs w:val="19"/>
          <w:color w:val="auto"/>
        </w:rPr>
        <w:t>. The Borrower and each Holding Company will, and Holdings will cause each Restricted Subsidiary to, pay all Tax liabilities and file all Tax returns, elections, filings and reports in respect thereof, before any penalty accrues thereon, except where (a)(i) any such payment is being contested in good faith by appropriate proceedings and</w:t>
      </w:r>
    </w:p>
    <w:p>
      <w:pPr>
        <w:spacing w:after="0" w:line="2" w:lineRule="exact"/>
        <w:rPr>
          <w:sz w:val="20"/>
          <w:szCs w:val="20"/>
          <w:color w:val="auto"/>
        </w:rPr>
      </w:pPr>
    </w:p>
    <w:p>
      <w:pPr>
        <w:jc w:val="both"/>
        <w:ind w:firstLine="8"/>
        <w:spacing w:after="0" w:line="217" w:lineRule="auto"/>
        <w:tabs>
          <w:tab w:leader="none" w:pos="356" w:val="left"/>
        </w:tabs>
        <w:numPr>
          <w:ilvl w:val="0"/>
          <w:numId w:val="185"/>
        </w:numPr>
        <w:rPr>
          <w:rFonts w:ascii="Arial" w:cs="Arial" w:eastAsia="Arial" w:hAnsi="Arial"/>
          <w:sz w:val="22"/>
          <w:szCs w:val="22"/>
          <w:color w:val="auto"/>
        </w:rPr>
      </w:pPr>
      <w:r>
        <w:rPr>
          <w:rFonts w:ascii="Arial" w:cs="Arial" w:eastAsia="Arial" w:hAnsi="Arial"/>
          <w:sz w:val="22"/>
          <w:szCs w:val="22"/>
          <w:color w:val="auto"/>
        </w:rPr>
        <w:t>Holdings, the Borrower or such Restricted Subsidiary has set aside on its books adequate reserves or other appropriate provision with respect thereto in accordance with GAAP or (b) the failure to make payment would not reasonably be expected to result in a Material Adverse Effect.</w:t>
      </w:r>
    </w:p>
    <w:p>
      <w:pPr>
        <w:spacing w:after="0" w:line="16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 xml:space="preserve">Section 5.05 Maintenance of Properties. Except if the failure to do so would not, individually or in the aggregate, reasonably be expected to result in a Material Adverse Effect, the Borrower will, and Holdings will cause the Restricted Subsidiaries to, keep and maintain all property material to the conduct of its business (other than any tangible property referenced in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and Intellectual Property) in good working order and condition, ordinary wear and tear excepted and casualty or condemnation excepted,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any transaction otherwise permitted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-585470</wp:posOffset>
            </wp:positionV>
            <wp:extent cx="24803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2480310" cy="8255"/>
                    </a:xfrm>
                    <a:prstGeom prst="rect">
                      <a:avLst/>
                    </a:prstGeom>
                    <a:noFill/>
                  </pic:spPr>
                </pic:pic>
              </a:graphicData>
            </a:graphic>
          </wp:anchor>
        </w:drawing>
      </w:r>
    </w:p>
    <w:p>
      <w:pPr>
        <w:spacing w:after="0" w:line="12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u w:val="single" w:color="auto"/>
          <w:color w:val="auto"/>
        </w:rPr>
        <w:t>Section 5.06 Insurance</w:t>
      </w:r>
      <w:r>
        <w:rPr>
          <w:rFonts w:ascii="Arial" w:cs="Arial" w:eastAsia="Arial" w:hAnsi="Arial"/>
          <w:sz w:val="19"/>
          <w:szCs w:val="19"/>
          <w:color w:val="auto"/>
        </w:rPr>
        <w:t xml:space="preserve">. The Borrower and Holdings will, and Holdings will cause each Restricted Subsidiary to, maintain, with financially sound and reputable insurance companies, (a) insurance in such amounts (after giving effect to any self-insurance reasonable and customary for similarly-situated Persons engaged in the same or similar business) and against such risks as is (i) customarily maintained by companies engaged in the same or similar businesses operating in the same or similar locations as reasonably determined by management of the Borrower and (ii) considered adequate by the Borrower. The Borrower will furnish to the Administrative Agent, promptly following written request, information in reasonable detail as to the insurance so maintained;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Event of Default has occurred and is continuing, the Borrower shall only be required to provide such information one time in any fiscal year of Holdings. Without limiting the generality of the foregoing, the Borrower will, or will cause each Loan Party to, maintain or cause to be maintained flood insurance with respect to each Flood Hazard Property that is located in a community that participates in the National Flood Insurance Program, in each case in compliance in all respects with all Flood Insurance Laws and as otherwise reasonably required by the Collateral Agent. No later than ninety (90) days (as such period may be extended in the reasonable discretion of the Collateral Agent) after the Closing Date (or the date any such insurance is obtained, renewed or extended in the case of insurance obtained, renewed or extended after the Closing Date), the Borrower will cause all property and casualty insurance policies with respect to Collateral to be endorsed or otherwise amended to include a lender’s loss payable, mortgagee or additional insured, as applicable, endorsement, or otherwise reasonably satisfactory to the Collateral Agent.</w:t>
      </w:r>
    </w:p>
    <w:p>
      <w:pPr>
        <w:spacing w:after="0" w:line="381"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u w:val="single" w:color="auto"/>
          <w:color w:val="auto"/>
        </w:rPr>
        <w:t>Section 5.07 Books and Records; Inspection and Audit Rights</w:t>
      </w:r>
      <w:r>
        <w:rPr>
          <w:rFonts w:ascii="Arial" w:cs="Arial" w:eastAsia="Arial" w:hAnsi="Arial"/>
          <w:sz w:val="19"/>
          <w:szCs w:val="19"/>
          <w:color w:val="auto"/>
        </w:rPr>
        <w:t xml:space="preserve">. The Borrower and Holdings will, and Holdings will cause each Restricted Subsidiary to, keep proper books of record and account in which full, true and correct entries (in all material respects) are made of all material financial transactions in relation to its business and activities. The Borrower and Holdings will, and will cause each Restricted Subsidiary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only the Administrative Agent on behalf of the Lenders may exercise rights under this </w:t>
      </w:r>
      <w:r>
        <w:rPr>
          <w:rFonts w:ascii="Arial" w:cs="Arial" w:eastAsia="Arial" w:hAnsi="Arial"/>
          <w:sz w:val="19"/>
          <w:szCs w:val="19"/>
          <w:u w:val="single" w:color="auto"/>
          <w:color w:val="auto"/>
        </w:rPr>
        <w:t>Section 5.07</w:t>
      </w:r>
      <w:r>
        <w:rPr>
          <w:rFonts w:ascii="Arial" w:cs="Arial" w:eastAsia="Arial" w:hAnsi="Arial"/>
          <w:sz w:val="19"/>
          <w:szCs w:val="19"/>
          <w:color w:val="auto"/>
        </w:rPr>
        <w:t xml:space="preserve"> and (ii) other than during the continuance of an Event of Default, the Administrative Agent shall not exercise such rights more often than one time during any fiscal year and, in any event, only one such time shall be at the Borrower’s expense,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when an Event of Default has occurred and is continuing the Administrative Agent or any Lender (or any of their designated representatives) may do any of the foregoing at the expense of the Borrower at any time during normal business hours and upon reasonable advance notice. The Administrative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06" w:name="page207"/>
    <w:bookmarkEnd w:id="206"/>
    <w:p>
      <w:pPr>
        <w:jc w:val="both"/>
        <w:spacing w:after="0" w:line="219" w:lineRule="auto"/>
        <w:rPr>
          <w:sz w:val="20"/>
          <w:szCs w:val="20"/>
          <w:color w:val="auto"/>
        </w:rPr>
      </w:pPr>
      <w:r>
        <w:rPr>
          <w:rFonts w:ascii="Arial" w:cs="Arial" w:eastAsia="Arial" w:hAnsi="Arial"/>
          <w:sz w:val="21"/>
          <w:szCs w:val="21"/>
          <w:color w:val="auto"/>
        </w:rPr>
        <w:t xml:space="preserve">provide the Borrower with the opportunity to participate in any discussion with any such independent accountants. Notwithstanding anything to the contrary in this </w:t>
      </w:r>
      <w:r>
        <w:rPr>
          <w:rFonts w:ascii="Arial" w:cs="Arial" w:eastAsia="Arial" w:hAnsi="Arial"/>
          <w:sz w:val="21"/>
          <w:szCs w:val="21"/>
          <w:u w:val="single" w:color="auto"/>
          <w:color w:val="auto"/>
        </w:rPr>
        <w:t>Section 5.07</w:t>
      </w:r>
      <w:r>
        <w:rPr>
          <w:rFonts w:ascii="Arial" w:cs="Arial" w:eastAsia="Arial" w:hAnsi="Arial"/>
          <w:sz w:val="21"/>
          <w:szCs w:val="21"/>
          <w:color w:val="auto"/>
        </w:rPr>
        <w:t xml:space="preserve">, neither the Borrower nor any Restricted Subsidiary will be required to disclose or permit the inspection or discussion of, any document, information or other matter (i) that constitutes trade secrets or proprietary information, (ii) in respect of which disclosure to the Administrative Agent or any Lender (or their representatives or contractors) is prohibited by law, fiduciary duty or any binding third-party agreement (not entered into in contemplation hereof) or (iii) that is subject to attorney-client or similar privilege or constitutes attorney work product;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that the Borrower or any Restricted Subsidiary does not disclose or permit the inspection or discussion of, any document, information or other matter in reliance on the foregoing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(iii)</w:t>
      </w:r>
      <w:r>
        <w:rPr>
          <w:rFonts w:ascii="Arial" w:cs="Arial" w:eastAsia="Arial" w:hAnsi="Arial"/>
          <w:sz w:val="21"/>
          <w:szCs w:val="21"/>
          <w:color w:val="auto"/>
        </w:rPr>
        <w:t>, the Borrower or such Restricted Subsidiary shall provide notice to the Administrative Agent that such information is being withheld and shall use commercially reasonable efforts to disclose or permit the inspection or discussion of such document, information or other matter in a way that would not violate the applicable restrictions.</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5.08</w:t>
      </w:r>
      <w:r>
        <w:rPr>
          <w:sz w:val="20"/>
          <w:szCs w:val="20"/>
          <w:color w:val="auto"/>
        </w:rPr>
        <w:tab/>
      </w:r>
      <w:r>
        <w:rPr>
          <w:rFonts w:ascii="Arial" w:cs="Arial" w:eastAsia="Arial" w:hAnsi="Arial"/>
          <w:sz w:val="19"/>
          <w:szCs w:val="19"/>
          <w:u w:val="single" w:color="auto"/>
          <w:color w:val="auto"/>
        </w:rPr>
        <w:t>Compliance with Laws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3" w:lineRule="auto"/>
        <w:tabs>
          <w:tab w:leader="none" w:pos="1842"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Borrower and Holdings will, and Holdings will cause each Restricted Subsidiary to, comply with all Requirements of Law with respect to it or its property, except where the failure to do so, individually or in the aggregate, would not reasonably be expected to result in a Material Adverse Effect.</w:t>
      </w:r>
    </w:p>
    <w:p>
      <w:pPr>
        <w:spacing w:after="0" w:line="158" w:lineRule="exact"/>
        <w:rPr>
          <w:rFonts w:ascii="Arial" w:cs="Arial" w:eastAsia="Arial" w:hAnsi="Arial"/>
          <w:sz w:val="22"/>
          <w:szCs w:val="22"/>
          <w:color w:val="auto"/>
        </w:rPr>
      </w:pPr>
    </w:p>
    <w:p>
      <w:pPr>
        <w:jc w:val="both"/>
        <w:ind w:firstLine="1304"/>
        <w:spacing w:after="0" w:line="242" w:lineRule="auto"/>
        <w:tabs>
          <w:tab w:leader="none" w:pos="1774"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The Borrower and Holdings will, and Holdings will (i) cause each Restricted Subsidiary to comply, and shall use commercially reasonable efforts to cause all lessees and other Persons operating or occupying its properties to comply, with all applicable Environmental Laws and Environmental Permits; (ii) obtain and renew all Environmental Permits required by Environmental Laws for its operations and the ownership or occupancy of its properties; (iii) conduct any investigation, study, sampling and testing, and undertake any cleanup, response or other corrective action, in each case as required by applicable Environmental Laws, to address any Releases of Hazardous Materials at, on, under or emanating from any property owned, leased or operated by it to the extent caused by the acts of the Borrower or any of the Restricted Subsidiaries, and (iv) make an appropriate response to any investigation, notice, demand, claim, suit or other proceeding asserting Environmental Liability against the Borrower or any Restricted Subsidiaries, except in the case of each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where the failure to do so would not reasonably be expected to have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Borrower nor any of the Restricted Subsidiaries shall be required to undertake any such investigation, study, sampling and testing, or any cleanup, removal, remedial or other responsive action to the extent that its obligation to do so is being contested in good faith and by proper proceedings and appropriate reserves are being maintained with respect to such circumstances in accordance with GAAP.</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5.09</w:t>
      </w:r>
      <w:r>
        <w:rPr>
          <w:sz w:val="20"/>
          <w:szCs w:val="20"/>
          <w:color w:val="auto"/>
        </w:rPr>
        <w:tab/>
      </w:r>
      <w:r>
        <w:rPr>
          <w:rFonts w:ascii="Arial" w:cs="Arial" w:eastAsia="Arial" w:hAnsi="Arial"/>
          <w:sz w:val="19"/>
          <w:szCs w:val="19"/>
          <w:u w:val="single" w:color="auto"/>
          <w:color w:val="auto"/>
        </w:rPr>
        <w:t>Use of Proceeds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52" w:lineRule="auto"/>
        <w:tabs>
          <w:tab w:leader="none" w:pos="1793"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proceeds of the Initial Term Loans will be used, directly or indirectly (including, without limitation, by way of intra-group loans to any Restricted Subsidiary of Holdings), by the Borrower, together with proceeds of the Second Lien Loans on the Closing Date, and cash on hand, to (i) consummate the Transactions and (ii) pay all or a portion of the Transaction Costs associated therewith. The proceeds of the Initial Revolving Borrowing will be used on the Closing Date to the extent permitted in accordance with the definition of the term “Permitted Initial Revolving Borrowing”.</w:t>
      </w:r>
    </w:p>
    <w:p>
      <w:pPr>
        <w:spacing w:after="0" w:line="148" w:lineRule="exact"/>
        <w:rPr>
          <w:rFonts w:ascii="Arial" w:cs="Arial" w:eastAsia="Arial" w:hAnsi="Arial"/>
          <w:sz w:val="19"/>
          <w:szCs w:val="19"/>
          <w:color w:val="auto"/>
        </w:rPr>
      </w:pPr>
    </w:p>
    <w:p>
      <w:pPr>
        <w:ind w:firstLine="1304"/>
        <w:spacing w:after="0" w:line="232" w:lineRule="auto"/>
        <w:tabs>
          <w:tab w:leader="none" w:pos="1908"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proceeds of the 2019 Incremental Funding Term Loans will be used, directly or indirectly, by the Borrower, together with cash on hand, to prepay the Second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07" w:name="page208"/>
    <w:bookmarkEnd w:id="207"/>
    <w:p>
      <w:pPr>
        <w:spacing w:after="0" w:line="232" w:lineRule="auto"/>
        <w:rPr>
          <w:sz w:val="20"/>
          <w:szCs w:val="20"/>
          <w:color w:val="auto"/>
        </w:rPr>
      </w:pPr>
      <w:r>
        <w:rPr>
          <w:rFonts w:ascii="Arial" w:cs="Arial" w:eastAsia="Arial" w:hAnsi="Arial"/>
          <w:sz w:val="22"/>
          <w:szCs w:val="22"/>
          <w:color w:val="auto"/>
        </w:rPr>
        <w:t>Facility in full (and to pay fees, costs and expenses in connection with the foregoing) and to fund cash to the Borrower’s balance sheet.</w:t>
      </w:r>
    </w:p>
    <w:p>
      <w:pPr>
        <w:spacing w:after="0" w:line="159" w:lineRule="exact"/>
        <w:rPr>
          <w:sz w:val="20"/>
          <w:szCs w:val="20"/>
          <w:color w:val="auto"/>
        </w:rPr>
      </w:pPr>
    </w:p>
    <w:p>
      <w:pPr>
        <w:jc w:val="both"/>
        <w:ind w:firstLine="1304"/>
        <w:spacing w:after="0" w:line="218" w:lineRule="auto"/>
        <w:tabs>
          <w:tab w:leader="none" w:pos="179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proceeds of the Revolving Loans and Letters of Credit and any other Loans borrowed after the Closing Date will be used for working capital, capital expenditures, general corporate purposes and any other purpose of the Borrower and its Restricted Subsidiaries not otherwise prohibited under this Agreement (including Restricted Payments, Investments, Acquisitions and to fund Transaction Costs).</w:t>
      </w:r>
    </w:p>
    <w:p>
      <w:pPr>
        <w:spacing w:after="0" w:line="160" w:lineRule="exact"/>
        <w:rPr>
          <w:rFonts w:ascii="Arial" w:cs="Arial" w:eastAsia="Arial" w:hAnsi="Arial"/>
          <w:sz w:val="22"/>
          <w:szCs w:val="22"/>
          <w:color w:val="auto"/>
        </w:rPr>
      </w:pPr>
    </w:p>
    <w:p>
      <w:pPr>
        <w:ind w:firstLine="1304"/>
        <w:spacing w:after="0" w:line="232" w:lineRule="auto"/>
        <w:tabs>
          <w:tab w:leader="none" w:pos="1767" w:val="left"/>
        </w:tabs>
        <w:numPr>
          <w:ilvl w:val="0"/>
          <w:numId w:val="188"/>
        </w:numPr>
        <w:rPr>
          <w:rFonts w:ascii="Arial" w:cs="Arial" w:eastAsia="Arial" w:hAnsi="Arial"/>
          <w:sz w:val="22"/>
          <w:szCs w:val="22"/>
          <w:color w:val="auto"/>
        </w:rPr>
      </w:pPr>
      <w:r>
        <w:rPr>
          <w:rFonts w:ascii="Arial" w:cs="Arial" w:eastAsia="Arial" w:hAnsi="Arial"/>
          <w:sz w:val="22"/>
          <w:szCs w:val="22"/>
          <w:color w:val="auto"/>
        </w:rPr>
        <w:t>No part of the proceeds of any Loan will be used, whether directly or indirectly, for any purpose that entails a violation of any of the Regulations of the Board, including Regulations T, U and X.</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5.10</w:t>
      </w:r>
      <w:r>
        <w:rPr>
          <w:sz w:val="20"/>
          <w:szCs w:val="20"/>
          <w:color w:val="auto"/>
        </w:rPr>
        <w:tab/>
      </w:r>
      <w:r>
        <w:rPr>
          <w:rFonts w:ascii="Arial" w:cs="Arial" w:eastAsia="Arial" w:hAnsi="Arial"/>
          <w:sz w:val="19"/>
          <w:szCs w:val="19"/>
          <w:u w:val="single" w:color="auto"/>
          <w:color w:val="auto"/>
        </w:rPr>
        <w:t>Execution of Guaranty and Security Documents after the Closing Date</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1" w:lineRule="auto"/>
        <w:tabs>
          <w:tab w:leader="none" w:pos="1846"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5.11(b)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in the event that any Person becomes a Restricted Subsidiary (including any Unrestricted Subsidiary that becomes a Restricted Subsidiary) after the date hereof (other than any Restricted Subsidiary for so long as it is an Excluded Subsidiary) or any Restricted Subsidiary (including any Electing Guarantor) ceases to be an Excluded Subsidiary, the Borrower or other applicable Loan Parties will promptly (and in no event later than forty-five (45) days thereafter or such later date as the Administrative Agent may agree in its reasonable discretion) notify the Administrative Agent of that fact and cause such Restricted Subsidiary to execute and deliver to the Administrative Agent counterparts of the applicable Guaranty and Security Agreement and each other applicable Security Document, to execute and deliver a joinder to the Second Lien Intercreditor Agreement in substantially the form attached as Exhibit L thereto and to take all such further actions and execute all such further documents and instruments as required by the Security Agreement and each other Security Document to secure the Secured Obligations for the benefit of the Secured Parties (including all actions necessary to cause such Lien to be duly perfected to the extent required by such Security Document, including the filing of financing statements in such jurisdictions as may be reasonably requested by the Administrative Agent). In addition, as and to the extent provided in the Security Agreement, as applicable (subject to all applicable exceptions and limitations therein and herein), the applicable Loan Party shall deliver to the Collateral Agent all certificates, if any, representing Equity Interests of such Restricted Subsidiary (accompanied by undated stock powers, duly endorsed in blank) and any other possessory Collateral, in each case as required thereunder. Under no circumstance will any Loan Party be required to execute any Security Documents governed by the laws of any jurisdiction other than the United States, any State thereof or the District of Columbia.</w:t>
      </w:r>
    </w:p>
    <w:p>
      <w:pPr>
        <w:spacing w:after="0" w:line="158" w:lineRule="exact"/>
        <w:rPr>
          <w:rFonts w:ascii="Arial" w:cs="Arial" w:eastAsia="Arial" w:hAnsi="Arial"/>
          <w:sz w:val="19"/>
          <w:szCs w:val="19"/>
          <w:color w:val="auto"/>
        </w:rPr>
      </w:pPr>
    </w:p>
    <w:p>
      <w:pPr>
        <w:jc w:val="both"/>
        <w:ind w:firstLine="1304"/>
        <w:spacing w:after="0" w:line="244" w:lineRule="auto"/>
        <w:tabs>
          <w:tab w:leader="none" w:pos="177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5.11(b)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in the event that any Person becomes a Restricted Subsidiary after the date hereof (other than any Restricted Subsidiary for so long as it is an Excluded Subsidiary), concurrently with the execution and delivery of counterparts to the Guaranty and the Security Agreement pursuant to </w:t>
      </w:r>
      <w:r>
        <w:rPr>
          <w:rFonts w:ascii="Arial" w:cs="Arial" w:eastAsia="Arial" w:hAnsi="Arial"/>
          <w:sz w:val="19"/>
          <w:szCs w:val="19"/>
          <w:u w:val="single" w:color="auto"/>
          <w:color w:val="auto"/>
        </w:rPr>
        <w:t>Section 5.10(a)</w:t>
      </w:r>
      <w:r>
        <w:rPr>
          <w:rFonts w:ascii="Arial" w:cs="Arial" w:eastAsia="Arial" w:hAnsi="Arial"/>
          <w:sz w:val="19"/>
          <w:szCs w:val="19"/>
          <w:color w:val="auto"/>
        </w:rPr>
        <w:t xml:space="preserve">, such Restricted Subsidiary shall deliver to the Administrative Agent, (i) certified copies of such Restricted Subsidiary’s Organizational Documents or, if such document is of a type that may not be so certified, certified by the secretary or similar officer of the applicable Restricted Subsidiary, and (ii) a certificate executed on behalf of such Restricted Subsidiary by the secretary or similar officer of such Restricted Subsidiary as to (a) the fact that the attached resolutions of the Governing Body of such Restricted Subsidiary approving and authorizing the execution, delivery and performance of such Loan Documents are in full force and effect and have not been modified or amended and (b) the incumbency and signatures of the officers of such Restricted Subsidiary executing such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Loan Party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08" w:name="page209"/>
    <w:bookmarkEnd w:id="208"/>
    <w:p>
      <w:pPr>
        <w:spacing w:after="0" w:line="232" w:lineRule="auto"/>
        <w:rPr>
          <w:sz w:val="20"/>
          <w:szCs w:val="20"/>
          <w:color w:val="auto"/>
        </w:rPr>
      </w:pPr>
      <w:r>
        <w:rPr>
          <w:rFonts w:ascii="Arial" w:cs="Arial" w:eastAsia="Arial" w:hAnsi="Arial"/>
          <w:sz w:val="22"/>
          <w:szCs w:val="22"/>
          <w:color w:val="auto"/>
        </w:rPr>
        <w:t xml:space="preserve">a Foreign Subsidiary, in lieu of delivery of the items set forth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and (ii), such Loan Party shall deliver a customary director’s certificate, including customary attachments thereto.</w:t>
      </w:r>
    </w:p>
    <w:p>
      <w:pPr>
        <w:spacing w:after="0" w:line="159" w:lineRule="exact"/>
        <w:rPr>
          <w:sz w:val="20"/>
          <w:szCs w:val="20"/>
          <w:color w:val="auto"/>
        </w:rPr>
      </w:pPr>
    </w:p>
    <w:p>
      <w:pPr>
        <w:jc w:val="both"/>
        <w:ind w:firstLine="1304"/>
        <w:spacing w:after="0" w:line="244" w:lineRule="auto"/>
        <w:tabs>
          <w:tab w:leader="none" w:pos="187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If, at any time, (x) a Restricted Subsidiary is designated as an Unrestricted Subsidiary or an Immaterial Subsidiary in accordance with this Agreement or (y) an Electing Guarantor has been re-designated (at the option, and in the sole discretion, of the Borrower in accordance with </w:t>
      </w:r>
      <w:r>
        <w:rPr>
          <w:rFonts w:ascii="Arial" w:cs="Arial" w:eastAsia="Arial" w:hAnsi="Arial"/>
          <w:sz w:val="19"/>
          <w:szCs w:val="19"/>
          <w:u w:val="single" w:color="auto"/>
          <w:color w:val="auto"/>
        </w:rPr>
        <w:t>Section 5.12(b)</w:t>
      </w:r>
      <w:r>
        <w:rPr>
          <w:rFonts w:ascii="Arial" w:cs="Arial" w:eastAsia="Arial" w:hAnsi="Arial"/>
          <w:sz w:val="19"/>
          <w:szCs w:val="19"/>
          <w:color w:val="auto"/>
        </w:rPr>
        <w:t>) as an Excluded Subsidiary, the Collateral Agent shall release such Subsidiary from any Guaranty and all Security Documents to which it may be a party and to the extent such Subsidiary’s Equity Interests were pledged (or otherwise secured) as Collateral, such pledge (or other security) shall be released and, upon the request of any Loan Party, any certificates in respect thereof shall be promptly returned to the applicable Loan Party. Notwithstanding the foregoing, in no event shall Equity Interests of any Unrestricted Subsidiary or any of such Unrestricted Subsidiary’s assets constitute Collateral, and the Administrative Agent and Collateral Agent shall take all actions required hereunder and under the other Loan Documents to effect the foregoing.</w:t>
      </w:r>
    </w:p>
    <w:p>
      <w:pPr>
        <w:spacing w:after="0" w:line="160" w:lineRule="exact"/>
        <w:rPr>
          <w:rFonts w:ascii="Arial" w:cs="Arial" w:eastAsia="Arial" w:hAnsi="Arial"/>
          <w:sz w:val="19"/>
          <w:szCs w:val="19"/>
          <w:color w:val="auto"/>
        </w:rPr>
      </w:pPr>
    </w:p>
    <w:p>
      <w:pPr>
        <w:jc w:val="both"/>
        <w:ind w:firstLine="1304"/>
        <w:spacing w:after="0" w:line="247" w:lineRule="auto"/>
        <w:tabs>
          <w:tab w:leader="none" w:pos="1829"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5.11(b)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from and after the Closing Date, in the event that (i) any Loan Party acquires any Material Real Property located in the United States or any state or territory thereof or (ii) at the time any Person becomes a Loan Party, such Person owns any Material Real Property located in the United States or any state or territory thereof, such Loan Party shall deliver to the Collateral Agent (and in the case of clause (vi) below, each Revolving Lender), within ninety (90) days (or such later date as the Administrative Agent may agree in its reasonable discretion) after such Person acquires such Material Real Property or becomes a Loan Party, as the case may be, the following with respect to each such parcel of Material Real Property (each an “</w:t>
      </w:r>
      <w:r>
        <w:rPr>
          <w:rFonts w:ascii="Arial" w:cs="Arial" w:eastAsia="Arial" w:hAnsi="Arial"/>
          <w:sz w:val="19"/>
          <w:szCs w:val="19"/>
          <w:u w:val="single" w:color="auto"/>
          <w:color w:val="auto"/>
        </w:rPr>
        <w:t>Additional Mortgaged Property</w:t>
      </w:r>
      <w:r>
        <w:rPr>
          <w:rFonts w:ascii="Arial" w:cs="Arial" w:eastAsia="Arial" w:hAnsi="Arial"/>
          <w:sz w:val="19"/>
          <w:szCs w:val="19"/>
          <w:color w:val="auto"/>
        </w:rPr>
        <w:t>”):</w:t>
      </w:r>
    </w:p>
    <w:p>
      <w:pPr>
        <w:spacing w:after="0" w:line="154" w:lineRule="exact"/>
        <w:rPr>
          <w:sz w:val="20"/>
          <w:szCs w:val="20"/>
          <w:color w:val="auto"/>
        </w:rPr>
      </w:pPr>
    </w:p>
    <w:p>
      <w:pPr>
        <w:jc w:val="both"/>
        <w:ind w:left="660" w:firstLine="644"/>
        <w:spacing w:after="0" w:line="234" w:lineRule="auto"/>
        <w:tabs>
          <w:tab w:leader="none" w:pos="1794" w:val="left"/>
        </w:tabs>
        <w:numPr>
          <w:ilvl w:val="0"/>
          <w:numId w:val="191"/>
        </w:numPr>
        <w:rPr>
          <w:rFonts w:ascii="Arial" w:cs="Arial" w:eastAsia="Arial" w:hAnsi="Arial"/>
          <w:sz w:val="21"/>
          <w:szCs w:val="21"/>
          <w:color w:val="auto"/>
        </w:rPr>
      </w:pPr>
      <w:r>
        <w:rPr>
          <w:rFonts w:ascii="Arial" w:cs="Arial" w:eastAsia="Arial" w:hAnsi="Arial"/>
          <w:sz w:val="21"/>
          <w:szCs w:val="21"/>
          <w:color w:val="auto"/>
        </w:rPr>
        <w:t>A fully executed and, where required in the applicable jurisdiction, notarized Mortgage, in proper form for recording in the applicable jurisdictions required by law to establish and perfect the Mortgage in favor of the Collateral Agent, encumbering the interest of such Loan Party in such Additional Mortgaged Property;</w:t>
      </w:r>
    </w:p>
    <w:p>
      <w:pPr>
        <w:spacing w:after="0" w:line="157" w:lineRule="exact"/>
        <w:rPr>
          <w:rFonts w:ascii="Arial" w:cs="Arial" w:eastAsia="Arial" w:hAnsi="Arial"/>
          <w:sz w:val="21"/>
          <w:szCs w:val="21"/>
          <w:color w:val="auto"/>
        </w:rPr>
      </w:pPr>
    </w:p>
    <w:p>
      <w:pPr>
        <w:jc w:val="both"/>
        <w:ind w:left="660" w:firstLine="644"/>
        <w:spacing w:after="0" w:line="223" w:lineRule="auto"/>
        <w:tabs>
          <w:tab w:leader="none" w:pos="189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An opinion of counsel in the state or other jurisdiction in which such Additional Mortgaged Property is located with respect to the enforceability of such Mortgage to be recorded in such state and such other customary matters as the Administrative Agent may reasonably request;</w:t>
      </w:r>
    </w:p>
    <w:p>
      <w:pPr>
        <w:spacing w:after="0" w:line="158" w:lineRule="exact"/>
        <w:rPr>
          <w:rFonts w:ascii="Arial" w:cs="Arial" w:eastAsia="Arial" w:hAnsi="Arial"/>
          <w:sz w:val="22"/>
          <w:szCs w:val="22"/>
          <w:color w:val="auto"/>
        </w:rPr>
      </w:pPr>
    </w:p>
    <w:p>
      <w:pPr>
        <w:jc w:val="both"/>
        <w:ind w:left="660" w:firstLine="644"/>
        <w:spacing w:after="0" w:line="219" w:lineRule="auto"/>
        <w:tabs>
          <w:tab w:leader="none" w:pos="1873" w:val="left"/>
        </w:tabs>
        <w:numPr>
          <w:ilvl w:val="0"/>
          <w:numId w:val="191"/>
        </w:numPr>
        <w:rPr>
          <w:rFonts w:ascii="Arial" w:cs="Arial" w:eastAsia="Arial" w:hAnsi="Arial"/>
          <w:sz w:val="21"/>
          <w:szCs w:val="21"/>
          <w:color w:val="auto"/>
        </w:rPr>
      </w:pPr>
      <w:r>
        <w:rPr>
          <w:rFonts w:ascii="Arial" w:cs="Arial" w:eastAsia="Arial" w:hAnsi="Arial"/>
          <w:sz w:val="21"/>
          <w:szCs w:val="21"/>
          <w:color w:val="auto"/>
        </w:rPr>
        <w:t>(A) ALTA mortgagee title insurance policy or unconditional commitments therefor (the “</w:t>
      </w:r>
      <w:r>
        <w:rPr>
          <w:rFonts w:ascii="Arial" w:cs="Arial" w:eastAsia="Arial" w:hAnsi="Arial"/>
          <w:sz w:val="21"/>
          <w:szCs w:val="21"/>
          <w:u w:val="single" w:color="auto"/>
          <w:color w:val="auto"/>
        </w:rPr>
        <w:t>Mortgage Policy</w:t>
      </w:r>
      <w:r>
        <w:rPr>
          <w:rFonts w:ascii="Arial" w:cs="Arial" w:eastAsia="Arial" w:hAnsi="Arial"/>
          <w:sz w:val="21"/>
          <w:szCs w:val="21"/>
          <w:color w:val="auto"/>
        </w:rPr>
        <w:t>”) issued by a Title Company with respect to such Additional Mortgaged Property, in an amount to be mutually agreed between the Borrower, the Administrative Agent and Collateral Agent but in no event less than the fair market value of the Additional Mortgaged Property as reasonably determined by the applicable Loan Party, insuring title to such Additional Mortgaged Property vested in such Loan Party, which such Mortgage Policy shall, to the extent available under applicable state law, include customary affirmative insurance and endorsements and contain no exceptions to title except Permitted Encumbrances; and (B) evidence reasonably satisfactory to the Administrative Agent that such Loan Party has (i) delivered to the Title Company all certificates and affidavits required by the Title Company in connection with the issuance of the Mortgage Policy and (ii) paid (or made provision for payment) to the Title Company of all expenses and premiums and to the appropriate Governmental Authorities all taxes and fees, including stamp taxes, mortgage recording taxes and fees and intangible taxes, payable in connection with recording the Mortgage in the appropriate real estate records;</w:t>
      </w:r>
    </w:p>
    <w:p>
      <w:pPr>
        <w:spacing w:after="0" w:line="163" w:lineRule="exact"/>
        <w:rPr>
          <w:rFonts w:ascii="Arial" w:cs="Arial" w:eastAsia="Arial" w:hAnsi="Arial"/>
          <w:sz w:val="21"/>
          <w:szCs w:val="21"/>
          <w:color w:val="auto"/>
        </w:rPr>
      </w:pPr>
    </w:p>
    <w:p>
      <w:pPr>
        <w:ind w:left="1840" w:hanging="536"/>
        <w:spacing w:after="0"/>
        <w:tabs>
          <w:tab w:leader="none" w:pos="184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Upon the reasonable request of the Collateral Agent, an appraisal;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09" w:name="page210"/>
    <w:bookmarkEnd w:id="209"/>
    <w:p>
      <w:pPr>
        <w:ind w:left="660" w:firstLine="644"/>
        <w:spacing w:after="0" w:line="298" w:lineRule="auto"/>
        <w:tabs>
          <w:tab w:leader="none" w:pos="1783"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An ALTA survey of the Additional Mortgaged Property reasonably acceptable to the Collateral Agent and the Title Company (in order to remove the so-called “standard survey exception” and provide customary endorsements); and</w:t>
      </w:r>
    </w:p>
    <w:p>
      <w:pPr>
        <w:spacing w:after="0" w:line="105" w:lineRule="exact"/>
        <w:rPr>
          <w:rFonts w:ascii="Arial" w:cs="Arial" w:eastAsia="Arial" w:hAnsi="Arial"/>
          <w:sz w:val="19"/>
          <w:szCs w:val="19"/>
          <w:color w:val="auto"/>
        </w:rPr>
      </w:pPr>
    </w:p>
    <w:p>
      <w:pPr>
        <w:jc w:val="both"/>
        <w:ind w:left="660" w:firstLine="644"/>
        <w:spacing w:after="0" w:line="249" w:lineRule="auto"/>
        <w:tabs>
          <w:tab w:leader="none" w:pos="1887"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 flood determination on a form promulgated by the Federal Emergency Management Agency and if such Additional Mortgaged Property is a Flood Hazard Property, a flood determination counter-signed by the applicable Borrower and if the community in which any such Flood Hazard Property is located is participating in the National Flood Insurance Program, evidence of flood insurance that is in compliance in all respects with the Flood Insurance Laws and as otherwise reasonably required by the Collateral Agent or any Revolving Lender and each of the foregoing shall be in form and substance reasonably satisfactory to the Collateral Agent and the Revolving Lenders.</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5.11</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79" w:lineRule="exact"/>
        <w:rPr>
          <w:sz w:val="20"/>
          <w:szCs w:val="20"/>
          <w:color w:val="auto"/>
        </w:rPr>
      </w:pPr>
    </w:p>
    <w:p>
      <w:pPr>
        <w:jc w:val="both"/>
        <w:ind w:firstLine="1304"/>
        <w:spacing w:after="0" w:line="246" w:lineRule="auto"/>
        <w:tabs>
          <w:tab w:leader="none" w:pos="1791" w:val="left"/>
        </w:tabs>
        <w:numPr>
          <w:ilvl w:val="1"/>
          <w:numId w:val="193"/>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5.11(b)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and the terms, conditions and provisions of the Security Documents applicable to such Loan Party, the Borrower shall, and shall cause the other Loan Parties to, promptly upon reasonable request by the Administrative Agent or the Collateral Agent, (i) correct any jointly identified material defect or error that may be discovered in the execution, acknowledgment, filing or recordation of any Security Document or other document or instrument relating to any Collateral, and (ii) do, execute, acknowledge, deliver, record, re-record, file, re-file, register and re-register any and all such further acts, deeds, certificates, assurances and other instruments as the Administrative Agent or the Collateral Agent may reasonably request from time to time, and in order to carry out more effectively the purposes thereof, in each case, to the extent required by this Agreement and the Security Documents.</w:t>
      </w:r>
    </w:p>
    <w:p>
      <w:pPr>
        <w:spacing w:after="0" w:line="152" w:lineRule="exact"/>
        <w:rPr>
          <w:rFonts w:ascii="Arial" w:cs="Arial" w:eastAsia="Arial" w:hAnsi="Arial"/>
          <w:sz w:val="19"/>
          <w:szCs w:val="19"/>
          <w:color w:val="auto"/>
        </w:rPr>
      </w:pPr>
    </w:p>
    <w:p>
      <w:pPr>
        <w:jc w:val="both"/>
        <w:ind w:firstLine="1304"/>
        <w:spacing w:after="0" w:line="239" w:lineRule="auto"/>
        <w:tabs>
          <w:tab w:leader="none" w:pos="1919" w:val="left"/>
        </w:tabs>
        <w:numPr>
          <w:ilvl w:val="1"/>
          <w:numId w:val="193"/>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or any Security Document to the contrary: (i) neither the Administrative Agent nor the Collateral Agent shall take, and the Loan Parties shall not be required to grant, a security interest in any Excluded Property; (ii) any security interest required to be granted or any action required to be taken, including to perfect such security interest, shall be subject to the same exceptions and limitations as those set forth in the Security Documents; (iii) no such Loan Party shall be required, nor shall the Administrative Agent or Collateral Agent be authorized, except with respect to the pledge of 65% of the voting capital stock and 100% of the non-voting capital stock of a CFC or CFC Holding Company, in each case, as set forth in </w:t>
      </w:r>
      <w:r>
        <w:rPr>
          <w:rFonts w:ascii="Arial" w:cs="Arial" w:eastAsia="Arial" w:hAnsi="Arial"/>
          <w:sz w:val="19"/>
          <w:szCs w:val="19"/>
          <w:u w:val="single" w:color="auto"/>
          <w:color w:val="auto"/>
        </w:rPr>
        <w:t>Section 5.10(a)</w:t>
      </w:r>
      <w:r>
        <w:rPr>
          <w:rFonts w:ascii="Arial" w:cs="Arial" w:eastAsia="Arial" w:hAnsi="Arial"/>
          <w:sz w:val="19"/>
          <w:szCs w:val="19"/>
          <w:color w:val="auto"/>
        </w:rPr>
        <w:t>, to perfect any pledges, charges, assignments, security interests and mortgages in any Collateral by any means other than (A) filings pursuant to the UCC in the office of the secretary of state of the relevant State(s),</w:t>
      </w:r>
    </w:p>
    <w:p>
      <w:pPr>
        <w:spacing w:after="0" w:line="5" w:lineRule="exact"/>
        <w:rPr>
          <w:rFonts w:ascii="Arial" w:cs="Arial" w:eastAsia="Arial" w:hAnsi="Arial"/>
          <w:sz w:val="19"/>
          <w:szCs w:val="19"/>
          <w:color w:val="auto"/>
        </w:rPr>
      </w:pPr>
    </w:p>
    <w:p>
      <w:pPr>
        <w:jc w:val="both"/>
        <w:ind w:firstLine="8"/>
        <w:spacing w:after="0" w:line="217" w:lineRule="auto"/>
        <w:tabs>
          <w:tab w:leader="none" w:pos="38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filings of intellectual property security agreements in the United States Patent and Trademark Office and United States Copyright Office and payment of associated fees, as applicable, with respect to issued, registered and applied-for United States Intellectual Property, as expressly required by the Loan Documents, (C) delivery to the Collateral Agent to be held in its possession of all Collateral consisting of intercompany notes in an amount in excess of $10,000,000, in the aggregate, stock certificates of the Borrower and the Restricted Subsidiaries and other Instruments issued to any Loan Party in an amount in excess of $10,000,000, in the aggregate, (D) mortgages in respect of Material Real Property and (E) necessary perfection steps with respect to Commercial Tort Claims (as defined in the UCC) over $10,000,000 individually and Letter of Credit Rights (as defined in the UCC) over $10,000,000 individually; (iv) no such Loan Party shall have any obligation under any Loan Document to enter into any landlord, bailee or warehousemen waiver, estoppel or consent or any other document of similar effect; (v) in no event shall any such Loan Party be required to take any action to perfect the security interest granted under the Security Documents in Collateral consisting of (A) cash or Cash Equivalents, (B) entering into any deposit account control agreement or securities account control agreement with respect to any deposit account or securities account (including securities entitlements and related assets credited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10" w:name="page211"/>
    <w:bookmarkEnd w:id="210"/>
    <w:p>
      <w:pPr>
        <w:jc w:val="both"/>
        <w:spacing w:after="0" w:line="252" w:lineRule="auto"/>
        <w:rPr>
          <w:sz w:val="20"/>
          <w:szCs w:val="20"/>
          <w:color w:val="auto"/>
        </w:rPr>
      </w:pPr>
      <w:r>
        <w:rPr>
          <w:rFonts w:ascii="Arial" w:cs="Arial" w:eastAsia="Arial" w:hAnsi="Arial"/>
          <w:sz w:val="19"/>
          <w:szCs w:val="19"/>
          <w:color w:val="auto"/>
        </w:rPr>
        <w:t xml:space="preserve">thereto) or (C) other assets requiring perfection through the implementation of control agreements or perfection by “control” (other than with respect to uncertificated securities and with respect to possession by the Collateral Agent, in each case, to the extent expressly required under the Security Documents) in each case under this </w:t>
      </w:r>
      <w:r>
        <w:rPr>
          <w:rFonts w:ascii="Arial" w:cs="Arial" w:eastAsia="Arial" w:hAnsi="Arial"/>
          <w:sz w:val="19"/>
          <w:szCs w:val="19"/>
          <w:u w:val="single" w:color="auto"/>
          <w:color w:val="auto"/>
        </w:rPr>
        <w:t>clause (v)</w:t>
      </w:r>
      <w:r>
        <w:rPr>
          <w:rFonts w:ascii="Arial" w:cs="Arial" w:eastAsia="Arial" w:hAnsi="Arial"/>
          <w:sz w:val="19"/>
          <w:szCs w:val="19"/>
          <w:color w:val="auto"/>
        </w:rPr>
        <w:t>, except, in each case, to the extent such perfection may be achieved by the filing of a UCC financing statement, as applicable; and (vi) no Loan Party shall be required to enter into any source code escrow arrangement or be obligated to register Intellectual Property.</w:t>
      </w:r>
    </w:p>
    <w:p>
      <w:pPr>
        <w:spacing w:after="0" w:line="149" w:lineRule="exact"/>
        <w:rPr>
          <w:sz w:val="20"/>
          <w:szCs w:val="20"/>
          <w:color w:val="auto"/>
        </w:rPr>
      </w:pPr>
    </w:p>
    <w:p>
      <w:pPr>
        <w:jc w:val="both"/>
        <w:ind w:firstLine="1304"/>
        <w:spacing w:after="0" w:line="257" w:lineRule="auto"/>
        <w:tabs>
          <w:tab w:leader="none" w:pos="1768" w:val="left"/>
        </w:tabs>
        <w:numPr>
          <w:ilvl w:val="0"/>
          <w:numId w:val="195"/>
        </w:numPr>
        <w:rPr>
          <w:rFonts w:ascii="Arial" w:cs="Arial" w:eastAsia="Arial" w:hAnsi="Arial"/>
          <w:sz w:val="19"/>
          <w:szCs w:val="19"/>
          <w:color w:val="auto"/>
        </w:rPr>
      </w:pPr>
      <w:r>
        <w:rPr>
          <w:rFonts w:ascii="Arial" w:cs="Arial" w:eastAsia="Arial" w:hAnsi="Arial"/>
          <w:sz w:val="19"/>
          <w:szCs w:val="19"/>
          <w:color w:val="auto"/>
        </w:rPr>
        <w:t>Notwithstanding anything in this Agreement or any Security Document to the contrary, no Loan Party or any Restricted Subsidiary shall be required to take any action outside the United States, any state, province, territory or jurisdiction thereof to perfect any security interest in the Collateral (including the execution of any agreement, document or other instrument governed by the law of any jurisdiction other than the United States or any state, province, territory or jurisdiction thereof).</w:t>
      </w:r>
    </w:p>
    <w:p>
      <w:pPr>
        <w:spacing w:after="0" w:line="144" w:lineRule="exact"/>
        <w:rPr>
          <w:rFonts w:ascii="Arial" w:cs="Arial" w:eastAsia="Arial" w:hAnsi="Arial"/>
          <w:sz w:val="19"/>
          <w:szCs w:val="19"/>
          <w:color w:val="auto"/>
        </w:rPr>
      </w:pPr>
    </w:p>
    <w:p>
      <w:pPr>
        <w:jc w:val="both"/>
        <w:ind w:firstLine="1304"/>
        <w:spacing w:after="0" w:line="214" w:lineRule="auto"/>
        <w:tabs>
          <w:tab w:leader="none" w:pos="199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Notwithstanding anything in this Agreement or any Security Document to the contrary, neither the Administrative Agent nor the Collateral Agent shall obtain or perfect a security interest in any assets of any Loan Party as to which the Administrative Agent shall determine, in its reasonable discretion, that the cost of obtaining or perfecting such security interest is excessive in relation to the benefit to the Lenders of the security afforded thereby (such comparison to be determined in a manner consistent with any such determination made in connection with the Closing Date) or would otherwise violate applicable law.</w:t>
      </w:r>
    </w:p>
    <w:p>
      <w:pPr>
        <w:spacing w:after="0" w:line="158" w:lineRule="exact"/>
        <w:rPr>
          <w:rFonts w:ascii="Arial" w:cs="Arial" w:eastAsia="Arial" w:hAnsi="Arial"/>
          <w:sz w:val="22"/>
          <w:szCs w:val="22"/>
          <w:color w:val="auto"/>
        </w:rPr>
      </w:pPr>
    </w:p>
    <w:p>
      <w:pPr>
        <w:jc w:val="both"/>
        <w:ind w:firstLine="1304"/>
        <w:spacing w:after="0" w:line="224" w:lineRule="auto"/>
        <w:tabs>
          <w:tab w:leader="none" w:pos="1823" w:val="left"/>
        </w:tabs>
        <w:numPr>
          <w:ilvl w:val="0"/>
          <w:numId w:val="195"/>
        </w:numPr>
        <w:rPr>
          <w:rFonts w:ascii="Arial" w:cs="Arial" w:eastAsia="Arial" w:hAnsi="Arial"/>
          <w:sz w:val="21"/>
          <w:szCs w:val="21"/>
          <w:color w:val="auto"/>
        </w:rPr>
      </w:pPr>
      <w:r>
        <w:rPr>
          <w:rFonts w:ascii="Arial" w:cs="Arial" w:eastAsia="Arial" w:hAnsi="Arial"/>
          <w:sz w:val="21"/>
          <w:szCs w:val="21"/>
          <w:color w:val="auto"/>
        </w:rPr>
        <w:t xml:space="preserve">Notwithstanding anything in this Agreement or any Security Document to the contrary, the Administrative Agent may, in its sole discretion, grant extensions of time for the satisfaction of any of the requirements under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5.11</w:t>
      </w:r>
      <w:r>
        <w:rPr>
          <w:rFonts w:ascii="Arial" w:cs="Arial" w:eastAsia="Arial" w:hAnsi="Arial"/>
          <w:sz w:val="21"/>
          <w:szCs w:val="21"/>
          <w:color w:val="auto"/>
        </w:rPr>
        <w:t xml:space="preserve"> in respect of any particular Collateral or any particular Subsidiary if it determines that the satisfaction thereof with respect to such Collateral or such Subsidiary cannot be accomplished without undue expense or unreasonable effort or due to factors beyond the control of the Borrower and the Restricted Subsidiaries by the time or times at which it would otherwise be required to be satisfied under this Agreement or any Security Document.</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5.12</w:t>
      </w:r>
      <w:r>
        <w:rPr>
          <w:sz w:val="20"/>
          <w:szCs w:val="20"/>
          <w:color w:val="auto"/>
        </w:rPr>
        <w:tab/>
      </w:r>
      <w:r>
        <w:rPr>
          <w:rFonts w:ascii="Arial" w:cs="Arial" w:eastAsia="Arial" w:hAnsi="Arial"/>
          <w:sz w:val="19"/>
          <w:szCs w:val="19"/>
          <w:u w:val="single" w:color="auto"/>
          <w:color w:val="auto"/>
        </w:rPr>
        <w:t>Designation of Subsidiaries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1" w:lineRule="auto"/>
        <w:tabs>
          <w:tab w:leader="none" w:pos="179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The Borrower may designate (or re-designate) any Restricted Subsidiary (other than a Holding Company or the Borrower) as an Unrestricted Subsidiary or any Unrestricted Subsidiary as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before and after such designation, no Event of Default shall have occurred and be continuing. The designation of any Subsidiary as an Unrestricted Subsidiary after the Closing Date in accordance with this </w:t>
      </w:r>
      <w:r>
        <w:rPr>
          <w:rFonts w:ascii="Arial" w:cs="Arial" w:eastAsia="Arial" w:hAnsi="Arial"/>
          <w:sz w:val="19"/>
          <w:szCs w:val="19"/>
          <w:u w:val="single" w:color="auto"/>
          <w:color w:val="auto"/>
        </w:rPr>
        <w:t>Section 5.12(a)</w:t>
      </w:r>
      <w:r>
        <w:rPr>
          <w:rFonts w:ascii="Arial" w:cs="Arial" w:eastAsia="Arial" w:hAnsi="Arial"/>
          <w:sz w:val="19"/>
          <w:szCs w:val="19"/>
          <w:color w:val="auto"/>
        </w:rPr>
        <w:t xml:space="preserve"> shall constitute an Investment by the relevant Borrower or the relevant Restricted Subsidiary, as applicable, therein at the date of designation in an amount equal to the fair market value (as determined in good faith by the Borrower) of the Investments held by the applicable Borrower and/or the applicable Restricted Subsidiaries in such Unrestricted Subsidiary immediately prior to such designation. Upon any such designation (but without duplication of any amount reducing such Investment in such Unrestricted Subsidiary pursuant to the definition of “Investment”), the applicable Borrower and/or the applicable Restricted Subsidiaries shall receive a credit against the applicable clause in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that was utilized for the Investment in such Unrestricted Subsidiary for all Returns in respect of such Investment. The designation of any Unrestricted Subsidiary as a Restricted Subsidiary in accordance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5.12</w:t>
      </w:r>
      <w:r>
        <w:rPr>
          <w:rFonts w:ascii="Arial" w:cs="Arial" w:eastAsia="Arial" w:hAnsi="Arial"/>
          <w:sz w:val="19"/>
          <w:szCs w:val="19"/>
          <w:color w:val="auto"/>
        </w:rPr>
        <w:t xml:space="preserve"> shall constitute the incurrence by such Restricted Subsidiary at the time of designation of any Indebtedness or Liens of such Restricted Subsidiary outstanding at such time (to the extent assumed). No Restricted Subsidiary may be designated as an Unrestricted Subsidiary and no Unrestricted Subsidiary may be designated as a Restricted Subsidiary unless such Subsidiary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11" w:name="page212"/>
    <w:bookmarkEnd w:id="211"/>
    <w:p>
      <w:pPr>
        <w:spacing w:after="0"/>
        <w:rPr>
          <w:sz w:val="20"/>
          <w:szCs w:val="20"/>
          <w:color w:val="auto"/>
        </w:rPr>
      </w:pPr>
      <w:r>
        <w:rPr>
          <w:rFonts w:ascii="Arial" w:cs="Arial" w:eastAsia="Arial" w:hAnsi="Arial"/>
          <w:sz w:val="21"/>
          <w:szCs w:val="21"/>
          <w:color w:val="auto"/>
        </w:rPr>
        <w:t>also a Restricted Subsidiary or Unrestricted Subsidiary, as the case may be, under the Second Lien Loan Documents.</w:t>
      </w:r>
    </w:p>
    <w:p>
      <w:pPr>
        <w:spacing w:after="0" w:line="191" w:lineRule="exact"/>
        <w:rPr>
          <w:sz w:val="20"/>
          <w:szCs w:val="20"/>
          <w:color w:val="auto"/>
        </w:rPr>
      </w:pPr>
    </w:p>
    <w:p>
      <w:pPr>
        <w:jc w:val="both"/>
        <w:ind w:firstLine="1304"/>
        <w:spacing w:after="0" w:line="219" w:lineRule="auto"/>
        <w:tabs>
          <w:tab w:leader="none" w:pos="1817" w:val="left"/>
        </w:tabs>
        <w:numPr>
          <w:ilvl w:val="0"/>
          <w:numId w:val="197"/>
        </w:numPr>
        <w:rPr>
          <w:rFonts w:ascii="Arial" w:cs="Arial" w:eastAsia="Arial" w:hAnsi="Arial"/>
          <w:sz w:val="21"/>
          <w:szCs w:val="21"/>
          <w:color w:val="auto"/>
        </w:rPr>
      </w:pPr>
      <w:r>
        <w:rPr>
          <w:rFonts w:ascii="Arial" w:cs="Arial" w:eastAsia="Arial" w:hAnsi="Arial"/>
          <w:sz w:val="21"/>
          <w:szCs w:val="21"/>
          <w:color w:val="auto"/>
        </w:rPr>
        <w:t xml:space="preserve">The Borrower may designate (or re-designate) any Restricted Subsidiary that is an Excluded Subsidiary, as an Electing Guarantor. The Borrower may designate (or re-designate) any Electing Guarantor as an Excluded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after giving effect to such designation (or re-designation), such Restricted Subsidiary shall not be a guarantor of Second Lien Loans or any other Second Lien Obligations, any Credit Agreement Refinancing Indebtedness, any Term Loan Exchange Notes, any Second Lien Additional Debt or any Additional Debt, (ii) such designation (or re-designation) shall constitute an Investment by the relevant Borrower or the relevant Restricted Subsidiary, as applicable, therein at the date of designation (or re-designation) in an amount equal to the fair market value (as determined in good faith by the Borrower) of the Investments held by the Borrower and/or the Restricted Subsidiaries in such Electing Guarantor immediately prior to such designation (or re-designation) and such Investments shall otherwise be permitted hereunder and (iii) any Indebtedness or Liens of such Restricted Subsidiary (after giving effect to such designation (or re-designation)) shall be deemed to be incurred at the time of such designation (or re-designation) by such Electing Guarantor and such incurrence shall otherwise be permitted hereunder.</w:t>
      </w:r>
    </w:p>
    <w:p>
      <w:pPr>
        <w:spacing w:after="0" w:line="16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u w:val="single" w:color="auto"/>
          <w:color w:val="auto"/>
        </w:rPr>
        <w:t>Section 5.13 Lender Calls</w:t>
      </w:r>
      <w:r>
        <w:rPr>
          <w:rFonts w:ascii="Arial" w:cs="Arial" w:eastAsia="Arial" w:hAnsi="Arial"/>
          <w:sz w:val="19"/>
          <w:szCs w:val="19"/>
          <w:color w:val="auto"/>
        </w:rPr>
        <w:t>. The Borrower will engage in an annual telephonic meeting with the Administrative Agent and the Lenders to review the consolidated financial results of operations and the financial condition of the Borrower and its Restricted Subsidiaries to the extent reasonably requested by the Administrative Agent on behalf of the Lenders.</w:t>
      </w:r>
    </w:p>
    <w:p>
      <w:pPr>
        <w:spacing w:after="0" w:line="132"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 xml:space="preserve">Section 5.14 Post-Closing Covenants. The Borrower agrees to deliver, or cause to be delivered, to the Administrative Agent, the items described on </w:t>
      </w:r>
      <w:r>
        <w:rPr>
          <w:rFonts w:ascii="Arial" w:cs="Arial" w:eastAsia="Arial" w:hAnsi="Arial"/>
          <w:sz w:val="21"/>
          <w:szCs w:val="21"/>
          <w:u w:val="single" w:color="auto"/>
          <w:color w:val="auto"/>
        </w:rPr>
        <w:t>Schedule 5.14</w:t>
      </w:r>
      <w:r>
        <w:rPr>
          <w:rFonts w:ascii="Arial" w:cs="Arial" w:eastAsia="Arial" w:hAnsi="Arial"/>
          <w:sz w:val="21"/>
          <w:szCs w:val="21"/>
          <w:color w:val="auto"/>
        </w:rPr>
        <w:t xml:space="preserve"> on the dates and by the times specified with respect to such items, in each case, or such later time as may be agreed to by the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-305435</wp:posOffset>
            </wp:positionV>
            <wp:extent cx="23590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2359025" cy="8890"/>
                    </a:xfrm>
                    <a:prstGeom prst="rect">
                      <a:avLst/>
                    </a:prstGeom>
                    <a:noFill/>
                  </pic:spPr>
                </pic:pic>
              </a:graphicData>
            </a:graphic>
          </wp:anchor>
        </w:drawing>
      </w:r>
    </w:p>
    <w:p>
      <w:pPr>
        <w:spacing w:after="0" w:line="13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5.15</w:t>
      </w:r>
      <w:r>
        <w:rPr>
          <w:sz w:val="20"/>
          <w:szCs w:val="20"/>
          <w:color w:val="auto"/>
        </w:rPr>
        <w:tab/>
      </w:r>
      <w:r>
        <w:rPr>
          <w:rFonts w:ascii="Arial" w:cs="Arial" w:eastAsia="Arial" w:hAnsi="Arial"/>
          <w:sz w:val="19"/>
          <w:szCs w:val="19"/>
          <w:u w:val="single" w:color="auto"/>
          <w:color w:val="auto"/>
        </w:rPr>
        <w:t>Sanctions; Anti-Corruption Laws and Anti-Money Laundering Laws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9" w:lineRule="auto"/>
        <w:tabs>
          <w:tab w:leader="none" w:pos="176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Borrower will not, directly or, knowingly, indirectly, use the proceeds of the Loans or lend, contribute or otherwise make available such proceeds to any subsidiary, joint venture partner or other Person, (i) to fund any activities or business of or with any Person, or in any country or territory, that, at the time of such funding, is the target of any Sanctions, in violation of Sanctions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 or any other applicable anti-corruption law.</w:t>
      </w:r>
    </w:p>
    <w:p>
      <w:pPr>
        <w:spacing w:after="0" w:line="151" w:lineRule="exact"/>
        <w:rPr>
          <w:rFonts w:ascii="Arial" w:cs="Arial" w:eastAsia="Arial" w:hAnsi="Arial"/>
          <w:sz w:val="19"/>
          <w:szCs w:val="19"/>
          <w:color w:val="auto"/>
        </w:rPr>
      </w:pPr>
    </w:p>
    <w:p>
      <w:pPr>
        <w:ind w:firstLine="1304"/>
        <w:spacing w:after="0" w:line="247" w:lineRule="auto"/>
        <w:tabs>
          <w:tab w:leader="none" w:pos="1852"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The Borrower and the other Loan Parties will comply in all material respects with the Patriot Act (to the extent applicable), applicable anti money-laundering laws, and all applicable anti-corruption laws and Sanctions.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jc w:val="center"/>
        <w:spacing w:after="0"/>
        <w:rPr>
          <w:sz w:val="20"/>
          <w:szCs w:val="20"/>
          <w:color w:val="auto"/>
        </w:rPr>
      </w:pPr>
      <w:r>
        <w:rPr>
          <w:rFonts w:ascii="Arial" w:cs="Arial" w:eastAsia="Arial" w:hAnsi="Arial"/>
          <w:sz w:val="22"/>
          <w:szCs w:val="22"/>
          <w:u w:val="single" w:color="auto"/>
          <w:color w:val="auto"/>
        </w:rPr>
        <w:t>Negative Covenants</w:t>
      </w:r>
    </w:p>
    <w:p>
      <w:pPr>
        <w:spacing w:after="0" w:line="161"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From and after the Closing Date and until the Termination Date, each of the Borrower and Holdings, as applicable, covenants and agrees with the Lenders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12" w:name="page213"/>
    <w:bookmarkEnd w:id="212"/>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6.01</w:t>
      </w:r>
      <w:r>
        <w:rPr>
          <w:sz w:val="20"/>
          <w:szCs w:val="20"/>
          <w:color w:val="auto"/>
        </w:rPr>
        <w:tab/>
      </w:r>
      <w:r>
        <w:rPr>
          <w:rFonts w:ascii="Arial" w:cs="Arial" w:eastAsia="Arial" w:hAnsi="Arial"/>
          <w:sz w:val="19"/>
          <w:szCs w:val="19"/>
          <w:u w:val="single" w:color="auto"/>
          <w:color w:val="auto"/>
        </w:rPr>
        <w:t>Indebtedness; Certain Equity Securities</w:t>
      </w:r>
      <w:r>
        <w:rPr>
          <w:rFonts w:ascii="Arial" w:cs="Arial" w:eastAsia="Arial" w:hAnsi="Arial"/>
          <w:sz w:val="19"/>
          <w:szCs w:val="19"/>
          <w:color w:val="auto"/>
        </w:rPr>
        <w:t>.</w:t>
      </w:r>
    </w:p>
    <w:p>
      <w:pPr>
        <w:spacing w:after="0" w:line="179"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The Borrower will not, nor will the Borrower permit any Restricted Subsidiary to, create, incur, assume or permit to exist any Indebtedness, except:</w:t>
      </w:r>
    </w:p>
    <w:p>
      <w:pPr>
        <w:spacing w:after="0" w:line="159" w:lineRule="exact"/>
        <w:rPr>
          <w:sz w:val="20"/>
          <w:szCs w:val="20"/>
          <w:color w:val="auto"/>
        </w:rPr>
      </w:pPr>
    </w:p>
    <w:p>
      <w:pPr>
        <w:ind w:left="1760" w:hanging="456"/>
        <w:spacing w:after="0"/>
        <w:tabs>
          <w:tab w:leader="none" w:pos="176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Indebtedness created under the Loan Documents;</w:t>
      </w:r>
    </w:p>
    <w:p>
      <w:pPr>
        <w:spacing w:after="0" w:line="179" w:lineRule="exact"/>
        <w:rPr>
          <w:rFonts w:ascii="Arial" w:cs="Arial" w:eastAsia="Arial" w:hAnsi="Arial"/>
          <w:sz w:val="22"/>
          <w:szCs w:val="22"/>
          <w:color w:val="auto"/>
        </w:rPr>
      </w:pPr>
    </w:p>
    <w:p>
      <w:pPr>
        <w:jc w:val="both"/>
        <w:ind w:firstLine="1304"/>
        <w:spacing w:after="0" w:line="214" w:lineRule="auto"/>
        <w:tabs>
          <w:tab w:leader="none" w:pos="1869" w:val="left"/>
        </w:tabs>
        <w:numPr>
          <w:ilvl w:val="1"/>
          <w:numId w:val="199"/>
        </w:numPr>
        <w:rPr>
          <w:rFonts w:ascii="Arial" w:cs="Arial" w:eastAsia="Arial" w:hAnsi="Arial"/>
          <w:sz w:val="22"/>
          <w:szCs w:val="22"/>
          <w:color w:val="auto"/>
        </w:rPr>
      </w:pPr>
      <w:r>
        <w:rPr>
          <w:rFonts w:ascii="Arial" w:cs="Arial" w:eastAsia="Arial" w:hAnsi="Arial"/>
          <w:sz w:val="22"/>
          <w:szCs w:val="22"/>
          <w:color w:val="auto"/>
        </w:rPr>
        <w:t xml:space="preserve">Indebtedness of any Restricted Subsidiary to Holdings, the Borrower or any other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(1) Indebtedness of any Restricted Subsidiary that is not a Loan Party owing to any Loan Party shall, in each case, be otherwise permitted by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6.04</w:t>
      </w:r>
      <w:r>
        <w:rPr>
          <w:rFonts w:ascii="Arial" w:cs="Arial" w:eastAsia="Arial" w:hAnsi="Arial"/>
          <w:sz w:val="22"/>
          <w:szCs w:val="22"/>
          <w:u w:val="single" w:color="auto"/>
          <w:color w:val="auto"/>
        </w:rPr>
        <w:t>(d)(iii)</w:t>
      </w:r>
      <w:r>
        <w:rPr>
          <w:rFonts w:ascii="Arial" w:cs="Arial" w:eastAsia="Arial" w:hAnsi="Arial"/>
          <w:sz w:val="22"/>
          <w:szCs w:val="22"/>
          <w:color w:val="auto"/>
        </w:rPr>
        <w:t xml:space="preserve"> and (2) Indebtedness of any Loan Party owing to a Subsidiary that is not a Loan Party shall be subordinated to the Obligations on terms which prohibit the repayment thereof after the occurrence of an Event of Default pursuant to </w:t>
      </w:r>
      <w:r>
        <w:rPr>
          <w:rFonts w:ascii="Arial" w:cs="Arial" w:eastAsia="Arial" w:hAnsi="Arial"/>
          <w:sz w:val="22"/>
          <w:szCs w:val="22"/>
          <w:u w:val="single" w:color="auto"/>
          <w:color w:val="auto"/>
        </w:rPr>
        <w:t>Section 7.01(h)</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w:t>
      </w:r>
      <w:r>
        <w:rPr>
          <w:rFonts w:ascii="Arial" w:cs="Arial" w:eastAsia="Arial" w:hAnsi="Arial"/>
          <w:sz w:val="22"/>
          <w:szCs w:val="22"/>
          <w:color w:val="auto"/>
        </w:rPr>
        <w:t xml:space="preserve"> or the acceleration of the Obligations pursuant to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after the occurrence of any other Event of Default;</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1853" w:val="left"/>
        </w:tabs>
        <w:numPr>
          <w:ilvl w:val="1"/>
          <w:numId w:val="199"/>
        </w:numPr>
        <w:rPr>
          <w:rFonts w:ascii="Arial" w:cs="Arial" w:eastAsia="Arial" w:hAnsi="Arial"/>
          <w:sz w:val="21"/>
          <w:szCs w:val="21"/>
          <w:color w:val="auto"/>
        </w:rPr>
      </w:pPr>
      <w:r>
        <w:rPr>
          <w:rFonts w:ascii="Arial" w:cs="Arial" w:eastAsia="Arial" w:hAnsi="Arial"/>
          <w:sz w:val="21"/>
          <w:szCs w:val="21"/>
          <w:color w:val="auto"/>
        </w:rPr>
        <w:t xml:space="preserve">Guarantees by any Restricted Subsidiary of Indebtedness of any Holding Company, the Borrower or any other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(1) the Indebtedness so Guaranteed is otherwise permitted by this Section, (2) Guarantees by any Loan Party of Indebtedness of any Restricted Subsidiary that is not a Loan Party shall, in each case, be permitted by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(other than due to </w:t>
      </w:r>
      <w:r>
        <w:rPr>
          <w:rFonts w:ascii="Arial" w:cs="Arial" w:eastAsia="Arial" w:hAnsi="Arial"/>
          <w:sz w:val="21"/>
          <w:szCs w:val="21"/>
          <w:u w:val="single" w:color="auto"/>
          <w:color w:val="auto"/>
        </w:rPr>
        <w:t>Section 6.04(aa)</w:t>
      </w:r>
      <w:r>
        <w:rPr>
          <w:rFonts w:ascii="Arial" w:cs="Arial" w:eastAsia="Arial" w:hAnsi="Arial"/>
          <w:sz w:val="21"/>
          <w:szCs w:val="21"/>
          <w:color w:val="auto"/>
        </w:rPr>
        <w:t xml:space="preserve">), (3) if Indebtedness being guaranteed is subordinated in right of payment to the Obligations under the Loan Documents, such Guarantees permitted under this </w:t>
      </w:r>
      <w:r>
        <w:rPr>
          <w:rFonts w:ascii="Arial" w:cs="Arial" w:eastAsia="Arial" w:hAnsi="Arial"/>
          <w:sz w:val="21"/>
          <w:szCs w:val="21"/>
          <w:u w:val="single" w:color="auto"/>
          <w:color w:val="auto"/>
        </w:rPr>
        <w:t>clause (c)</w:t>
      </w:r>
      <w:r>
        <w:rPr>
          <w:rFonts w:ascii="Arial" w:cs="Arial" w:eastAsia="Arial" w:hAnsi="Arial"/>
          <w:sz w:val="21"/>
          <w:szCs w:val="21"/>
          <w:color w:val="auto"/>
        </w:rPr>
        <w:t xml:space="preserve"> shall be subordinated to the applicable Loan Party’s Obligations to the same extent and on the same terms as the Indebtedness so Guaranteed is subordinated to the Obligations and (4) none of the Second Lien Loans or other Second Lien Obligations shall be Guaranteed by any Restricted Subsidiary unless such Restricted Subsidiary is, prior to, or substantially concurrent with, issuing such Guarantee becomes a Loan Party;</w:t>
      </w:r>
    </w:p>
    <w:p>
      <w:pPr>
        <w:spacing w:after="0" w:line="158" w:lineRule="exact"/>
        <w:rPr>
          <w:rFonts w:ascii="Arial" w:cs="Arial" w:eastAsia="Arial" w:hAnsi="Arial"/>
          <w:sz w:val="21"/>
          <w:szCs w:val="21"/>
          <w:color w:val="auto"/>
        </w:rPr>
      </w:pPr>
    </w:p>
    <w:p>
      <w:pPr>
        <w:jc w:val="both"/>
        <w:ind w:firstLine="1304"/>
        <w:spacing w:after="0" w:line="239" w:lineRule="auto"/>
        <w:tabs>
          <w:tab w:leader="none" w:pos="1873" w:val="left"/>
        </w:tabs>
        <w:numPr>
          <w:ilvl w:val="1"/>
          <w:numId w:val="199"/>
        </w:numPr>
        <w:rPr>
          <w:rFonts w:ascii="Arial" w:cs="Arial" w:eastAsia="Arial" w:hAnsi="Arial"/>
          <w:sz w:val="19"/>
          <w:szCs w:val="19"/>
          <w:color w:val="auto"/>
        </w:rPr>
      </w:pPr>
      <w:r>
        <w:rPr>
          <w:rFonts w:ascii="Arial" w:cs="Arial" w:eastAsia="Arial" w:hAnsi="Arial"/>
          <w:sz w:val="19"/>
          <w:szCs w:val="19"/>
          <w:color w:val="auto"/>
        </w:rPr>
        <w:t xml:space="preserve">(1) Indebtedness incurred to finance the acquisition, development, construction, restoration, replacement, rebuilding, maintenance, upgrade or improvement of any fixed or capital assets, including Capital Lease Obligations, Synthetic Lease Obligations and any Indebtedness assumed in connection with the acquisition of any such assets or secured by a Lien on any such assets prior to the acquisition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is incurred prior to or within 270 days after such acquisition or the completion of such development, construction, restoration, replacement, rebuilding, maintenance, upgrade or improvement and (2) extensions, renewals and replacements of any such Indebtedness (including any Permitted Refinancing) so long as the principal amount of such extensions, renewals and replacements does not exceed the principal amount of the Indebtedness being extended, renewed or replaced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but unpaid interest (including any portion thereof which is payable in kind in accordance with the terms of such extended, renewed or replaced Indebtedness) and premium payable by the terms of such Indebtedness thereon and fees and expenses associated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original principal amount of Indebtedness permitted by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at any time outstanding shall not exceed the greater of (x) $30,000,000 and</w:t>
      </w:r>
    </w:p>
    <w:p>
      <w:pPr>
        <w:ind w:left="320" w:hanging="312"/>
        <w:spacing w:after="0"/>
        <w:tabs>
          <w:tab w:leader="none" w:pos="32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30.0% of LTM EBITDA calculated on a Pro Forma Basis as of the Applicable Date of Determination;</w:t>
      </w:r>
    </w:p>
    <w:p>
      <w:pPr>
        <w:spacing w:after="0" w:line="161" w:lineRule="exact"/>
        <w:rPr>
          <w:rFonts w:ascii="Arial" w:cs="Arial" w:eastAsia="Arial" w:hAnsi="Arial"/>
          <w:sz w:val="22"/>
          <w:szCs w:val="22"/>
          <w:color w:val="auto"/>
        </w:rPr>
      </w:pPr>
    </w:p>
    <w:p>
      <w:pPr>
        <w:jc w:val="both"/>
        <w:ind w:firstLine="1304"/>
        <w:spacing w:after="0" w:line="222" w:lineRule="auto"/>
        <w:tabs>
          <w:tab w:leader="none" w:pos="1760" w:val="left"/>
        </w:tabs>
        <w:numPr>
          <w:ilvl w:val="1"/>
          <w:numId w:val="200"/>
        </w:numPr>
        <w:rPr>
          <w:rFonts w:ascii="Arial" w:cs="Arial" w:eastAsia="Arial" w:hAnsi="Arial"/>
          <w:sz w:val="21"/>
          <w:szCs w:val="21"/>
          <w:color w:val="auto"/>
        </w:rPr>
      </w:pPr>
      <w:r>
        <w:rPr>
          <w:rFonts w:ascii="Arial" w:cs="Arial" w:eastAsia="Arial" w:hAnsi="Arial"/>
          <w:sz w:val="21"/>
          <w:szCs w:val="21"/>
          <w:color w:val="auto"/>
        </w:rPr>
        <w:t xml:space="preserve">(1) Indebtedness of (A) any Person incurred, acquired or assumed in connection with a Permitted Acquisition or permitted Investment or assumed in connection with the acquisition of any assets and (B) any Unrestricted Subsidiary that is redesignated as a Restricted Subsidiary (it being acknowledged that, subject to the proviso to this </w:t>
      </w:r>
      <w:r>
        <w:rPr>
          <w:rFonts w:ascii="Arial" w:cs="Arial" w:eastAsia="Arial" w:hAnsi="Arial"/>
          <w:sz w:val="21"/>
          <w:szCs w:val="21"/>
          <w:u w:val="single" w:color="auto"/>
          <w:color w:val="auto"/>
        </w:rPr>
        <w:t>clause (e)</w:t>
      </w:r>
      <w:r>
        <w:rPr>
          <w:rFonts w:ascii="Arial" w:cs="Arial" w:eastAsia="Arial" w:hAnsi="Arial"/>
          <w:sz w:val="21"/>
          <w:szCs w:val="21"/>
          <w:color w:val="auto"/>
        </w:rPr>
        <w:t xml:space="preserve">, (x) a Person that becomes a direct or indirect Restricted Subsidiary as a result of a Permitted Acquisition or a permitted Investment may remain liable with respect to Indebtedness existing on the date of such acquisition and (y) an Unrestricted Subsidiary that is redesignated as a Restricted Subsidiary may remain liable with respect to Indebtedness existing on the date of such redesignation);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if acquired or assumed, such Indebtedness is not created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13" w:name="page214"/>
    <w:bookmarkEnd w:id="213"/>
    <w:p>
      <w:pPr>
        <w:jc w:val="both"/>
        <w:spacing w:after="0" w:line="239" w:lineRule="auto"/>
        <w:rPr>
          <w:sz w:val="20"/>
          <w:szCs w:val="20"/>
          <w:color w:val="auto"/>
        </w:rPr>
      </w:pPr>
      <w:r>
        <w:rPr>
          <w:rFonts w:ascii="Arial" w:cs="Arial" w:eastAsia="Arial" w:hAnsi="Arial"/>
          <w:sz w:val="19"/>
          <w:szCs w:val="19"/>
          <w:color w:val="auto"/>
        </w:rPr>
        <w:t xml:space="preserve">anticipation of such acquisition or redesignation, (ii) in the case of such Indebtedness acquired or assumed in connection with a Permitted Acquisition or permitted Investment or redesignation, (I) such Indebtedness is not secured by any property or asset other than the property or assets acquired, (II) such Indebtedness is not guaranteed by any Loan Party (other than a Person acquired in the Permitted Acquisition or permitted Investment or any other Person who merges with or acquires the assets of such Person in connection with such Permitted Acquisition or permitted Investment) and (III) either (X) immediately after giving effect to such Permitted Acquisition, permitted Investment or redesignation, as the case may be, the Borrower shall be in compliance on a Pro Forma Basis as of the Applicable Date of Determination with the First Lien Net Leverage Ratio, the Senior Secured Net Leverage Ratio or the Total Net Leverage Ratio that in each case would be applicable to such type of Indebtedness pursuant to </w:t>
      </w:r>
      <w:r>
        <w:rPr>
          <w:rFonts w:ascii="Arial" w:cs="Arial" w:eastAsia="Arial" w:hAnsi="Arial"/>
          <w:sz w:val="19"/>
          <w:szCs w:val="19"/>
          <w:u w:val="single" w:color="auto"/>
          <w:color w:val="auto"/>
        </w:rPr>
        <w:t>clause (iv)(I)(x)</w:t>
      </w:r>
      <w:r>
        <w:rPr>
          <w:rFonts w:ascii="Arial" w:cs="Arial" w:eastAsia="Arial" w:hAnsi="Arial"/>
          <w:sz w:val="19"/>
          <w:szCs w:val="19"/>
          <w:color w:val="auto"/>
        </w:rPr>
        <w:t xml:space="preserve"> below, </w:t>
      </w:r>
      <w:r>
        <w:rPr>
          <w:rFonts w:ascii="Arial" w:cs="Arial" w:eastAsia="Arial" w:hAnsi="Arial"/>
          <w:sz w:val="19"/>
          <w:szCs w:val="19"/>
          <w:u w:val="single" w:color="auto"/>
          <w:color w:val="auto"/>
        </w:rPr>
        <w:t>clause (iv)(II)(x)(A)</w:t>
      </w:r>
      <w:r>
        <w:rPr>
          <w:rFonts w:ascii="Arial" w:cs="Arial" w:eastAsia="Arial" w:hAnsi="Arial"/>
          <w:sz w:val="19"/>
          <w:szCs w:val="19"/>
          <w:color w:val="auto"/>
        </w:rPr>
        <w:t xml:space="preserve"> below or </w:t>
      </w:r>
      <w:r>
        <w:rPr>
          <w:rFonts w:ascii="Arial" w:cs="Arial" w:eastAsia="Arial" w:hAnsi="Arial"/>
          <w:sz w:val="19"/>
          <w:szCs w:val="19"/>
          <w:u w:val="single" w:color="auto"/>
          <w:color w:val="auto"/>
        </w:rPr>
        <w:t>clause (iv)(III)(x)(A)</w:t>
      </w:r>
      <w:r>
        <w:rPr>
          <w:rFonts w:ascii="Arial" w:cs="Arial" w:eastAsia="Arial" w:hAnsi="Arial"/>
          <w:sz w:val="19"/>
          <w:szCs w:val="19"/>
          <w:color w:val="auto"/>
        </w:rPr>
        <w:t xml:space="preserve"> below, as the case may be, or (Y) the aggregate amount of assumed Indebtedness at any time outstanding pursuant to this </w:t>
      </w:r>
      <w:r>
        <w:rPr>
          <w:rFonts w:ascii="Arial" w:cs="Arial" w:eastAsia="Arial" w:hAnsi="Arial"/>
          <w:sz w:val="19"/>
          <w:szCs w:val="19"/>
          <w:u w:val="single" w:color="auto"/>
          <w:color w:val="auto"/>
        </w:rPr>
        <w:t>clause (ii)(III)(Y)</w:t>
      </w:r>
      <w:r>
        <w:rPr>
          <w:rFonts w:ascii="Arial" w:cs="Arial" w:eastAsia="Arial" w:hAnsi="Arial"/>
          <w:sz w:val="19"/>
          <w:szCs w:val="19"/>
          <w:color w:val="auto"/>
        </w:rPr>
        <w:t xml:space="preserve"> shall not exceed the greater of (x) $50,000,000 and (y) 50% of LTM EBITDA calculated on a Pro Forma Basis as of the Applicable Date of Determination,</w:t>
      </w:r>
    </w:p>
    <w:p>
      <w:pPr>
        <w:spacing w:after="0" w:line="1" w:lineRule="exact"/>
        <w:rPr>
          <w:sz w:val="20"/>
          <w:szCs w:val="20"/>
          <w:color w:val="auto"/>
        </w:rPr>
      </w:pPr>
    </w:p>
    <w:p>
      <w:pPr>
        <w:jc w:val="both"/>
        <w:ind w:firstLine="8"/>
        <w:spacing w:after="0" w:line="237" w:lineRule="auto"/>
        <w:tabs>
          <w:tab w:leader="none" w:pos="38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no Event of Default has occurred and is continuing or would result therefrom, (iv) in the case of such Indebtedness that is incurred, immediately after giving effect to such Permitted Acquisition, permitted Investment or redesignation, as the case may be, and the incurrence of such Indebtedness, (I) if such Indebtedness is secured on a pari passu basis with the Obligations, the First Lien Net Leverage Ratio, calculated on a Pro Forma Basis as of the Applicable Date of Determination, either (x) is no greater than 5.20 to 1.00 or (y) is no greater than the First Lien Net Leverage Ratio in effect immediately prior to the applicable Permitted Acquisition, other permitted Investment or redesignation, (II) if such Indebtedness is secured on a junior lien basis to the Obligations, the Senior Secured Net Leverage Ratio, calculated on a Pro Forma Basis as of the Applicable Date of Determination, either (x) is no greater than 7.00 to 1.00 or (y) is no greater than the Senior Secured Net Leverage Ratio in effect on such Applicable Date of Determination immediately prior to such Permitted Acquisition, other permitted Investment or redesignation;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any such Indebtedness is secured by Liens on the Collateral</w:t>
      </w:r>
    </w:p>
    <w:p>
      <w:pPr>
        <w:spacing w:after="0" w:line="2" w:lineRule="exact"/>
        <w:rPr>
          <w:rFonts w:ascii="Arial" w:cs="Arial" w:eastAsia="Arial" w:hAnsi="Arial"/>
          <w:sz w:val="19"/>
          <w:szCs w:val="19"/>
          <w:color w:val="auto"/>
        </w:rPr>
      </w:pPr>
    </w:p>
    <w:p>
      <w:pPr>
        <w:jc w:val="both"/>
        <w:spacing w:after="0"/>
        <w:rPr>
          <w:rFonts w:ascii="Arial" w:cs="Arial" w:eastAsia="Arial" w:hAnsi="Arial"/>
          <w:sz w:val="19"/>
          <w:szCs w:val="19"/>
          <w:color w:val="auto"/>
        </w:rPr>
      </w:pPr>
      <w:r>
        <w:rPr>
          <w:rFonts w:ascii="Arial" w:cs="Arial" w:eastAsia="Arial" w:hAnsi="Arial"/>
          <w:sz w:val="19"/>
          <w:szCs w:val="19"/>
          <w:color w:val="auto"/>
        </w:rPr>
        <w:t xml:space="preserve">(1) on a junior lien basis, the secured parties thereunder, or a trustee or collateral agent or other Senior Representative on their behalf, shall have become a party to a Second Lien Intercreditor Agreement or (2) on a pari passu lien basis, the secured parties thereunder, or a trustee or collateral agent or other Senior Representative on their behalf, shall have become a party to the Pari Passu Intercreditor Agreement or other intercreditor arrangements reasonably acceptable to the Borrower and the Administrative Agent, and (III) if such Indebtedness is unsecured or is secured by assets other than the Collateral, either (x) the Total Net Leverage Ratio, calculated on a Pro Forma Basis as of the Applicable Date of Determination, either (A) is no greater than 7.00 to 1.00 or (B) is no greater than the Total Net Leverage Ratio in effect on such Applicable Date of Determination immediately prior to such Permitted Acquisition, other permitted Investment or redesignation or (y) the Interest Coverage Ratio, calculated on a Pro Forma Basis as of the Applicable Date of Determination, either (A) is no less than 2.00 to 1.00 or (B) is no less than the Interest Coverage Ratio in effect on such Applicable Date of Determination immediately prior to such Permitted Acquisition, other permitted Investment or redesignation;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such leverage ratios shall be calculated without giving effect to any amount incurred simultaneously under the Revolving Credit Facility, (v) such Indebtedness shall comply with the requirements set forth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of the definition of “Additional Debt” to the same extent as if such Indebtedness were Additional Debt and (vi) in the case of such Indebtedness that is incurred, such Indebtedness shall comply with the requirements set forth in </w:t>
      </w:r>
      <w:r>
        <w:rPr>
          <w:rFonts w:ascii="Arial" w:cs="Arial" w:eastAsia="Arial" w:hAnsi="Arial"/>
          <w:sz w:val="19"/>
          <w:szCs w:val="19"/>
          <w:u w:val="single" w:color="auto"/>
          <w:color w:val="auto"/>
        </w:rPr>
        <w:t>clauses (vii)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of the definition of “Additional Debt” to the same extent as if such Indebtedness were Additional Debt and (2) any Permitted Refinancings thereof;</w:t>
      </w:r>
    </w:p>
    <w:p>
      <w:pPr>
        <w:spacing w:after="0" w:line="376" w:lineRule="exact"/>
        <w:rPr>
          <w:rFonts w:ascii="Arial" w:cs="Arial" w:eastAsia="Arial" w:hAnsi="Arial"/>
          <w:sz w:val="19"/>
          <w:szCs w:val="19"/>
          <w:color w:val="auto"/>
        </w:rPr>
      </w:pPr>
    </w:p>
    <w:p>
      <w:pPr>
        <w:jc w:val="both"/>
        <w:ind w:firstLine="1304"/>
        <w:spacing w:after="0" w:line="223" w:lineRule="auto"/>
        <w:tabs>
          <w:tab w:leader="none" w:pos="1862" w:val="left"/>
        </w:tabs>
        <w:numPr>
          <w:ilvl w:val="1"/>
          <w:numId w:val="201"/>
        </w:numPr>
        <w:rPr>
          <w:rFonts w:ascii="Arial" w:cs="Arial" w:eastAsia="Arial" w:hAnsi="Arial"/>
          <w:sz w:val="22"/>
          <w:szCs w:val="22"/>
          <w:color w:val="auto"/>
        </w:rPr>
      </w:pPr>
      <w:r>
        <w:rPr>
          <w:rFonts w:ascii="Arial" w:cs="Arial" w:eastAsia="Arial" w:hAnsi="Arial"/>
          <w:sz w:val="22"/>
          <w:szCs w:val="22"/>
          <w:color w:val="auto"/>
        </w:rPr>
        <w:t>other Indebtedness in an aggregate original principal amount outstanding at any time not exceeding the greater of (x) $45,000,000 and (y) 45.0% of LTM EBITDA calculated on a Pro Forma Basis as of the Applicable Date of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14" w:name="page215"/>
    <w:bookmarkEnd w:id="214"/>
    <w:p>
      <w:pPr>
        <w:jc w:val="both"/>
        <w:ind w:firstLine="1304"/>
        <w:spacing w:after="0" w:line="218" w:lineRule="auto"/>
        <w:tabs>
          <w:tab w:leader="none" w:pos="180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Indebtedness owed to any Person (including obligations in respect of letters of credit for the benefit of such Person) providing workers’ compensation, health, disability or other employee benefits or property, casualty, liability insurance, self-insurance, pursuant to reimbursement or indemnification obligations to such Person, in each case incurred in the ordinary course of business or consistent with past practice;</w:t>
      </w:r>
    </w:p>
    <w:p>
      <w:pPr>
        <w:spacing w:after="0" w:line="160" w:lineRule="exact"/>
        <w:rPr>
          <w:rFonts w:ascii="Arial" w:cs="Arial" w:eastAsia="Arial" w:hAnsi="Arial"/>
          <w:sz w:val="22"/>
          <w:szCs w:val="22"/>
          <w:color w:val="auto"/>
        </w:rPr>
      </w:pPr>
    </w:p>
    <w:p>
      <w:pPr>
        <w:jc w:val="both"/>
        <w:ind w:firstLine="1304"/>
        <w:spacing w:after="0" w:line="216" w:lineRule="auto"/>
        <w:tabs>
          <w:tab w:leader="none" w:pos="1916" w:val="left"/>
        </w:tabs>
        <w:numPr>
          <w:ilvl w:val="0"/>
          <w:numId w:val="202"/>
        </w:numPr>
        <w:rPr>
          <w:rFonts w:ascii="Arial" w:cs="Arial" w:eastAsia="Arial" w:hAnsi="Arial"/>
          <w:sz w:val="22"/>
          <w:szCs w:val="22"/>
          <w:color w:val="auto"/>
        </w:rPr>
      </w:pPr>
      <w:r>
        <w:rPr>
          <w:rFonts w:ascii="Arial" w:cs="Arial" w:eastAsia="Arial" w:hAnsi="Arial"/>
          <w:sz w:val="22"/>
          <w:szCs w:val="22"/>
          <w:color w:val="auto"/>
        </w:rPr>
        <w:t>Indebtedness in respect of or guarantee of performance bonds, bid bonds, appeal bonds, surety bonds, performance and completion guarantees, workers’ compensation claims, letters of credit, bank guarantees and banker’s acceptances, warehouse receipts or similar instruments and similar obligations (other than in respect of other Indebtedness for borrowed money) including those incurred to secure health, safety and environmental obligations, in each case provided in the ordinary course of business or consistent with past practice;</w:t>
      </w:r>
    </w:p>
    <w:p>
      <w:pPr>
        <w:spacing w:after="0" w:line="157" w:lineRule="exact"/>
        <w:rPr>
          <w:rFonts w:ascii="Arial" w:cs="Arial" w:eastAsia="Arial" w:hAnsi="Arial"/>
          <w:sz w:val="22"/>
          <w:szCs w:val="22"/>
          <w:color w:val="auto"/>
        </w:rPr>
      </w:pPr>
    </w:p>
    <w:p>
      <w:pPr>
        <w:ind w:left="1720" w:hanging="416"/>
        <w:spacing w:after="0"/>
        <w:tabs>
          <w:tab w:leader="none" w:pos="172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Indebtedness in respect of Swap Agreements not entered into for speculative purposes;</w:t>
      </w:r>
    </w:p>
    <w:p>
      <w:pPr>
        <w:spacing w:after="0" w:line="179" w:lineRule="exact"/>
        <w:rPr>
          <w:rFonts w:ascii="Arial" w:cs="Arial" w:eastAsia="Arial" w:hAnsi="Arial"/>
          <w:sz w:val="22"/>
          <w:szCs w:val="22"/>
          <w:color w:val="auto"/>
        </w:rPr>
      </w:pPr>
    </w:p>
    <w:p>
      <w:pPr>
        <w:jc w:val="both"/>
        <w:ind w:firstLine="1304"/>
        <w:spacing w:after="0" w:line="214" w:lineRule="auto"/>
        <w:tabs>
          <w:tab w:leader="none" w:pos="1826"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Indebtedness of any Restricted Subsidiary that is not a Loan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principal amount of Indebtedness permitted under this </w:t>
      </w:r>
      <w:r>
        <w:rPr>
          <w:rFonts w:ascii="Arial" w:cs="Arial" w:eastAsia="Arial" w:hAnsi="Arial"/>
          <w:sz w:val="22"/>
          <w:szCs w:val="22"/>
          <w:u w:val="single" w:color="auto"/>
          <w:color w:val="auto"/>
        </w:rPr>
        <w:t>clause (j)</w:t>
      </w:r>
      <w:r>
        <w:rPr>
          <w:rFonts w:ascii="Arial" w:cs="Arial" w:eastAsia="Arial" w:hAnsi="Arial"/>
          <w:sz w:val="22"/>
          <w:szCs w:val="22"/>
          <w:color w:val="auto"/>
        </w:rPr>
        <w:t xml:space="preserve"> shall not exceed the greater of (x) $45,000,000 and (y) 45.0% of LTM EBITDA calculated on a Pro Forma Basis as of the Applicable Date of Determination;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(1) if secured, such Indebtedness is secured solely by Liens on the current assets of Restricted Subsidiaries that are not Loan Parties (and not on the Collateral) and (2) Loan Parties shall not Guarantee such Indebtedness unless such Guarantee would otherwise be permitted under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855" w:val="left"/>
        </w:tabs>
        <w:numPr>
          <w:ilvl w:val="0"/>
          <w:numId w:val="202"/>
        </w:numPr>
        <w:rPr>
          <w:rFonts w:ascii="Arial" w:cs="Arial" w:eastAsia="Arial" w:hAnsi="Arial"/>
          <w:sz w:val="19"/>
          <w:szCs w:val="19"/>
          <w:color w:val="auto"/>
        </w:rPr>
      </w:pPr>
      <w:r>
        <w:rPr>
          <w:rFonts w:ascii="Arial" w:cs="Arial" w:eastAsia="Arial" w:hAnsi="Arial"/>
          <w:sz w:val="19"/>
          <w:szCs w:val="19"/>
          <w:color w:val="auto"/>
        </w:rPr>
        <w:t>Indebtedness with respect to financial accommodations of the nature described in the definition of “Cash Management Obligations,” and other Indebtedness in respect of treasury, depositary, cash management and netting services, automatic clearinghouse arrangements, overdraft protections and similar arrangements or otherwise in connection with securities accounts and deposit accounts, in each case, in the ordinary course of business or consistent with past practice;</w:t>
      </w:r>
    </w:p>
    <w:p>
      <w:pPr>
        <w:spacing w:after="0" w:line="144" w:lineRule="exact"/>
        <w:rPr>
          <w:rFonts w:ascii="Arial" w:cs="Arial" w:eastAsia="Arial" w:hAnsi="Arial"/>
          <w:sz w:val="19"/>
          <w:szCs w:val="19"/>
          <w:color w:val="auto"/>
        </w:rPr>
      </w:pPr>
    </w:p>
    <w:p>
      <w:pPr>
        <w:ind w:firstLine="1304"/>
        <w:spacing w:after="0" w:line="232" w:lineRule="auto"/>
        <w:tabs>
          <w:tab w:leader="none" w:pos="1719" w:val="left"/>
        </w:tabs>
        <w:numPr>
          <w:ilvl w:val="0"/>
          <w:numId w:val="202"/>
        </w:numPr>
        <w:rPr>
          <w:rFonts w:ascii="Arial" w:cs="Arial" w:eastAsia="Arial" w:hAnsi="Arial"/>
          <w:sz w:val="22"/>
          <w:szCs w:val="22"/>
          <w:color w:val="auto"/>
        </w:rPr>
      </w:pPr>
      <w:r>
        <w:rPr>
          <w:rFonts w:ascii="Arial" w:cs="Arial" w:eastAsia="Arial" w:hAnsi="Arial"/>
          <w:sz w:val="22"/>
          <w:szCs w:val="22"/>
          <w:color w:val="auto"/>
        </w:rPr>
        <w:t>Indebtedness consisting of (1) the financing of insurance premiums or (2) take or pay obligations contained in supply arrangements, in each case, in the ordinary course of business or consistent with past practice;</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2084" w:val="left"/>
        </w:tabs>
        <w:numPr>
          <w:ilvl w:val="0"/>
          <w:numId w:val="202"/>
        </w:numPr>
        <w:rPr>
          <w:rFonts w:ascii="Arial" w:cs="Arial" w:eastAsia="Arial" w:hAnsi="Arial"/>
          <w:sz w:val="22"/>
          <w:szCs w:val="22"/>
          <w:color w:val="auto"/>
        </w:rPr>
      </w:pPr>
      <w:r>
        <w:rPr>
          <w:rFonts w:ascii="Arial" w:cs="Arial" w:eastAsia="Arial" w:hAnsi="Arial"/>
          <w:sz w:val="22"/>
          <w:szCs w:val="22"/>
          <w:color w:val="auto"/>
        </w:rPr>
        <w:t>Indebtedness arising from agreements providing for indemnification, adjustment of purchase price adjustments (including earn-outs) or similar obligations, in each case incurred or assumed in connection with the acquisition or disposition of any business or assets permitted under this Agreement;</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93"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(1) Credit Agreement Refinancing Indebtedness issued, incurred or otherwise obtained in exchange for or to refinance Term Loans and/or Revolving Loans and Commitments so long as the requirements of </w:t>
      </w:r>
      <w:r>
        <w:rPr>
          <w:rFonts w:ascii="Arial" w:cs="Arial" w:eastAsia="Arial" w:hAnsi="Arial"/>
          <w:sz w:val="22"/>
          <w:szCs w:val="22"/>
          <w:u w:val="single" w:color="auto"/>
          <w:color w:val="auto"/>
        </w:rPr>
        <w:t>Section 2.11(e)</w:t>
      </w:r>
      <w:r>
        <w:rPr>
          <w:rFonts w:ascii="Arial" w:cs="Arial" w:eastAsia="Arial" w:hAnsi="Arial"/>
          <w:sz w:val="22"/>
          <w:szCs w:val="22"/>
          <w:color w:val="auto"/>
        </w:rPr>
        <w:t xml:space="preserve"> are complied with and (2) any Permitted Refinancing thereof;</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(1) Indebtedness described on </w:t>
      </w:r>
      <w:r>
        <w:rPr>
          <w:rFonts w:ascii="Arial" w:cs="Arial" w:eastAsia="Arial" w:hAnsi="Arial"/>
          <w:sz w:val="19"/>
          <w:szCs w:val="19"/>
          <w:u w:val="single" w:color="auto"/>
          <w:color w:val="auto"/>
        </w:rPr>
        <w:t>Schedule 6.01</w:t>
      </w:r>
      <w:r>
        <w:rPr>
          <w:rFonts w:ascii="Arial" w:cs="Arial" w:eastAsia="Arial" w:hAnsi="Arial"/>
          <w:sz w:val="19"/>
          <w:szCs w:val="19"/>
          <w:color w:val="auto"/>
        </w:rPr>
        <w:t xml:space="preserve"> annexed hereto and (2) any Permitted Refinancing of any of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foregoing;</w:t>
      </w:r>
    </w:p>
    <w:p>
      <w:pPr>
        <w:spacing w:after="0" w:line="161" w:lineRule="exact"/>
        <w:rPr>
          <w:rFonts w:ascii="Arial" w:cs="Arial" w:eastAsia="Arial" w:hAnsi="Arial"/>
          <w:sz w:val="19"/>
          <w:szCs w:val="19"/>
          <w:color w:val="auto"/>
        </w:rPr>
      </w:pPr>
    </w:p>
    <w:p>
      <w:pPr>
        <w:jc w:val="both"/>
        <w:ind w:firstLine="1304"/>
        <w:spacing w:after="0" w:line="223" w:lineRule="auto"/>
        <w:tabs>
          <w:tab w:leader="none" w:pos="1912" w:val="left"/>
        </w:tabs>
        <w:numPr>
          <w:ilvl w:val="0"/>
          <w:numId w:val="202"/>
        </w:numPr>
        <w:rPr>
          <w:rFonts w:ascii="Arial" w:cs="Arial" w:eastAsia="Arial" w:hAnsi="Arial"/>
          <w:sz w:val="22"/>
          <w:szCs w:val="22"/>
          <w:color w:val="auto"/>
        </w:rPr>
      </w:pPr>
      <w:r>
        <w:rPr>
          <w:rFonts w:ascii="Arial" w:cs="Arial" w:eastAsia="Arial" w:hAnsi="Arial"/>
          <w:sz w:val="22"/>
          <w:szCs w:val="22"/>
          <w:color w:val="auto"/>
        </w:rPr>
        <w:t>endorsement of instruments or other payment items for deposit in the ordinary course of business and Indebtedness arising from the honoring by a bank or other financial institution of a check, draft or similar instrument inadvertently drawn against insufficient funds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15" w:name="page216"/>
    <w:bookmarkEnd w:id="215"/>
    <w:p>
      <w:pPr>
        <w:ind w:left="1820" w:hanging="516"/>
        <w:spacing w:after="0"/>
        <w:tabs>
          <w:tab w:leader="none" w:pos="182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 xml:space="preserve">(1) Indebtedness incurred in connection with the repurchase of Equity Interests pursuant to </w:t>
      </w:r>
      <w:r>
        <w:rPr>
          <w:rFonts w:ascii="Arial" w:cs="Arial" w:eastAsia="Arial" w:hAnsi="Arial"/>
          <w:sz w:val="19"/>
          <w:szCs w:val="19"/>
          <w:u w:val="single" w:color="auto"/>
          <w:color w:val="auto"/>
        </w:rPr>
        <w:t>Section 6.06(a)</w:t>
      </w:r>
    </w:p>
    <w:p>
      <w:pPr>
        <w:spacing w:after="0" w:line="15" w:lineRule="exact"/>
        <w:rPr>
          <w:rFonts w:ascii="Arial" w:cs="Arial" w:eastAsia="Arial" w:hAnsi="Arial"/>
          <w:sz w:val="19"/>
          <w:szCs w:val="19"/>
          <w:color w:val="auto"/>
        </w:rPr>
      </w:pPr>
    </w:p>
    <w:p>
      <w:pPr>
        <w:jc w:val="both"/>
        <w:ind w:firstLine="8"/>
        <w:spacing w:after="0" w:line="217" w:lineRule="auto"/>
        <w:tabs>
          <w:tab w:leader="none" w:pos="351" w:val="left"/>
        </w:tabs>
        <w:numPr>
          <w:ilvl w:val="0"/>
          <w:numId w:val="204"/>
        </w:numPr>
        <w:rPr>
          <w:rFonts w:ascii="Arial" w:cs="Arial" w:eastAsia="Arial" w:hAnsi="Arial"/>
          <w:sz w:val="22"/>
          <w:szCs w:val="22"/>
          <w:u w:val="single" w:color="auto"/>
          <w:color w:val="auto"/>
        </w:rPr>
      </w:pPr>
      <w:r>
        <w:rPr>
          <w:rFonts w:ascii="Arial" w:cs="Arial" w:eastAsia="Arial" w:hAnsi="Arial"/>
          <w:sz w:val="22"/>
          <w:szCs w:val="22"/>
          <w:color w:val="auto"/>
        </w:rPr>
        <w:t xml:space="preserve">and (2) Permitted Refinancings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original principal amount of any such Indebtedness incurred pursuant this </w:t>
      </w:r>
      <w:r>
        <w:rPr>
          <w:rFonts w:ascii="Arial" w:cs="Arial" w:eastAsia="Arial" w:hAnsi="Arial"/>
          <w:sz w:val="22"/>
          <w:szCs w:val="22"/>
          <w:u w:val="single" w:color="auto"/>
          <w:color w:val="auto"/>
        </w:rPr>
        <w:t>clause (q)</w:t>
      </w:r>
      <w:r>
        <w:rPr>
          <w:rFonts w:ascii="Arial" w:cs="Arial" w:eastAsia="Arial" w:hAnsi="Arial"/>
          <w:sz w:val="22"/>
          <w:szCs w:val="22"/>
          <w:color w:val="auto"/>
        </w:rPr>
        <w:t xml:space="preserve"> shall not exceed the amount of such Equity Interests so repurchased with such Indebtedness (or with the proceeds thereof);</w:t>
      </w:r>
    </w:p>
    <w:p>
      <w:pPr>
        <w:spacing w:after="0" w:line="159" w:lineRule="exact"/>
        <w:rPr>
          <w:rFonts w:ascii="Arial" w:cs="Arial" w:eastAsia="Arial" w:hAnsi="Arial"/>
          <w:sz w:val="22"/>
          <w:szCs w:val="22"/>
          <w:u w:val="single" w:color="auto"/>
          <w:color w:val="auto"/>
        </w:rPr>
      </w:pPr>
    </w:p>
    <w:p>
      <w:pPr>
        <w:ind w:firstLine="1304"/>
        <w:spacing w:after="0" w:line="232" w:lineRule="auto"/>
        <w:tabs>
          <w:tab w:leader="none" w:pos="1765" w:val="left"/>
        </w:tabs>
        <w:numPr>
          <w:ilvl w:val="1"/>
          <w:numId w:val="204"/>
        </w:numPr>
        <w:rPr>
          <w:rFonts w:ascii="Arial" w:cs="Arial" w:eastAsia="Arial" w:hAnsi="Arial"/>
          <w:sz w:val="22"/>
          <w:szCs w:val="22"/>
          <w:color w:val="auto"/>
        </w:rPr>
      </w:pPr>
      <w:r>
        <w:rPr>
          <w:rFonts w:ascii="Arial" w:cs="Arial" w:eastAsia="Arial" w:hAnsi="Arial"/>
          <w:sz w:val="22"/>
          <w:szCs w:val="22"/>
          <w:color w:val="auto"/>
        </w:rPr>
        <w:t>Indebtedness under the Second Lien Facility (1) in an original principal amount not to exceed $200,000,000 and (2) any Permitted Refinancing thereof;</w:t>
      </w:r>
    </w:p>
    <w:p>
      <w:pPr>
        <w:spacing w:after="0" w:line="158" w:lineRule="exact"/>
        <w:rPr>
          <w:rFonts w:ascii="Arial" w:cs="Arial" w:eastAsia="Arial" w:hAnsi="Arial"/>
          <w:sz w:val="22"/>
          <w:szCs w:val="22"/>
          <w:color w:val="auto"/>
        </w:rPr>
      </w:pPr>
    </w:p>
    <w:p>
      <w:pPr>
        <w:ind w:firstLine="1304"/>
        <w:spacing w:after="0" w:line="232" w:lineRule="auto"/>
        <w:tabs>
          <w:tab w:leader="none" w:pos="1809" w:val="left"/>
        </w:tabs>
        <w:numPr>
          <w:ilvl w:val="1"/>
          <w:numId w:val="204"/>
        </w:numPr>
        <w:rPr>
          <w:rFonts w:ascii="Arial" w:cs="Arial" w:eastAsia="Arial" w:hAnsi="Arial"/>
          <w:sz w:val="22"/>
          <w:szCs w:val="22"/>
          <w:color w:val="auto"/>
        </w:rPr>
      </w:pPr>
      <w:r>
        <w:rPr>
          <w:rFonts w:ascii="Arial" w:cs="Arial" w:eastAsia="Arial" w:hAnsi="Arial"/>
          <w:sz w:val="22"/>
          <w:szCs w:val="22"/>
          <w:color w:val="auto"/>
        </w:rPr>
        <w:t>to the extent constituting Indebtedness, Guarantees in the ordinary course of business of the obligations of suppliers, customers, franchisees and licensees of the Borrower and its Subsidiaries;</w:t>
      </w:r>
    </w:p>
    <w:p>
      <w:pPr>
        <w:spacing w:after="0" w:line="158" w:lineRule="exact"/>
        <w:rPr>
          <w:rFonts w:ascii="Arial" w:cs="Arial" w:eastAsia="Arial" w:hAnsi="Arial"/>
          <w:sz w:val="22"/>
          <w:szCs w:val="22"/>
          <w:color w:val="auto"/>
        </w:rPr>
      </w:pPr>
    </w:p>
    <w:p>
      <w:pPr>
        <w:ind w:firstLine="1304"/>
        <w:spacing w:after="0" w:line="232" w:lineRule="auto"/>
        <w:tabs>
          <w:tab w:leader="none" w:pos="1751" w:val="left"/>
        </w:tabs>
        <w:numPr>
          <w:ilvl w:val="1"/>
          <w:numId w:val="204"/>
        </w:numPr>
        <w:rPr>
          <w:rFonts w:ascii="Arial" w:cs="Arial" w:eastAsia="Arial" w:hAnsi="Arial"/>
          <w:sz w:val="22"/>
          <w:szCs w:val="22"/>
          <w:color w:val="auto"/>
        </w:rPr>
      </w:pPr>
      <w:r>
        <w:rPr>
          <w:rFonts w:ascii="Arial" w:cs="Arial" w:eastAsia="Arial" w:hAnsi="Arial"/>
          <w:sz w:val="22"/>
          <w:szCs w:val="22"/>
          <w:color w:val="auto"/>
        </w:rPr>
        <w:t>Indebtedness (other than Indebtedness for borrowed money) supported by any Letter of Credit, in each case, in an amount not to exceed the face amount of such Letter of Credit;</w:t>
      </w:r>
    </w:p>
    <w:p>
      <w:pPr>
        <w:spacing w:after="0" w:line="158" w:lineRule="exact"/>
        <w:rPr>
          <w:rFonts w:ascii="Arial" w:cs="Arial" w:eastAsia="Arial" w:hAnsi="Arial"/>
          <w:sz w:val="22"/>
          <w:szCs w:val="22"/>
          <w:color w:val="auto"/>
        </w:rPr>
      </w:pPr>
    </w:p>
    <w:p>
      <w:pPr>
        <w:jc w:val="both"/>
        <w:ind w:firstLine="1304"/>
        <w:spacing w:after="0" w:line="234" w:lineRule="auto"/>
        <w:tabs>
          <w:tab w:leader="none" w:pos="1791" w:val="left"/>
        </w:tabs>
        <w:numPr>
          <w:ilvl w:val="1"/>
          <w:numId w:val="204"/>
        </w:numPr>
        <w:rPr>
          <w:rFonts w:ascii="Arial" w:cs="Arial" w:eastAsia="Arial" w:hAnsi="Arial"/>
          <w:sz w:val="21"/>
          <w:szCs w:val="21"/>
          <w:color w:val="auto"/>
        </w:rPr>
      </w:pPr>
      <w:r>
        <w:rPr>
          <w:rFonts w:ascii="Arial" w:cs="Arial" w:eastAsia="Arial" w:hAnsi="Arial"/>
          <w:sz w:val="21"/>
          <w:szCs w:val="21"/>
          <w:color w:val="auto"/>
        </w:rPr>
        <w:t>obligations in respect of letters of support, guarantees or similar obligations issued, made or incurred for the benefit of the Borrower or any Subsidiary of the Borrower to the extent required by law or in connection with any statutory filing or the delivery of audit opinions performed in jurisdictions other than within the United States;</w:t>
      </w:r>
    </w:p>
    <w:p>
      <w:pPr>
        <w:spacing w:after="0" w:line="157" w:lineRule="exact"/>
        <w:rPr>
          <w:rFonts w:ascii="Arial" w:cs="Arial" w:eastAsia="Arial" w:hAnsi="Arial"/>
          <w:sz w:val="21"/>
          <w:szCs w:val="21"/>
          <w:color w:val="auto"/>
        </w:rPr>
      </w:pPr>
    </w:p>
    <w:p>
      <w:pPr>
        <w:ind w:firstLine="1304"/>
        <w:spacing w:after="0" w:line="232" w:lineRule="auto"/>
        <w:tabs>
          <w:tab w:leader="none" w:pos="1834" w:val="left"/>
        </w:tabs>
        <w:numPr>
          <w:ilvl w:val="1"/>
          <w:numId w:val="204"/>
        </w:numPr>
        <w:rPr>
          <w:rFonts w:ascii="Arial" w:cs="Arial" w:eastAsia="Arial" w:hAnsi="Arial"/>
          <w:sz w:val="22"/>
          <w:szCs w:val="22"/>
          <w:color w:val="auto"/>
        </w:rPr>
      </w:pPr>
      <w:r>
        <w:rPr>
          <w:rFonts w:ascii="Arial" w:cs="Arial" w:eastAsia="Arial" w:hAnsi="Arial"/>
          <w:sz w:val="22"/>
          <w:szCs w:val="22"/>
          <w:color w:val="auto"/>
        </w:rPr>
        <w:t>Indebtedness incurred in connection with (1) Permitted Sale Leaseback transactions and (2) any Permitted Refinancing of any of the foregoing;</w:t>
      </w:r>
    </w:p>
    <w:p>
      <w:pPr>
        <w:spacing w:after="0" w:line="158" w:lineRule="exact"/>
        <w:rPr>
          <w:rFonts w:ascii="Arial" w:cs="Arial" w:eastAsia="Arial" w:hAnsi="Arial"/>
          <w:sz w:val="22"/>
          <w:szCs w:val="22"/>
          <w:color w:val="auto"/>
        </w:rPr>
      </w:pPr>
    </w:p>
    <w:p>
      <w:pPr>
        <w:ind w:firstLine="1304"/>
        <w:spacing w:after="0" w:line="232" w:lineRule="auto"/>
        <w:tabs>
          <w:tab w:leader="none" w:pos="1983" w:val="left"/>
        </w:tabs>
        <w:numPr>
          <w:ilvl w:val="1"/>
          <w:numId w:val="204"/>
        </w:numPr>
        <w:rPr>
          <w:rFonts w:ascii="Arial" w:cs="Arial" w:eastAsia="Arial" w:hAnsi="Arial"/>
          <w:sz w:val="22"/>
          <w:szCs w:val="22"/>
          <w:color w:val="auto"/>
        </w:rPr>
      </w:pPr>
      <w:r>
        <w:rPr>
          <w:rFonts w:ascii="Arial" w:cs="Arial" w:eastAsia="Arial" w:hAnsi="Arial"/>
          <w:sz w:val="22"/>
          <w:szCs w:val="22"/>
          <w:color w:val="auto"/>
        </w:rPr>
        <w:t>Indebtedness of (1) any Securitization Subsidiary arising under any Securitization Facility or (2) any Restricted Subsidiary arising under any Receivables Facility;</w:t>
      </w:r>
    </w:p>
    <w:p>
      <w:pPr>
        <w:spacing w:after="0" w:line="151" w:lineRule="exact"/>
        <w:rPr>
          <w:rFonts w:ascii="Arial" w:cs="Arial" w:eastAsia="Arial" w:hAnsi="Arial"/>
          <w:sz w:val="22"/>
          <w:szCs w:val="22"/>
          <w:color w:val="auto"/>
        </w:rPr>
      </w:pPr>
    </w:p>
    <w:p>
      <w:pPr>
        <w:ind w:left="1940" w:hanging="636"/>
        <w:spacing w:after="0"/>
        <w:tabs>
          <w:tab w:leader="none" w:pos="1940" w:val="left"/>
        </w:tabs>
        <w:numPr>
          <w:ilvl w:val="1"/>
          <w:numId w:val="204"/>
        </w:numPr>
        <w:rPr>
          <w:rFonts w:ascii="Arial" w:cs="Arial" w:eastAsia="Arial" w:hAnsi="Arial"/>
          <w:sz w:val="21"/>
          <w:szCs w:val="21"/>
          <w:color w:val="auto"/>
        </w:rPr>
      </w:pPr>
      <w:r>
        <w:rPr>
          <w:rFonts w:ascii="Arial" w:cs="Arial" w:eastAsia="Arial" w:hAnsi="Arial"/>
          <w:sz w:val="21"/>
          <w:szCs w:val="21"/>
          <w:color w:val="auto"/>
        </w:rPr>
        <w:t>(1) Refinancing Notes and Term Loan Exchange Notes and (2) Permitted Refinancings of any of the</w:t>
      </w:r>
    </w:p>
    <w:p>
      <w:pPr>
        <w:spacing w:after="0"/>
        <w:rPr>
          <w:rFonts w:ascii="Arial" w:cs="Arial" w:eastAsia="Arial" w:hAnsi="Arial"/>
          <w:sz w:val="21"/>
          <w:szCs w:val="21"/>
          <w:color w:val="auto"/>
        </w:rPr>
      </w:pPr>
      <w:r>
        <w:rPr>
          <w:rFonts w:ascii="Arial" w:cs="Arial" w:eastAsia="Arial" w:hAnsi="Arial"/>
          <w:sz w:val="22"/>
          <w:szCs w:val="22"/>
          <w:color w:val="auto"/>
        </w:rPr>
        <w:t>foregoing;</w:t>
      </w:r>
    </w:p>
    <w:p>
      <w:pPr>
        <w:spacing w:after="0" w:line="161" w:lineRule="exact"/>
        <w:rPr>
          <w:rFonts w:ascii="Arial" w:cs="Arial" w:eastAsia="Arial" w:hAnsi="Arial"/>
          <w:sz w:val="21"/>
          <w:szCs w:val="21"/>
          <w:color w:val="auto"/>
        </w:rPr>
      </w:pPr>
    </w:p>
    <w:p>
      <w:pPr>
        <w:jc w:val="both"/>
        <w:ind w:firstLine="1304"/>
        <w:spacing w:after="0" w:line="223" w:lineRule="auto"/>
        <w:tabs>
          <w:tab w:leader="none" w:pos="1954" w:val="left"/>
        </w:tabs>
        <w:numPr>
          <w:ilvl w:val="1"/>
          <w:numId w:val="204"/>
        </w:numPr>
        <w:rPr>
          <w:rFonts w:ascii="Arial" w:cs="Arial" w:eastAsia="Arial" w:hAnsi="Arial"/>
          <w:sz w:val="22"/>
          <w:szCs w:val="22"/>
          <w:color w:val="auto"/>
        </w:rPr>
      </w:pPr>
      <w:r>
        <w:rPr>
          <w:rFonts w:ascii="Arial" w:cs="Arial" w:eastAsia="Arial" w:hAnsi="Arial"/>
          <w:sz w:val="22"/>
          <w:szCs w:val="22"/>
          <w:color w:val="auto"/>
        </w:rPr>
        <w:t>obligations in respect of Disqualified Equity Interests in an amount not to exceed the greater of (x) $5,000,000 and (y) 5.0% of LTM EBITDA calculated on a Pro Forma Basis as of the Applicable Date of Determination outstanding at any time;</w:t>
      </w:r>
    </w:p>
    <w:p>
      <w:pPr>
        <w:spacing w:after="0" w:line="151" w:lineRule="exact"/>
        <w:rPr>
          <w:rFonts w:ascii="Arial" w:cs="Arial" w:eastAsia="Arial" w:hAnsi="Arial"/>
          <w:sz w:val="22"/>
          <w:szCs w:val="22"/>
          <w:color w:val="auto"/>
        </w:rPr>
      </w:pPr>
    </w:p>
    <w:p>
      <w:pPr>
        <w:ind w:left="1940" w:hanging="636"/>
        <w:spacing w:after="0"/>
        <w:tabs>
          <w:tab w:leader="none" w:pos="1940" w:val="left"/>
        </w:tabs>
        <w:numPr>
          <w:ilvl w:val="1"/>
          <w:numId w:val="204"/>
        </w:numPr>
        <w:rPr>
          <w:rFonts w:ascii="Arial" w:cs="Arial" w:eastAsia="Arial" w:hAnsi="Arial"/>
          <w:sz w:val="21"/>
          <w:szCs w:val="21"/>
          <w:color w:val="auto"/>
        </w:rPr>
      </w:pPr>
      <w:r>
        <w:rPr>
          <w:rFonts w:ascii="Arial" w:cs="Arial" w:eastAsia="Arial" w:hAnsi="Arial"/>
          <w:sz w:val="21"/>
          <w:szCs w:val="21"/>
          <w:color w:val="auto"/>
        </w:rPr>
        <w:t>(1) Additional Debt (including any Incremental Second Lien Facility) and (2) Permitted Refinancings</w:t>
      </w:r>
    </w:p>
    <w:p>
      <w:pPr>
        <w:spacing w:after="0"/>
        <w:rPr>
          <w:rFonts w:ascii="Arial" w:cs="Arial" w:eastAsia="Arial" w:hAnsi="Arial"/>
          <w:sz w:val="21"/>
          <w:szCs w:val="21"/>
          <w:color w:val="auto"/>
        </w:rPr>
      </w:pPr>
      <w:r>
        <w:rPr>
          <w:rFonts w:ascii="Arial" w:cs="Arial" w:eastAsia="Arial" w:hAnsi="Arial"/>
          <w:sz w:val="22"/>
          <w:szCs w:val="22"/>
          <w:color w:val="auto"/>
        </w:rPr>
        <w:t>thereof;</w:t>
      </w:r>
    </w:p>
    <w:p>
      <w:pPr>
        <w:spacing w:after="0" w:line="161" w:lineRule="exact"/>
        <w:rPr>
          <w:sz w:val="20"/>
          <w:szCs w:val="20"/>
          <w:color w:val="auto"/>
        </w:rPr>
      </w:pPr>
    </w:p>
    <w:p>
      <w:pPr>
        <w:jc w:val="both"/>
        <w:ind w:firstLine="1304"/>
        <w:spacing w:after="0" w:line="243" w:lineRule="auto"/>
        <w:tabs>
          <w:tab w:leader="none" w:pos="1964" w:val="left"/>
        </w:tabs>
        <w:numPr>
          <w:ilvl w:val="1"/>
          <w:numId w:val="205"/>
        </w:numPr>
        <w:rPr>
          <w:rFonts w:ascii="Arial" w:cs="Arial" w:eastAsia="Arial" w:hAnsi="Arial"/>
          <w:sz w:val="19"/>
          <w:szCs w:val="19"/>
          <w:color w:val="auto"/>
        </w:rPr>
      </w:pPr>
      <w:r>
        <w:rPr>
          <w:rFonts w:ascii="Arial" w:cs="Arial" w:eastAsia="Arial" w:hAnsi="Arial"/>
          <w:sz w:val="19"/>
          <w:szCs w:val="19"/>
          <w:color w:val="auto"/>
        </w:rPr>
        <w:t>(1) Indebtedness maturing no earlier than the Latest Maturity Date in an amount equal to 200% of the aggregate Net Proceeds received by Holdings after the Closing Date from (A) any capital contributions made in cash by any Person other than a Restricted Subsidiary to Holdings (other than any Cure Amount) to the extent Not Otherwise Applied; and</w:t>
      </w:r>
    </w:p>
    <w:p>
      <w:pPr>
        <w:spacing w:after="0" w:line="2" w:lineRule="exact"/>
        <w:rPr>
          <w:rFonts w:ascii="Arial" w:cs="Arial" w:eastAsia="Arial" w:hAnsi="Arial"/>
          <w:sz w:val="19"/>
          <w:szCs w:val="19"/>
          <w:color w:val="auto"/>
        </w:rPr>
      </w:pPr>
    </w:p>
    <w:p>
      <w:pPr>
        <w:jc w:val="both"/>
        <w:ind w:firstLine="8"/>
        <w:spacing w:after="0" w:line="214" w:lineRule="auto"/>
        <w:tabs>
          <w:tab w:leader="none" w:pos="342" w:val="left"/>
        </w:tabs>
        <w:numPr>
          <w:ilvl w:val="0"/>
          <w:numId w:val="206"/>
        </w:numPr>
        <w:rPr>
          <w:rFonts w:ascii="Arial" w:cs="Arial" w:eastAsia="Arial" w:hAnsi="Arial"/>
          <w:sz w:val="22"/>
          <w:szCs w:val="22"/>
          <w:color w:val="auto"/>
        </w:rPr>
      </w:pPr>
      <w:r>
        <w:rPr>
          <w:rFonts w:ascii="Arial" w:cs="Arial" w:eastAsia="Arial" w:hAnsi="Arial"/>
          <w:sz w:val="22"/>
          <w:szCs w:val="22"/>
          <w:color w:val="auto"/>
        </w:rPr>
        <w:t>any Net Proceeds of any issuance of Qualified Equity Interests of Holdings (other than any Cure Amount) to any Person other than a Restricted Subsidiary to the extent Not Otherwise Applied, and to the extent, in each case, such Net Proceeds have been contributed to the Qualified Equity Interests of the Borrower or any other Loan Party (other than Holdings); and (2) any Permitted Refinancings thereof;</w:t>
      </w:r>
    </w:p>
    <w:p>
      <w:pPr>
        <w:spacing w:after="0" w:line="159" w:lineRule="exact"/>
        <w:rPr>
          <w:rFonts w:ascii="Arial" w:cs="Arial" w:eastAsia="Arial" w:hAnsi="Arial"/>
          <w:sz w:val="22"/>
          <w:szCs w:val="22"/>
          <w:color w:val="auto"/>
        </w:rPr>
      </w:pPr>
    </w:p>
    <w:p>
      <w:pPr>
        <w:jc w:val="both"/>
        <w:ind w:firstLine="1304"/>
        <w:spacing w:after="0" w:line="226" w:lineRule="auto"/>
        <w:tabs>
          <w:tab w:leader="none" w:pos="2007" w:val="left"/>
        </w:tabs>
        <w:numPr>
          <w:ilvl w:val="1"/>
          <w:numId w:val="206"/>
        </w:numPr>
        <w:rPr>
          <w:rFonts w:ascii="Arial" w:cs="Arial" w:eastAsia="Arial" w:hAnsi="Arial"/>
          <w:sz w:val="21"/>
          <w:szCs w:val="21"/>
          <w:color w:val="auto"/>
        </w:rPr>
      </w:pPr>
      <w:r>
        <w:rPr>
          <w:rFonts w:ascii="Arial" w:cs="Arial" w:eastAsia="Arial" w:hAnsi="Arial"/>
          <w:sz w:val="21"/>
          <w:szCs w:val="21"/>
          <w:color w:val="auto"/>
        </w:rPr>
        <w:t xml:space="preserve">unsecured Subordinated Indebtedness in an aggregate principal amount at any time outstanding not to exceed $50,000,000, that is subject to subordination terms that are (i) in the case of any such Indebtedness issued pursuant to a Rule 144A transaction or other private placement, customary for senior subordinated notes issued in a Rule 144A debt offering and (ii) otherwise reasonably satisfactory to the Administrative Agent and the Required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Indebtedness has a final maturity equal to or later than the date that is ninety-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16" w:name="page217"/>
    <w:bookmarkEnd w:id="216"/>
    <w:p>
      <w:pPr>
        <w:spacing w:after="0"/>
        <w:rPr>
          <w:sz w:val="20"/>
          <w:szCs w:val="20"/>
          <w:color w:val="auto"/>
        </w:rPr>
      </w:pPr>
      <w:r>
        <w:rPr>
          <w:rFonts w:ascii="Arial" w:cs="Arial" w:eastAsia="Arial" w:hAnsi="Arial"/>
          <w:sz w:val="19"/>
          <w:szCs w:val="19"/>
          <w:color w:val="auto"/>
        </w:rPr>
        <w:t>one (91) days after the Latest Maturity Date applicable to the Term Loans and no scheduled amortization prior to such date; and</w:t>
      </w:r>
    </w:p>
    <w:p>
      <w:pPr>
        <w:spacing w:after="0" w:line="214" w:lineRule="exact"/>
        <w:rPr>
          <w:sz w:val="20"/>
          <w:szCs w:val="20"/>
          <w:color w:val="auto"/>
        </w:rPr>
      </w:pPr>
    </w:p>
    <w:p>
      <w:pPr>
        <w:ind w:firstLine="1304"/>
        <w:spacing w:after="0" w:line="232" w:lineRule="auto"/>
        <w:tabs>
          <w:tab w:leader="none" w:pos="1848"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xml:space="preserve">Indebtedness in an aggregate principal amount at any time outstanding up to the unused amounts pursuant to </w:t>
      </w:r>
      <w:r>
        <w:rPr>
          <w:rFonts w:ascii="Arial" w:cs="Arial" w:eastAsia="Arial" w:hAnsi="Arial"/>
          <w:sz w:val="22"/>
          <w:szCs w:val="22"/>
          <w:u w:val="single" w:color="auto"/>
          <w:color w:val="auto"/>
        </w:rPr>
        <w:t>Sections 6.06(a)(v)</w:t>
      </w:r>
      <w:r>
        <w:rPr>
          <w:rFonts w:ascii="Arial" w:cs="Arial" w:eastAsia="Arial" w:hAnsi="Arial"/>
          <w:sz w:val="22"/>
          <w:szCs w:val="22"/>
          <w:color w:val="auto"/>
        </w:rPr>
        <w:t xml:space="preserve">, </w:t>
      </w:r>
      <w:r>
        <w:rPr>
          <w:rFonts w:ascii="Arial" w:cs="Arial" w:eastAsia="Arial" w:hAnsi="Arial"/>
          <w:sz w:val="22"/>
          <w:szCs w:val="22"/>
          <w:u w:val="single" w:color="auto"/>
          <w:color w:val="auto"/>
        </w:rPr>
        <w:t>6.06(a)(xiv)(A)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6.06(a)(xix)</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The accrual of interest, the accretion of accreted value, the payment of interest in the form of additional Indebtedness, the payment of dividends on Disqualified Equity Interests in the form of additional shares of Disqualified Equity Interests and accretion or amortization of original issue discount or liquidation preference will not be deemed to be an incurrence of Indebtedness for purposes of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For the avoidance of doubt, if any indebtedness is incurred under a basket set forth above that is subject to a cap based on a dollar amount and/or a percentage of Consolidated EBITDA and is subsequently subject to a Permitted Refinancing, then such Indebtedness shall continue to be deemed to utilize such basket in an amount equal to the outstanding principal amount of such Indebtedness immediately prior to such Permitted Refinancing.</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6.02</w:t>
      </w:r>
      <w:r>
        <w:rPr>
          <w:sz w:val="20"/>
          <w:szCs w:val="20"/>
          <w:color w:val="auto"/>
        </w:rPr>
        <w:tab/>
      </w:r>
      <w:r>
        <w:rPr>
          <w:rFonts w:ascii="Arial" w:cs="Arial" w:eastAsia="Arial" w:hAnsi="Arial"/>
          <w:sz w:val="19"/>
          <w:szCs w:val="19"/>
          <w:u w:val="single" w:color="auto"/>
          <w:color w:val="auto"/>
        </w:rPr>
        <w:t>Liens</w:t>
      </w:r>
      <w:r>
        <w:rPr>
          <w:rFonts w:ascii="Arial" w:cs="Arial" w:eastAsia="Arial" w:hAnsi="Arial"/>
          <w:sz w:val="19"/>
          <w:szCs w:val="19"/>
          <w:color w:val="FF0000"/>
          <w:strike w:val="1"/>
        </w:rPr>
        <w:t>.</w:t>
      </w:r>
    </w:p>
    <w:p>
      <w:pPr>
        <w:spacing w:after="0" w:line="179" w:lineRule="exact"/>
        <w:rPr>
          <w:sz w:val="20"/>
          <w:szCs w:val="20"/>
          <w:color w:val="auto"/>
        </w:rPr>
      </w:pPr>
    </w:p>
    <w:p>
      <w:pPr>
        <w:ind w:firstLine="1304"/>
        <w:spacing w:after="0" w:line="232" w:lineRule="auto"/>
        <w:tabs>
          <w:tab w:leader="none" w:pos="1402" w:val="left"/>
        </w:tabs>
        <w:numPr>
          <w:ilvl w:val="0"/>
          <w:numId w:val="208"/>
        </w:numPr>
        <w:rPr>
          <w:rFonts w:ascii="Arial" w:cs="Arial" w:eastAsia="Arial" w:hAnsi="Arial"/>
          <w:sz w:val="22"/>
          <w:szCs w:val="22"/>
          <w:u w:val="single" w:color="auto"/>
          <w:color w:val="0000FF"/>
        </w:rPr>
      </w:pPr>
      <w:r>
        <w:rPr>
          <w:rFonts w:ascii="Arial" w:cs="Arial" w:eastAsia="Arial" w:hAnsi="Arial"/>
          <w:sz w:val="22"/>
          <w:szCs w:val="22"/>
          <w:color w:val="auto"/>
        </w:rPr>
        <w:t>The Borrower will not, nor will the Borrower permit any Restricted Subsidiary to, create, incur, assume or permit to exist any Lien on any property or asset now owned or hereafter acquired by it, except:</w:t>
      </w:r>
    </w:p>
    <w:p>
      <w:pPr>
        <w:spacing w:after="0" w:line="159" w:lineRule="exact"/>
        <w:rPr>
          <w:sz w:val="20"/>
          <w:szCs w:val="20"/>
          <w:color w:val="auto"/>
        </w:rPr>
      </w:pPr>
    </w:p>
    <w:p>
      <w:pPr>
        <w:ind w:left="1760" w:hanging="456"/>
        <w:spacing w:after="0"/>
        <w:tabs>
          <w:tab w:leader="none" w:pos="176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Liens pursuant to any Loan Document;</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179" w:lineRule="exact"/>
        <w:rPr>
          <w:rFonts w:ascii="Arial" w:cs="Arial" w:eastAsia="Arial" w:hAnsi="Arial"/>
          <w:sz w:val="22"/>
          <w:szCs w:val="22"/>
          <w:color w:val="auto"/>
        </w:rPr>
      </w:pPr>
    </w:p>
    <w:p>
      <w:pPr>
        <w:jc w:val="both"/>
        <w:ind w:firstLine="1304"/>
        <w:spacing w:after="0" w:line="241" w:lineRule="auto"/>
        <w:tabs>
          <w:tab w:leader="none" w:pos="1776"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any Lien on any property or asset of the Borrower or any Restricted Subsidiary existing on the Closing Date and listed in </w:t>
      </w:r>
      <w:r>
        <w:rPr>
          <w:rFonts w:ascii="Arial" w:cs="Arial" w:eastAsia="Arial" w:hAnsi="Arial"/>
          <w:sz w:val="19"/>
          <w:szCs w:val="19"/>
          <w:u w:val="single" w:color="auto"/>
          <w:color w:val="auto"/>
        </w:rPr>
        <w:t>Schedule 6.02</w:t>
      </w:r>
      <w:r>
        <w:rPr>
          <w:rFonts w:ascii="Arial" w:cs="Arial" w:eastAsia="Arial" w:hAnsi="Arial"/>
          <w:sz w:val="19"/>
          <w:szCs w:val="19"/>
          <w:color w:val="auto"/>
        </w:rPr>
        <w:t xml:space="preserve">, plus Liens securing obligations existing on the Closing Date not to exceed $5,000,000 in the aggregate;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shall not apply to any other property or asset of the Borrower or any Restricted Subsidiary (other than any replacements of such property or assets and additions and accessions thereto,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or asset of the Borrower or any Restricted Subsidiary and the proceeds and the products thereof and customary security deposits in respect thereof and in the case of multiple financings of equipment provided by any lender, other equipment financed by such lender) and (ii) such Lien shall secure only those obligations and unused commitment that it secures on the date hereof and extensions, renewals and replacements thereof so long as the principal amount of such extensions, renewals and replacements does not exceed the principal amount of the obligations being extended, renewed or replaced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but unpaid interest (including any portion thereof which is payable in kind in accordance with the terms of such extended, renewed or replaced Indebtedness) and premium payable by the terms of such obligations thereon and reasonable fees and expenses associated therewith);</w:t>
      </w:r>
    </w:p>
    <w:p>
      <w:pPr>
        <w:spacing w:after="0" w:line="384" w:lineRule="exact"/>
        <w:rPr>
          <w:rFonts w:ascii="Arial" w:cs="Arial" w:eastAsia="Arial" w:hAnsi="Arial"/>
          <w:sz w:val="19"/>
          <w:szCs w:val="19"/>
          <w:color w:val="auto"/>
        </w:rPr>
      </w:pPr>
    </w:p>
    <w:p>
      <w:pPr>
        <w:jc w:val="both"/>
        <w:ind w:firstLine="1304"/>
        <w:spacing w:after="0" w:line="216" w:lineRule="auto"/>
        <w:tabs>
          <w:tab w:leader="none" w:pos="1793" w:val="left"/>
        </w:tabs>
        <w:numPr>
          <w:ilvl w:val="0"/>
          <w:numId w:val="209"/>
        </w:numPr>
        <w:rPr>
          <w:rFonts w:ascii="Arial" w:cs="Arial" w:eastAsia="Arial" w:hAnsi="Arial"/>
          <w:sz w:val="22"/>
          <w:szCs w:val="22"/>
          <w:color w:val="auto"/>
        </w:rPr>
      </w:pPr>
      <w:r>
        <w:rPr>
          <w:rFonts w:ascii="Arial" w:cs="Arial" w:eastAsia="Arial" w:hAnsi="Arial"/>
          <w:sz w:val="22"/>
          <w:szCs w:val="22"/>
          <w:color w:val="auto"/>
        </w:rPr>
        <w:t xml:space="preserve">any Lien existing on any property or asset prior to the acquisition thereof by the Borrower or any Restricted Subsidiary or existing on any property or asset of any Person that became or becomes a Restricted Subsidiary (including as a result of any Unrestricted Subsidiary being redesignated as a Restricted Subsidiary) after the Closing Date prior to the time such Person became or becomes a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Lien is not created in contemplation of such acquisition or such Person becoming a Restricted Subsidiary,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17" w:name="page218"/>
    <w:bookmarkEnd w:id="217"/>
    <w:p>
      <w:pPr>
        <w:jc w:val="both"/>
        <w:spacing w:after="0" w:line="242" w:lineRule="auto"/>
        <w:rPr>
          <w:sz w:val="20"/>
          <w:szCs w:val="20"/>
          <w:color w:val="auto"/>
        </w:rPr>
      </w:pPr>
      <w:r>
        <w:rPr>
          <w:rFonts w:ascii="Arial" w:cs="Arial" w:eastAsia="Arial" w:hAnsi="Arial"/>
          <w:sz w:val="19"/>
          <w:szCs w:val="19"/>
          <w:color w:val="auto"/>
        </w:rPr>
        <w:t>the case may be, (ii) such Lien shall not apply to any other property or asset of the Borrower or any Restricted Subsidiary (other than any replacements of such property or assets and additions and accessions thereto, after-acquired property subjected to a Lien securing Indebtedness and other obligations incurred prior to such time and which Indebtedness and other obligations are permitted hereunder that require, pursuant to their terms at such time, a pledge of after-acquired property, and the proceeds and the products thereof and customary security deposits in respect thereof and in the case of multiple financings of equipment provided by any lender, other equipment financed by such lender) and (iii) such Lien shall secure only those obligations and unused commitments (and to the extent such obligations and commitments constitute Indebtedness, such Indebtedness is permitted hereunder) that it secures on the date of such acquisition or the date such Person becomes a Restricted Subsidiary, as the case may be, and extensions, renewals and replacements thereof so long as the principal amount of such extensions, renewals and replacements does not exceed the principal amount of the obligations being extended, renewed or replaced (plus any accrued but unpaid interest (including any portion thereof which is payable in kind in accordance with the terms of such extended, renewed or replaced Indebtedness) and premium payable by the terms of such obligations thereon and fees and expenses associated therewith);</w:t>
      </w:r>
    </w:p>
    <w:p>
      <w:pPr>
        <w:spacing w:after="0" w:line="380" w:lineRule="exact"/>
        <w:rPr>
          <w:sz w:val="20"/>
          <w:szCs w:val="20"/>
          <w:color w:val="auto"/>
        </w:rPr>
      </w:pPr>
    </w:p>
    <w:p>
      <w:pPr>
        <w:jc w:val="both"/>
        <w:ind w:firstLine="1304"/>
        <w:spacing w:after="0" w:line="242" w:lineRule="auto"/>
        <w:tabs>
          <w:tab w:leader="none" w:pos="1871"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Liens on fixed or capital assets acquired, developed, constructed, restored, replaced, rebuilt, maintained, upgraded or improved (including any such assets made the subject of a Capital Lease Obligation or Synthetic Lease Obligation incurred) by the Borrower 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secure Indebtedness incurred to finance such acquisition, development, construction, restoration, replacement, rebuilding, maintenance, upgrade or improvement and that is permitted by </w:t>
      </w:r>
      <w:r>
        <w:rPr>
          <w:rFonts w:ascii="Arial" w:cs="Arial" w:eastAsia="Arial" w:hAnsi="Arial"/>
          <w:sz w:val="19"/>
          <w:szCs w:val="19"/>
          <w:u w:val="single" w:color="auto"/>
          <w:color w:val="auto"/>
        </w:rPr>
        <w:t>Section 6.01(d)</w:t>
      </w:r>
      <w:r>
        <w:rPr>
          <w:rFonts w:ascii="Arial" w:cs="Arial" w:eastAsia="Arial" w:hAnsi="Arial"/>
          <w:sz w:val="19"/>
          <w:szCs w:val="19"/>
          <w:color w:val="auto"/>
        </w:rPr>
        <w:t xml:space="preserve">, or to extend, renew or replace such Indebtedness and that is permitted by </w:t>
      </w:r>
      <w:r>
        <w:rPr>
          <w:rFonts w:ascii="Arial" w:cs="Arial" w:eastAsia="Arial" w:hAnsi="Arial"/>
          <w:sz w:val="19"/>
          <w:szCs w:val="19"/>
          <w:u w:val="single" w:color="auto"/>
          <w:color w:val="auto"/>
        </w:rPr>
        <w:t>Section 6.01(e)</w:t>
      </w:r>
      <w:r>
        <w:rPr>
          <w:rFonts w:ascii="Arial" w:cs="Arial" w:eastAsia="Arial" w:hAnsi="Arial"/>
          <w:sz w:val="19"/>
          <w:szCs w:val="19"/>
          <w:color w:val="auto"/>
        </w:rPr>
        <w:t>, (ii) such Liens and the Indebtedness secured thereby are incurred prior to or within 270 days after such acquisition or the completion of such development, construction, restoration, replacement, rebuilding, maintenance, upgrade or improvement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shall not apply to any Indebtedness permitted by </w:t>
      </w:r>
      <w:r>
        <w:rPr>
          <w:rFonts w:ascii="Arial" w:cs="Arial" w:eastAsia="Arial" w:hAnsi="Arial"/>
          <w:sz w:val="19"/>
          <w:szCs w:val="19"/>
          <w:u w:val="single" w:color="auto"/>
          <w:color w:val="auto"/>
        </w:rPr>
        <w:t>Section 6.01(e)</w:t>
      </w:r>
      <w:r>
        <w:rPr>
          <w:rFonts w:ascii="Arial" w:cs="Arial" w:eastAsia="Arial" w:hAnsi="Arial"/>
          <w:sz w:val="19"/>
          <w:szCs w:val="19"/>
          <w:color w:val="auto"/>
        </w:rPr>
        <w:t xml:space="preserve"> or any Lien securing such Indebtedness) and (iii) such Liens shall not apply to any other property or assets of the Borrower or any Restricted Subsidiary (other than any replacements of such property or assets and additions and accessions thereto and the proceeds and the products thereof and customary security deposits in respect thereof and in the case of multiple financings of equipment provided by any lender, other equipment financed by such lender);</w:t>
      </w:r>
    </w:p>
    <w:p>
      <w:pPr>
        <w:spacing w:after="0" w:line="384" w:lineRule="exact"/>
        <w:rPr>
          <w:rFonts w:ascii="Arial" w:cs="Arial" w:eastAsia="Arial" w:hAnsi="Arial"/>
          <w:sz w:val="19"/>
          <w:szCs w:val="19"/>
          <w:color w:val="auto"/>
        </w:rPr>
      </w:pPr>
    </w:p>
    <w:p>
      <w:pPr>
        <w:jc w:val="both"/>
        <w:ind w:firstLine="1304"/>
        <w:spacing w:after="0" w:line="249" w:lineRule="auto"/>
        <w:tabs>
          <w:tab w:leader="none" w:pos="1772" w:val="left"/>
        </w:tabs>
        <w:numPr>
          <w:ilvl w:val="0"/>
          <w:numId w:val="210"/>
        </w:numPr>
        <w:rPr>
          <w:rFonts w:ascii="Arial" w:cs="Arial" w:eastAsia="Arial" w:hAnsi="Arial"/>
          <w:sz w:val="19"/>
          <w:szCs w:val="19"/>
          <w:color w:val="auto"/>
        </w:rPr>
      </w:pPr>
      <w:r>
        <w:rPr>
          <w:rFonts w:ascii="Arial" w:cs="Arial" w:eastAsia="Arial" w:hAnsi="Arial"/>
          <w:sz w:val="19"/>
          <w:szCs w:val="19"/>
          <w:color w:val="auto"/>
        </w:rPr>
        <w:t>Liens (i) of a collecting bank arising in the ordinary course of business under Section 4-208 of the Uniform Commercial Code in effect in the relevant jurisdiction covering only the items being collected upon, (ii) in favor of a banking or other financial institution arising as a matter of law encumbering deposits or other funds maintained with a financial institution (including the right of set off) and which are within the general parameters customary in the banking industry or (iii) encumbering reasonable customary initial deposits and margin deposits and similar Liens attaching to commodity trading accounts or other brokerage accounts incurred in the ordinary course of business and not for speculative purposes;</w:t>
      </w:r>
    </w:p>
    <w:p>
      <w:pPr>
        <w:spacing w:after="0" w:line="151" w:lineRule="exact"/>
        <w:rPr>
          <w:rFonts w:ascii="Arial" w:cs="Arial" w:eastAsia="Arial" w:hAnsi="Arial"/>
          <w:sz w:val="19"/>
          <w:szCs w:val="19"/>
          <w:color w:val="auto"/>
        </w:rPr>
      </w:pPr>
    </w:p>
    <w:p>
      <w:pPr>
        <w:jc w:val="both"/>
        <w:ind w:firstLine="1304"/>
        <w:spacing w:after="0" w:line="218" w:lineRule="auto"/>
        <w:tabs>
          <w:tab w:leader="none" w:pos="1802" w:val="left"/>
        </w:tabs>
        <w:numPr>
          <w:ilvl w:val="0"/>
          <w:numId w:val="210"/>
        </w:numPr>
        <w:rPr>
          <w:rFonts w:ascii="Arial" w:cs="Arial" w:eastAsia="Arial" w:hAnsi="Arial"/>
          <w:sz w:val="22"/>
          <w:szCs w:val="22"/>
          <w:color w:val="auto"/>
        </w:rPr>
      </w:pPr>
      <w:r>
        <w:rPr>
          <w:rFonts w:ascii="Arial" w:cs="Arial" w:eastAsia="Arial" w:hAnsi="Arial"/>
          <w:sz w:val="22"/>
          <w:szCs w:val="22"/>
          <w:color w:val="auto"/>
        </w:rPr>
        <w:t>Liens representing (i) any interest or title of a licensor, lessor or sublicensor or sublessor under any lease or license permitted by this Agreement, (ii) any Lien or restriction that the interest or title of such lessor, licensor, sublessor or sublicensor may be subject to, or (iii) the interest of a licensee, lessee, sublicensee or sublessee arising by virtue of being granted a license or lease permitted by this Agreement;</w:t>
      </w:r>
    </w:p>
    <w:p>
      <w:pPr>
        <w:spacing w:after="0" w:line="160" w:lineRule="exact"/>
        <w:rPr>
          <w:rFonts w:ascii="Arial" w:cs="Arial" w:eastAsia="Arial" w:hAnsi="Arial"/>
          <w:sz w:val="22"/>
          <w:szCs w:val="22"/>
          <w:color w:val="auto"/>
        </w:rPr>
      </w:pPr>
    </w:p>
    <w:p>
      <w:pPr>
        <w:ind w:left="1880" w:hanging="576"/>
        <w:spacing w:after="0"/>
        <w:tabs>
          <w:tab w:leader="none" w:pos="188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Liens arising out of conditional sale, title retention, consignment or similar arrangements for the sale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18" w:name="page219"/>
    <w:bookmarkEnd w:id="218"/>
    <w:p>
      <w:pPr>
        <w:ind w:firstLine="1304"/>
        <w:spacing w:after="0" w:line="232" w:lineRule="auto"/>
        <w:tabs>
          <w:tab w:leader="none" w:pos="1758"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filing of UCC (or equivalent) financing statements solely as a precautionary measure in connection with operating leases or consignment of goods;</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768"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Liens not otherwise permitted by this Section to the extent that the aggregate outstanding amount (or in the case of Indebtedness, the original principal amount) of the obligations secured thereby at any time (considered together with any Liens under </w:t>
      </w:r>
      <w:r>
        <w:rPr>
          <w:rFonts w:ascii="Arial" w:cs="Arial" w:eastAsia="Arial" w:hAnsi="Arial"/>
          <w:sz w:val="19"/>
          <w:szCs w:val="19"/>
          <w:u w:val="single" w:color="auto"/>
          <w:color w:val="auto"/>
        </w:rPr>
        <w:t>clause (bb)</w:t>
      </w:r>
      <w:r>
        <w:rPr>
          <w:rFonts w:ascii="Arial" w:cs="Arial" w:eastAsia="Arial" w:hAnsi="Arial"/>
          <w:sz w:val="19"/>
          <w:szCs w:val="19"/>
          <w:color w:val="auto"/>
        </w:rPr>
        <w:t xml:space="preserve"> below in respect of Liens initially incurred under this </w:t>
      </w:r>
      <w:r>
        <w:rPr>
          <w:rFonts w:ascii="Arial" w:cs="Arial" w:eastAsia="Arial" w:hAnsi="Arial"/>
          <w:sz w:val="19"/>
          <w:szCs w:val="19"/>
          <w:u w:val="single" w:color="auto"/>
          <w:color w:val="auto"/>
        </w:rPr>
        <w:t>clause (j))</w:t>
      </w:r>
      <w:r>
        <w:rPr>
          <w:rFonts w:ascii="Arial" w:cs="Arial" w:eastAsia="Arial" w:hAnsi="Arial"/>
          <w:sz w:val="19"/>
          <w:szCs w:val="19"/>
          <w:color w:val="auto"/>
        </w:rPr>
        <w:t xml:space="preserve"> does not exceed the greater of (i) $45,000,000 and (ii) 45.0% of LTM EBITDA calculated on a Pro Forma Basis as of the Applicable Date of Determination;</w:t>
      </w:r>
    </w:p>
    <w:p>
      <w:pPr>
        <w:spacing w:after="0" w:line="144" w:lineRule="exact"/>
        <w:rPr>
          <w:rFonts w:ascii="Arial" w:cs="Arial" w:eastAsia="Arial" w:hAnsi="Arial"/>
          <w:sz w:val="19"/>
          <w:szCs w:val="19"/>
          <w:color w:val="auto"/>
        </w:rPr>
      </w:pPr>
    </w:p>
    <w:p>
      <w:pPr>
        <w:ind w:firstLine="1304"/>
        <w:spacing w:after="0" w:line="232" w:lineRule="auto"/>
        <w:tabs>
          <w:tab w:leader="none" w:pos="1836" w:val="left"/>
        </w:tabs>
        <w:numPr>
          <w:ilvl w:val="0"/>
          <w:numId w:val="211"/>
        </w:numPr>
        <w:rPr>
          <w:rFonts w:ascii="Arial" w:cs="Arial" w:eastAsia="Arial" w:hAnsi="Arial"/>
          <w:sz w:val="22"/>
          <w:szCs w:val="22"/>
          <w:color w:val="auto"/>
        </w:rPr>
      </w:pPr>
      <w:r>
        <w:rPr>
          <w:rFonts w:ascii="Arial" w:cs="Arial" w:eastAsia="Arial" w:hAnsi="Arial"/>
          <w:sz w:val="22"/>
          <w:szCs w:val="22"/>
          <w:color w:val="auto"/>
        </w:rPr>
        <w:t>Liens granted by a Restricted Subsidiary that is not a Loan Party in favor of any Loan Party in respect of Indebtedness or other obligations owed by such Restricted Subsidiary to such Loan Party;</w:t>
      </w:r>
    </w:p>
    <w:p>
      <w:pPr>
        <w:spacing w:after="0" w:line="158" w:lineRule="exact"/>
        <w:rPr>
          <w:rFonts w:ascii="Arial" w:cs="Arial" w:eastAsia="Arial" w:hAnsi="Arial"/>
          <w:sz w:val="22"/>
          <w:szCs w:val="22"/>
          <w:color w:val="auto"/>
        </w:rPr>
      </w:pPr>
    </w:p>
    <w:p>
      <w:pPr>
        <w:ind w:firstLine="1304"/>
        <w:spacing w:after="0" w:line="298" w:lineRule="auto"/>
        <w:tabs>
          <w:tab w:leader="none" w:pos="1763"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Liens (i) attaching solely to cash advances and cash earnest money deposits in connection with Investments permitted under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or (ii) consisting of an agreement to Dispose of any property in a Disposition permitted hereunder;</w:t>
      </w:r>
    </w:p>
    <w:p>
      <w:pPr>
        <w:spacing w:after="0" w:line="105" w:lineRule="exact"/>
        <w:rPr>
          <w:rFonts w:ascii="Arial" w:cs="Arial" w:eastAsia="Arial" w:hAnsi="Arial"/>
          <w:sz w:val="19"/>
          <w:szCs w:val="19"/>
          <w:color w:val="auto"/>
        </w:rPr>
      </w:pPr>
    </w:p>
    <w:p>
      <w:pPr>
        <w:ind w:firstLine="1304"/>
        <w:spacing w:after="0" w:line="232" w:lineRule="auto"/>
        <w:tabs>
          <w:tab w:leader="none" w:pos="1844" w:val="left"/>
        </w:tabs>
        <w:numPr>
          <w:ilvl w:val="0"/>
          <w:numId w:val="211"/>
        </w:numPr>
        <w:rPr>
          <w:rFonts w:ascii="Arial" w:cs="Arial" w:eastAsia="Arial" w:hAnsi="Arial"/>
          <w:sz w:val="22"/>
          <w:szCs w:val="22"/>
          <w:color w:val="auto"/>
        </w:rPr>
      </w:pPr>
      <w:r>
        <w:rPr>
          <w:rFonts w:ascii="Arial" w:cs="Arial" w:eastAsia="Arial" w:hAnsi="Arial"/>
          <w:sz w:val="22"/>
          <w:szCs w:val="22"/>
          <w:color w:val="auto"/>
        </w:rPr>
        <w:t>Liens consisting of customary rights of set-off or banker’s liens on amounts on deposit, to the extent arising by operation of law and incurred in the ordinary course of business;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66" w:val="left"/>
        </w:tabs>
        <w:numPr>
          <w:ilvl w:val="0"/>
          <w:numId w:val="211"/>
        </w:numPr>
        <w:rPr>
          <w:rFonts w:ascii="Arial" w:cs="Arial" w:eastAsia="Arial" w:hAnsi="Arial"/>
          <w:sz w:val="22"/>
          <w:szCs w:val="22"/>
          <w:color w:val="auto"/>
        </w:rPr>
      </w:pPr>
      <w:r>
        <w:rPr>
          <w:rFonts w:ascii="Arial" w:cs="Arial" w:eastAsia="Arial" w:hAnsi="Arial"/>
          <w:sz w:val="22"/>
          <w:szCs w:val="22"/>
          <w:color w:val="auto"/>
        </w:rPr>
        <w:t xml:space="preserve">Liens securing reimbursement obligations permitted by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in respect of documentary letters of credit or bankers’ acceptances;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attach only to the documents, goods covered thereby and proceeds thereto;</w:t>
      </w:r>
    </w:p>
    <w:p>
      <w:pPr>
        <w:spacing w:after="0" w:line="158" w:lineRule="exact"/>
        <w:rPr>
          <w:rFonts w:ascii="Arial" w:cs="Arial" w:eastAsia="Arial" w:hAnsi="Arial"/>
          <w:sz w:val="22"/>
          <w:szCs w:val="22"/>
          <w:color w:val="auto"/>
        </w:rPr>
      </w:pPr>
    </w:p>
    <w:p>
      <w:pPr>
        <w:ind w:left="1820" w:hanging="516"/>
        <w:spacing w:after="0"/>
        <w:tabs>
          <w:tab w:leader="none" w:pos="182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Liens on insurance policies and the proceeds thereof granted to secure the financing of insurance premiums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respect thereto;</w:t>
      </w:r>
    </w:p>
    <w:p>
      <w:pPr>
        <w:spacing w:after="0" w:line="161" w:lineRule="exact"/>
        <w:rPr>
          <w:rFonts w:ascii="Arial" w:cs="Arial" w:eastAsia="Arial" w:hAnsi="Arial"/>
          <w:sz w:val="19"/>
          <w:szCs w:val="19"/>
          <w:color w:val="auto"/>
        </w:rPr>
      </w:pPr>
    </w:p>
    <w:p>
      <w:pPr>
        <w:ind w:left="1780" w:hanging="476"/>
        <w:spacing w:after="0"/>
        <w:tabs>
          <w:tab w:leader="none" w:pos="178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Liens encumbering deposits made to secure obligations arising from contractual or warranty requirements;</w:t>
      </w:r>
    </w:p>
    <w:p>
      <w:pPr>
        <w:spacing w:after="0" w:line="213" w:lineRule="exact"/>
        <w:rPr>
          <w:rFonts w:ascii="Arial" w:cs="Arial" w:eastAsia="Arial" w:hAnsi="Arial"/>
          <w:sz w:val="19"/>
          <w:szCs w:val="19"/>
          <w:color w:val="auto"/>
        </w:rPr>
      </w:pPr>
    </w:p>
    <w:p>
      <w:pPr>
        <w:ind w:firstLine="1304"/>
        <w:spacing w:after="0" w:line="232" w:lineRule="auto"/>
        <w:tabs>
          <w:tab w:leader="none" w:pos="1846" w:val="left"/>
        </w:tabs>
        <w:numPr>
          <w:ilvl w:val="0"/>
          <w:numId w:val="211"/>
        </w:numPr>
        <w:rPr>
          <w:rFonts w:ascii="Arial" w:cs="Arial" w:eastAsia="Arial" w:hAnsi="Arial"/>
          <w:sz w:val="22"/>
          <w:szCs w:val="22"/>
          <w:color w:val="auto"/>
        </w:rPr>
      </w:pPr>
      <w:r>
        <w:rPr>
          <w:rFonts w:ascii="Arial" w:cs="Arial" w:eastAsia="Arial" w:hAnsi="Arial"/>
          <w:sz w:val="22"/>
          <w:szCs w:val="22"/>
          <w:color w:val="auto"/>
        </w:rPr>
        <w:t xml:space="preserve">Liens on Collateral securing obligations of any of the Loan Parties in respect of Indebtedness and related obligations permitted by </w:t>
      </w:r>
      <w:r>
        <w:rPr>
          <w:rFonts w:ascii="Arial" w:cs="Arial" w:eastAsia="Arial" w:hAnsi="Arial"/>
          <w:sz w:val="22"/>
          <w:szCs w:val="22"/>
          <w:u w:val="single" w:color="auto"/>
          <w:color w:val="auto"/>
        </w:rPr>
        <w:t>Section 6.01(x)</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304"/>
        <w:spacing w:after="0" w:line="232" w:lineRule="auto"/>
        <w:tabs>
          <w:tab w:leader="none" w:pos="1737" w:val="left"/>
        </w:tabs>
        <w:numPr>
          <w:ilvl w:val="0"/>
          <w:numId w:val="211"/>
        </w:numPr>
        <w:rPr>
          <w:rFonts w:ascii="Arial" w:cs="Arial" w:eastAsia="Arial" w:hAnsi="Arial"/>
          <w:sz w:val="22"/>
          <w:szCs w:val="22"/>
          <w:color w:val="auto"/>
        </w:rPr>
      </w:pPr>
      <w:r>
        <w:rPr>
          <w:rFonts w:ascii="Arial" w:cs="Arial" w:eastAsia="Arial" w:hAnsi="Arial"/>
          <w:sz w:val="22"/>
          <w:szCs w:val="22"/>
          <w:color w:val="auto"/>
        </w:rPr>
        <w:t xml:space="preserve">Liens securing obligations referred to in </w:t>
      </w:r>
      <w:r>
        <w:rPr>
          <w:rFonts w:ascii="Arial" w:cs="Arial" w:eastAsia="Arial" w:hAnsi="Arial"/>
          <w:sz w:val="22"/>
          <w:szCs w:val="22"/>
          <w:u w:val="single" w:color="auto"/>
          <w:color w:val="auto"/>
        </w:rPr>
        <w:t>Section 6.01(k)</w:t>
      </w:r>
      <w:r>
        <w:rPr>
          <w:rFonts w:ascii="Arial" w:cs="Arial" w:eastAsia="Arial" w:hAnsi="Arial"/>
          <w:sz w:val="22"/>
          <w:szCs w:val="22"/>
          <w:color w:val="auto"/>
        </w:rPr>
        <w:t xml:space="preserve"> or on assets subject of any Permitted Sale Leaseback under </w:t>
      </w:r>
      <w:r>
        <w:rPr>
          <w:rFonts w:ascii="Arial" w:cs="Arial" w:eastAsia="Arial" w:hAnsi="Arial"/>
          <w:sz w:val="22"/>
          <w:szCs w:val="22"/>
          <w:u w:val="single" w:color="auto"/>
          <w:color w:val="auto"/>
        </w:rPr>
        <w:t>Section 6.01(v)</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304"/>
        <w:spacing w:after="0" w:line="232" w:lineRule="auto"/>
        <w:tabs>
          <w:tab w:leader="none" w:pos="1795" w:val="left"/>
        </w:tabs>
        <w:numPr>
          <w:ilvl w:val="0"/>
          <w:numId w:val="211"/>
        </w:numPr>
        <w:rPr>
          <w:rFonts w:ascii="Arial" w:cs="Arial" w:eastAsia="Arial" w:hAnsi="Arial"/>
          <w:sz w:val="22"/>
          <w:szCs w:val="22"/>
          <w:color w:val="auto"/>
        </w:rPr>
      </w:pPr>
      <w:r>
        <w:rPr>
          <w:rFonts w:ascii="Arial" w:cs="Arial" w:eastAsia="Arial" w:hAnsi="Arial"/>
          <w:sz w:val="22"/>
          <w:szCs w:val="22"/>
          <w:color w:val="auto"/>
        </w:rPr>
        <w:t>Liens on (i) the Securitization Assets arising in connection with a Qualified Securitization Financing or (ii) the Receivables Assets arising in connection with a Receivables Facility;</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74" w:val="left"/>
        </w:tabs>
        <w:numPr>
          <w:ilvl w:val="0"/>
          <w:numId w:val="211"/>
        </w:numPr>
        <w:rPr>
          <w:rFonts w:ascii="Arial" w:cs="Arial" w:eastAsia="Arial" w:hAnsi="Arial"/>
          <w:sz w:val="22"/>
          <w:szCs w:val="22"/>
          <w:color w:val="auto"/>
        </w:rPr>
      </w:pPr>
      <w:r>
        <w:rPr>
          <w:rFonts w:ascii="Arial" w:cs="Arial" w:eastAsia="Arial" w:hAnsi="Arial"/>
          <w:sz w:val="22"/>
          <w:szCs w:val="22"/>
          <w:color w:val="auto"/>
        </w:rPr>
        <w:t>licenses and sublicenses (with respect to Intellectual Property and other property), and leases and subleases granted to third parties in the ordinary course of business, to the extent they do not materially interfere with the business of the Borrower and the Restricted Subsidiaries taken as a whole;</w:t>
      </w:r>
    </w:p>
    <w:p>
      <w:pPr>
        <w:spacing w:after="0" w:line="158" w:lineRule="exact"/>
        <w:rPr>
          <w:rFonts w:ascii="Arial" w:cs="Arial" w:eastAsia="Arial" w:hAnsi="Arial"/>
          <w:sz w:val="22"/>
          <w:szCs w:val="22"/>
          <w:color w:val="auto"/>
        </w:rPr>
      </w:pPr>
    </w:p>
    <w:p>
      <w:pPr>
        <w:ind w:firstLine="1304"/>
        <w:spacing w:after="0" w:line="232" w:lineRule="auto"/>
        <w:tabs>
          <w:tab w:leader="none" w:pos="1768" w:val="left"/>
        </w:tabs>
        <w:numPr>
          <w:ilvl w:val="0"/>
          <w:numId w:val="211"/>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to secure payment of customs duties in connection with the importation of goods;</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Liens of bailees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19" w:name="page220"/>
    <w:bookmarkEnd w:id="219"/>
    <w:p>
      <w:pPr>
        <w:jc w:val="both"/>
        <w:ind w:firstLine="1304"/>
        <w:spacing w:after="0" w:line="223" w:lineRule="auto"/>
        <w:tabs>
          <w:tab w:leader="none" w:pos="1913" w:val="left"/>
        </w:tabs>
        <w:numPr>
          <w:ilvl w:val="0"/>
          <w:numId w:val="212"/>
        </w:numPr>
        <w:rPr>
          <w:rFonts w:ascii="Arial" w:cs="Arial" w:eastAsia="Arial" w:hAnsi="Arial"/>
          <w:sz w:val="22"/>
          <w:szCs w:val="22"/>
          <w:color w:val="auto"/>
        </w:rPr>
      </w:pPr>
      <w:r>
        <w:rPr>
          <w:rFonts w:ascii="Arial" w:cs="Arial" w:eastAsia="Arial" w:hAnsi="Arial"/>
          <w:sz w:val="22"/>
          <w:szCs w:val="22"/>
          <w:color w:val="auto"/>
        </w:rPr>
        <w:t>Liens securing obligations (other than obligations representing Indebtedness for borrowed money) under operating, reciprocal easement or similar agreements entered into in the ordinary course of business of the Borrower and its Subsidiaries;</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utility and similar deposits in the ordinary course of business;</w:t>
      </w:r>
    </w:p>
    <w:p>
      <w:pPr>
        <w:spacing w:after="0" w:line="179" w:lineRule="exact"/>
        <w:rPr>
          <w:rFonts w:ascii="Arial" w:cs="Arial" w:eastAsia="Arial" w:hAnsi="Arial"/>
          <w:sz w:val="22"/>
          <w:szCs w:val="22"/>
          <w:color w:val="auto"/>
        </w:rPr>
      </w:pPr>
    </w:p>
    <w:p>
      <w:pPr>
        <w:ind w:firstLine="1304"/>
        <w:spacing w:after="0" w:line="232" w:lineRule="auto"/>
        <w:tabs>
          <w:tab w:leader="none" w:pos="1829" w:val="left"/>
        </w:tabs>
        <w:numPr>
          <w:ilvl w:val="0"/>
          <w:numId w:val="212"/>
        </w:numPr>
        <w:rPr>
          <w:rFonts w:ascii="Arial" w:cs="Arial" w:eastAsia="Arial" w:hAnsi="Arial"/>
          <w:sz w:val="22"/>
          <w:szCs w:val="22"/>
          <w:color w:val="auto"/>
        </w:rPr>
      </w:pPr>
      <w:r>
        <w:rPr>
          <w:rFonts w:ascii="Arial" w:cs="Arial" w:eastAsia="Arial" w:hAnsi="Arial"/>
          <w:sz w:val="22"/>
          <w:szCs w:val="22"/>
          <w:color w:val="auto"/>
        </w:rPr>
        <w:t>purchase options, call and similar rights of, and restrictions for the benefit of, a third party with respect to Equity Interests held by the Borrower or any Restricted Subsidiary in Joint Ventures;</w:t>
      </w:r>
    </w:p>
    <w:p>
      <w:pPr>
        <w:spacing w:after="0" w:line="158" w:lineRule="exact"/>
        <w:rPr>
          <w:rFonts w:ascii="Arial" w:cs="Arial" w:eastAsia="Arial" w:hAnsi="Arial"/>
          <w:sz w:val="22"/>
          <w:szCs w:val="22"/>
          <w:color w:val="auto"/>
        </w:rPr>
      </w:pPr>
    </w:p>
    <w:p>
      <w:pPr>
        <w:ind w:firstLine="1304"/>
        <w:spacing w:after="0" w:line="232" w:lineRule="auto"/>
        <w:tabs>
          <w:tab w:leader="none" w:pos="1776" w:val="left"/>
        </w:tabs>
        <w:numPr>
          <w:ilvl w:val="0"/>
          <w:numId w:val="212"/>
        </w:numPr>
        <w:rPr>
          <w:rFonts w:ascii="Arial" w:cs="Arial" w:eastAsia="Arial" w:hAnsi="Arial"/>
          <w:sz w:val="22"/>
          <w:szCs w:val="22"/>
          <w:color w:val="auto"/>
        </w:rPr>
      </w:pPr>
      <w:r>
        <w:rPr>
          <w:rFonts w:ascii="Arial" w:cs="Arial" w:eastAsia="Arial" w:hAnsi="Arial"/>
          <w:sz w:val="22"/>
          <w:szCs w:val="22"/>
          <w:color w:val="auto"/>
        </w:rPr>
        <w:t>Liens disclosed as exceptions to coverage in the final title policies and endorsements issued to the Collateral Agent with respect to any Mortgaged Properties;</w:t>
      </w:r>
    </w:p>
    <w:p>
      <w:pPr>
        <w:spacing w:after="0" w:line="159" w:lineRule="exact"/>
        <w:rPr>
          <w:sz w:val="20"/>
          <w:szCs w:val="20"/>
          <w:color w:val="auto"/>
        </w:rPr>
      </w:pPr>
    </w:p>
    <w:p>
      <w:pPr>
        <w:jc w:val="both"/>
        <w:ind w:firstLine="1304"/>
        <w:spacing w:after="0" w:line="252" w:lineRule="auto"/>
        <w:tabs>
          <w:tab w:leader="none" w:pos="1859" w:val="left"/>
        </w:tabs>
        <w:numPr>
          <w:ilvl w:val="0"/>
          <w:numId w:val="213"/>
        </w:numPr>
        <w:rPr>
          <w:rFonts w:ascii="Arial" w:cs="Arial" w:eastAsia="Arial" w:hAnsi="Arial"/>
          <w:sz w:val="19"/>
          <w:szCs w:val="19"/>
          <w:color w:val="auto"/>
        </w:rPr>
      </w:pPr>
      <w:r>
        <w:rPr>
          <w:rFonts w:ascii="Arial" w:cs="Arial" w:eastAsia="Arial" w:hAnsi="Arial"/>
          <w:sz w:val="19"/>
          <w:szCs w:val="19"/>
          <w:color w:val="auto"/>
        </w:rPr>
        <w:t>Liens that are contractual rights of set-off (i) relating to the establishment of depository relations with banks or other financial institutions not given in connection with the incurrence of Indebtedness for borrowed money, (ii) relating to pooled deposit or sweep accounts of the Borrower or any Restricted Subsidiary to permit satisfaction of overdraft or similar obligations incurred in the ordinary course of business of the Borrower or the Restricted Subsidiaries or (iii) relating to purchase orders and other agreements entered into by the Borrower or any Restricted Subsidiary in the ordinary course of business;</w:t>
      </w:r>
    </w:p>
    <w:p>
      <w:pPr>
        <w:spacing w:after="0" w:line="148" w:lineRule="exact"/>
        <w:rPr>
          <w:rFonts w:ascii="Arial" w:cs="Arial" w:eastAsia="Arial" w:hAnsi="Arial"/>
          <w:sz w:val="19"/>
          <w:szCs w:val="19"/>
          <w:color w:val="auto"/>
        </w:rPr>
      </w:pPr>
    </w:p>
    <w:p>
      <w:pPr>
        <w:jc w:val="both"/>
        <w:ind w:firstLine="1304"/>
        <w:spacing w:after="0" w:line="216" w:lineRule="auto"/>
        <w:tabs>
          <w:tab w:leader="none" w:pos="1917"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the modification, replacement, renewal or extension of any Lien permitted by </w:t>
      </w:r>
      <w:r>
        <w:rPr>
          <w:rFonts w:ascii="Arial" w:cs="Arial" w:eastAsia="Arial" w:hAnsi="Arial"/>
          <w:sz w:val="22"/>
          <w:szCs w:val="22"/>
          <w:u w:val="single" w:color="auto"/>
          <w:color w:val="auto"/>
        </w:rPr>
        <w:t>Section 6.02(c)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the Lien does not extend to any additional property other than (A) after-acquired property that is affixed or incorporated into the property covered by such Lien or financed by Indebtedness permitted under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and (B) proceeds and products thereof; and (ii) the renewal, extension or refinancing of the obligations secured or benefited by such Liens is not prohibited by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ind w:left="1860" w:hanging="556"/>
        <w:spacing w:after="0"/>
        <w:tabs>
          <w:tab w:leader="none" w:pos="186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Liens arising in connection with Intercompany License Agreements;</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91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Liens securing any Swap Agreement so long as the fair market value of the Collateral securing such Swap Agreement does not exceed the greater of (x) $7,500,000 and (y) 7.5% of LTM EBITDA calculated on a Pro Forma Basis as of the Applicable Date of Determination outstanding at any time;</w:t>
      </w:r>
    </w:p>
    <w:p>
      <w:pPr>
        <w:spacing w:after="0" w:line="158" w:lineRule="exact"/>
        <w:rPr>
          <w:rFonts w:ascii="Arial" w:cs="Arial" w:eastAsia="Arial" w:hAnsi="Arial"/>
          <w:sz w:val="22"/>
          <w:szCs w:val="22"/>
          <w:color w:val="auto"/>
        </w:rPr>
      </w:pPr>
    </w:p>
    <w:p>
      <w:pPr>
        <w:ind w:left="2000" w:hanging="696"/>
        <w:spacing w:after="0"/>
        <w:tabs>
          <w:tab w:leader="none" w:pos="200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Liens on securities which are the subject of repurchase agreements incurred in the ordinary course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161" w:lineRule="exact"/>
        <w:rPr>
          <w:rFonts w:ascii="Arial" w:cs="Arial" w:eastAsia="Arial" w:hAnsi="Arial"/>
          <w:sz w:val="19"/>
          <w:szCs w:val="19"/>
          <w:color w:val="auto"/>
        </w:rPr>
      </w:pPr>
    </w:p>
    <w:p>
      <w:pPr>
        <w:ind w:firstLine="1304"/>
        <w:spacing w:after="0" w:line="232" w:lineRule="auto"/>
        <w:tabs>
          <w:tab w:leader="none" w:pos="1869" w:val="left"/>
        </w:tabs>
        <w:numPr>
          <w:ilvl w:val="0"/>
          <w:numId w:val="213"/>
        </w:numPr>
        <w:rPr>
          <w:rFonts w:ascii="Arial" w:cs="Arial" w:eastAsia="Arial" w:hAnsi="Arial"/>
          <w:sz w:val="22"/>
          <w:szCs w:val="22"/>
          <w:color w:val="auto"/>
        </w:rPr>
      </w:pPr>
      <w:r>
        <w:rPr>
          <w:rFonts w:ascii="Arial" w:cs="Arial" w:eastAsia="Arial" w:hAnsi="Arial"/>
          <w:sz w:val="22"/>
          <w:szCs w:val="22"/>
          <w:color w:val="auto"/>
        </w:rPr>
        <w:t>Liens arising in connection with rights of dissenting stockholders pursuant to applicable law in respect of any Permitted Acquisition or other permitted Investment;</w:t>
      </w:r>
    </w:p>
    <w:p>
      <w:pPr>
        <w:spacing w:after="0" w:line="158" w:lineRule="exact"/>
        <w:rPr>
          <w:rFonts w:ascii="Arial" w:cs="Arial" w:eastAsia="Arial" w:hAnsi="Arial"/>
          <w:sz w:val="22"/>
          <w:szCs w:val="22"/>
          <w:color w:val="auto"/>
        </w:rPr>
      </w:pPr>
    </w:p>
    <w:p>
      <w:pPr>
        <w:ind w:firstLine="1304"/>
        <w:spacing w:after="0" w:line="232" w:lineRule="auto"/>
        <w:tabs>
          <w:tab w:leader="none" w:pos="2012"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Liens on assets of any Restricted Subsidiary that is not a Loan Party to the extent such Liens secure Indebtedness of such Restricted Subsidiary permitted by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15"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Liens on the Collateral that are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or junior to, the Liens securing the Obligations hereunder securing (x) Additional Debt, (y) Indebtedness referred to in </w:t>
      </w:r>
      <w:r>
        <w:rPr>
          <w:rFonts w:ascii="Arial" w:cs="Arial" w:eastAsia="Arial" w:hAnsi="Arial"/>
          <w:sz w:val="22"/>
          <w:szCs w:val="22"/>
          <w:u w:val="single" w:color="auto"/>
          <w:color w:val="auto"/>
        </w:rPr>
        <w:t>Section 6.01(e)</w:t>
      </w:r>
      <w:r>
        <w:rPr>
          <w:rFonts w:ascii="Arial" w:cs="Arial" w:eastAsia="Arial" w:hAnsi="Arial"/>
          <w:sz w:val="22"/>
          <w:szCs w:val="22"/>
          <w:color w:val="auto"/>
        </w:rPr>
        <w:t xml:space="preserve"> or (z) any Permitted Refinancing thereof, in each case, to the extent permitted to be secured pursuant to the terms thereof;</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787" w:val="left"/>
        </w:tabs>
        <w:numPr>
          <w:ilvl w:val="0"/>
          <w:numId w:val="213"/>
        </w:numPr>
        <w:rPr>
          <w:rFonts w:ascii="Arial" w:cs="Arial" w:eastAsia="Arial" w:hAnsi="Arial"/>
          <w:sz w:val="19"/>
          <w:szCs w:val="19"/>
          <w:color w:val="auto"/>
        </w:rPr>
      </w:pPr>
      <w:r>
        <w:rPr>
          <w:rFonts w:ascii="Arial" w:cs="Arial" w:eastAsia="Arial" w:hAnsi="Arial"/>
          <w:sz w:val="19"/>
          <w:szCs w:val="19"/>
          <w:color w:val="auto"/>
        </w:rPr>
        <w:t>Liens on Escrowed Proceeds for the benefit of the related holders of debt securities or other Indebtedness (or the underwriters or arrangers thereof) or on cash set aside at the time of the incurrence of any Indebtedness or government securities purchased with such cash, in either case to the extent such cash or government securities prefund the payment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20" w:name="page221"/>
    <w:bookmarkEnd w:id="220"/>
    <w:p>
      <w:pPr>
        <w:spacing w:after="0"/>
        <w:rPr>
          <w:sz w:val="20"/>
          <w:szCs w:val="20"/>
          <w:color w:val="auto"/>
        </w:rPr>
      </w:pPr>
      <w:r>
        <w:rPr>
          <w:rFonts w:ascii="Arial" w:cs="Arial" w:eastAsia="Arial" w:hAnsi="Arial"/>
          <w:sz w:val="21"/>
          <w:szCs w:val="21"/>
          <w:color w:val="auto"/>
        </w:rPr>
        <w:t>interest on such Indebtedness and are held in an escrow account or similar arrangement to be applied for such purpose;</w:t>
      </w:r>
    </w:p>
    <w:p>
      <w:pPr>
        <w:spacing w:after="0" w:line="191" w:lineRule="exact"/>
        <w:rPr>
          <w:sz w:val="20"/>
          <w:szCs w:val="20"/>
          <w:color w:val="auto"/>
        </w:rPr>
      </w:pPr>
    </w:p>
    <w:p>
      <w:pPr>
        <w:ind w:left="1800" w:hanging="496"/>
        <w:spacing w:after="0"/>
        <w:tabs>
          <w:tab w:leader="none" w:pos="180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Liens on the assets of Restricted Subsidiaries that are not Loan Parties, other than to secure Indebtedness for</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borrowed money;</w:t>
      </w:r>
    </w:p>
    <w:p>
      <w:pPr>
        <w:spacing w:after="0" w:line="161" w:lineRule="exact"/>
        <w:rPr>
          <w:rFonts w:ascii="Arial" w:cs="Arial" w:eastAsia="Arial" w:hAnsi="Arial"/>
          <w:sz w:val="19"/>
          <w:szCs w:val="19"/>
          <w:color w:val="auto"/>
        </w:rPr>
      </w:pPr>
    </w:p>
    <w:p>
      <w:pPr>
        <w:jc w:val="both"/>
        <w:ind w:firstLine="1304"/>
        <w:spacing w:after="0" w:line="223" w:lineRule="auto"/>
        <w:tabs>
          <w:tab w:leader="none" w:pos="1908" w:val="left"/>
        </w:tabs>
        <w:numPr>
          <w:ilvl w:val="0"/>
          <w:numId w:val="214"/>
        </w:numPr>
        <w:rPr>
          <w:rFonts w:ascii="Arial" w:cs="Arial" w:eastAsia="Arial" w:hAnsi="Arial"/>
          <w:sz w:val="22"/>
          <w:szCs w:val="22"/>
          <w:color w:val="auto"/>
        </w:rPr>
      </w:pPr>
      <w:r>
        <w:rPr>
          <w:rFonts w:ascii="Arial" w:cs="Arial" w:eastAsia="Arial" w:hAnsi="Arial"/>
          <w:sz w:val="22"/>
          <w:szCs w:val="22"/>
          <w:color w:val="auto"/>
        </w:rPr>
        <w:t xml:space="preserve">Liens securing the Second Lien Obligations and any Permitted Refinancing thereof incurred in accordance with </w:t>
      </w:r>
      <w:r>
        <w:rPr>
          <w:rFonts w:ascii="Arial" w:cs="Arial" w:eastAsia="Arial" w:hAnsi="Arial"/>
          <w:sz w:val="22"/>
          <w:szCs w:val="22"/>
          <w:u w:val="single" w:color="auto"/>
          <w:color w:val="auto"/>
        </w:rPr>
        <w:t>Section 6.01(r)</w:t>
      </w:r>
      <w:r>
        <w:rPr>
          <w:rFonts w:ascii="Arial" w:cs="Arial" w:eastAsia="Arial" w:hAnsi="Arial"/>
          <w:sz w:val="22"/>
          <w:szCs w:val="22"/>
          <w:color w:val="auto"/>
        </w:rPr>
        <w:t xml:space="preserve"> to the extent such Liens are subordinated to the Liens securing the Obligations in accordance with, and are subject to, the terms of the Second Lien Intercreditor Agreement;</w:t>
      </w:r>
    </w:p>
    <w:p>
      <w:pPr>
        <w:spacing w:after="0" w:line="158" w:lineRule="exact"/>
        <w:rPr>
          <w:rFonts w:ascii="Arial" w:cs="Arial" w:eastAsia="Arial" w:hAnsi="Arial"/>
          <w:sz w:val="22"/>
          <w:szCs w:val="22"/>
          <w:color w:val="auto"/>
        </w:rPr>
      </w:pPr>
    </w:p>
    <w:p>
      <w:pPr>
        <w:ind w:left="1840" w:hanging="536"/>
        <w:spacing w:after="0"/>
        <w:tabs>
          <w:tab w:leader="none" w:pos="184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Liens on the Equity Interests of Unrestricted Subsidiaries; and</w:t>
      </w:r>
    </w:p>
    <w:p>
      <w:pPr>
        <w:spacing w:after="0" w:line="179" w:lineRule="exact"/>
        <w:rPr>
          <w:rFonts w:ascii="Arial" w:cs="Arial" w:eastAsia="Arial" w:hAnsi="Arial"/>
          <w:sz w:val="22"/>
          <w:szCs w:val="22"/>
          <w:color w:val="auto"/>
        </w:rPr>
      </w:pPr>
    </w:p>
    <w:p>
      <w:pPr>
        <w:ind w:left="2000" w:hanging="696"/>
        <w:spacing w:after="0"/>
        <w:tabs>
          <w:tab w:leader="none" w:pos="200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 xml:space="preserve">Liens securing obligations referred to in </w:t>
      </w:r>
      <w:r>
        <w:rPr>
          <w:rFonts w:ascii="Arial" w:cs="Arial" w:eastAsia="Arial" w:hAnsi="Arial"/>
          <w:sz w:val="22"/>
          <w:szCs w:val="22"/>
          <w:u w:val="single" w:color="auto"/>
          <w:color w:val="auto"/>
        </w:rPr>
        <w:t>Section 6.01(n)</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The expansions of Liens by virtue of accrual of interest, the accretion of accreted value, the payment of interest or dividends in the form of additional Indebtedness and amortization of original issue discount will not be deemed to be an incurrence of Liens for purposes of this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6.03</w:t>
      </w:r>
      <w:r>
        <w:rPr>
          <w:sz w:val="20"/>
          <w:szCs w:val="20"/>
          <w:color w:val="auto"/>
        </w:rPr>
        <w:tab/>
      </w:r>
      <w:r>
        <w:rPr>
          <w:rFonts w:ascii="Arial" w:cs="Arial" w:eastAsia="Arial" w:hAnsi="Arial"/>
          <w:sz w:val="19"/>
          <w:szCs w:val="19"/>
          <w:u w:val="single" w:color="auto"/>
          <w:color w:val="auto"/>
        </w:rPr>
        <w:t>Fundamental Changes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98" w:lineRule="auto"/>
        <w:tabs>
          <w:tab w:leader="none" w:pos="1779" w:val="left"/>
        </w:tabs>
        <w:numPr>
          <w:ilvl w:val="0"/>
          <w:numId w:val="215"/>
        </w:numPr>
        <w:rPr>
          <w:rFonts w:ascii="Arial" w:cs="Arial" w:eastAsia="Arial" w:hAnsi="Arial"/>
          <w:sz w:val="19"/>
          <w:szCs w:val="19"/>
          <w:color w:val="auto"/>
        </w:rPr>
      </w:pPr>
      <w:r>
        <w:rPr>
          <w:rFonts w:ascii="Arial" w:cs="Arial" w:eastAsia="Arial" w:hAnsi="Arial"/>
          <w:sz w:val="19"/>
          <w:szCs w:val="19"/>
          <w:color w:val="auto"/>
        </w:rPr>
        <w:t>The Borrower will not, nor will the Borrower permit any Restricted Subsidiary to, merge into or consolidate or amalgamate with any other Person, or permit any other Person to merge into or consolidate or amalgamate with it, except that:</w:t>
      </w:r>
    </w:p>
    <w:p>
      <w:pPr>
        <w:spacing w:after="0" w:line="105" w:lineRule="exact"/>
        <w:rPr>
          <w:sz w:val="20"/>
          <w:szCs w:val="20"/>
          <w:color w:val="auto"/>
        </w:rPr>
      </w:pPr>
    </w:p>
    <w:p>
      <w:pPr>
        <w:jc w:val="both"/>
        <w:ind w:left="660" w:firstLine="644"/>
        <w:spacing w:after="0" w:line="214" w:lineRule="auto"/>
        <w:tabs>
          <w:tab w:leader="none" w:pos="1786" w:val="left"/>
        </w:tabs>
        <w:numPr>
          <w:ilvl w:val="1"/>
          <w:numId w:val="216"/>
        </w:numPr>
        <w:rPr>
          <w:rFonts w:ascii="Arial" w:cs="Arial" w:eastAsia="Arial" w:hAnsi="Arial"/>
          <w:sz w:val="22"/>
          <w:szCs w:val="22"/>
          <w:color w:val="auto"/>
        </w:rPr>
      </w:pPr>
      <w:r>
        <w:rPr>
          <w:rFonts w:ascii="Arial" w:cs="Arial" w:eastAsia="Arial" w:hAnsi="Arial"/>
          <w:sz w:val="22"/>
          <w:szCs w:val="22"/>
          <w:color w:val="auto"/>
        </w:rPr>
        <w:t xml:space="preserve">so long as such transactions would not materially affect the ability of a Loan Party to repatriate cash to the Borrower in the ordinary course of its business, any Holding Company (other than Holdings) and any Subsidiary may merge into or consolidate or amalgamate with the Borrower as long as the Borrower is the surviving entity or such surviving Person shall assume the obligations of the Borrower hereunder (and if such Subsidiary is an Unrestricted Subsidiary, any Indebtedness of or Lien granted on the assets of such Subsidiary is permitted by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w:t>
      </w:r>
      <w:r>
        <w:rPr>
          <w:rFonts w:ascii="Arial" w:cs="Arial" w:eastAsia="Arial" w:hAnsi="Arial"/>
          <w:sz w:val="22"/>
          <w:szCs w:val="22"/>
          <w:color w:val="auto"/>
        </w:rPr>
        <w:t>, as applicable),</w:t>
      </w:r>
    </w:p>
    <w:p>
      <w:pPr>
        <w:spacing w:after="0" w:line="158" w:lineRule="exact"/>
        <w:rPr>
          <w:rFonts w:ascii="Arial" w:cs="Arial" w:eastAsia="Arial" w:hAnsi="Arial"/>
          <w:sz w:val="22"/>
          <w:szCs w:val="22"/>
          <w:color w:val="auto"/>
        </w:rPr>
      </w:pPr>
    </w:p>
    <w:p>
      <w:pPr>
        <w:jc w:val="both"/>
        <w:ind w:left="660" w:firstLine="644"/>
        <w:spacing w:after="0" w:line="242" w:lineRule="auto"/>
        <w:tabs>
          <w:tab w:leader="none" w:pos="1836" w:val="left"/>
        </w:tabs>
        <w:numPr>
          <w:ilvl w:val="1"/>
          <w:numId w:val="216"/>
        </w:numPr>
        <w:rPr>
          <w:rFonts w:ascii="Arial" w:cs="Arial" w:eastAsia="Arial" w:hAnsi="Arial"/>
          <w:sz w:val="19"/>
          <w:szCs w:val="19"/>
          <w:color w:val="auto"/>
        </w:rPr>
      </w:pPr>
      <w:r>
        <w:rPr>
          <w:rFonts w:ascii="Arial" w:cs="Arial" w:eastAsia="Arial" w:hAnsi="Arial"/>
          <w:sz w:val="19"/>
          <w:szCs w:val="19"/>
          <w:color w:val="auto"/>
        </w:rPr>
        <w:t xml:space="preserve">so long as such transactions would not materially affect the ability of a Loan Party to repatriate cash to the Borrower in the ordinary course of its business, any Subsidiary may merge into or consolidate or amalgamate with any Loan Party (as long as (A) such Loan Party is the surviving entity, (B) such surviving entity becomes a Loan Party substantially concurrently with the consummation of such transaction and complies with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5.11</w:t>
      </w:r>
      <w:r>
        <w:rPr>
          <w:rFonts w:ascii="Arial" w:cs="Arial" w:eastAsia="Arial" w:hAnsi="Arial"/>
          <w:sz w:val="19"/>
          <w:szCs w:val="19"/>
          <w:color w:val="auto"/>
        </w:rPr>
        <w:t>,</w:t>
      </w:r>
    </w:p>
    <w:p>
      <w:pPr>
        <w:ind w:left="1020" w:hanging="364"/>
        <w:spacing w:after="0" w:line="237" w:lineRule="auto"/>
        <w:tabs>
          <w:tab w:leader="none" w:pos="102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the disposition of such Loan Party would otherwise be permitted under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6.05(k)</w:t>
      </w:r>
      <w:r>
        <w:rPr>
          <w:rFonts w:ascii="Arial" w:cs="Arial" w:eastAsia="Arial" w:hAnsi="Arial"/>
          <w:sz w:val="19"/>
          <w:szCs w:val="19"/>
          <w:color w:val="auto"/>
        </w:rPr>
        <w:t>) or</w:t>
      </w:r>
    </w:p>
    <w:p>
      <w:pPr>
        <w:ind w:left="660" w:hanging="4"/>
        <w:spacing w:after="0" w:line="224" w:lineRule="auto"/>
        <w:tabs>
          <w:tab w:leader="none" w:pos="1038" w:val="left"/>
        </w:tabs>
        <w:numPr>
          <w:ilvl w:val="0"/>
          <w:numId w:val="217"/>
        </w:numPr>
        <w:rPr>
          <w:rFonts w:ascii="Arial" w:cs="Arial" w:eastAsia="Arial" w:hAnsi="Arial"/>
          <w:sz w:val="22"/>
          <w:szCs w:val="22"/>
          <w:color w:val="auto"/>
        </w:rPr>
      </w:pPr>
      <w:r>
        <w:rPr>
          <w:rFonts w:ascii="Arial" w:cs="Arial" w:eastAsia="Arial" w:hAnsi="Arial"/>
          <w:sz w:val="22"/>
          <w:szCs w:val="22"/>
          <w:color w:val="auto"/>
        </w:rPr>
        <w:t>such Loan Party would otherwise be permitted to be redesignated as an Excluded Subsidiary immediately prior to such transaction (and shall be deemed to be so disposed or redesignated)),</w:t>
      </w:r>
    </w:p>
    <w:p>
      <w:pPr>
        <w:spacing w:after="0" w:line="157" w:lineRule="exact"/>
        <w:rPr>
          <w:rFonts w:ascii="Arial" w:cs="Arial" w:eastAsia="Arial" w:hAnsi="Arial"/>
          <w:sz w:val="22"/>
          <w:szCs w:val="22"/>
          <w:color w:val="auto"/>
        </w:rPr>
      </w:pPr>
    </w:p>
    <w:p>
      <w:pPr>
        <w:jc w:val="both"/>
        <w:ind w:left="660" w:firstLine="644"/>
        <w:spacing w:after="0" w:line="268" w:lineRule="auto"/>
        <w:tabs>
          <w:tab w:leader="none" w:pos="1907" w:val="left"/>
        </w:tabs>
        <w:numPr>
          <w:ilvl w:val="1"/>
          <w:numId w:val="217"/>
        </w:numPr>
        <w:rPr>
          <w:rFonts w:ascii="Arial" w:cs="Arial" w:eastAsia="Arial" w:hAnsi="Arial"/>
          <w:sz w:val="19"/>
          <w:szCs w:val="19"/>
          <w:color w:val="auto"/>
        </w:rPr>
      </w:pPr>
      <w:r>
        <w:rPr>
          <w:rFonts w:ascii="Arial" w:cs="Arial" w:eastAsia="Arial" w:hAnsi="Arial"/>
          <w:sz w:val="19"/>
          <w:szCs w:val="19"/>
          <w:color w:val="auto"/>
        </w:rPr>
        <w:t>any Restricted Subsidiary that is not a Loan Party may merge into or consolidate or amalgamate with (A) any other Restricted Subsidiary that is not a Loan Party or (B) any Loan Party as long as such Loan Party is the surviving entity or such surviving Person shall assume the obligations of the applicable Loan Party hereunder,</w:t>
      </w:r>
    </w:p>
    <w:p>
      <w:pPr>
        <w:spacing w:after="0" w:line="132" w:lineRule="exact"/>
        <w:rPr>
          <w:rFonts w:ascii="Arial" w:cs="Arial" w:eastAsia="Arial" w:hAnsi="Arial"/>
          <w:sz w:val="19"/>
          <w:szCs w:val="19"/>
          <w:color w:val="auto"/>
        </w:rPr>
      </w:pPr>
    </w:p>
    <w:p>
      <w:pPr>
        <w:jc w:val="both"/>
        <w:ind w:left="660" w:firstLine="644"/>
        <w:spacing w:after="0" w:line="223" w:lineRule="auto"/>
        <w:tabs>
          <w:tab w:leader="none" w:pos="1958" w:val="left"/>
        </w:tabs>
        <w:numPr>
          <w:ilvl w:val="1"/>
          <w:numId w:val="217"/>
        </w:numPr>
        <w:rPr>
          <w:rFonts w:ascii="Arial" w:cs="Arial" w:eastAsia="Arial" w:hAnsi="Arial"/>
          <w:sz w:val="22"/>
          <w:szCs w:val="22"/>
          <w:color w:val="auto"/>
        </w:rPr>
      </w:pPr>
      <w:r>
        <w:rPr>
          <w:rFonts w:ascii="Arial" w:cs="Arial" w:eastAsia="Arial" w:hAnsi="Arial"/>
          <w:sz w:val="22"/>
          <w:szCs w:val="22"/>
          <w:color w:val="auto"/>
        </w:rPr>
        <w:t xml:space="preserve">the Borrower or any Restricted Subsidiary may consummate any Investment permitted by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6.04(aa)</w:t>
      </w:r>
      <w:r>
        <w:rPr>
          <w:rFonts w:ascii="Arial" w:cs="Arial" w:eastAsia="Arial" w:hAnsi="Arial"/>
          <w:sz w:val="22"/>
          <w:szCs w:val="22"/>
          <w:color w:val="auto"/>
        </w:rPr>
        <w:t xml:space="preserve">) (whether through a merger, consolidation, amalgamation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the surviving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21" w:name="page222"/>
    <w:bookmarkEnd w:id="221"/>
    <w:p>
      <w:pPr>
        <w:jc w:val="both"/>
        <w:ind w:left="660"/>
        <w:spacing w:after="0" w:line="223" w:lineRule="auto"/>
        <w:rPr>
          <w:sz w:val="20"/>
          <w:szCs w:val="20"/>
          <w:color w:val="auto"/>
        </w:rPr>
      </w:pPr>
      <w:r>
        <w:rPr>
          <w:rFonts w:ascii="Arial" w:cs="Arial" w:eastAsia="Arial" w:hAnsi="Arial"/>
          <w:sz w:val="22"/>
          <w:szCs w:val="22"/>
          <w:color w:val="auto"/>
        </w:rPr>
        <w:t xml:space="preserve">shall be subject to the requirements of </w:t>
      </w: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5.11</w:t>
      </w:r>
      <w:r>
        <w:rPr>
          <w:rFonts w:ascii="Arial" w:cs="Arial" w:eastAsia="Arial" w:hAnsi="Arial"/>
          <w:sz w:val="22"/>
          <w:szCs w:val="22"/>
          <w:color w:val="auto"/>
        </w:rPr>
        <w:t xml:space="preserve"> (to the extent applicable) and (B) if the Borrower is a party to such transaction, the Borrower shall be the surviving entity or such surviving Person shall assume the obligations of the Borrower hereunder,</w:t>
      </w:r>
    </w:p>
    <w:p>
      <w:pPr>
        <w:spacing w:after="0" w:line="159" w:lineRule="exact"/>
        <w:rPr>
          <w:sz w:val="20"/>
          <w:szCs w:val="20"/>
          <w:color w:val="auto"/>
        </w:rPr>
      </w:pPr>
    </w:p>
    <w:p>
      <w:pPr>
        <w:jc w:val="both"/>
        <w:ind w:left="660" w:firstLine="644"/>
        <w:spacing w:after="0" w:line="223" w:lineRule="auto"/>
        <w:tabs>
          <w:tab w:leader="none" w:pos="1936" w:val="left"/>
        </w:tabs>
        <w:numPr>
          <w:ilvl w:val="0"/>
          <w:numId w:val="218"/>
        </w:numPr>
        <w:rPr>
          <w:rFonts w:ascii="Arial" w:cs="Arial" w:eastAsia="Arial" w:hAnsi="Arial"/>
          <w:sz w:val="22"/>
          <w:szCs w:val="22"/>
          <w:color w:val="auto"/>
        </w:rPr>
      </w:pPr>
      <w:r>
        <w:rPr>
          <w:rFonts w:ascii="Arial" w:cs="Arial" w:eastAsia="Arial" w:hAnsi="Arial"/>
          <w:sz w:val="22"/>
          <w:szCs w:val="22"/>
          <w:color w:val="auto"/>
        </w:rPr>
        <w:t xml:space="preserve">any Holding Company or Restricted Subsidiary of a Holding Company (including the Borrower) may consummate any sale, transfer or other disposition permitted pursuant to </w:t>
      </w:r>
      <w:r>
        <w:rPr>
          <w:rFonts w:ascii="Arial" w:cs="Arial" w:eastAsia="Arial" w:hAnsi="Arial"/>
          <w:sz w:val="22"/>
          <w:szCs w:val="22"/>
          <w:u w:val="single" w:color="auto"/>
          <w:color w:val="auto"/>
        </w:rPr>
        <w:t>Section 6.05</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6.05(k)</w:t>
      </w:r>
      <w:r>
        <w:rPr>
          <w:rFonts w:ascii="Arial" w:cs="Arial" w:eastAsia="Arial" w:hAnsi="Arial"/>
          <w:sz w:val="22"/>
          <w:szCs w:val="22"/>
          <w:color w:val="auto"/>
        </w:rPr>
        <w:t>) (whether through a merger, consolidation, amalgamation or otherwise),</w:t>
      </w:r>
    </w:p>
    <w:p>
      <w:pPr>
        <w:spacing w:after="0" w:line="158" w:lineRule="exact"/>
        <w:rPr>
          <w:rFonts w:ascii="Arial" w:cs="Arial" w:eastAsia="Arial" w:hAnsi="Arial"/>
          <w:sz w:val="22"/>
          <w:szCs w:val="22"/>
          <w:color w:val="auto"/>
        </w:rPr>
      </w:pPr>
    </w:p>
    <w:p>
      <w:pPr>
        <w:ind w:left="1840" w:hanging="536"/>
        <w:spacing w:after="0"/>
        <w:tabs>
          <w:tab w:leader="none" w:pos="184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179" w:lineRule="exact"/>
        <w:rPr>
          <w:rFonts w:ascii="Arial" w:cs="Arial" w:eastAsia="Arial" w:hAnsi="Arial"/>
          <w:sz w:val="22"/>
          <w:szCs w:val="22"/>
          <w:color w:val="auto"/>
        </w:rPr>
      </w:pPr>
    </w:p>
    <w:p>
      <w:pPr>
        <w:jc w:val="both"/>
        <w:ind w:left="660" w:firstLine="644"/>
        <w:spacing w:after="0"/>
        <w:tabs>
          <w:tab w:leader="none" w:pos="200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In each of the preceding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6.03(a)</w:t>
      </w:r>
      <w:r>
        <w:rPr>
          <w:rFonts w:ascii="Arial" w:cs="Arial" w:eastAsia="Arial" w:hAnsi="Arial"/>
          <w:sz w:val="19"/>
          <w:szCs w:val="19"/>
          <w:color w:val="auto"/>
        </w:rPr>
        <w:t>, in the case of any merger, consolidation or amalgamation involving the Borrower, if the Person surviving such merger, consolidation or amalgamation is not the Borrower (any such Person, the “</w:t>
      </w:r>
      <w:r>
        <w:rPr>
          <w:rFonts w:ascii="Arial" w:cs="Arial" w:eastAsia="Arial" w:hAnsi="Arial"/>
          <w:sz w:val="19"/>
          <w:szCs w:val="19"/>
          <w:u w:val="single" w:color="auto"/>
          <w:color w:val="auto"/>
        </w:rPr>
        <w:t>Successor Company</w:t>
      </w:r>
      <w:r>
        <w:rPr>
          <w:rFonts w:ascii="Arial" w:cs="Arial" w:eastAsia="Arial" w:hAnsi="Arial"/>
          <w:sz w:val="19"/>
          <w:szCs w:val="19"/>
          <w:color w:val="auto"/>
        </w:rPr>
        <w:t xml:space="preserve">”), the Successor Company shall be an entity organized or existing under the laws of the United States, any State thereof or the District of Columbia or such other jurisdiction as may be reasonably acceptable to the Collateral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at all times at least one Borrower shall be a corporation or limited liability company organized under the laws of the United States, a State thereof or the District of Columbia, (B) the Successor Company shall expressly assume all of the obligations of the Borrower under this Agreement and the other Loan Documents to which the Borrower is a party, (C) each Loan Party, unless it is the other party to such merger, consolidation or amalgamation, shall have confirmed that its Guarantee shall apply to the Successor Company’s obligations under the Loan Documents, (D) each Loan Party, unless it is the other party to such merger, consolidation or amalgamation, shall have by a supplement to applicable Security Documents confirmed that its obligations thereunder shall apply to the Successor Company’s obligations under the Loan Documents, (E) each mortgagor of a Mortgaged Property, unless it is the other party to such merger or consolidation, shall have affirmed that its obligations under the applicable Mortgage shall apply to its Guarantee as reaffirmed pursuant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w:t>
      </w:r>
      <w:r>
        <w:rPr>
          <w:rFonts w:ascii="Arial" w:cs="Arial" w:eastAsia="Arial" w:hAnsi="Arial"/>
          <w:sz w:val="19"/>
          <w:szCs w:val="19"/>
          <w:color w:val="auto"/>
        </w:rPr>
        <w:t xml:space="preserve"> the Successor Company shall have delivered to the Administrative Agent an officer’s certificate stating that such merger or consolidation and such supplements preserve the enforceability of the Guarantee and the perfection and priority of the Liens under the applicable Security Documents;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foregoing are satisfied, the Successor Company will succeed to, and be substituted for, the Borrower under this Agreement.</w:t>
      </w:r>
    </w:p>
    <w:p>
      <w:pPr>
        <w:spacing w:after="0" w:line="382" w:lineRule="exact"/>
        <w:rPr>
          <w:sz w:val="20"/>
          <w:szCs w:val="20"/>
          <w:color w:val="auto"/>
        </w:rPr>
      </w:pPr>
    </w:p>
    <w:p>
      <w:pPr>
        <w:ind w:left="1880" w:hanging="576"/>
        <w:spacing w:after="0"/>
        <w:tabs>
          <w:tab w:leader="none" w:pos="188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The Borrower will not, nor will the Borrower permit any Restricted Subsidiary to, liquidate or dissolve,</w:t>
      </w:r>
    </w:p>
    <w:p>
      <w:pPr>
        <w:spacing w:after="0"/>
        <w:rPr>
          <w:sz w:val="20"/>
          <w:szCs w:val="20"/>
          <w:color w:val="auto"/>
        </w:rPr>
      </w:pPr>
      <w:r>
        <w:rPr>
          <w:rFonts w:ascii="Arial" w:cs="Arial" w:eastAsia="Arial" w:hAnsi="Arial"/>
          <w:sz w:val="22"/>
          <w:szCs w:val="22"/>
          <w:color w:val="auto"/>
        </w:rPr>
        <w:t>except that:</w:t>
      </w:r>
    </w:p>
    <w:p>
      <w:pPr>
        <w:spacing w:after="0" w:line="161" w:lineRule="exact"/>
        <w:rPr>
          <w:sz w:val="20"/>
          <w:szCs w:val="20"/>
          <w:color w:val="auto"/>
        </w:rPr>
      </w:pPr>
    </w:p>
    <w:p>
      <w:pPr>
        <w:ind w:left="660" w:firstLine="644"/>
        <w:spacing w:after="0" w:line="232" w:lineRule="auto"/>
        <w:tabs>
          <w:tab w:leader="none" w:pos="1852" w:val="left"/>
        </w:tabs>
        <w:numPr>
          <w:ilvl w:val="0"/>
          <w:numId w:val="220"/>
        </w:numPr>
        <w:rPr>
          <w:rFonts w:ascii="Arial" w:cs="Arial" w:eastAsia="Arial" w:hAnsi="Arial"/>
          <w:sz w:val="22"/>
          <w:szCs w:val="22"/>
          <w:color w:val="auto"/>
        </w:rPr>
      </w:pPr>
      <w:r>
        <w:rPr>
          <w:rFonts w:ascii="Arial" w:cs="Arial" w:eastAsia="Arial" w:hAnsi="Arial"/>
          <w:sz w:val="22"/>
          <w:szCs w:val="22"/>
          <w:color w:val="auto"/>
        </w:rPr>
        <w:t>any Subsidiary (other than the Borrower) may transfer all or any portion of its assets (upon liquidation, dissolution, winding-up or any similar transaction) to the Borrower or any Loan Party;</w:t>
      </w:r>
    </w:p>
    <w:p>
      <w:pPr>
        <w:spacing w:after="0" w:line="158" w:lineRule="exact"/>
        <w:rPr>
          <w:rFonts w:ascii="Arial" w:cs="Arial" w:eastAsia="Arial" w:hAnsi="Arial"/>
          <w:sz w:val="22"/>
          <w:szCs w:val="22"/>
          <w:color w:val="auto"/>
        </w:rPr>
      </w:pPr>
    </w:p>
    <w:p>
      <w:pPr>
        <w:ind w:left="660" w:firstLine="644"/>
        <w:spacing w:after="0" w:line="247" w:lineRule="auto"/>
        <w:tabs>
          <w:tab w:leader="none" w:pos="1948" w:val="left"/>
        </w:tabs>
        <w:numPr>
          <w:ilvl w:val="0"/>
          <w:numId w:val="220"/>
        </w:numPr>
        <w:rPr>
          <w:rFonts w:ascii="Arial" w:cs="Arial" w:eastAsia="Arial" w:hAnsi="Arial"/>
          <w:sz w:val="21"/>
          <w:szCs w:val="21"/>
          <w:color w:val="auto"/>
        </w:rPr>
      </w:pPr>
      <w:r>
        <w:rPr>
          <w:rFonts w:ascii="Arial" w:cs="Arial" w:eastAsia="Arial" w:hAnsi="Arial"/>
          <w:sz w:val="21"/>
          <w:szCs w:val="21"/>
          <w:color w:val="auto"/>
        </w:rPr>
        <w:t>any Restricted Subsidiary that is not a Loan Party may transfer all or any portion of its assets (upon liquidation, dissolution, winding-up or any similar transaction) to the Borrower or any other Restricted Subsidiary;</w:t>
      </w:r>
    </w:p>
    <w:p>
      <w:pPr>
        <w:spacing w:after="0" w:line="150" w:lineRule="exact"/>
        <w:rPr>
          <w:rFonts w:ascii="Arial" w:cs="Arial" w:eastAsia="Arial" w:hAnsi="Arial"/>
          <w:sz w:val="21"/>
          <w:szCs w:val="21"/>
          <w:color w:val="auto"/>
        </w:rPr>
      </w:pPr>
    </w:p>
    <w:p>
      <w:pPr>
        <w:ind w:left="660" w:firstLine="644"/>
        <w:spacing w:after="0" w:line="232" w:lineRule="auto"/>
        <w:tabs>
          <w:tab w:leader="none" w:pos="1937" w:val="left"/>
        </w:tabs>
        <w:numPr>
          <w:ilvl w:val="0"/>
          <w:numId w:val="220"/>
        </w:numPr>
        <w:rPr>
          <w:rFonts w:ascii="Arial" w:cs="Arial" w:eastAsia="Arial" w:hAnsi="Arial"/>
          <w:sz w:val="22"/>
          <w:szCs w:val="22"/>
          <w:color w:val="auto"/>
        </w:rPr>
      </w:pPr>
      <w:r>
        <w:rPr>
          <w:rFonts w:ascii="Arial" w:cs="Arial" w:eastAsia="Arial" w:hAnsi="Arial"/>
          <w:sz w:val="22"/>
          <w:szCs w:val="22"/>
          <w:color w:val="auto"/>
        </w:rPr>
        <w:t>any Loan Party (other than the Borrower) may transfer all or any portion of its assets (upon liquidation, dissolution, winding-up or any similar transaction) to the Borrower or any other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22" w:name="page223"/>
    <w:bookmarkEnd w:id="222"/>
    <w:p>
      <w:pPr>
        <w:jc w:val="both"/>
        <w:ind w:left="660" w:firstLine="644"/>
        <w:spacing w:after="0" w:line="257" w:lineRule="auto"/>
        <w:tabs>
          <w:tab w:leader="none" w:pos="1941"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(A) the Borrower or (B) any Restricted Subsidiary may change its legal form;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all times at least one Borrower shall be a corporation or limited liability company organized under the laws of the United States or a state or territory thereof or the District of Columbia;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the case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such changes shall not adversely impact the scope of the Collateral or the Guarantees provided in the Guaranty;</w:t>
      </w:r>
    </w:p>
    <w:p>
      <w:pPr>
        <w:spacing w:after="0" w:line="144" w:lineRule="exact"/>
        <w:rPr>
          <w:rFonts w:ascii="Arial" w:cs="Arial" w:eastAsia="Arial" w:hAnsi="Arial"/>
          <w:sz w:val="19"/>
          <w:szCs w:val="19"/>
          <w:color w:val="auto"/>
        </w:rPr>
      </w:pPr>
    </w:p>
    <w:p>
      <w:pPr>
        <w:ind w:left="1780" w:hanging="476"/>
        <w:spacing w:after="0"/>
        <w:tabs>
          <w:tab w:leader="none" w:pos="17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1900" w:hanging="596"/>
        <w:spacing w:after="0"/>
        <w:tabs>
          <w:tab w:leader="none" w:pos="190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179" w:lineRule="exact"/>
        <w:rPr>
          <w:rFonts w:ascii="Arial" w:cs="Arial" w:eastAsia="Arial" w:hAnsi="Arial"/>
          <w:sz w:val="22"/>
          <w:szCs w:val="22"/>
          <w:color w:val="auto"/>
        </w:rPr>
      </w:pPr>
    </w:p>
    <w:p>
      <w:pPr>
        <w:jc w:val="both"/>
        <w:ind w:left="660" w:firstLine="644"/>
        <w:spacing w:after="0" w:line="252" w:lineRule="auto"/>
        <w:tabs>
          <w:tab w:leader="none" w:pos="2057"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any Restricted Subsidiary (other than the Borrower) may transfer all or any portion of its assets (upon liquidation, dissolution, winding-up or any similar transaction) to any Person in order to effect an Investment permitted pursuant to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6.04(aa)</w:t>
      </w:r>
      <w:r>
        <w:rPr>
          <w:rFonts w:ascii="Arial" w:cs="Arial" w:eastAsia="Arial" w:hAnsi="Arial"/>
          <w:sz w:val="19"/>
          <w:szCs w:val="19"/>
          <w:color w:val="auto"/>
        </w:rPr>
        <w:t xml:space="preserve">) and any Holding Company or any of its Restricted Subsidiaries may transfer all or any portion of its assets (upon liquidation, dissolution, winding-up or any similar transaction) upon a sale, transfer or other disposition permitted pursuant to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6.05(k)</w:t>
      </w:r>
      <w:r>
        <w:rPr>
          <w:rFonts w:ascii="Arial" w:cs="Arial" w:eastAsia="Arial" w:hAnsi="Arial"/>
          <w:sz w:val="19"/>
          <w:szCs w:val="19"/>
          <w:color w:val="auto"/>
        </w:rPr>
        <w:t>).</w:t>
      </w:r>
    </w:p>
    <w:p>
      <w:pPr>
        <w:spacing w:after="0" w:line="14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The Borrower will not consummate any Division.</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Notwithstanding the foregoing, (i) any Person that becomes a Loan Party as a result of the changes set forth in each sub-clause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shall have satisfied the reasonable requirements under “know your customer” and anti-money laundering rules and regulations, including the Patriot Act, to which the Administrative Agent, and each Lender and each of the Issuing Banks are subject, (ii) the changes set forth in each sub-clause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shall not materially impair the security interests of the Lenders or materially reduce (on a pro forma basis for the most recent period of four fiscal quarters of the Borrower) the consolidated revenues of the Borrower and the other Loan Parties, and (iii ) after giving effect to any changes set forth in each sub-clause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the Borrower and Holdings shall comply with </w:t>
      </w:r>
      <w:r>
        <w:rPr>
          <w:rFonts w:ascii="Arial" w:cs="Arial" w:eastAsia="Arial" w:hAnsi="Arial"/>
          <w:sz w:val="19"/>
          <w:szCs w:val="19"/>
          <w:u w:val="single" w:color="auto"/>
          <w:color w:val="auto"/>
        </w:rPr>
        <w:t>Section 5.11</w:t>
      </w:r>
      <w:r>
        <w:rPr>
          <w:rFonts w:ascii="Arial" w:cs="Arial" w:eastAsia="Arial" w:hAnsi="Arial"/>
          <w:sz w:val="19"/>
          <w:szCs w:val="19"/>
          <w:color w:val="auto"/>
        </w:rPr>
        <w:t>.</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6.04</w:t>
      </w:r>
      <w:r>
        <w:rPr>
          <w:sz w:val="20"/>
          <w:szCs w:val="20"/>
          <w:color w:val="auto"/>
        </w:rPr>
        <w:tab/>
      </w:r>
      <w:r>
        <w:rPr>
          <w:rFonts w:ascii="Arial" w:cs="Arial" w:eastAsia="Arial" w:hAnsi="Arial"/>
          <w:sz w:val="19"/>
          <w:szCs w:val="19"/>
          <w:u w:val="single" w:color="auto"/>
          <w:color w:val="auto"/>
        </w:rPr>
        <w:t>Investments</w:t>
      </w:r>
      <w:r>
        <w:rPr>
          <w:rFonts w:ascii="Arial" w:cs="Arial" w:eastAsia="Arial" w:hAnsi="Arial"/>
          <w:sz w:val="19"/>
          <w:szCs w:val="19"/>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Borrower will not, nor will the Borrower permit any Restricted Subsidiary to, make any Investments, except:</w:t>
      </w:r>
    </w:p>
    <w:p>
      <w:pPr>
        <w:spacing w:after="0" w:line="214" w:lineRule="exact"/>
        <w:rPr>
          <w:sz w:val="20"/>
          <w:szCs w:val="20"/>
          <w:color w:val="auto"/>
        </w:rPr>
      </w:pPr>
    </w:p>
    <w:p>
      <w:pPr>
        <w:ind w:left="1780" w:hanging="476"/>
        <w:spacing w:after="0"/>
        <w:tabs>
          <w:tab w:leader="none" w:pos="178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Investments in cash and Cash Equivalents and assets that were Cash Equivalents when such Investment was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made;</w:t>
      </w:r>
    </w:p>
    <w:p>
      <w:pPr>
        <w:spacing w:after="0" w:line="161" w:lineRule="exact"/>
        <w:rPr>
          <w:sz w:val="20"/>
          <w:szCs w:val="20"/>
          <w:color w:val="auto"/>
        </w:rPr>
      </w:pPr>
    </w:p>
    <w:p>
      <w:pPr>
        <w:jc w:val="both"/>
        <w:ind w:firstLine="1304"/>
        <w:spacing w:after="0" w:line="223" w:lineRule="auto"/>
        <w:tabs>
          <w:tab w:leader="none" w:pos="1978" w:val="left"/>
        </w:tabs>
        <w:numPr>
          <w:ilvl w:val="0"/>
          <w:numId w:val="223"/>
        </w:numPr>
        <w:rPr>
          <w:rFonts w:ascii="Arial" w:cs="Arial" w:eastAsia="Arial" w:hAnsi="Arial"/>
          <w:sz w:val="22"/>
          <w:szCs w:val="22"/>
          <w:color w:val="auto"/>
        </w:rPr>
      </w:pPr>
      <w:r>
        <w:rPr>
          <w:rFonts w:ascii="Arial" w:cs="Arial" w:eastAsia="Arial" w:hAnsi="Arial"/>
          <w:sz w:val="22"/>
          <w:szCs w:val="22"/>
          <w:color w:val="auto"/>
        </w:rPr>
        <w:t>(i) the Transactions or Investments otherwise made in accordance with and as contemplated by the Recapitalization Agreement, (ii) Permitted Acquisitions and (iii) Investments by any Loan Party in any Restricted Subsidiary the net cash proceeds of which are used to consummate a Permitted Acquisition;</w:t>
      </w:r>
    </w:p>
    <w:p>
      <w:pPr>
        <w:spacing w:after="0" w:line="158" w:lineRule="exact"/>
        <w:rPr>
          <w:rFonts w:ascii="Arial" w:cs="Arial" w:eastAsia="Arial" w:hAnsi="Arial"/>
          <w:sz w:val="22"/>
          <w:szCs w:val="22"/>
          <w:color w:val="auto"/>
        </w:rPr>
      </w:pPr>
    </w:p>
    <w:p>
      <w:pPr>
        <w:jc w:val="both"/>
        <w:ind w:firstLine="1304"/>
        <w:spacing w:after="0" w:line="214" w:lineRule="auto"/>
        <w:tabs>
          <w:tab w:leader="none" w:pos="1931" w:val="left"/>
        </w:tabs>
        <w:numPr>
          <w:ilvl w:val="0"/>
          <w:numId w:val="223"/>
        </w:numPr>
        <w:rPr>
          <w:rFonts w:ascii="Arial" w:cs="Arial" w:eastAsia="Arial" w:hAnsi="Arial"/>
          <w:sz w:val="22"/>
          <w:szCs w:val="22"/>
          <w:color w:val="auto"/>
        </w:rPr>
      </w:pPr>
      <w:r>
        <w:rPr>
          <w:rFonts w:ascii="Arial" w:cs="Arial" w:eastAsia="Arial" w:hAnsi="Arial"/>
          <w:sz w:val="22"/>
          <w:szCs w:val="22"/>
          <w:color w:val="auto"/>
        </w:rPr>
        <w:t xml:space="preserve">(i) Investments existing on the Closing Date and listed on </w:t>
      </w:r>
      <w:r>
        <w:rPr>
          <w:rFonts w:ascii="Arial" w:cs="Arial" w:eastAsia="Arial" w:hAnsi="Arial"/>
          <w:sz w:val="22"/>
          <w:szCs w:val="22"/>
          <w:u w:val="single" w:color="auto"/>
          <w:color w:val="auto"/>
        </w:rPr>
        <w:t>Schedule 6.04</w:t>
      </w:r>
      <w:r>
        <w:rPr>
          <w:rFonts w:ascii="Arial" w:cs="Arial" w:eastAsia="Arial" w:hAnsi="Arial"/>
          <w:sz w:val="22"/>
          <w:szCs w:val="22"/>
          <w:color w:val="auto"/>
        </w:rPr>
        <w:t xml:space="preserve"> hereto and (ii) Investments consisting of any modification, replacement, renewal, reinvestment or extension of any such Investment;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any Investment permitted pursuant to this </w:t>
      </w:r>
      <w:r>
        <w:rPr>
          <w:rFonts w:ascii="Arial" w:cs="Arial" w:eastAsia="Arial" w:hAnsi="Arial"/>
          <w:sz w:val="22"/>
          <w:szCs w:val="22"/>
          <w:u w:val="single" w:color="auto"/>
          <w:color w:val="auto"/>
        </w:rPr>
        <w:t>Section 6.04(c)</w:t>
      </w:r>
      <w:r>
        <w:rPr>
          <w:rFonts w:ascii="Arial" w:cs="Arial" w:eastAsia="Arial" w:hAnsi="Arial"/>
          <w:sz w:val="22"/>
          <w:szCs w:val="22"/>
          <w:color w:val="auto"/>
        </w:rPr>
        <w:t xml:space="preserve"> is not increased from the original amount of such Investment on the Closing Date (determined without reducing such amount to reflect to any Return received on such Investment from and after the Closing Date) except pursuant to the terms of such Investment (including in respect of any unused commitment),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any accrued but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23" w:name="page224"/>
    <w:bookmarkEnd w:id="223"/>
    <w:p>
      <w:pPr>
        <w:jc w:val="both"/>
        <w:spacing w:after="0" w:line="223" w:lineRule="auto"/>
        <w:rPr>
          <w:sz w:val="20"/>
          <w:szCs w:val="20"/>
          <w:color w:val="auto"/>
        </w:rPr>
      </w:pPr>
      <w:r>
        <w:rPr>
          <w:rFonts w:ascii="Arial" w:cs="Arial" w:eastAsia="Arial" w:hAnsi="Arial"/>
          <w:sz w:val="22"/>
          <w:szCs w:val="22"/>
          <w:color w:val="auto"/>
        </w:rPr>
        <w:t xml:space="preserve">interest (including any portion thereof which is payable in kind in accordance with the terms of such modified, extended, renewed or replaced Investment) and premium payable by the terms of such Indebtedness thereon and fees and expenses associated therewith as of the Closing Date or as otherwise permitted by this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159" w:lineRule="exact"/>
        <w:rPr>
          <w:sz w:val="20"/>
          <w:szCs w:val="20"/>
          <w:color w:val="auto"/>
        </w:rPr>
      </w:pPr>
    </w:p>
    <w:p>
      <w:pPr>
        <w:jc w:val="both"/>
        <w:ind w:firstLine="1304"/>
        <w:spacing w:after="0" w:line="220" w:lineRule="auto"/>
        <w:tabs>
          <w:tab w:leader="none" w:pos="1775" w:val="left"/>
        </w:tabs>
        <w:numPr>
          <w:ilvl w:val="0"/>
          <w:numId w:val="224"/>
        </w:numPr>
        <w:rPr>
          <w:rFonts w:ascii="Arial" w:cs="Arial" w:eastAsia="Arial" w:hAnsi="Arial"/>
          <w:sz w:val="21"/>
          <w:szCs w:val="21"/>
          <w:color w:val="auto"/>
        </w:rPr>
      </w:pPr>
      <w:r>
        <w:rPr>
          <w:rFonts w:ascii="Arial" w:cs="Arial" w:eastAsia="Arial" w:hAnsi="Arial"/>
          <w:sz w:val="21"/>
          <w:szCs w:val="21"/>
          <w:color w:val="auto"/>
        </w:rPr>
        <w:t xml:space="preserve">Investments (i) between and among any of the Restricted Subsidiaries that are non-Loan Parties, (ii) between and among the Loan Parties (other than Investments in Holdings (excluding any Investment made by a Loan Party in Holdings that could have been made as a Restricted Payment to Holdings pursuant to any clause or clauses of </w:t>
      </w:r>
      <w:r>
        <w:rPr>
          <w:rFonts w:ascii="Arial" w:cs="Arial" w:eastAsia="Arial" w:hAnsi="Arial"/>
          <w:sz w:val="21"/>
          <w:szCs w:val="21"/>
          <w:u w:val="single" w:color="auto"/>
          <w:color w:val="auto"/>
        </w:rPr>
        <w:t>Section 6.06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Investment reduce the amounts available under the respective clause or clauses in </w:t>
      </w:r>
      <w:r>
        <w:rPr>
          <w:rFonts w:ascii="Arial" w:cs="Arial" w:eastAsia="Arial" w:hAnsi="Arial"/>
          <w:sz w:val="21"/>
          <w:szCs w:val="21"/>
          <w:u w:val="single" w:color="auto"/>
          <w:color w:val="auto"/>
        </w:rPr>
        <w:t>Section 6.06</w:t>
      </w:r>
      <w:r>
        <w:rPr>
          <w:rFonts w:ascii="Arial" w:cs="Arial" w:eastAsia="Arial" w:hAnsi="Arial"/>
          <w:sz w:val="21"/>
          <w:szCs w:val="21"/>
          <w:color w:val="auto"/>
        </w:rPr>
        <w:t xml:space="preserve"> in reliance on which such Restricted Payments could have been made by an amount equal to the amount of any such Investment)), (iii) by any Loan Party in any Restricted Subsidiary that is not a Loan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that any such Investments under this </w:t>
      </w:r>
      <w:r>
        <w:rPr>
          <w:rFonts w:ascii="Arial" w:cs="Arial" w:eastAsia="Arial" w:hAnsi="Arial"/>
          <w:sz w:val="21"/>
          <w:szCs w:val="21"/>
          <w:u w:val="single" w:color="auto"/>
          <w:color w:val="auto"/>
        </w:rPr>
        <w:t>clause (d)(iii)</w:t>
      </w:r>
      <w:r>
        <w:rPr>
          <w:rFonts w:ascii="Arial" w:cs="Arial" w:eastAsia="Arial" w:hAnsi="Arial"/>
          <w:sz w:val="21"/>
          <w:szCs w:val="21"/>
          <w:color w:val="auto"/>
        </w:rPr>
        <w:t xml:space="preserve"> constitute loans or advances made to any Loan Party, such loans or advances shall be subordinated to the Obligations on terms which prohibit the repayment thereof after the occurrence of an Event of Default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7.01(h)</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w:t>
      </w:r>
      <w:r>
        <w:rPr>
          <w:rFonts w:ascii="Arial" w:cs="Arial" w:eastAsia="Arial" w:hAnsi="Arial"/>
          <w:sz w:val="21"/>
          <w:szCs w:val="21"/>
          <w:color w:val="auto"/>
        </w:rPr>
        <w:t xml:space="preserve"> or the acceleration of the Obligations pursuant to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after the occurrence of any other Event of Default and (iv) by a non-Loan Party in a Loan Party;</w:t>
      </w:r>
    </w:p>
    <w:p>
      <w:pPr>
        <w:spacing w:after="0" w:line="162" w:lineRule="exact"/>
        <w:rPr>
          <w:rFonts w:ascii="Arial" w:cs="Arial" w:eastAsia="Arial" w:hAnsi="Arial"/>
          <w:sz w:val="21"/>
          <w:szCs w:val="21"/>
          <w:color w:val="auto"/>
        </w:rPr>
      </w:pPr>
    </w:p>
    <w:p>
      <w:pPr>
        <w:jc w:val="both"/>
        <w:ind w:firstLine="1304"/>
        <w:spacing w:after="0" w:line="244" w:lineRule="auto"/>
        <w:tabs>
          <w:tab w:leader="none" w:pos="1838"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Investments made by any Restricted Subsidiary in any Joint Venture or any Unrestricted Subsidiary in an aggregate amount of such Investments made after the Closing Date pursuant to this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by (x) Loan Parties and Restricted Subsidiaries in Joint Ventures and (y) any Restricted Subsidiary in Unrestricted Subsidiaries shall not collectively exceed the greater of (A) $45,000,000 and (B) 45.0% of LTM EBITDA calculated on a Pro Forma Basis as of the Applicable Date of Determination after giving effect computed on a Pro Forma Basis to each proposed Investment (it being understood that for purposes of calculating amounts outstanding pursuant to this </w:t>
      </w:r>
      <w:r>
        <w:rPr>
          <w:rFonts w:ascii="Arial" w:cs="Arial" w:eastAsia="Arial" w:hAnsi="Arial"/>
          <w:sz w:val="19"/>
          <w:szCs w:val="19"/>
          <w:u w:val="single" w:color="auto"/>
          <w:color w:val="auto"/>
        </w:rPr>
        <w:t>clause (e)</w:t>
      </w:r>
      <w:r>
        <w:rPr>
          <w:rFonts w:ascii="Arial" w:cs="Arial" w:eastAsia="Arial" w:hAnsi="Arial"/>
          <w:sz w:val="19"/>
          <w:szCs w:val="19"/>
          <w:color w:val="auto"/>
        </w:rPr>
        <w:t>, such amount shall be calculated on a net basis (without duplication of the reduction of the amount of any such Investment in respect of Returns on such Investment pursuant to the definition of “Investment”) giving effect to all Investments (I) in the Loan Parties by and Returns to the Loan Parties from Restricted Subsidiaries that are not Loan Parties and (II) in the Loan Parties by Joint Ventures and Unrestricted Subsidiaries);</w:t>
      </w:r>
    </w:p>
    <w:p>
      <w:pPr>
        <w:spacing w:after="0" w:line="160" w:lineRule="exact"/>
        <w:rPr>
          <w:rFonts w:ascii="Arial" w:cs="Arial" w:eastAsia="Arial" w:hAnsi="Arial"/>
          <w:sz w:val="19"/>
          <w:szCs w:val="19"/>
          <w:color w:val="auto"/>
        </w:rPr>
      </w:pPr>
    </w:p>
    <w:p>
      <w:pPr>
        <w:jc w:val="both"/>
        <w:ind w:firstLine="1304"/>
        <w:spacing w:after="0" w:line="216" w:lineRule="auto"/>
        <w:tabs>
          <w:tab w:leader="none" w:pos="1891" w:val="left"/>
        </w:tabs>
        <w:numPr>
          <w:ilvl w:val="0"/>
          <w:numId w:val="224"/>
        </w:numPr>
        <w:rPr>
          <w:rFonts w:ascii="Arial" w:cs="Arial" w:eastAsia="Arial" w:hAnsi="Arial"/>
          <w:sz w:val="22"/>
          <w:szCs w:val="22"/>
          <w:color w:val="auto"/>
        </w:rPr>
      </w:pPr>
      <w:r>
        <w:rPr>
          <w:rFonts w:ascii="Arial" w:cs="Arial" w:eastAsia="Arial" w:hAnsi="Arial"/>
          <w:sz w:val="22"/>
          <w:szCs w:val="22"/>
          <w:color w:val="auto"/>
        </w:rPr>
        <w:t xml:space="preserve">Investments made by any Restricted Subsidiary that is not a Loan Party in any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extent that any such Investments constitute loans or advances made to any Loan Party, such loans or advances shall be subordinated to the Obligations on terms which prohibit the repayment thereof after the occurrence of an Event of Default pursuant to </w:t>
      </w:r>
      <w:r>
        <w:rPr>
          <w:rFonts w:ascii="Arial" w:cs="Arial" w:eastAsia="Arial" w:hAnsi="Arial"/>
          <w:sz w:val="22"/>
          <w:szCs w:val="22"/>
          <w:u w:val="single" w:color="auto"/>
          <w:color w:val="auto"/>
        </w:rPr>
        <w:t>Section 7.01(h)</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w:t>
      </w:r>
      <w:r>
        <w:rPr>
          <w:rFonts w:ascii="Arial" w:cs="Arial" w:eastAsia="Arial" w:hAnsi="Arial"/>
          <w:sz w:val="22"/>
          <w:szCs w:val="22"/>
          <w:color w:val="auto"/>
        </w:rPr>
        <w:t xml:space="preserve"> or the acceleration of the Obligations pursuant to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after the occurrence of any other Event of Default;</w:t>
      </w:r>
    </w:p>
    <w:p>
      <w:pPr>
        <w:spacing w:after="0" w:line="157" w:lineRule="exact"/>
        <w:rPr>
          <w:rFonts w:ascii="Arial" w:cs="Arial" w:eastAsia="Arial" w:hAnsi="Arial"/>
          <w:sz w:val="22"/>
          <w:szCs w:val="22"/>
          <w:color w:val="auto"/>
        </w:rPr>
      </w:pPr>
    </w:p>
    <w:p>
      <w:pPr>
        <w:jc w:val="both"/>
        <w:ind w:firstLine="1304"/>
        <w:spacing w:after="0" w:line="216" w:lineRule="auto"/>
        <w:tabs>
          <w:tab w:leader="none" w:pos="1813" w:val="left"/>
        </w:tabs>
        <w:numPr>
          <w:ilvl w:val="0"/>
          <w:numId w:val="224"/>
        </w:numPr>
        <w:rPr>
          <w:rFonts w:ascii="Arial" w:cs="Arial" w:eastAsia="Arial" w:hAnsi="Arial"/>
          <w:sz w:val="22"/>
          <w:szCs w:val="22"/>
          <w:color w:val="auto"/>
        </w:rPr>
      </w:pPr>
      <w:r>
        <w:rPr>
          <w:rFonts w:ascii="Arial" w:cs="Arial" w:eastAsia="Arial" w:hAnsi="Arial"/>
          <w:sz w:val="22"/>
          <w:szCs w:val="22"/>
          <w:color w:val="auto"/>
        </w:rPr>
        <w:t>(A) non-cash loans or advances to employees, partners, officers and directors of Holdings, the Borrower or any Subsidiary in connection with such Person’s purchase of Equity Interests of a Holding Company or any Parent Entity (or Public Company after the consummation of an IPO) and (B) promissory notes received from stockholders of any Holding Company or any of its Subsidiaries in connection with the exercise of stock options in respect of the Equity Interests of a Holding Company or any Parent Entity;</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867" w:val="left"/>
        </w:tabs>
        <w:numPr>
          <w:ilvl w:val="0"/>
          <w:numId w:val="224"/>
        </w:numPr>
        <w:rPr>
          <w:rFonts w:ascii="Arial" w:cs="Arial" w:eastAsia="Arial" w:hAnsi="Arial"/>
          <w:sz w:val="22"/>
          <w:szCs w:val="22"/>
          <w:color w:val="auto"/>
        </w:rPr>
      </w:pPr>
      <w:r>
        <w:rPr>
          <w:rFonts w:ascii="Arial" w:cs="Arial" w:eastAsia="Arial" w:hAnsi="Arial"/>
          <w:sz w:val="22"/>
          <w:szCs w:val="22"/>
          <w:color w:val="auto"/>
        </w:rPr>
        <w:t>Investments received in connection with the bankruptcy or reorganization of, or settlement of delinquent accounts and disputes with, customers and suppliers, or upon the foreclosure with respect to any secured Investment or other transfer of title with respect to any secured Investment;</w:t>
      </w:r>
    </w:p>
    <w:p>
      <w:pPr>
        <w:spacing w:after="0" w:line="158" w:lineRule="exact"/>
        <w:rPr>
          <w:rFonts w:ascii="Arial" w:cs="Arial" w:eastAsia="Arial" w:hAnsi="Arial"/>
          <w:sz w:val="22"/>
          <w:szCs w:val="22"/>
          <w:color w:val="auto"/>
        </w:rPr>
      </w:pPr>
    </w:p>
    <w:p>
      <w:pPr>
        <w:ind w:firstLine="1304"/>
        <w:spacing w:after="0" w:line="232" w:lineRule="auto"/>
        <w:tabs>
          <w:tab w:leader="none" w:pos="1742" w:val="left"/>
        </w:tabs>
        <w:numPr>
          <w:ilvl w:val="0"/>
          <w:numId w:val="224"/>
        </w:numPr>
        <w:rPr>
          <w:rFonts w:ascii="Arial" w:cs="Arial" w:eastAsia="Arial" w:hAnsi="Arial"/>
          <w:sz w:val="22"/>
          <w:szCs w:val="22"/>
          <w:color w:val="auto"/>
        </w:rPr>
      </w:pPr>
      <w:r>
        <w:rPr>
          <w:rFonts w:ascii="Arial" w:cs="Arial" w:eastAsia="Arial" w:hAnsi="Arial"/>
          <w:sz w:val="22"/>
          <w:szCs w:val="22"/>
          <w:color w:val="auto"/>
        </w:rPr>
        <w:t>Investments in respect of Swap Agreements, Cash Management Agreements and Cash Management Services not entered into for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24" w:name="page225"/>
    <w:bookmarkEnd w:id="224"/>
    <w:p>
      <w:pPr>
        <w:jc w:val="both"/>
        <w:ind w:firstLine="1304"/>
        <w:spacing w:after="0" w:line="229" w:lineRule="auto"/>
        <w:tabs>
          <w:tab w:leader="none" w:pos="1749" w:val="left"/>
        </w:tabs>
        <w:numPr>
          <w:ilvl w:val="0"/>
          <w:numId w:val="225"/>
        </w:numPr>
        <w:rPr>
          <w:rFonts w:ascii="Arial" w:cs="Arial" w:eastAsia="Arial" w:hAnsi="Arial"/>
          <w:sz w:val="21"/>
          <w:szCs w:val="21"/>
          <w:color w:val="auto"/>
        </w:rPr>
      </w:pPr>
      <w:r>
        <w:rPr>
          <w:rFonts w:ascii="Arial" w:cs="Arial" w:eastAsia="Arial" w:hAnsi="Arial"/>
          <w:sz w:val="21"/>
          <w:szCs w:val="21"/>
          <w:color w:val="auto"/>
        </w:rPr>
        <w:t xml:space="preserve">Investments of any Person existing at the time such Person becomes a Restricted Subsidiary or consolidates, amalgamates or merges with any Holding Company, the Borrower or any Restricted Subsidiary (including in connection with an Acquisition or other Investment permitted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Investment was not made in contemplation of such Person becoming a Restricted Subsidiary or such consolidation or merger;</w:t>
      </w:r>
    </w:p>
    <w:p>
      <w:pPr>
        <w:spacing w:after="0" w:line="158" w:lineRule="exact"/>
        <w:rPr>
          <w:rFonts w:ascii="Arial" w:cs="Arial" w:eastAsia="Arial" w:hAnsi="Arial"/>
          <w:sz w:val="21"/>
          <w:szCs w:val="21"/>
          <w:color w:val="auto"/>
        </w:rPr>
      </w:pPr>
    </w:p>
    <w:p>
      <w:pPr>
        <w:ind w:firstLine="1304"/>
        <w:spacing w:after="0" w:line="232" w:lineRule="auto"/>
        <w:tabs>
          <w:tab w:leader="none" w:pos="185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 xml:space="preserve">Investments resulting from pledges or deposits described in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of the definition of the term “Permitted Encumbrance”;</w:t>
      </w:r>
    </w:p>
    <w:p>
      <w:pPr>
        <w:spacing w:after="0" w:line="158" w:lineRule="exact"/>
        <w:rPr>
          <w:rFonts w:ascii="Arial" w:cs="Arial" w:eastAsia="Arial" w:hAnsi="Arial"/>
          <w:sz w:val="22"/>
          <w:szCs w:val="22"/>
          <w:color w:val="auto"/>
        </w:rPr>
      </w:pPr>
    </w:p>
    <w:p>
      <w:pPr>
        <w:ind w:firstLine="1304"/>
        <w:spacing w:after="0" w:line="232" w:lineRule="auto"/>
        <w:tabs>
          <w:tab w:leader="none" w:pos="1808" w:val="left"/>
        </w:tabs>
        <w:numPr>
          <w:ilvl w:val="0"/>
          <w:numId w:val="225"/>
        </w:numPr>
        <w:rPr>
          <w:rFonts w:ascii="Arial" w:cs="Arial" w:eastAsia="Arial" w:hAnsi="Arial"/>
          <w:sz w:val="22"/>
          <w:szCs w:val="22"/>
          <w:color w:val="auto"/>
        </w:rPr>
      </w:pPr>
      <w:r>
        <w:rPr>
          <w:rFonts w:ascii="Arial" w:cs="Arial" w:eastAsia="Arial" w:hAnsi="Arial"/>
          <w:sz w:val="22"/>
          <w:szCs w:val="22"/>
          <w:color w:val="auto"/>
        </w:rPr>
        <w:t xml:space="preserve">Investments received in connection with the disposition of any asset in accordance with and to the extent permitted by </w:t>
      </w:r>
      <w:r>
        <w:rPr>
          <w:rFonts w:ascii="Arial" w:cs="Arial" w:eastAsia="Arial" w:hAnsi="Arial"/>
          <w:sz w:val="22"/>
          <w:szCs w:val="22"/>
          <w:u w:val="single" w:color="auto"/>
          <w:color w:val="auto"/>
        </w:rPr>
        <w:t>Section 6.05</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6.05(d)</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29" w:lineRule="auto"/>
        <w:tabs>
          <w:tab w:leader="none" w:pos="1851" w:val="left"/>
        </w:tabs>
        <w:numPr>
          <w:ilvl w:val="0"/>
          <w:numId w:val="225"/>
        </w:numPr>
        <w:rPr>
          <w:rFonts w:ascii="Arial" w:cs="Arial" w:eastAsia="Arial" w:hAnsi="Arial"/>
          <w:sz w:val="21"/>
          <w:szCs w:val="21"/>
          <w:color w:val="auto"/>
        </w:rPr>
      </w:pPr>
      <w:r>
        <w:rPr>
          <w:rFonts w:ascii="Arial" w:cs="Arial" w:eastAsia="Arial" w:hAnsi="Arial"/>
          <w:sz w:val="21"/>
          <w:szCs w:val="21"/>
          <w:color w:val="auto"/>
        </w:rPr>
        <w:t xml:space="preserve">receivables or other trade payables owing to any Holding Company (other than Holdings) or any Restricted Subsidiary if created or acquired in the ordinary course of business and payable or dischargeable in accordance with customary trade terms,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trade terms may include such concessionary trade terms as such Holding Company, the Borrower or such Restricted Subsidiary deems reasonable under the circumstances;</w:t>
      </w:r>
    </w:p>
    <w:p>
      <w:pPr>
        <w:spacing w:after="0" w:line="158" w:lineRule="exact"/>
        <w:rPr>
          <w:rFonts w:ascii="Arial" w:cs="Arial" w:eastAsia="Arial" w:hAnsi="Arial"/>
          <w:sz w:val="21"/>
          <w:szCs w:val="21"/>
          <w:color w:val="auto"/>
        </w:rPr>
      </w:pPr>
    </w:p>
    <w:p>
      <w:pPr>
        <w:ind w:left="1780" w:hanging="476"/>
        <w:spacing w:after="0"/>
        <w:tabs>
          <w:tab w:leader="none" w:pos="17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 xml:space="preserve">Investments resulting from Liens permitted under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Investments in deposit accounts and securities accounts opened in the ordinary course of business;</w:t>
      </w:r>
    </w:p>
    <w:p>
      <w:pPr>
        <w:spacing w:after="0" w:line="190" w:lineRule="exact"/>
        <w:rPr>
          <w:rFonts w:ascii="Arial" w:cs="Arial" w:eastAsia="Arial" w:hAnsi="Arial"/>
          <w:sz w:val="21"/>
          <w:szCs w:val="21"/>
          <w:color w:val="auto"/>
        </w:rPr>
      </w:pPr>
    </w:p>
    <w:p>
      <w:pPr>
        <w:ind w:left="1780" w:hanging="476"/>
        <w:spacing w:after="0"/>
        <w:tabs>
          <w:tab w:leader="none" w:pos="17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Investments in connection with Intercompany License Agreements;</w:t>
      </w:r>
    </w:p>
    <w:p>
      <w:pPr>
        <w:spacing w:after="0" w:line="179" w:lineRule="exact"/>
        <w:rPr>
          <w:rFonts w:ascii="Arial" w:cs="Arial" w:eastAsia="Arial" w:hAnsi="Arial"/>
          <w:sz w:val="22"/>
          <w:szCs w:val="22"/>
          <w:color w:val="auto"/>
        </w:rPr>
      </w:pPr>
    </w:p>
    <w:p>
      <w:pPr>
        <w:jc w:val="both"/>
        <w:ind w:firstLine="1304"/>
        <w:spacing w:after="0" w:line="226" w:lineRule="auto"/>
        <w:tabs>
          <w:tab w:leader="none" w:pos="1784" w:val="left"/>
        </w:tabs>
        <w:numPr>
          <w:ilvl w:val="0"/>
          <w:numId w:val="225"/>
        </w:numPr>
        <w:rPr>
          <w:rFonts w:ascii="Arial" w:cs="Arial" w:eastAsia="Arial" w:hAnsi="Arial"/>
          <w:sz w:val="21"/>
          <w:szCs w:val="21"/>
          <w:color w:val="auto"/>
        </w:rPr>
      </w:pPr>
      <w:r>
        <w:rPr>
          <w:rFonts w:ascii="Arial" w:cs="Arial" w:eastAsia="Arial" w:hAnsi="Arial"/>
          <w:sz w:val="21"/>
          <w:szCs w:val="21"/>
          <w:color w:val="auto"/>
        </w:rPr>
        <w:t xml:space="preserve">other Investments (including those of the type otherwise described herein) made after the Closing Date in an aggregate amount at any time outstanding not to exceed the sum of (A) the greater of (x) $45,000,000 and (y) 45.0% of LTM EBITDA calculated on a Pro Forma Basis as of the Applicable Date of Determination after giving effect thereto computed on a Pro Forma Basis to each such proposed Investment pursuant to this </w:t>
      </w:r>
      <w:r>
        <w:rPr>
          <w:rFonts w:ascii="Arial" w:cs="Arial" w:eastAsia="Arial" w:hAnsi="Arial"/>
          <w:sz w:val="21"/>
          <w:szCs w:val="21"/>
          <w:u w:val="single" w:color="auto"/>
          <w:color w:val="auto"/>
        </w:rPr>
        <w:t>clause (q) plus</w:t>
      </w:r>
      <w:r>
        <w:rPr>
          <w:rFonts w:ascii="Arial" w:cs="Arial" w:eastAsia="Arial" w:hAnsi="Arial"/>
          <w:sz w:val="21"/>
          <w:szCs w:val="21"/>
          <w:color w:val="auto"/>
        </w:rPr>
        <w:t xml:space="preserve"> (B) unused amounts under </w:t>
      </w:r>
      <w:r>
        <w:rPr>
          <w:rFonts w:ascii="Arial" w:cs="Arial" w:eastAsia="Arial" w:hAnsi="Arial"/>
          <w:sz w:val="21"/>
          <w:szCs w:val="21"/>
          <w:u w:val="single" w:color="auto"/>
          <w:color w:val="auto"/>
        </w:rPr>
        <w:t>Section 6.06(a)</w:t>
      </w:r>
      <w:r>
        <w:rPr>
          <w:rFonts w:ascii="Arial" w:cs="Arial" w:eastAsia="Arial" w:hAnsi="Arial"/>
          <w:sz w:val="21"/>
          <w:szCs w:val="21"/>
          <w:color w:val="auto"/>
        </w:rPr>
        <w:t xml:space="preserve"> </w:t>
      </w:r>
      <w:r>
        <w:rPr>
          <w:rFonts w:ascii="Arial" w:cs="Arial" w:eastAsia="Arial" w:hAnsi="Arial"/>
          <w:sz w:val="21"/>
          <w:szCs w:val="21"/>
          <w:u w:val="single" w:color="auto"/>
          <w:color w:val="auto"/>
        </w:rPr>
        <w:t>(xiv)(A)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6.06(b)(vi)(A)</w:t>
      </w:r>
      <w:r>
        <w:rPr>
          <w:rFonts w:ascii="Arial" w:cs="Arial" w:eastAsia="Arial" w:hAnsi="Arial"/>
          <w:sz w:val="21"/>
          <w:szCs w:val="21"/>
          <w:color w:val="auto"/>
        </w:rPr>
        <w:t xml:space="preserve"> reallocated to this </w:t>
      </w:r>
      <w:r>
        <w:rPr>
          <w:rFonts w:ascii="Arial" w:cs="Arial" w:eastAsia="Arial" w:hAnsi="Arial"/>
          <w:sz w:val="21"/>
          <w:szCs w:val="21"/>
          <w:u w:val="single" w:color="auto"/>
          <w:color w:val="auto"/>
        </w:rPr>
        <w:t>clause (q)</w:t>
      </w:r>
      <w:r>
        <w:rPr>
          <w:rFonts w:ascii="Arial" w:cs="Arial" w:eastAsia="Arial" w:hAnsi="Arial"/>
          <w:sz w:val="21"/>
          <w:szCs w:val="21"/>
          <w:color w:val="auto"/>
        </w:rPr>
        <w:t>;</w:t>
      </w:r>
    </w:p>
    <w:p>
      <w:pPr>
        <w:spacing w:after="0" w:line="159" w:lineRule="exact"/>
        <w:rPr>
          <w:rFonts w:ascii="Arial" w:cs="Arial" w:eastAsia="Arial" w:hAnsi="Arial"/>
          <w:sz w:val="21"/>
          <w:szCs w:val="21"/>
          <w:color w:val="auto"/>
        </w:rPr>
      </w:pPr>
    </w:p>
    <w:p>
      <w:pPr>
        <w:ind w:firstLine="1304"/>
        <w:spacing w:after="0" w:line="232" w:lineRule="auto"/>
        <w:tabs>
          <w:tab w:leader="none" w:pos="1795" w:val="left"/>
        </w:tabs>
        <w:numPr>
          <w:ilvl w:val="0"/>
          <w:numId w:val="225"/>
        </w:numPr>
        <w:rPr>
          <w:rFonts w:ascii="Arial" w:cs="Arial" w:eastAsia="Arial" w:hAnsi="Arial"/>
          <w:sz w:val="22"/>
          <w:szCs w:val="22"/>
          <w:color w:val="auto"/>
        </w:rPr>
      </w:pPr>
      <w:r>
        <w:rPr>
          <w:rFonts w:ascii="Arial" w:cs="Arial" w:eastAsia="Arial" w:hAnsi="Arial"/>
          <w:sz w:val="22"/>
          <w:szCs w:val="22"/>
          <w:color w:val="auto"/>
        </w:rPr>
        <w:t>Investments consisting of cash earnest money deposits in connection with a Permitted Acquisition or other Investment permitted hereunder;</w:t>
      </w:r>
    </w:p>
    <w:p>
      <w:pPr>
        <w:spacing w:after="0" w:line="158" w:lineRule="exact"/>
        <w:rPr>
          <w:rFonts w:ascii="Arial" w:cs="Arial" w:eastAsia="Arial" w:hAnsi="Arial"/>
          <w:sz w:val="22"/>
          <w:szCs w:val="22"/>
          <w:color w:val="auto"/>
        </w:rPr>
      </w:pPr>
    </w:p>
    <w:p>
      <w:pPr>
        <w:ind w:firstLine="1304"/>
        <w:spacing w:after="0" w:line="232" w:lineRule="auto"/>
        <w:tabs>
          <w:tab w:leader="none" w:pos="1802" w:val="left"/>
        </w:tabs>
        <w:numPr>
          <w:ilvl w:val="0"/>
          <w:numId w:val="225"/>
        </w:numPr>
        <w:rPr>
          <w:rFonts w:ascii="Arial" w:cs="Arial" w:eastAsia="Arial" w:hAnsi="Arial"/>
          <w:sz w:val="22"/>
          <w:szCs w:val="22"/>
          <w:color w:val="auto"/>
        </w:rPr>
      </w:pPr>
      <w:r>
        <w:rPr>
          <w:rFonts w:ascii="Arial" w:cs="Arial" w:eastAsia="Arial" w:hAnsi="Arial"/>
          <w:sz w:val="22"/>
          <w:szCs w:val="22"/>
          <w:color w:val="auto"/>
        </w:rPr>
        <w:t xml:space="preserve">Investments solely to the extent such Investments reflect an increase in the value of Investments otherwise permitted under this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766" w:val="left"/>
        </w:tabs>
        <w:numPr>
          <w:ilvl w:val="0"/>
          <w:numId w:val="225"/>
        </w:numPr>
        <w:rPr>
          <w:rFonts w:ascii="Arial" w:cs="Arial" w:eastAsia="Arial" w:hAnsi="Arial"/>
          <w:sz w:val="22"/>
          <w:szCs w:val="22"/>
          <w:color w:val="auto"/>
        </w:rPr>
      </w:pPr>
      <w:r>
        <w:rPr>
          <w:rFonts w:ascii="Arial" w:cs="Arial" w:eastAsia="Arial" w:hAnsi="Arial"/>
          <w:sz w:val="22"/>
          <w:szCs w:val="22"/>
          <w:color w:val="auto"/>
        </w:rPr>
        <w:t xml:space="preserve">the acquisition of additional Equity Interests of Restricted Subsidiaries from minority shareholders (it being understood that to the extent that any Restricted Subsidiary that is not a Loan Party is acquiring Equity Interests from minority shareholders then this </w:t>
      </w:r>
      <w:r>
        <w:rPr>
          <w:rFonts w:ascii="Arial" w:cs="Arial" w:eastAsia="Arial" w:hAnsi="Arial"/>
          <w:sz w:val="22"/>
          <w:szCs w:val="22"/>
          <w:u w:val="single" w:color="auto"/>
          <w:color w:val="auto"/>
        </w:rPr>
        <w:t>clause (t)</w:t>
      </w:r>
      <w:r>
        <w:rPr>
          <w:rFonts w:ascii="Arial" w:cs="Arial" w:eastAsia="Arial" w:hAnsi="Arial"/>
          <w:sz w:val="22"/>
          <w:szCs w:val="22"/>
          <w:color w:val="auto"/>
        </w:rPr>
        <w:t xml:space="preserve"> shall not in and of itself create, or increase the capacity under, any basket for Investments by Loan Parties in any Restricted Subsidiary that is not a Loan Party);</w:t>
      </w:r>
    </w:p>
    <w:p>
      <w:pPr>
        <w:spacing w:after="0" w:line="160" w:lineRule="exact"/>
        <w:rPr>
          <w:rFonts w:ascii="Arial" w:cs="Arial" w:eastAsia="Arial" w:hAnsi="Arial"/>
          <w:sz w:val="22"/>
          <w:szCs w:val="22"/>
          <w:color w:val="auto"/>
        </w:rPr>
      </w:pPr>
    </w:p>
    <w:p>
      <w:pPr>
        <w:ind w:left="1780" w:hanging="476"/>
        <w:spacing w:after="0"/>
        <w:tabs>
          <w:tab w:leader="none" w:pos="178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Investments consisting of endorsements for collection or deposit in the ordinary course of business;</w:t>
      </w:r>
    </w:p>
    <w:p>
      <w:pPr>
        <w:spacing w:after="0" w:line="190" w:lineRule="exact"/>
        <w:rPr>
          <w:rFonts w:ascii="Arial" w:cs="Arial" w:eastAsia="Arial" w:hAnsi="Arial"/>
          <w:sz w:val="21"/>
          <w:szCs w:val="21"/>
          <w:color w:val="auto"/>
        </w:rPr>
      </w:pPr>
    </w:p>
    <w:p>
      <w:pPr>
        <w:jc w:val="both"/>
        <w:ind w:firstLine="1304"/>
        <w:spacing w:after="0" w:line="257" w:lineRule="auto"/>
        <w:tabs>
          <w:tab w:leader="none" w:pos="1769" w:val="left"/>
        </w:tabs>
        <w:numPr>
          <w:ilvl w:val="0"/>
          <w:numId w:val="225"/>
        </w:numPr>
        <w:rPr>
          <w:rFonts w:ascii="Arial" w:cs="Arial" w:eastAsia="Arial" w:hAnsi="Arial"/>
          <w:sz w:val="19"/>
          <w:szCs w:val="19"/>
          <w:color w:val="auto"/>
        </w:rPr>
      </w:pPr>
      <w:r>
        <w:rPr>
          <w:rFonts w:ascii="Arial" w:cs="Arial" w:eastAsia="Arial" w:hAnsi="Arial"/>
          <w:sz w:val="19"/>
          <w:szCs w:val="19"/>
          <w:color w:val="auto"/>
        </w:rPr>
        <w:t>(a) Investments in any Receivables Facility or any Securitization Subsidiary in order to effectuate a Qualified Securitization Financing, including the ownership of Equity Interests in such Securitization Subsidiary and (b) distributions or payments of Securitization Fees and purchases of Securitization Assets or Receivables Assets pursuant to a Securitization Repurchase Obligation in connection with a Qualified Securitization Financing or a Receivables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25" w:name="page226"/>
    <w:bookmarkEnd w:id="225"/>
    <w:p>
      <w:pPr>
        <w:jc w:val="both"/>
        <w:ind w:firstLine="1304"/>
        <w:spacing w:after="0" w:line="257" w:lineRule="auto"/>
        <w:tabs>
          <w:tab w:leader="none" w:pos="1888"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Investments in Equity Interests in any Subsidiary resulting from any sale, transfer or other disposition by any Holding Company, the Borrower or any Subsidiary permitted by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including as a result of any contribution from any parent or distribution to any Subsidiary of such Equity Interests;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Investments by any Loan Party in a Restricted Subsidiary that is not a Loan Party shall be made as otherwise permitted by this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ind w:firstLine="1304"/>
        <w:spacing w:after="0" w:line="232" w:lineRule="auto"/>
        <w:tabs>
          <w:tab w:leader="none" w:pos="1834" w:val="left"/>
        </w:tabs>
        <w:numPr>
          <w:ilvl w:val="0"/>
          <w:numId w:val="226"/>
        </w:numPr>
        <w:rPr>
          <w:rFonts w:ascii="Arial" w:cs="Arial" w:eastAsia="Arial" w:hAnsi="Arial"/>
          <w:sz w:val="22"/>
          <w:szCs w:val="22"/>
          <w:color w:val="auto"/>
        </w:rPr>
      </w:pPr>
      <w:r>
        <w:rPr>
          <w:rFonts w:ascii="Arial" w:cs="Arial" w:eastAsia="Arial" w:hAnsi="Arial"/>
          <w:sz w:val="22"/>
          <w:szCs w:val="22"/>
          <w:color w:val="auto"/>
        </w:rPr>
        <w:t>contributions to a “rabbi” trust for the benefit of employees or any other grantor trust subject to claims of creditors in the case of a bankruptcy of a Loan Party;</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83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loans or advances to officers, partners, directors, consultants and employees of any Holding Company, the Borrower or any Restricted Subsidiary for (A) relocation, entertainment, travel expenses, drawing accounts and similar expenditures and (B) for other purposes in the aggregate amount not to exceed the greater of (x) $5,000,000 and (y) 5.0% of LTM EBITDA calculated on a Pro Forma Basis as of the Applicable Date of Determination at any time outstanding;</w:t>
      </w:r>
    </w:p>
    <w:p>
      <w:pPr>
        <w:spacing w:after="0" w:line="144" w:lineRule="exact"/>
        <w:rPr>
          <w:rFonts w:ascii="Arial" w:cs="Arial" w:eastAsia="Arial" w:hAnsi="Arial"/>
          <w:sz w:val="19"/>
          <w:szCs w:val="19"/>
          <w:color w:val="auto"/>
        </w:rPr>
      </w:pPr>
    </w:p>
    <w:p>
      <w:pPr>
        <w:jc w:val="both"/>
        <w:ind w:firstLine="1304"/>
        <w:spacing w:after="0" w:line="268" w:lineRule="auto"/>
        <w:tabs>
          <w:tab w:leader="none" w:pos="1824"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other Investments (including those of the type otherwise referred to herein) in an aggregate amount not to exceed (i) the Available Amount so long as no Event of Default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has occurred and is continuing or would result from the making of such Investment and (ii) the Available Excluded Contribution Amount;</w:t>
      </w:r>
    </w:p>
    <w:p>
      <w:pPr>
        <w:spacing w:after="0" w:line="132" w:lineRule="exact"/>
        <w:rPr>
          <w:sz w:val="20"/>
          <w:szCs w:val="20"/>
          <w:color w:val="auto"/>
        </w:rPr>
      </w:pPr>
    </w:p>
    <w:p>
      <w:pPr>
        <w:jc w:val="both"/>
        <w:ind w:firstLine="1304"/>
        <w:spacing w:after="0" w:line="218" w:lineRule="auto"/>
        <w:tabs>
          <w:tab w:leader="none" w:pos="2075" w:val="left"/>
        </w:tabs>
        <w:numPr>
          <w:ilvl w:val="0"/>
          <w:numId w:val="227"/>
        </w:numPr>
        <w:rPr>
          <w:rFonts w:ascii="Arial" w:cs="Arial" w:eastAsia="Arial" w:hAnsi="Arial"/>
          <w:sz w:val="22"/>
          <w:szCs w:val="22"/>
          <w:color w:val="auto"/>
        </w:rPr>
      </w:pPr>
      <w:r>
        <w:rPr>
          <w:rFonts w:ascii="Arial" w:cs="Arial" w:eastAsia="Arial" w:hAnsi="Arial"/>
          <w:sz w:val="22"/>
          <w:szCs w:val="22"/>
          <w:color w:val="auto"/>
        </w:rPr>
        <w:t xml:space="preserve">Investments consisting of or resulting from Indebtedness, Liens, fundamental changes, repayments, redemptions, repurchases, prepayments, retirements, cancellations and dispositions permitted under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6.01(b)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6.03(a)(iv)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(b)(viii)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6.05</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6.05(b)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6.06</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6.06(a)(viii)</w:t>
      </w:r>
      <w:r>
        <w:rPr>
          <w:rFonts w:ascii="Arial" w:cs="Arial" w:eastAsia="Arial" w:hAnsi="Arial"/>
          <w:sz w:val="22"/>
          <w:szCs w:val="22"/>
          <w:color w:val="auto"/>
        </w:rPr>
        <w:t>), respectively;</w:t>
      </w:r>
    </w:p>
    <w:p>
      <w:pPr>
        <w:spacing w:after="0" w:line="160" w:lineRule="exact"/>
        <w:rPr>
          <w:rFonts w:ascii="Arial" w:cs="Arial" w:eastAsia="Arial" w:hAnsi="Arial"/>
          <w:sz w:val="22"/>
          <w:szCs w:val="22"/>
          <w:color w:val="auto"/>
        </w:rPr>
      </w:pPr>
    </w:p>
    <w:p>
      <w:pPr>
        <w:ind w:firstLine="1304"/>
        <w:spacing w:after="0" w:line="232" w:lineRule="auto"/>
        <w:tabs>
          <w:tab w:leader="none" w:pos="1981" w:val="left"/>
        </w:tabs>
        <w:numPr>
          <w:ilvl w:val="0"/>
          <w:numId w:val="227"/>
        </w:numPr>
        <w:rPr>
          <w:rFonts w:ascii="Arial" w:cs="Arial" w:eastAsia="Arial" w:hAnsi="Arial"/>
          <w:sz w:val="22"/>
          <w:szCs w:val="22"/>
          <w:color w:val="auto"/>
        </w:rPr>
      </w:pPr>
      <w:r>
        <w:rPr>
          <w:rFonts w:ascii="Arial" w:cs="Arial" w:eastAsia="Arial" w:hAnsi="Arial"/>
          <w:sz w:val="22"/>
          <w:szCs w:val="22"/>
          <w:color w:val="auto"/>
        </w:rPr>
        <w:t xml:space="preserve">Loans repurchased by a Holding Company, the Borrower or a Restricted Subsidiary pursuant to and in accordance with </w:t>
      </w:r>
      <w:r>
        <w:rPr>
          <w:rFonts w:ascii="Arial" w:cs="Arial" w:eastAsia="Arial" w:hAnsi="Arial"/>
          <w:sz w:val="22"/>
          <w:szCs w:val="22"/>
          <w:u w:val="single" w:color="auto"/>
          <w:color w:val="auto"/>
        </w:rPr>
        <w:t>Section 2.11(i)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9.04</w:t>
      </w:r>
      <w:r>
        <w:rPr>
          <w:rFonts w:ascii="Arial" w:cs="Arial" w:eastAsia="Arial" w:hAnsi="Arial"/>
          <w:sz w:val="22"/>
          <w:szCs w:val="22"/>
          <w:color w:val="auto"/>
        </w:rPr>
        <w:t>, so long as such Loans are immediately cancelled;</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888" w:val="left"/>
        </w:tabs>
        <w:numPr>
          <w:ilvl w:val="0"/>
          <w:numId w:val="227"/>
        </w:numPr>
        <w:rPr>
          <w:rFonts w:ascii="Arial" w:cs="Arial" w:eastAsia="Arial" w:hAnsi="Arial"/>
          <w:sz w:val="22"/>
          <w:szCs w:val="22"/>
          <w:color w:val="auto"/>
        </w:rPr>
      </w:pPr>
      <w:r>
        <w:rPr>
          <w:rFonts w:ascii="Arial" w:cs="Arial" w:eastAsia="Arial" w:hAnsi="Arial"/>
          <w:sz w:val="22"/>
          <w:szCs w:val="22"/>
          <w:color w:val="auto"/>
        </w:rPr>
        <w:t>cash or property distributed from any Restricted Subsidiary that is not a Loan Party (i) may be contributed to other Restricted Subsidiaries that are not Loan Parties, and (ii) may pass through the Borrower, any Holding Company and/or any intermediate Restricted Subsidiaries, so long as part of a series of related transactions and such transaction steps are not unreasonably delayed and are otherwise permitted hereunder;</w:t>
      </w:r>
    </w:p>
    <w:p>
      <w:pPr>
        <w:spacing w:after="0" w:line="160" w:lineRule="exact"/>
        <w:rPr>
          <w:rFonts w:ascii="Arial" w:cs="Arial" w:eastAsia="Arial" w:hAnsi="Arial"/>
          <w:sz w:val="22"/>
          <w:szCs w:val="22"/>
          <w:color w:val="auto"/>
        </w:rPr>
      </w:pPr>
    </w:p>
    <w:p>
      <w:pPr>
        <w:jc w:val="both"/>
        <w:ind w:firstLine="1304"/>
        <w:spacing w:after="0" w:line="249" w:lineRule="auto"/>
        <w:tabs>
          <w:tab w:leader="none" w:pos="197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Investments to the extent that payment for such Investments is made with (A) any capital contributions made in cash by any Person other than a Restricted Subsidiary to Holdings after the Closing Date (other than any Cure Amount) to the extent Not Otherwise Applied; and (B) any Net Proceeds of any issuance of Qualified Equity Interests after the Closing Date of Holdings (other than any Cure Amount) to any Person other than a Restricted Subsidiary to the extent such Net Proceeds are Not Otherwise Applied, and to the extent, in each case, such contributions and Net Proceeds have been contributed to the Qualified Equity Interests of the Borrower or any other Loan Party (other than Holdings);</w:t>
      </w:r>
    </w:p>
    <w:p>
      <w:pPr>
        <w:spacing w:after="0" w:line="151" w:lineRule="exact"/>
        <w:rPr>
          <w:rFonts w:ascii="Arial" w:cs="Arial" w:eastAsia="Arial" w:hAnsi="Arial"/>
          <w:sz w:val="19"/>
          <w:szCs w:val="19"/>
          <w:color w:val="auto"/>
        </w:rPr>
      </w:pPr>
    </w:p>
    <w:p>
      <w:pPr>
        <w:jc w:val="both"/>
        <w:ind w:firstLine="1304"/>
        <w:spacing w:after="0" w:line="218" w:lineRule="auto"/>
        <w:tabs>
          <w:tab w:leader="none" w:pos="1927" w:val="left"/>
        </w:tabs>
        <w:numPr>
          <w:ilvl w:val="0"/>
          <w:numId w:val="227"/>
        </w:numPr>
        <w:rPr>
          <w:rFonts w:ascii="Arial" w:cs="Arial" w:eastAsia="Arial" w:hAnsi="Arial"/>
          <w:sz w:val="22"/>
          <w:szCs w:val="22"/>
          <w:color w:val="auto"/>
        </w:rPr>
      </w:pPr>
      <w:r>
        <w:rPr>
          <w:rFonts w:ascii="Arial" w:cs="Arial" w:eastAsia="Arial" w:hAnsi="Arial"/>
          <w:sz w:val="22"/>
          <w:szCs w:val="22"/>
          <w:color w:val="auto"/>
        </w:rPr>
        <w:t>Guarantee obligations of any Holding Company, the Borrower or any Restricted Subsidiary in respect of letters of support, guarantees or similar obligations issued, made or incurred for the benefit of any Restricted Subsidiary to the extent required by law or in connection with any statutory filing or the delivery of audit opinions performed in jurisdictions other than within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26" w:name="page227"/>
    <w:bookmarkEnd w:id="226"/>
    <w:p>
      <w:pPr>
        <w:jc w:val="both"/>
        <w:ind w:firstLine="1304"/>
        <w:spacing w:after="0" w:line="226" w:lineRule="auto"/>
        <w:tabs>
          <w:tab w:leader="none" w:pos="1814" w:val="left"/>
        </w:tabs>
        <w:numPr>
          <w:ilvl w:val="0"/>
          <w:numId w:val="228"/>
        </w:numPr>
        <w:rPr>
          <w:rFonts w:ascii="Arial" w:cs="Arial" w:eastAsia="Arial" w:hAnsi="Arial"/>
          <w:sz w:val="21"/>
          <w:szCs w:val="21"/>
          <w:color w:val="auto"/>
        </w:rPr>
      </w:pPr>
      <w:r>
        <w:rPr>
          <w:rFonts w:ascii="Arial" w:cs="Arial" w:eastAsia="Arial" w:hAnsi="Arial"/>
          <w:sz w:val="21"/>
          <w:szCs w:val="21"/>
          <w:color w:val="auto"/>
        </w:rPr>
        <w:t xml:space="preserve">(i) reorganizations and other activities related to tax planning and reorganization;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good-faith judgment of the Borrowers and Administrative Agent, after giving effect to any such reorganizations and activities, there is no material adverse impact on the value of the (A) Collateral granted to the Collateral Agent for the benefit of the Secured Parties or (B) Guarantees of the Obligations pursuant to the Guaranty and (ii) transactions undertaken in connection with, and reasonably related to, the consummation of an IPO;</w:t>
      </w:r>
    </w:p>
    <w:p>
      <w:pPr>
        <w:spacing w:after="0" w:line="159" w:lineRule="exact"/>
        <w:rPr>
          <w:rFonts w:ascii="Arial" w:cs="Arial" w:eastAsia="Arial" w:hAnsi="Arial"/>
          <w:sz w:val="21"/>
          <w:szCs w:val="21"/>
          <w:color w:val="auto"/>
        </w:rPr>
      </w:pPr>
    </w:p>
    <w:p>
      <w:pPr>
        <w:ind w:left="2080" w:hanging="776"/>
        <w:spacing w:after="0"/>
        <w:tabs>
          <w:tab w:leader="none" w:pos="208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asset purchases (including purchases of inventory, supplies and materials) in the ordinary course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161" w:lineRule="exact"/>
        <w:rPr>
          <w:rFonts w:ascii="Arial" w:cs="Arial" w:eastAsia="Arial" w:hAnsi="Arial"/>
          <w:sz w:val="19"/>
          <w:szCs w:val="19"/>
          <w:color w:val="auto"/>
        </w:rPr>
      </w:pPr>
    </w:p>
    <w:p>
      <w:pPr>
        <w:jc w:val="both"/>
        <w:ind w:firstLine="1304"/>
        <w:spacing w:after="0" w:line="223" w:lineRule="auto"/>
        <w:tabs>
          <w:tab w:leader="none" w:pos="1968" w:val="left"/>
        </w:tabs>
        <w:numPr>
          <w:ilvl w:val="0"/>
          <w:numId w:val="228"/>
        </w:numPr>
        <w:rPr>
          <w:rFonts w:ascii="Arial" w:cs="Arial" w:eastAsia="Arial" w:hAnsi="Arial"/>
          <w:sz w:val="22"/>
          <w:szCs w:val="22"/>
          <w:color w:val="auto"/>
        </w:rPr>
      </w:pPr>
      <w:r>
        <w:rPr>
          <w:rFonts w:ascii="Arial" w:cs="Arial" w:eastAsia="Arial" w:hAnsi="Arial"/>
          <w:sz w:val="22"/>
          <w:szCs w:val="22"/>
          <w:color w:val="auto"/>
        </w:rPr>
        <w:t>performance Guarantees of any Holding Company, the Borrower or any Restricted Subsidiary primarily guaranteeing performance of contractual obligations of the Borrower or Restricted Subsidiaries to a third party and not primarily for the purposes of guaranteeing payment of Indebtedness;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19" w:val="left"/>
        </w:tabs>
        <w:numPr>
          <w:ilvl w:val="0"/>
          <w:numId w:val="228"/>
        </w:numPr>
        <w:rPr>
          <w:rFonts w:ascii="Arial" w:cs="Arial" w:eastAsia="Arial" w:hAnsi="Arial"/>
          <w:sz w:val="22"/>
          <w:szCs w:val="22"/>
          <w:color w:val="auto"/>
        </w:rPr>
      </w:pPr>
      <w:r>
        <w:rPr>
          <w:rFonts w:ascii="Arial" w:cs="Arial" w:eastAsia="Arial" w:hAnsi="Arial"/>
          <w:sz w:val="22"/>
          <w:szCs w:val="22"/>
          <w:color w:val="auto"/>
        </w:rPr>
        <w:t>so long as no Event of Default has occurred and is continuing or would result therefrom, Investments in an unlimited amount so long as the Senior Secured Net Leverage Ratio calculated on a Pro Forma Basis as of the Applicable Date of Determination is less than or equal to 7.25 to 1.00;</w:t>
      </w:r>
    </w:p>
    <w:p>
      <w:pPr>
        <w:spacing w:after="0" w:line="158" w:lineRule="exact"/>
        <w:rPr>
          <w:rFonts w:ascii="Arial" w:cs="Arial" w:eastAsia="Arial" w:hAnsi="Arial"/>
          <w:sz w:val="22"/>
          <w:szCs w:val="22"/>
          <w:color w:val="auto"/>
        </w:rPr>
      </w:pPr>
    </w:p>
    <w:p>
      <w:pPr>
        <w:jc w:val="both"/>
        <w:ind w:firstLine="1304"/>
        <w:spacing w:after="0" w:line="252" w:lineRule="auto"/>
        <w:tabs>
          <w:tab w:leader="none" w:pos="2025"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loans and advances to any Holding Company or any Parent Entity (or Public Company after the consummation of an IPO) in lieu of, and not in excess of the amount of (after giving effect to any other such loans or advances or Restricted Payments in respect thereof), Restricted Payments to the extent permitted to be made in accordance with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6.06(a)(viii)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making of any such loan or advance shall reduce capacity for Restricted Payments under the applicable basket in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so utilized by a corresponding amount; and</w:t>
      </w:r>
    </w:p>
    <w:p>
      <w:pPr>
        <w:spacing w:after="0" w:line="148" w:lineRule="exact"/>
        <w:rPr>
          <w:rFonts w:ascii="Arial" w:cs="Arial" w:eastAsia="Arial" w:hAnsi="Arial"/>
          <w:sz w:val="19"/>
          <w:szCs w:val="19"/>
          <w:color w:val="auto"/>
        </w:rPr>
      </w:pPr>
    </w:p>
    <w:p>
      <w:pPr>
        <w:jc w:val="both"/>
        <w:ind w:firstLine="1304"/>
        <w:spacing w:after="0" w:line="223" w:lineRule="auto"/>
        <w:tabs>
          <w:tab w:leader="none" w:pos="1941" w:val="left"/>
        </w:tabs>
        <w:numPr>
          <w:ilvl w:val="0"/>
          <w:numId w:val="228"/>
        </w:numPr>
        <w:rPr>
          <w:rFonts w:ascii="Arial" w:cs="Arial" w:eastAsia="Arial" w:hAnsi="Arial"/>
          <w:sz w:val="22"/>
          <w:szCs w:val="22"/>
          <w:color w:val="auto"/>
        </w:rPr>
      </w:pPr>
      <w:r>
        <w:rPr>
          <w:rFonts w:ascii="Arial" w:cs="Arial" w:eastAsia="Arial" w:hAnsi="Arial"/>
          <w:sz w:val="22"/>
          <w:szCs w:val="22"/>
          <w:color w:val="auto"/>
        </w:rPr>
        <w:t>Guarantees by any Holding Company, the Borrower or any Restricted Subsidiary of leases (other than in relation to Capital Lease Obligations), contracts, or of other obligations that do not constitute Indebtedness, in each case entered into in the ordinary course of business.</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For the avoidance of doubt, if an Investment would be permitted under any provision of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6.04(b)</w:t>
      </w:r>
      <w:r>
        <w:rPr>
          <w:rFonts w:ascii="Arial" w:cs="Arial" w:eastAsia="Arial" w:hAnsi="Arial"/>
          <w:sz w:val="19"/>
          <w:szCs w:val="19"/>
          <w:color w:val="auto"/>
        </w:rPr>
        <w:t xml:space="preserve">) and as a Permitted Acquisition, such Investment need not satisfy the requirements otherwise applicable to Permitted Acquisitions unless such Investments are consummated in reliance on </w:t>
      </w:r>
      <w:r>
        <w:rPr>
          <w:rFonts w:ascii="Arial" w:cs="Arial" w:eastAsia="Arial" w:hAnsi="Arial"/>
          <w:sz w:val="19"/>
          <w:szCs w:val="19"/>
          <w:u w:val="single" w:color="auto"/>
          <w:color w:val="auto"/>
        </w:rPr>
        <w:t>Section 6.04(b)</w:t>
      </w:r>
      <w:r>
        <w:rPr>
          <w:rFonts w:ascii="Arial" w:cs="Arial" w:eastAsia="Arial" w:hAnsi="Arial"/>
          <w:sz w:val="19"/>
          <w:szCs w:val="19"/>
          <w:color w:val="auto"/>
        </w:rPr>
        <w:t>. In addition, to the extent an Investment is permitted to be made by a Restricted Subsidiary directly in any Restricted Subsidiary or any other Person who is not a Loan Party (each such Person, a “</w:t>
      </w:r>
      <w:r>
        <w:rPr>
          <w:rFonts w:ascii="Arial" w:cs="Arial" w:eastAsia="Arial" w:hAnsi="Arial"/>
          <w:sz w:val="19"/>
          <w:szCs w:val="19"/>
          <w:u w:val="single" w:color="auto"/>
          <w:color w:val="auto"/>
        </w:rPr>
        <w:t>Target Person</w:t>
      </w:r>
      <w:r>
        <w:rPr>
          <w:rFonts w:ascii="Arial" w:cs="Arial" w:eastAsia="Arial" w:hAnsi="Arial"/>
          <w:sz w:val="19"/>
          <w:szCs w:val="19"/>
          <w:color w:val="auto"/>
        </w:rPr>
        <w:t xml:space="preserve">”) under any provision of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such Investment may be made by advance, contribution or distribution directly or indirectly to a Holding Company and further advanced or contributed by a Holding Company to a Loan Party or other Restricted Subsidiary for purposes of ultimately making the relevant Investment in the Target Person without constituting an Investment for purposes of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(it being understood that such Investment must satisfy the requirements of, and shall count toward any thresholds or baskets in, the applicable clause under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as if made by the applicable Restricted Subsidiary directly to the Target Person).</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6.05</w:t>
      </w:r>
      <w:r>
        <w:rPr>
          <w:sz w:val="20"/>
          <w:szCs w:val="20"/>
          <w:color w:val="auto"/>
        </w:rPr>
        <w:tab/>
      </w:r>
      <w:r>
        <w:rPr>
          <w:rFonts w:ascii="Arial" w:cs="Arial" w:eastAsia="Arial" w:hAnsi="Arial"/>
          <w:sz w:val="18"/>
          <w:szCs w:val="18"/>
          <w:u w:val="single" w:color="auto"/>
          <w:color w:val="auto"/>
        </w:rPr>
        <w:t>Asset Sales</w:t>
      </w:r>
      <w:r>
        <w:rPr>
          <w:rFonts w:ascii="Arial" w:cs="Arial" w:eastAsia="Arial" w:hAnsi="Arial"/>
          <w:sz w:val="18"/>
          <w:szCs w:val="18"/>
          <w:color w:val="FF0000"/>
          <w:strike w:val="1"/>
        </w:rPr>
        <w:t>.</w:t>
      </w:r>
    </w:p>
    <w:p>
      <w:pPr>
        <w:spacing w:after="0" w:line="179" w:lineRule="exact"/>
        <w:rPr>
          <w:sz w:val="20"/>
          <w:szCs w:val="20"/>
          <w:color w:val="auto"/>
        </w:rPr>
      </w:pPr>
    </w:p>
    <w:p>
      <w:pPr>
        <w:ind w:firstLine="1304"/>
        <w:spacing w:after="0" w:line="232" w:lineRule="auto"/>
        <w:tabs>
          <w:tab w:leader="none" w:pos="1450" w:val="left"/>
        </w:tabs>
        <w:numPr>
          <w:ilvl w:val="0"/>
          <w:numId w:val="229"/>
        </w:numPr>
        <w:rPr>
          <w:rFonts w:ascii="Arial" w:cs="Arial" w:eastAsia="Arial" w:hAnsi="Arial"/>
          <w:sz w:val="22"/>
          <w:szCs w:val="22"/>
          <w:u w:val="single" w:color="auto"/>
          <w:color w:val="0000FF"/>
        </w:rPr>
      </w:pPr>
      <w:r>
        <w:rPr>
          <w:rFonts w:ascii="Arial" w:cs="Arial" w:eastAsia="Arial" w:hAnsi="Arial"/>
          <w:sz w:val="22"/>
          <w:szCs w:val="22"/>
          <w:color w:val="auto"/>
        </w:rPr>
        <w:t>The Borrower will not, nor will the Borrower permit any Restricted Subsidiary to, sell, transfer, lease or otherwise dispose of any asset, including any Equity Interests owned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27" w:name="page228"/>
    <w:bookmarkEnd w:id="227"/>
    <w:p>
      <w:pPr>
        <w:spacing w:after="0" w:line="232" w:lineRule="auto"/>
        <w:rPr>
          <w:sz w:val="20"/>
          <w:szCs w:val="20"/>
          <w:color w:val="auto"/>
        </w:rPr>
      </w:pPr>
      <w:r>
        <w:rPr>
          <w:rFonts w:ascii="Arial" w:cs="Arial" w:eastAsia="Arial" w:hAnsi="Arial"/>
          <w:sz w:val="22"/>
          <w:szCs w:val="22"/>
          <w:color w:val="auto"/>
        </w:rPr>
        <w:t>it nor will the Borrower permit any Restricted Subsidiary to issue any additional Equity Interests in such Restricted Subsidiary, except:</w:t>
      </w:r>
    </w:p>
    <w:p>
      <w:pPr>
        <w:spacing w:after="0" w:line="159" w:lineRule="exact"/>
        <w:rPr>
          <w:sz w:val="20"/>
          <w:szCs w:val="20"/>
          <w:color w:val="auto"/>
        </w:rPr>
      </w:pPr>
    </w:p>
    <w:p>
      <w:pPr>
        <w:jc w:val="both"/>
        <w:ind w:firstLine="1304"/>
        <w:spacing w:after="0" w:line="224" w:lineRule="auto"/>
        <w:tabs>
          <w:tab w:leader="none" w:pos="1776" w:val="left"/>
        </w:tabs>
        <w:numPr>
          <w:ilvl w:val="0"/>
          <w:numId w:val="230"/>
        </w:numPr>
        <w:rPr>
          <w:rFonts w:ascii="Arial" w:cs="Arial" w:eastAsia="Arial" w:hAnsi="Arial"/>
          <w:sz w:val="21"/>
          <w:szCs w:val="21"/>
          <w:color w:val="auto"/>
        </w:rPr>
      </w:pPr>
      <w:r>
        <w:rPr>
          <w:rFonts w:ascii="Arial" w:cs="Arial" w:eastAsia="Arial" w:hAnsi="Arial"/>
          <w:sz w:val="21"/>
          <w:szCs w:val="21"/>
          <w:color w:val="auto"/>
        </w:rPr>
        <w:t>sales, transfers, leases and other Dispositions of (i) inventory or services or immaterial assets in the ordinary course of business, (ii) obsolete, non-core, worn-out, uneconomic, damaged or surplus property or property that is no longer economically practical or commercially desirable to maintain or used or useful in its business, whether now or hereafter owned or leased or acquired in connection with an Acquisition or other permitted Investments, in the ordinary course of business, (iii) cash, Cash Equivalents and other investment securities in the ordinary course of business, and (iv) accounts in the ordinary course of business for purposes of collection;</w:t>
      </w:r>
    </w:p>
    <w:p>
      <w:pPr>
        <w:spacing w:after="0" w:line="159" w:lineRule="exact"/>
        <w:rPr>
          <w:rFonts w:ascii="Arial" w:cs="Arial" w:eastAsia="Arial" w:hAnsi="Arial"/>
          <w:sz w:val="21"/>
          <w:szCs w:val="21"/>
          <w:color w:val="auto"/>
        </w:rPr>
      </w:pPr>
    </w:p>
    <w:p>
      <w:pPr>
        <w:jc w:val="both"/>
        <w:ind w:firstLine="1304"/>
        <w:spacing w:after="0" w:line="221" w:lineRule="auto"/>
        <w:tabs>
          <w:tab w:leader="none" w:pos="1877" w:val="left"/>
        </w:tabs>
        <w:numPr>
          <w:ilvl w:val="0"/>
          <w:numId w:val="230"/>
        </w:numPr>
        <w:rPr>
          <w:rFonts w:ascii="Arial" w:cs="Arial" w:eastAsia="Arial" w:hAnsi="Arial"/>
          <w:sz w:val="21"/>
          <w:szCs w:val="21"/>
          <w:color w:val="auto"/>
        </w:rPr>
      </w:pPr>
      <w:r>
        <w:rPr>
          <w:rFonts w:ascii="Arial" w:cs="Arial" w:eastAsia="Arial" w:hAnsi="Arial"/>
          <w:sz w:val="21"/>
          <w:szCs w:val="21"/>
          <w:color w:val="auto"/>
        </w:rPr>
        <w:t xml:space="preserve">sales, transfers, leases and other Dispositions to any Loan Party (other than Holdings) or any Restricted Subsidiary (including by contribution, Disposition, dividend or otherwise);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if the transferor of such property is a Loan Party (other than Holdings), then (x) the transferee thereof must be a Loan Party or (y) (1) to the extent constituting a Disposition to a Restricted Subsidiary that is not a Loan Party, such Disposition is for fair value and any promissory note or other non-cash consideration received in respect thereof is a permitted Investment in a Restricted Subsidiary that is not a Loan Party in accordance with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6.04(f)</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6.04(aa)</w:t>
      </w:r>
      <w:r>
        <w:rPr>
          <w:rFonts w:ascii="Arial" w:cs="Arial" w:eastAsia="Arial" w:hAnsi="Arial"/>
          <w:sz w:val="21"/>
          <w:szCs w:val="21"/>
          <w:color w:val="auto"/>
        </w:rPr>
        <w:t xml:space="preserve">) or (2) to the extent constituting an Investment, such Investment must be a permitted Investment in a Restricted Subsidiary that is not a Loan Party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6.04</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6.04(f)</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6.04(aa))</w:t>
      </w:r>
      <w:r>
        <w:rPr>
          <w:rFonts w:ascii="Arial" w:cs="Arial" w:eastAsia="Arial" w:hAnsi="Arial"/>
          <w:sz w:val="21"/>
          <w:szCs w:val="21"/>
          <w:color w:val="auto"/>
        </w:rPr>
        <w:t xml:space="preserve"> and (ii) if the transferee is Holdings, then such Disposition must be a Restricted Payment made pursuant to </w:t>
      </w:r>
      <w:r>
        <w:rPr>
          <w:rFonts w:ascii="Arial" w:cs="Arial" w:eastAsia="Arial" w:hAnsi="Arial"/>
          <w:sz w:val="21"/>
          <w:szCs w:val="21"/>
          <w:u w:val="single" w:color="auto"/>
          <w:color w:val="auto"/>
        </w:rPr>
        <w:t>Section 6.06</w:t>
      </w:r>
      <w:r>
        <w:rPr>
          <w:rFonts w:ascii="Arial" w:cs="Arial" w:eastAsia="Arial" w:hAnsi="Arial"/>
          <w:sz w:val="21"/>
          <w:szCs w:val="21"/>
          <w:color w:val="auto"/>
        </w:rPr>
        <w:t>;</w:t>
      </w:r>
    </w:p>
    <w:p>
      <w:pPr>
        <w:spacing w:after="0" w:line="158" w:lineRule="exact"/>
        <w:rPr>
          <w:rFonts w:ascii="Arial" w:cs="Arial" w:eastAsia="Arial" w:hAnsi="Arial"/>
          <w:sz w:val="21"/>
          <w:szCs w:val="21"/>
          <w:color w:val="auto"/>
        </w:rPr>
      </w:pPr>
    </w:p>
    <w:p>
      <w:pPr>
        <w:jc w:val="both"/>
        <w:ind w:firstLine="1304"/>
        <w:spacing w:after="0" w:line="223" w:lineRule="auto"/>
        <w:tabs>
          <w:tab w:leader="none" w:pos="2043" w:val="left"/>
        </w:tabs>
        <w:numPr>
          <w:ilvl w:val="0"/>
          <w:numId w:val="230"/>
        </w:numPr>
        <w:rPr>
          <w:rFonts w:ascii="Arial" w:cs="Arial" w:eastAsia="Arial" w:hAnsi="Arial"/>
          <w:sz w:val="22"/>
          <w:szCs w:val="22"/>
          <w:color w:val="auto"/>
        </w:rPr>
      </w:pPr>
      <w:r>
        <w:rPr>
          <w:rFonts w:ascii="Arial" w:cs="Arial" w:eastAsia="Arial" w:hAnsi="Arial"/>
          <w:sz w:val="22"/>
          <w:szCs w:val="22"/>
          <w:color w:val="auto"/>
        </w:rPr>
        <w:t>sales, transfers and other Dispositions of accounts receivable (including write-offs, discounts and compromises) in connection with the compromise, settlement or collection thereof in the ordinary course of business or consistent with past practice;</w:t>
      </w:r>
    </w:p>
    <w:p>
      <w:pPr>
        <w:spacing w:after="0" w:line="158" w:lineRule="exact"/>
        <w:rPr>
          <w:rFonts w:ascii="Arial" w:cs="Arial" w:eastAsia="Arial" w:hAnsi="Arial"/>
          <w:sz w:val="22"/>
          <w:szCs w:val="22"/>
          <w:color w:val="auto"/>
        </w:rPr>
      </w:pPr>
    </w:p>
    <w:p>
      <w:pPr>
        <w:jc w:val="both"/>
        <w:ind w:firstLine="1304"/>
        <w:spacing w:after="0" w:line="234" w:lineRule="auto"/>
        <w:tabs>
          <w:tab w:leader="none" w:pos="1887" w:val="left"/>
        </w:tabs>
        <w:numPr>
          <w:ilvl w:val="0"/>
          <w:numId w:val="230"/>
        </w:numPr>
        <w:rPr>
          <w:rFonts w:ascii="Arial" w:cs="Arial" w:eastAsia="Arial" w:hAnsi="Arial"/>
          <w:sz w:val="21"/>
          <w:szCs w:val="21"/>
          <w:color w:val="auto"/>
        </w:rPr>
      </w:pPr>
      <w:r>
        <w:rPr>
          <w:rFonts w:ascii="Arial" w:cs="Arial" w:eastAsia="Arial" w:hAnsi="Arial"/>
          <w:sz w:val="21"/>
          <w:szCs w:val="21"/>
          <w:color w:val="auto"/>
        </w:rPr>
        <w:t xml:space="preserve">sales, transfers, leases and other Dispositions of property to the extent that such property constitutes an Investment permitted by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6.04(l)</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(aa)</w:t>
      </w:r>
      <w:r>
        <w:rPr>
          <w:rFonts w:ascii="Arial" w:cs="Arial" w:eastAsia="Arial" w:hAnsi="Arial"/>
          <w:sz w:val="21"/>
          <w:szCs w:val="21"/>
          <w:color w:val="auto"/>
        </w:rPr>
        <w:t>) hereunder (in each case, other than Equity Interests in a Restricted Subsidiary, unless all Equity Interests in such Restricted Subsidiary are sold);</w:t>
      </w:r>
    </w:p>
    <w:p>
      <w:pPr>
        <w:spacing w:after="0" w:line="157" w:lineRule="exact"/>
        <w:rPr>
          <w:rFonts w:ascii="Arial" w:cs="Arial" w:eastAsia="Arial" w:hAnsi="Arial"/>
          <w:sz w:val="21"/>
          <w:szCs w:val="21"/>
          <w:color w:val="auto"/>
        </w:rPr>
      </w:pPr>
    </w:p>
    <w:p>
      <w:pPr>
        <w:ind w:firstLine="1304"/>
        <w:spacing w:after="0" w:line="298" w:lineRule="auto"/>
        <w:tabs>
          <w:tab w:leader="none" w:pos="1756" w:val="left"/>
        </w:tabs>
        <w:numPr>
          <w:ilvl w:val="0"/>
          <w:numId w:val="230"/>
        </w:numPr>
        <w:rPr>
          <w:rFonts w:ascii="Arial" w:cs="Arial" w:eastAsia="Arial" w:hAnsi="Arial"/>
          <w:sz w:val="19"/>
          <w:szCs w:val="19"/>
          <w:color w:val="auto"/>
        </w:rPr>
      </w:pPr>
      <w:r>
        <w:rPr>
          <w:rFonts w:ascii="Arial" w:cs="Arial" w:eastAsia="Arial" w:hAnsi="Arial"/>
          <w:sz w:val="19"/>
          <w:szCs w:val="19"/>
          <w:color w:val="auto"/>
        </w:rPr>
        <w:t>leases or licenses or subleases or sublicenses entered into in the ordinary course of business, to the extent that they do not materially interfere with the business of Holdings and the Restricted Subsidiaries taken as a whole;</w:t>
      </w:r>
    </w:p>
    <w:p>
      <w:pPr>
        <w:spacing w:after="0" w:line="105" w:lineRule="exact"/>
        <w:rPr>
          <w:rFonts w:ascii="Arial" w:cs="Arial" w:eastAsia="Arial" w:hAnsi="Arial"/>
          <w:sz w:val="19"/>
          <w:szCs w:val="19"/>
          <w:color w:val="auto"/>
        </w:rPr>
      </w:pPr>
    </w:p>
    <w:p>
      <w:pPr>
        <w:jc w:val="both"/>
        <w:ind w:firstLine="1304"/>
        <w:spacing w:after="0" w:line="221" w:lineRule="auto"/>
        <w:tabs>
          <w:tab w:leader="none" w:pos="1791" w:val="left"/>
        </w:tabs>
        <w:numPr>
          <w:ilvl w:val="0"/>
          <w:numId w:val="230"/>
        </w:numPr>
        <w:rPr>
          <w:rFonts w:ascii="Arial" w:cs="Arial" w:eastAsia="Arial" w:hAnsi="Arial"/>
          <w:sz w:val="21"/>
          <w:szCs w:val="21"/>
          <w:color w:val="auto"/>
        </w:rPr>
      </w:pPr>
      <w:r>
        <w:rPr>
          <w:rFonts w:ascii="Arial" w:cs="Arial" w:eastAsia="Arial" w:hAnsi="Arial"/>
          <w:sz w:val="21"/>
          <w:szCs w:val="21"/>
          <w:color w:val="auto"/>
        </w:rPr>
        <w:t>conveyances, sales, transfers, licenses or sublicenses or other Dispositions of Software or other Intellectual Property in the ordinary course of business (i) that is, in the reasonable good faith judgment of the Borrower, immaterial to the business of Holdings or any Restricted Subsidiary, or no longer economically practicable or commercially desirable to maintain or used or useful in the business of Holdings or the Restricted Subsidiaries or (ii) pursuant to a research or development agreement entered into in the ordinary course of business in which the counterparty to such agreement receives a license to Software or other Intellectual Property that results from such agreement, in each case, to the extent that such conveyance, sale, transfer, license, sublicense or other Disposition does not materially interfere with the businesses of Holdings or any Restricted Subsidiary taken as a whole;</w:t>
      </w:r>
    </w:p>
    <w:p>
      <w:pPr>
        <w:spacing w:after="0" w:line="165" w:lineRule="exact"/>
        <w:rPr>
          <w:rFonts w:ascii="Arial" w:cs="Arial" w:eastAsia="Arial" w:hAnsi="Arial"/>
          <w:sz w:val="21"/>
          <w:szCs w:val="21"/>
          <w:color w:val="auto"/>
        </w:rPr>
      </w:pPr>
    </w:p>
    <w:p>
      <w:pPr>
        <w:ind w:firstLine="1304"/>
        <w:spacing w:after="0" w:line="247" w:lineRule="auto"/>
        <w:tabs>
          <w:tab w:leader="none" w:pos="1770" w:val="left"/>
        </w:tabs>
        <w:numPr>
          <w:ilvl w:val="0"/>
          <w:numId w:val="230"/>
        </w:numPr>
        <w:rPr>
          <w:rFonts w:ascii="Arial" w:cs="Arial" w:eastAsia="Arial" w:hAnsi="Arial"/>
          <w:sz w:val="21"/>
          <w:szCs w:val="21"/>
          <w:color w:val="auto"/>
        </w:rPr>
      </w:pPr>
      <w:r>
        <w:rPr>
          <w:rFonts w:ascii="Arial" w:cs="Arial" w:eastAsia="Arial" w:hAnsi="Arial"/>
          <w:sz w:val="21"/>
          <w:szCs w:val="21"/>
          <w:color w:val="auto"/>
        </w:rPr>
        <w:t>Dispositions resulting from any casualty or insured damage to, or any taking under power of eminent domain or by condemnation or similar proceeding of, any property or asset of Holdings or any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28" w:name="page229"/>
    <w:bookmarkEnd w:id="228"/>
    <w:p>
      <w:pPr>
        <w:jc w:val="both"/>
        <w:ind w:firstLine="1304"/>
        <w:spacing w:after="0" w:line="229" w:lineRule="auto"/>
        <w:tabs>
          <w:tab w:leader="none" w:pos="1829" w:val="left"/>
        </w:tabs>
        <w:numPr>
          <w:ilvl w:val="0"/>
          <w:numId w:val="231"/>
        </w:numPr>
        <w:rPr>
          <w:rFonts w:ascii="Arial" w:cs="Arial" w:eastAsia="Arial" w:hAnsi="Arial"/>
          <w:sz w:val="21"/>
          <w:szCs w:val="21"/>
          <w:color w:val="auto"/>
        </w:rPr>
      </w:pPr>
      <w:r>
        <w:rPr>
          <w:rFonts w:ascii="Arial" w:cs="Arial" w:eastAsia="Arial" w:hAnsi="Arial"/>
          <w:sz w:val="21"/>
          <w:szCs w:val="21"/>
          <w:color w:val="auto"/>
        </w:rPr>
        <w:t>the abandonment or lapse of Intellectual Property that is no longer material to the business of Holdings or any Restricted Subsidiary, or otherwise no longer of material value, (whether such Intellectual Property is now or hereafter owned or licensed or acquired in connection with an Acquisition or other permitted Investment), or the expiration of Intellectual Property in accordance with its statutory term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term is not renewable);</w:t>
      </w:r>
    </w:p>
    <w:p>
      <w:pPr>
        <w:spacing w:after="0" w:line="158" w:lineRule="exact"/>
        <w:rPr>
          <w:rFonts w:ascii="Arial" w:cs="Arial" w:eastAsia="Arial" w:hAnsi="Arial"/>
          <w:sz w:val="21"/>
          <w:szCs w:val="21"/>
          <w:color w:val="auto"/>
        </w:rPr>
      </w:pPr>
    </w:p>
    <w:p>
      <w:pPr>
        <w:ind w:firstLine="1304"/>
        <w:spacing w:after="0" w:line="232" w:lineRule="auto"/>
        <w:tabs>
          <w:tab w:leader="none" w:pos="1753" w:val="left"/>
        </w:tabs>
        <w:numPr>
          <w:ilvl w:val="0"/>
          <w:numId w:val="231"/>
        </w:numPr>
        <w:rPr>
          <w:rFonts w:ascii="Arial" w:cs="Arial" w:eastAsia="Arial" w:hAnsi="Arial"/>
          <w:sz w:val="22"/>
          <w:szCs w:val="22"/>
          <w:color w:val="auto"/>
        </w:rPr>
      </w:pPr>
      <w:r>
        <w:rPr>
          <w:rFonts w:ascii="Arial" w:cs="Arial" w:eastAsia="Arial" w:hAnsi="Arial"/>
          <w:sz w:val="22"/>
          <w:szCs w:val="22"/>
          <w:color w:val="auto"/>
        </w:rPr>
        <w:t xml:space="preserve">the Disposition of (x) any assets existing on the Closing Date that are set forth on </w:t>
      </w:r>
      <w:r>
        <w:rPr>
          <w:rFonts w:ascii="Arial" w:cs="Arial" w:eastAsia="Arial" w:hAnsi="Arial"/>
          <w:sz w:val="22"/>
          <w:szCs w:val="22"/>
          <w:u w:val="single" w:color="auto"/>
          <w:color w:val="auto"/>
        </w:rPr>
        <w:t>Schedule 6.05</w:t>
      </w:r>
      <w:r>
        <w:rPr>
          <w:rFonts w:ascii="Arial" w:cs="Arial" w:eastAsia="Arial" w:hAnsi="Arial"/>
          <w:sz w:val="22"/>
          <w:szCs w:val="22"/>
          <w:color w:val="auto"/>
        </w:rPr>
        <w:t xml:space="preserve"> or (y) non-core assets acquired in connection with any Permitted Acquisition or other permitted Investment;</w:t>
      </w:r>
    </w:p>
    <w:p>
      <w:pPr>
        <w:spacing w:after="0" w:line="158" w:lineRule="exact"/>
        <w:rPr>
          <w:rFonts w:ascii="Arial" w:cs="Arial" w:eastAsia="Arial" w:hAnsi="Arial"/>
          <w:sz w:val="22"/>
          <w:szCs w:val="22"/>
          <w:color w:val="auto"/>
        </w:rPr>
      </w:pPr>
    </w:p>
    <w:p>
      <w:pPr>
        <w:jc w:val="both"/>
        <w:ind w:firstLine="1304"/>
        <w:spacing w:after="0"/>
        <w:tabs>
          <w:tab w:leader="none" w:pos="1749" w:val="left"/>
        </w:tabs>
        <w:numPr>
          <w:ilvl w:val="0"/>
          <w:numId w:val="231"/>
        </w:numPr>
        <w:rPr>
          <w:rFonts w:ascii="Arial" w:cs="Arial" w:eastAsia="Arial" w:hAnsi="Arial"/>
          <w:sz w:val="19"/>
          <w:szCs w:val="19"/>
          <w:color w:val="auto"/>
        </w:rPr>
      </w:pPr>
      <w:r>
        <w:rPr>
          <w:rFonts w:ascii="Arial" w:cs="Arial" w:eastAsia="Arial" w:hAnsi="Arial"/>
          <w:sz w:val="19"/>
          <w:szCs w:val="19"/>
          <w:color w:val="auto"/>
        </w:rPr>
        <w:t xml:space="preserve">sales, transfers and other Dispositions by any Holding Company or any Restricted Subsidiary of assets since the Closing Date so long as (A) such Disposition is for fair market value (as determined in good faith by the Borrower or such Restricted Subsidiary), (B) at the time of execution of a binding agreement in respect of such sale, transfer or other Disposition, no Event of Default has occurred and is continuing or would result therefrom, (C) if the assets sold, transferred or otherwise Disposed of have a fair market value in excess of the greater of (x) $10,000,000 and (y) 10.0% of LTM EBITDA calculated on a Pro Forma Basis as of the Applicable Date of Determination, at least 75% of the consideration (other than (1) the assumption by the transferee of Indebtedness or other liabilities contingent or otherwise of any Holding Company or any of the Restricted Subsidiaries and the valid release of any Holding Company or such Restricted Subsidiary, by all applicable creditors in writing, from all liability on such Indebtedness or other liability in connection with such Disposition, (2) securities, notes or other obligations received by any Holding Company or any of the Restricted Subsidiaries from the transferee that are converted by any Holding Company or any of the Restricted Subsidiaries into cash or Cash Equivalents within 180 days following the closing of such Disposition, (3) Indebtedness of any Restricted Subsidiary that is no longer a Restricted Subsidiary as a result of such Disposition, to the extent that each Holding Company and each other Restricted Subsidiary are released from any Guarantee of payment of such Indebtedness in connection with such Disposition, (4) consideration consisting of Indebtedness of a Holding Company or Restricted Subsidiary (other than Subordinated Indebtedness) received after the Closing Date from Persons who are not a Holding Company or any Restricted Subsidiary and (5) in connection with an asset swap, all of which shall be deemed “cash”) received is cash or Cash Equivalents or Designated Non-Cash Consideration to the extent that all Designated Non-Cash Consideration at such time does not exceed the greater of (x) $10,000,000 and (y) 10.0% of LTM EBITDA calculated on a Pro Forma Basis as of the Applicable Date of Determination (with the fair market value of each item of Designated Non-Cash Consideration being measured at the time received and without giving effect to subsequent changes in value) and all of the consideration received is at least equal to the fair market value of the assets sold, transferred or otherwise Disposed of, and (D) the Net Proceeds thereof shall be subject to </w:t>
      </w:r>
      <w:r>
        <w:rPr>
          <w:rFonts w:ascii="Arial" w:cs="Arial" w:eastAsia="Arial" w:hAnsi="Arial"/>
          <w:sz w:val="19"/>
          <w:szCs w:val="19"/>
          <w:u w:val="single" w:color="auto"/>
          <w:color w:val="auto"/>
        </w:rPr>
        <w:t>Section 2.11(c)</w:t>
      </w:r>
      <w:r>
        <w:rPr>
          <w:rFonts w:ascii="Arial" w:cs="Arial" w:eastAsia="Arial" w:hAnsi="Arial"/>
          <w:sz w:val="19"/>
          <w:szCs w:val="19"/>
          <w:color w:val="auto"/>
        </w:rPr>
        <w:t>;</w:t>
      </w:r>
    </w:p>
    <w:p>
      <w:pPr>
        <w:spacing w:after="0" w:line="379" w:lineRule="exact"/>
        <w:rPr>
          <w:rFonts w:ascii="Arial" w:cs="Arial" w:eastAsia="Arial" w:hAnsi="Arial"/>
          <w:sz w:val="19"/>
          <w:szCs w:val="19"/>
          <w:color w:val="auto"/>
        </w:rPr>
      </w:pPr>
    </w:p>
    <w:p>
      <w:pPr>
        <w:ind w:left="1780" w:hanging="476"/>
        <w:spacing w:after="0"/>
        <w:tabs>
          <w:tab w:leader="none" w:pos="178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 xml:space="preserve">sales, transfers and other Dispositions permitted by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6.03(a)(v)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(b)(viii)</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ind w:left="1720" w:hanging="416"/>
        <w:spacing w:after="0"/>
        <w:tabs>
          <w:tab w:leader="none" w:pos="172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 xml:space="preserve">the incurrence of Liens permitted by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sales, transfers and other Dispositions made in order to effect the Transactions;</w:t>
      </w:r>
    </w:p>
    <w:p>
      <w:pPr>
        <w:spacing w:after="0" w:line="179" w:lineRule="exact"/>
        <w:rPr>
          <w:rFonts w:ascii="Arial" w:cs="Arial" w:eastAsia="Arial" w:hAnsi="Arial"/>
          <w:sz w:val="22"/>
          <w:szCs w:val="22"/>
          <w:color w:val="auto"/>
        </w:rPr>
      </w:pPr>
    </w:p>
    <w:p>
      <w:pPr>
        <w:ind w:firstLine="1304"/>
        <w:spacing w:after="0" w:line="232" w:lineRule="auto"/>
        <w:tabs>
          <w:tab w:leader="none" w:pos="1793" w:val="left"/>
        </w:tabs>
        <w:numPr>
          <w:ilvl w:val="0"/>
          <w:numId w:val="231"/>
        </w:numPr>
        <w:rPr>
          <w:rFonts w:ascii="Arial" w:cs="Arial" w:eastAsia="Arial" w:hAnsi="Arial"/>
          <w:sz w:val="22"/>
          <w:szCs w:val="22"/>
          <w:color w:val="auto"/>
        </w:rPr>
      </w:pPr>
      <w:r>
        <w:rPr>
          <w:rFonts w:ascii="Arial" w:cs="Arial" w:eastAsia="Arial" w:hAnsi="Arial"/>
          <w:sz w:val="22"/>
          <w:szCs w:val="22"/>
          <w:color w:val="auto"/>
        </w:rPr>
        <w:t>sales or Dispositions of Equity Interests of any Subsidiary of Holdings (other than the Borrower) in order to qualify members of the Governing Body of such Subsidiary if required by applicable law;</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231"/>
        </w:numPr>
        <w:rPr>
          <w:rFonts w:ascii="Arial" w:cs="Arial" w:eastAsia="Arial" w:hAnsi="Arial"/>
          <w:sz w:val="21"/>
          <w:szCs w:val="21"/>
          <w:color w:val="auto"/>
        </w:rPr>
      </w:pPr>
      <w:r>
        <w:rPr>
          <w:rFonts w:ascii="Arial" w:cs="Arial" w:eastAsia="Arial" w:hAnsi="Arial"/>
          <w:sz w:val="21"/>
          <w:szCs w:val="21"/>
          <w:color w:val="auto"/>
        </w:rPr>
        <w:t>samples, including time-limited evaluation software, provided to customers or prospective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29" w:name="page230"/>
    <w:bookmarkEnd w:id="229"/>
    <w:p>
      <w:pPr>
        <w:ind w:left="1780" w:hanging="476"/>
        <w:spacing w:after="0"/>
        <w:tabs>
          <w:tab w:leader="none" w:pos="178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de minimis amounts of equipment provided to employees;</w:t>
      </w:r>
    </w:p>
    <w:p>
      <w:pPr>
        <w:spacing w:after="0" w:line="179" w:lineRule="exact"/>
        <w:rPr>
          <w:rFonts w:ascii="Arial" w:cs="Arial" w:eastAsia="Arial" w:hAnsi="Arial"/>
          <w:sz w:val="22"/>
          <w:szCs w:val="22"/>
          <w:color w:val="auto"/>
        </w:rPr>
      </w:pPr>
    </w:p>
    <w:p>
      <w:pPr>
        <w:ind w:firstLine="1304"/>
        <w:spacing w:after="0" w:line="247" w:lineRule="auto"/>
        <w:tabs>
          <w:tab w:leader="none" w:pos="1812" w:val="left"/>
        </w:tabs>
        <w:numPr>
          <w:ilvl w:val="1"/>
          <w:numId w:val="232"/>
        </w:numPr>
        <w:rPr>
          <w:rFonts w:ascii="Arial" w:cs="Arial" w:eastAsia="Arial" w:hAnsi="Arial"/>
          <w:sz w:val="21"/>
          <w:szCs w:val="21"/>
          <w:color w:val="auto"/>
        </w:rPr>
      </w:pPr>
      <w:r>
        <w:rPr>
          <w:rFonts w:ascii="Arial" w:cs="Arial" w:eastAsia="Arial" w:hAnsi="Arial"/>
          <w:sz w:val="21"/>
          <w:szCs w:val="21"/>
          <w:color w:val="auto"/>
        </w:rPr>
        <w:t>sales, transfers and other Dispositions of (i) any Equity Interests in Unrestricted Subsidiaries or their assets or (ii) other Excluded Property or (with respect to any Foreign Subsidiary) assets not constituting Collateral;</w:t>
      </w:r>
    </w:p>
    <w:p>
      <w:pPr>
        <w:spacing w:after="0" w:line="150" w:lineRule="exact"/>
        <w:rPr>
          <w:rFonts w:ascii="Arial" w:cs="Arial" w:eastAsia="Arial" w:hAnsi="Arial"/>
          <w:sz w:val="21"/>
          <w:szCs w:val="21"/>
          <w:color w:val="auto"/>
        </w:rPr>
      </w:pPr>
    </w:p>
    <w:p>
      <w:pPr>
        <w:ind w:left="1740" w:hanging="436"/>
        <w:spacing w:after="0"/>
        <w:tabs>
          <w:tab w:leader="none" w:pos="174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 xml:space="preserve">Restricted Payments made pursuant to </w:t>
      </w:r>
      <w:r>
        <w:rPr>
          <w:rFonts w:ascii="Arial" w:cs="Arial" w:eastAsia="Arial" w:hAnsi="Arial"/>
          <w:sz w:val="22"/>
          <w:szCs w:val="22"/>
          <w:u w:val="single" w:color="auto"/>
          <w:color w:val="auto"/>
        </w:rPr>
        <w:t>Section 6.06</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760" w:hanging="456"/>
        <w:spacing w:after="0"/>
        <w:tabs>
          <w:tab w:leader="none" w:pos="1760" w:val="left"/>
        </w:tabs>
        <w:numPr>
          <w:ilvl w:val="1"/>
          <w:numId w:val="232"/>
        </w:numPr>
        <w:rPr>
          <w:rFonts w:ascii="Arial" w:cs="Arial" w:eastAsia="Arial" w:hAnsi="Arial"/>
          <w:sz w:val="19"/>
          <w:szCs w:val="19"/>
          <w:color w:val="auto"/>
        </w:rPr>
      </w:pPr>
      <w:r>
        <w:rPr>
          <w:rFonts w:ascii="Arial" w:cs="Arial" w:eastAsia="Arial" w:hAnsi="Arial"/>
          <w:sz w:val="19"/>
          <w:szCs w:val="19"/>
          <w:color w:val="auto"/>
        </w:rPr>
        <w:t>Permitted Sale Leasebacks in an aggregate principal amount not to exceed the greater of (x) $19,000,000 and</w:t>
      </w:r>
    </w:p>
    <w:p>
      <w:pPr>
        <w:spacing w:after="0" w:line="15" w:lineRule="exact"/>
        <w:rPr>
          <w:rFonts w:ascii="Arial" w:cs="Arial" w:eastAsia="Arial" w:hAnsi="Arial"/>
          <w:sz w:val="19"/>
          <w:szCs w:val="19"/>
          <w:color w:val="auto"/>
        </w:rPr>
      </w:pPr>
    </w:p>
    <w:p>
      <w:pPr>
        <w:ind w:left="320" w:hanging="312"/>
        <w:spacing w:after="0"/>
        <w:tabs>
          <w:tab w:leader="none" w:pos="32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18.75% of LTM EBITDA calculated on a Pro Forma Basis as of the Applicable Date of Determination at any time;</w:t>
      </w:r>
    </w:p>
    <w:p>
      <w:pPr>
        <w:spacing w:after="0" w:line="172" w:lineRule="exact"/>
        <w:rPr>
          <w:rFonts w:ascii="Arial" w:cs="Arial" w:eastAsia="Arial" w:hAnsi="Arial"/>
          <w:sz w:val="21"/>
          <w:szCs w:val="21"/>
          <w:color w:val="auto"/>
        </w:rPr>
      </w:pPr>
    </w:p>
    <w:p>
      <w:pPr>
        <w:ind w:left="1720" w:hanging="416"/>
        <w:spacing w:after="0"/>
        <w:tabs>
          <w:tab w:leader="none" w:pos="172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the unwinding of any Cash Management Agreement or Swap Agreement pursuant to its terms;</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804" w:val="left"/>
        </w:tabs>
        <w:numPr>
          <w:ilvl w:val="1"/>
          <w:numId w:val="233"/>
        </w:numPr>
        <w:rPr>
          <w:rFonts w:ascii="Arial" w:cs="Arial" w:eastAsia="Arial" w:hAnsi="Arial"/>
          <w:sz w:val="22"/>
          <w:szCs w:val="22"/>
          <w:color w:val="auto"/>
        </w:rPr>
      </w:pPr>
      <w:r>
        <w:rPr>
          <w:rFonts w:ascii="Arial" w:cs="Arial" w:eastAsia="Arial" w:hAnsi="Arial"/>
          <w:sz w:val="22"/>
          <w:szCs w:val="22"/>
          <w:color w:val="auto"/>
        </w:rPr>
        <w:t>sales, transfers or other Dispositions of Investments in Joint Ventures or any Subsidiary that is not a wholly owned Restricted Subsidiary to the extent required by, or made pursuant to, customary buy/sell arrangements between, the parties set forth in Joint Venture arrangements and similar binding agreements;</w:t>
      </w:r>
    </w:p>
    <w:p>
      <w:pPr>
        <w:spacing w:after="0" w:line="158" w:lineRule="exact"/>
        <w:rPr>
          <w:rFonts w:ascii="Arial" w:cs="Arial" w:eastAsia="Arial" w:hAnsi="Arial"/>
          <w:sz w:val="22"/>
          <w:szCs w:val="22"/>
          <w:color w:val="auto"/>
        </w:rPr>
      </w:pPr>
    </w:p>
    <w:p>
      <w:pPr>
        <w:jc w:val="both"/>
        <w:ind w:firstLine="1304"/>
        <w:spacing w:after="0" w:line="222" w:lineRule="auto"/>
        <w:tabs>
          <w:tab w:leader="none" w:pos="1955" w:val="left"/>
        </w:tabs>
        <w:numPr>
          <w:ilvl w:val="1"/>
          <w:numId w:val="233"/>
        </w:numPr>
        <w:rPr>
          <w:rFonts w:ascii="Arial" w:cs="Arial" w:eastAsia="Arial" w:hAnsi="Arial"/>
          <w:sz w:val="21"/>
          <w:szCs w:val="21"/>
          <w:color w:val="auto"/>
        </w:rPr>
      </w:pPr>
      <w:r>
        <w:rPr>
          <w:rFonts w:ascii="Arial" w:cs="Arial" w:eastAsia="Arial" w:hAnsi="Arial"/>
          <w:sz w:val="21"/>
          <w:szCs w:val="21"/>
          <w:color w:val="auto"/>
        </w:rPr>
        <w:t>(i) terminating or otherwise collapsing cost sharing agreements with and settlements of any crossing payments in connection therewith, (ii) converting any intercompany Indebtedness to Equity Interests, (iii) transferring any intercompany Indebtedness solely between Loan Parties or solely between non-Loan Parties, (iv) settling, discounting, writing off, forgiving or canceling any intercompany Indebtedness or other obligation owing by any Loan Party, (v) settling, discounting, writing off, forgiving or cancelling any Indebtedness owing by any present or former consultants, directors, officers or employees of any Holding Company the Borrower or any Subsidiary or any of their successors or assigns, or (vi) surrendering or waiving contractual rights and settling or waiving contractual or litigation claims;</w:t>
      </w:r>
    </w:p>
    <w:p>
      <w:pPr>
        <w:spacing w:after="0" w:line="164" w:lineRule="exact"/>
        <w:rPr>
          <w:rFonts w:ascii="Arial" w:cs="Arial" w:eastAsia="Arial" w:hAnsi="Arial"/>
          <w:sz w:val="21"/>
          <w:szCs w:val="21"/>
          <w:color w:val="auto"/>
        </w:rPr>
      </w:pPr>
    </w:p>
    <w:p>
      <w:pPr>
        <w:jc w:val="both"/>
        <w:ind w:firstLine="1304"/>
        <w:spacing w:after="0" w:line="268" w:lineRule="auto"/>
        <w:tabs>
          <w:tab w:leader="none" w:pos="1845" w:val="left"/>
        </w:tabs>
        <w:numPr>
          <w:ilvl w:val="1"/>
          <w:numId w:val="233"/>
        </w:numPr>
        <w:rPr>
          <w:rFonts w:ascii="Arial" w:cs="Arial" w:eastAsia="Arial" w:hAnsi="Arial"/>
          <w:sz w:val="19"/>
          <w:szCs w:val="19"/>
          <w:color w:val="auto"/>
        </w:rPr>
      </w:pPr>
      <w:r>
        <w:rPr>
          <w:rFonts w:ascii="Arial" w:cs="Arial" w:eastAsia="Arial" w:hAnsi="Arial"/>
          <w:sz w:val="19"/>
          <w:szCs w:val="19"/>
          <w:color w:val="auto"/>
        </w:rPr>
        <w:t>any Disposition of Securitization Assets or Receivables Assets, or participations therein, in connection with any Qualified Securitization Financing or Receivables Facility, or the Disposition of an account receivable in connection with the collection or compromise thereof in the ordinary course of business or consistent with past practice;</w:t>
      </w:r>
    </w:p>
    <w:p>
      <w:pPr>
        <w:spacing w:after="0" w:line="132" w:lineRule="exact"/>
        <w:rPr>
          <w:rFonts w:ascii="Arial" w:cs="Arial" w:eastAsia="Arial" w:hAnsi="Arial"/>
          <w:sz w:val="19"/>
          <w:szCs w:val="19"/>
          <w:color w:val="auto"/>
        </w:rPr>
      </w:pPr>
    </w:p>
    <w:p>
      <w:pPr>
        <w:ind w:left="1860" w:hanging="556"/>
        <w:spacing w:after="0"/>
        <w:tabs>
          <w:tab w:leader="none" w:pos="1860" w:val="left"/>
        </w:tabs>
        <w:numPr>
          <w:ilvl w:val="1"/>
          <w:numId w:val="233"/>
        </w:numPr>
        <w:rPr>
          <w:rFonts w:ascii="Arial" w:cs="Arial" w:eastAsia="Arial" w:hAnsi="Arial"/>
          <w:sz w:val="19"/>
          <w:szCs w:val="19"/>
          <w:color w:val="auto"/>
        </w:rPr>
      </w:pPr>
      <w:r>
        <w:rPr>
          <w:rFonts w:ascii="Arial" w:cs="Arial" w:eastAsia="Arial" w:hAnsi="Arial"/>
          <w:sz w:val="19"/>
          <w:szCs w:val="19"/>
          <w:color w:val="auto"/>
        </w:rPr>
        <w:t>conveyances, sales, transfers, leases, licenses, sublicenses or other Dispositions pursuant to Intercompany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License Agreements;</w:t>
      </w:r>
    </w:p>
    <w:p>
      <w:pPr>
        <w:spacing w:after="0" w:line="161" w:lineRule="exact"/>
        <w:rPr>
          <w:rFonts w:ascii="Arial" w:cs="Arial" w:eastAsia="Arial" w:hAnsi="Arial"/>
          <w:sz w:val="19"/>
          <w:szCs w:val="19"/>
          <w:color w:val="auto"/>
        </w:rPr>
      </w:pPr>
    </w:p>
    <w:p>
      <w:pPr>
        <w:jc w:val="both"/>
        <w:ind w:firstLine="1304"/>
        <w:spacing w:after="0" w:line="218" w:lineRule="auto"/>
        <w:tabs>
          <w:tab w:leader="none" w:pos="1786" w:val="left"/>
        </w:tabs>
        <w:numPr>
          <w:ilvl w:val="1"/>
          <w:numId w:val="233"/>
        </w:numPr>
        <w:rPr>
          <w:rFonts w:ascii="Arial" w:cs="Arial" w:eastAsia="Arial" w:hAnsi="Arial"/>
          <w:sz w:val="22"/>
          <w:szCs w:val="22"/>
          <w:color w:val="auto"/>
        </w:rPr>
      </w:pPr>
      <w:r>
        <w:rPr>
          <w:rFonts w:ascii="Arial" w:cs="Arial" w:eastAsia="Arial" w:hAnsi="Arial"/>
          <w:sz w:val="22"/>
          <w:szCs w:val="22"/>
          <w:color w:val="auto"/>
        </w:rPr>
        <w:t>other Dispositions (including those of the type otherwise described herein) made after the Closing Date with an aggregate fair market value (as determined in good faith by the Borrower or such Restricted Subsidiary) not to exceed, per Disposition or series of related Dispositions, the greater of (x) $25,000,000 and (y) 25.0% of LTM EBITDA calculated on a Pro Forma Basis as of the Applicable Date of Determination;</w:t>
      </w:r>
    </w:p>
    <w:p>
      <w:pPr>
        <w:spacing w:after="0" w:line="160" w:lineRule="exact"/>
        <w:rPr>
          <w:rFonts w:ascii="Arial" w:cs="Arial" w:eastAsia="Arial" w:hAnsi="Arial"/>
          <w:sz w:val="22"/>
          <w:szCs w:val="22"/>
          <w:color w:val="auto"/>
        </w:rPr>
      </w:pPr>
    </w:p>
    <w:p>
      <w:pPr>
        <w:jc w:val="both"/>
        <w:ind w:firstLine="1304"/>
        <w:spacing w:after="0" w:line="218" w:lineRule="auto"/>
        <w:tabs>
          <w:tab w:leader="none" w:pos="1805" w:val="left"/>
        </w:tabs>
        <w:numPr>
          <w:ilvl w:val="1"/>
          <w:numId w:val="233"/>
        </w:numPr>
        <w:rPr>
          <w:rFonts w:ascii="Arial" w:cs="Arial" w:eastAsia="Arial" w:hAnsi="Arial"/>
          <w:sz w:val="22"/>
          <w:szCs w:val="22"/>
          <w:color w:val="auto"/>
        </w:rPr>
      </w:pPr>
      <w:r>
        <w:rPr>
          <w:rFonts w:ascii="Arial" w:cs="Arial" w:eastAsia="Arial" w:hAnsi="Arial"/>
          <w:sz w:val="22"/>
          <w:szCs w:val="22"/>
          <w:color w:val="auto"/>
        </w:rPr>
        <w:t>any swap of assets in exchange for (or sale of assets, the purpose of which is to acquire (and which results within 365 days of such sale in the acquisition of)) services or other assets in the ordinary course of business of comparable or greater fair market value or usefulness to the business of the Borrower and the Restricted Subsidiaries as a whole, as determined in good faith by the Borrower;</w:t>
      </w:r>
    </w:p>
    <w:p>
      <w:pPr>
        <w:spacing w:after="0" w:line="142" w:lineRule="exact"/>
        <w:rPr>
          <w:sz w:val="20"/>
          <w:szCs w:val="20"/>
          <w:color w:val="auto"/>
        </w:rPr>
      </w:pPr>
    </w:p>
    <w:p>
      <w:pPr>
        <w:jc w:val="both"/>
        <w:ind w:left="1300"/>
        <w:spacing w:after="0"/>
        <w:tabs>
          <w:tab w:leader="none" w:pos="1920" w:val="left"/>
        </w:tabs>
        <w:rPr>
          <w:sz w:val="20"/>
          <w:szCs w:val="20"/>
          <w:color w:val="auto"/>
        </w:rPr>
      </w:pPr>
      <w:r>
        <w:rPr>
          <w:rFonts w:ascii="Arial" w:cs="Arial" w:eastAsia="Arial" w:hAnsi="Arial"/>
          <w:sz w:val="22"/>
          <w:szCs w:val="22"/>
          <w:color w:val="auto"/>
        </w:rPr>
        <w:t>(aa)</w:t>
        <w:tab/>
        <w:t>Dispositions required to be made to comply with the order of any Governmental Authority or applicable</w:t>
      </w:r>
    </w:p>
    <w:p>
      <w:pPr>
        <w:spacing w:after="0"/>
        <w:rPr>
          <w:sz w:val="20"/>
          <w:szCs w:val="20"/>
          <w:color w:val="auto"/>
        </w:rPr>
      </w:pPr>
      <w:r>
        <w:rPr>
          <w:rFonts w:ascii="Arial" w:cs="Arial" w:eastAsia="Arial" w:hAnsi="Arial"/>
          <w:sz w:val="22"/>
          <w:szCs w:val="22"/>
          <w:color w:val="auto"/>
        </w:rPr>
        <w:t>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30" w:name="page231"/>
    <w:bookmarkEnd w:id="230"/>
    <w:p>
      <w:pPr>
        <w:jc w:val="both"/>
        <w:ind w:firstLine="1304"/>
        <w:spacing w:after="0" w:line="223" w:lineRule="auto"/>
        <w:tabs>
          <w:tab w:leader="none" w:pos="1909" w:val="left"/>
        </w:tabs>
        <w:numPr>
          <w:ilvl w:val="0"/>
          <w:numId w:val="234"/>
        </w:numPr>
        <w:rPr>
          <w:rFonts w:ascii="Arial" w:cs="Arial" w:eastAsia="Arial" w:hAnsi="Arial"/>
          <w:sz w:val="22"/>
          <w:szCs w:val="22"/>
          <w:color w:val="auto"/>
        </w:rPr>
      </w:pPr>
      <w:r>
        <w:rPr>
          <w:rFonts w:ascii="Arial" w:cs="Arial" w:eastAsia="Arial" w:hAnsi="Arial"/>
          <w:sz w:val="22"/>
          <w:szCs w:val="22"/>
          <w:color w:val="auto"/>
        </w:rPr>
        <w:t>issuances of directors’ qualifying shares or other similar Equity Interests, issuances of any Equity Interests to any Holding Company or any other Restricted Subsidiaries and issuances ratably to existing holders’ Equity Interests, in each case, to the extent required by applicable law; and</w:t>
      </w:r>
    </w:p>
    <w:p>
      <w:pPr>
        <w:spacing w:after="0" w:line="158" w:lineRule="exact"/>
        <w:rPr>
          <w:rFonts w:ascii="Arial" w:cs="Arial" w:eastAsia="Arial" w:hAnsi="Arial"/>
          <w:sz w:val="22"/>
          <w:szCs w:val="22"/>
          <w:color w:val="auto"/>
        </w:rPr>
      </w:pPr>
    </w:p>
    <w:p>
      <w:pPr>
        <w:ind w:left="1860" w:hanging="556"/>
        <w:spacing w:after="0"/>
        <w:tabs>
          <w:tab w:leader="none" w:pos="186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 xml:space="preserve">Dispositions constituting any part of any transaction referred to in </w:t>
      </w:r>
      <w:r>
        <w:rPr>
          <w:rFonts w:ascii="Arial" w:cs="Arial" w:eastAsia="Arial" w:hAnsi="Arial"/>
          <w:sz w:val="22"/>
          <w:szCs w:val="22"/>
          <w:u w:val="single" w:color="auto"/>
          <w:color w:val="auto"/>
        </w:rPr>
        <w:t>Section 6.04(ff)</w:t>
      </w:r>
      <w:r>
        <w:rPr>
          <w:rFonts w:ascii="Arial" w:cs="Arial" w:eastAsia="Arial" w:hAnsi="Arial"/>
          <w:sz w:val="22"/>
          <w:szCs w:val="22"/>
          <w:color w:val="auto"/>
        </w:rPr>
        <w:t>.</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6.06</w:t>
      </w:r>
      <w:r>
        <w:rPr>
          <w:sz w:val="20"/>
          <w:szCs w:val="20"/>
          <w:color w:val="auto"/>
        </w:rPr>
        <w:tab/>
      </w:r>
      <w:r>
        <w:rPr>
          <w:rFonts w:ascii="Arial" w:cs="Arial" w:eastAsia="Arial" w:hAnsi="Arial"/>
          <w:sz w:val="19"/>
          <w:szCs w:val="19"/>
          <w:u w:val="single" w:color="auto"/>
          <w:color w:val="auto"/>
        </w:rPr>
        <w:t>Restricted Payments; Certain Payments of Indebtedness</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87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Borrower will not, nor will the Borrower permit any Restricted Subsidiary to, declare or make any Restricted Payment, except:</w:t>
      </w:r>
    </w:p>
    <w:p>
      <w:pPr>
        <w:spacing w:after="0" w:line="159" w:lineRule="exact"/>
        <w:rPr>
          <w:sz w:val="20"/>
          <w:szCs w:val="20"/>
          <w:color w:val="auto"/>
        </w:rPr>
      </w:pPr>
    </w:p>
    <w:p>
      <w:pPr>
        <w:jc w:val="both"/>
        <w:ind w:left="660" w:firstLine="644"/>
        <w:spacing w:after="0" w:line="211" w:lineRule="auto"/>
        <w:tabs>
          <w:tab w:leader="none" w:pos="186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 xml:space="preserve">(A) any Restricted Subsidiary may make a Restricted Payment to the Borrower or any other Restricted Subsidiary of the Borrower (so long as, if the Restricted Subsidiary making the Restricted Payment is not wholly owned (directly or indirectly) by the Borrower, such Restricted Payment is made ratably among the holders of its Equity Interests) and (B) the Borrower may make a Restricted Payment to a Holding Company and any Holding Company may make a Restricted Payment to another Holding Company so long as such Restricted Payment is promptly thereafter contributed to the Borrower or another Loan Party that is not Holdings;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avoidance of doubt, a Restricted Payment shall only be permitted pursuant to this </w:t>
      </w:r>
      <w:r>
        <w:rPr>
          <w:rFonts w:ascii="Arial" w:cs="Arial" w:eastAsia="Arial" w:hAnsi="Arial"/>
          <w:sz w:val="22"/>
          <w:szCs w:val="22"/>
          <w:u w:val="single" w:color="auto"/>
          <w:color w:val="auto"/>
        </w:rPr>
        <w:t>Section 6.06(a)(i)(B)</w:t>
      </w:r>
      <w:r>
        <w:rPr>
          <w:rFonts w:ascii="Arial" w:cs="Arial" w:eastAsia="Arial" w:hAnsi="Arial"/>
          <w:sz w:val="22"/>
          <w:szCs w:val="22"/>
          <w:color w:val="auto"/>
        </w:rPr>
        <w:t xml:space="preserve"> to the extent such subsequent contribution does not increase availability or capacity to make Restricted Payments under any provision of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6.06</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660" w:firstLine="644"/>
        <w:spacing w:after="0" w:line="234" w:lineRule="auto"/>
        <w:tabs>
          <w:tab w:leader="none" w:pos="1873" w:val="left"/>
        </w:tabs>
        <w:numPr>
          <w:ilvl w:val="0"/>
          <w:numId w:val="236"/>
        </w:numPr>
        <w:rPr>
          <w:rFonts w:ascii="Arial" w:cs="Arial" w:eastAsia="Arial" w:hAnsi="Arial"/>
          <w:sz w:val="21"/>
          <w:szCs w:val="21"/>
          <w:color w:val="auto"/>
        </w:rPr>
      </w:pPr>
      <w:r>
        <w:rPr>
          <w:rFonts w:ascii="Arial" w:cs="Arial" w:eastAsia="Arial" w:hAnsi="Arial"/>
          <w:sz w:val="21"/>
          <w:szCs w:val="21"/>
          <w:color w:val="auto"/>
        </w:rPr>
        <w:t xml:space="preserve">Restricted Payments payable solely in shares of Qualified Equity Interests (so long as, in the case of this </w:t>
      </w:r>
      <w:r>
        <w:rPr>
          <w:rFonts w:ascii="Arial" w:cs="Arial" w:eastAsia="Arial" w:hAnsi="Arial"/>
          <w:sz w:val="21"/>
          <w:szCs w:val="21"/>
          <w:u w:val="single" w:color="auto"/>
          <w:color w:val="auto"/>
        </w:rPr>
        <w:t>clause (ii)</w:t>
      </w:r>
      <w:r>
        <w:rPr>
          <w:rFonts w:ascii="Arial" w:cs="Arial" w:eastAsia="Arial" w:hAnsi="Arial"/>
          <w:sz w:val="21"/>
          <w:szCs w:val="21"/>
          <w:color w:val="auto"/>
        </w:rPr>
        <w:t>, if the Restricted Subsidiary making the Restricted Payment is not wholly owned (directly or indirectly) by the Borrower, such Restricted Payment is made ratably among the holders of its Equity Interests);</w:t>
      </w:r>
    </w:p>
    <w:p>
      <w:pPr>
        <w:spacing w:after="0" w:line="157" w:lineRule="exact"/>
        <w:rPr>
          <w:rFonts w:ascii="Arial" w:cs="Arial" w:eastAsia="Arial" w:hAnsi="Arial"/>
          <w:sz w:val="21"/>
          <w:szCs w:val="21"/>
          <w:color w:val="auto"/>
        </w:rPr>
      </w:pPr>
    </w:p>
    <w:p>
      <w:pPr>
        <w:ind w:left="660" w:firstLine="644"/>
        <w:spacing w:after="0" w:line="232" w:lineRule="auto"/>
        <w:tabs>
          <w:tab w:leader="none" w:pos="2019" w:val="left"/>
        </w:tabs>
        <w:numPr>
          <w:ilvl w:val="0"/>
          <w:numId w:val="236"/>
        </w:numPr>
        <w:rPr>
          <w:rFonts w:ascii="Arial" w:cs="Arial" w:eastAsia="Arial" w:hAnsi="Arial"/>
          <w:sz w:val="22"/>
          <w:szCs w:val="22"/>
          <w:color w:val="auto"/>
        </w:rPr>
      </w:pPr>
      <w:r>
        <w:rPr>
          <w:rFonts w:ascii="Arial" w:cs="Arial" w:eastAsia="Arial" w:hAnsi="Arial"/>
          <w:sz w:val="22"/>
          <w:szCs w:val="22"/>
          <w:color w:val="auto"/>
        </w:rPr>
        <w:t>Restricted Payments in connection with the acquisition of additional Equity Interests in any Holding Company (other than Holdings) or Restricted Subsidiary from minority shareholders;</w:t>
      </w:r>
    </w:p>
    <w:p>
      <w:pPr>
        <w:spacing w:after="0" w:line="158" w:lineRule="exact"/>
        <w:rPr>
          <w:rFonts w:ascii="Arial" w:cs="Arial" w:eastAsia="Arial" w:hAnsi="Arial"/>
          <w:sz w:val="22"/>
          <w:szCs w:val="22"/>
          <w:color w:val="auto"/>
        </w:rPr>
      </w:pPr>
    </w:p>
    <w:p>
      <w:pPr>
        <w:ind w:left="660" w:firstLine="644"/>
        <w:spacing w:after="0" w:line="232" w:lineRule="auto"/>
        <w:tabs>
          <w:tab w:leader="none" w:pos="194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repurchases of Equity Interests deemed to occur upon the cashless exercise of stock options when such Equity Interests represents a portion of the exercise price thereof;</w:t>
      </w:r>
    </w:p>
    <w:p>
      <w:pPr>
        <w:spacing w:after="0" w:line="158" w:lineRule="exact"/>
        <w:rPr>
          <w:rFonts w:ascii="Arial" w:cs="Arial" w:eastAsia="Arial" w:hAnsi="Arial"/>
          <w:sz w:val="22"/>
          <w:szCs w:val="22"/>
          <w:color w:val="auto"/>
        </w:rPr>
      </w:pPr>
    </w:p>
    <w:p>
      <w:pPr>
        <w:jc w:val="both"/>
        <w:ind w:left="660" w:firstLine="644"/>
        <w:spacing w:after="0" w:line="242" w:lineRule="auto"/>
        <w:tabs>
          <w:tab w:leader="none" w:pos="1945" w:val="left"/>
        </w:tabs>
        <w:numPr>
          <w:ilvl w:val="0"/>
          <w:numId w:val="236"/>
        </w:numPr>
        <w:rPr>
          <w:rFonts w:ascii="Arial" w:cs="Arial" w:eastAsia="Arial" w:hAnsi="Arial"/>
          <w:sz w:val="19"/>
          <w:szCs w:val="19"/>
          <w:color w:val="auto"/>
        </w:rPr>
      </w:pPr>
      <w:r>
        <w:rPr>
          <w:rFonts w:ascii="Arial" w:cs="Arial" w:eastAsia="Arial" w:hAnsi="Arial"/>
          <w:sz w:val="19"/>
          <w:szCs w:val="19"/>
          <w:color w:val="auto"/>
        </w:rPr>
        <w:t xml:space="preserve">Restricted Payments to allow any Parent Entity (or, after an IPO, the Public Company), any Holding Company, the Borrower or any Restricted Subsidiary to purchase a Holding Company’s or any Parent Entity’s (or, after an IPO, the Public Company’s) Equity Interests from present or former consultants, directors, manager, officers or employees of any Parent Entity (or, after an IPO, the Public Company), any Holding Company, the Borrower or any Restricted Subsidiary, or their estates, descendants, family, spouses or former spouses, upon the death, disability or termination of employment of such consultant, director, officer or employee or pursuant to any employee, management, director or manager equity plan, employee, management, director or manager stock option plan or any other employee, management, director or manager benefit plan or any agreement (including any stock subscription or shareholder agreement) with any employee, director, manager, officer or consultant of any Parent Entity (or, after an IPO, the Public Company), any Holding Company, the Borrower 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payments under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subsequent to the Closing Date (net of proceeds received by the Borrower subsequent to the date hereof in connection with resales of any stock or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31" w:name="page232"/>
    <w:bookmarkEnd w:id="231"/>
    <w:p>
      <w:pPr>
        <w:jc w:val="both"/>
        <w:ind w:left="660"/>
        <w:spacing w:after="0" w:line="244" w:lineRule="auto"/>
        <w:rPr>
          <w:sz w:val="20"/>
          <w:szCs w:val="20"/>
          <w:color w:val="auto"/>
        </w:rPr>
      </w:pPr>
      <w:r>
        <w:rPr>
          <w:rFonts w:ascii="Arial" w:cs="Arial" w:eastAsia="Arial" w:hAnsi="Arial"/>
          <w:sz w:val="19"/>
          <w:szCs w:val="19"/>
          <w:color w:val="auto"/>
        </w:rPr>
        <w:t>options so purchased (which amounts, to the extent that such cash proceeds from the issuance of any such stock are utilized to make payments pursuant to this clause in excess of the amounts otherwise permitted hereunder, are Not Otherwise Applied)) per fiscal year shall not exceed the greater of (x) $7,500,000 and (y) 7.5% of LTM EBITDA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the occurrence of an IPO, such amount shall be of the greater of $15,000,000 and 15% of LTM EBITDA) calculated on a Pro Forma Basis as of the Applicable Date of Determination (with unused amounts in any fiscal year being carried over to the next succeeding fiscal year),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amount of any key-man life insurance policies;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cancellation of Indebtedness owing to Holdings or any of the Subsidiaries (and not involving a cash advance made by Holdings or any of the Subsidiaries) in connection with a repurchase of any such Equity Interests and the redemption or cancellation of such Equity Interests without cash payment will not be deemed to constitute a Restricted Payment for purposes of this covenant or any other provision of this Agreement;</w:t>
      </w:r>
    </w:p>
    <w:p>
      <w:pPr>
        <w:spacing w:after="0" w:line="155" w:lineRule="exact"/>
        <w:rPr>
          <w:sz w:val="20"/>
          <w:szCs w:val="20"/>
          <w:color w:val="auto"/>
        </w:rPr>
      </w:pPr>
    </w:p>
    <w:p>
      <w:pPr>
        <w:ind w:left="1840" w:hanging="536"/>
        <w:spacing w:after="0"/>
        <w:tabs>
          <w:tab w:leader="none" w:pos="184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Restricted Payments pursuant to Intercompany License Agreements;</w:t>
      </w:r>
    </w:p>
    <w:p>
      <w:pPr>
        <w:spacing w:after="0" w:line="179" w:lineRule="exact"/>
        <w:rPr>
          <w:rFonts w:ascii="Arial" w:cs="Arial" w:eastAsia="Arial" w:hAnsi="Arial"/>
          <w:sz w:val="22"/>
          <w:szCs w:val="22"/>
          <w:color w:val="auto"/>
        </w:rPr>
      </w:pPr>
    </w:p>
    <w:p>
      <w:pPr>
        <w:jc w:val="both"/>
        <w:ind w:left="660" w:firstLine="644"/>
        <w:spacing w:after="0" w:line="246" w:lineRule="auto"/>
        <w:tabs>
          <w:tab w:leader="none" w:pos="1981" w:val="left"/>
        </w:tabs>
        <w:numPr>
          <w:ilvl w:val="0"/>
          <w:numId w:val="237"/>
        </w:numPr>
        <w:rPr>
          <w:rFonts w:ascii="Arial" w:cs="Arial" w:eastAsia="Arial" w:hAnsi="Arial"/>
          <w:sz w:val="19"/>
          <w:szCs w:val="19"/>
          <w:color w:val="auto"/>
        </w:rPr>
      </w:pPr>
      <w:r>
        <w:rPr>
          <w:rFonts w:ascii="Arial" w:cs="Arial" w:eastAsia="Arial" w:hAnsi="Arial"/>
          <w:sz w:val="19"/>
          <w:szCs w:val="19"/>
          <w:color w:val="auto"/>
        </w:rPr>
        <w:t xml:space="preserve">Restricted Payments (i) to consummate the Transactions (including, but not limited to, the Closing Date Distribution); it being understood that any such Restricted Payments shall be made substantially concurrently with the Closing Date, (ii) in respect of working capital adjustments or purchase price adjustments pursuant to the Recapitalization Agreement, any Permitted Acquisition or other permitted Investments (other than pursuant to </w:t>
      </w:r>
      <w:r>
        <w:rPr>
          <w:rFonts w:ascii="Arial" w:cs="Arial" w:eastAsia="Arial" w:hAnsi="Arial"/>
          <w:sz w:val="19"/>
          <w:szCs w:val="19"/>
          <w:u w:val="single" w:color="auto"/>
          <w:color w:val="auto"/>
        </w:rPr>
        <w:t>Section 6.04(aa)</w:t>
      </w:r>
      <w:r>
        <w:rPr>
          <w:rFonts w:ascii="Arial" w:cs="Arial" w:eastAsia="Arial" w:hAnsi="Arial"/>
          <w:sz w:val="19"/>
          <w:szCs w:val="19"/>
          <w:color w:val="auto"/>
        </w:rPr>
        <w:t xml:space="preserve">), (iii) to satisfy indemnity and other similar obligations under the Recapitalization Agreement, Permitted Acquisitions or other permitted Investments, and (iv) to dissenting stockholders in connection with, or as a result of, their exercise of appraisal rights and the settlement of any claims or actions (whether actual, contingent or potential) with respect thereto (including any accrued interest), in each case of this </w:t>
      </w:r>
      <w:r>
        <w:rPr>
          <w:rFonts w:ascii="Arial" w:cs="Arial" w:eastAsia="Arial" w:hAnsi="Arial"/>
          <w:sz w:val="19"/>
          <w:szCs w:val="19"/>
          <w:u w:val="single" w:color="auto"/>
          <w:color w:val="auto"/>
        </w:rPr>
        <w:t>clause (vii)</w:t>
      </w:r>
      <w:r>
        <w:rPr>
          <w:rFonts w:ascii="Arial" w:cs="Arial" w:eastAsia="Arial" w:hAnsi="Arial"/>
          <w:sz w:val="19"/>
          <w:szCs w:val="19"/>
          <w:color w:val="auto"/>
        </w:rPr>
        <w:t>, with respect to Investments permitted hereunder;</w:t>
      </w:r>
    </w:p>
    <w:p>
      <w:pPr>
        <w:spacing w:after="0" w:line="152" w:lineRule="exact"/>
        <w:rPr>
          <w:rFonts w:ascii="Arial" w:cs="Arial" w:eastAsia="Arial" w:hAnsi="Arial"/>
          <w:sz w:val="19"/>
          <w:szCs w:val="19"/>
          <w:color w:val="auto"/>
        </w:rPr>
      </w:pPr>
    </w:p>
    <w:p>
      <w:pPr>
        <w:ind w:left="660" w:firstLine="644"/>
        <w:spacing w:after="0" w:line="232" w:lineRule="auto"/>
        <w:tabs>
          <w:tab w:leader="none" w:pos="1962" w:val="left"/>
        </w:tabs>
        <w:numPr>
          <w:ilvl w:val="0"/>
          <w:numId w:val="237"/>
        </w:numPr>
        <w:rPr>
          <w:rFonts w:ascii="Arial" w:cs="Arial" w:eastAsia="Arial" w:hAnsi="Arial"/>
          <w:sz w:val="22"/>
          <w:szCs w:val="22"/>
          <w:color w:val="auto"/>
        </w:rPr>
      </w:pPr>
      <w:r>
        <w:rPr>
          <w:rFonts w:ascii="Arial" w:cs="Arial" w:eastAsia="Arial" w:hAnsi="Arial"/>
          <w:sz w:val="22"/>
          <w:szCs w:val="22"/>
          <w:color w:val="auto"/>
        </w:rPr>
        <w:t xml:space="preserve">Restricted Payments necessary to consummate transactions permitted pursuant to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and to make Investments permitted pursuant to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(other than pursuant to </w:t>
      </w:r>
      <w:r>
        <w:rPr>
          <w:rFonts w:ascii="Arial" w:cs="Arial" w:eastAsia="Arial" w:hAnsi="Arial"/>
          <w:sz w:val="22"/>
          <w:szCs w:val="22"/>
          <w:u w:val="single" w:color="auto"/>
          <w:color w:val="auto"/>
        </w:rPr>
        <w:t>Section 6.04(aa)</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660" w:firstLine="644"/>
        <w:spacing w:after="0" w:line="218" w:lineRule="auto"/>
        <w:tabs>
          <w:tab w:leader="none" w:pos="1843" w:val="left"/>
        </w:tabs>
        <w:numPr>
          <w:ilvl w:val="0"/>
          <w:numId w:val="237"/>
        </w:numPr>
        <w:rPr>
          <w:rFonts w:ascii="Arial" w:cs="Arial" w:eastAsia="Arial" w:hAnsi="Arial"/>
          <w:sz w:val="22"/>
          <w:szCs w:val="22"/>
          <w:color w:val="auto"/>
        </w:rPr>
      </w:pPr>
      <w:r>
        <w:rPr>
          <w:rFonts w:ascii="Arial" w:cs="Arial" w:eastAsia="Arial" w:hAnsi="Arial"/>
          <w:sz w:val="22"/>
          <w:szCs w:val="22"/>
          <w:color w:val="auto"/>
        </w:rPr>
        <w:t>forgiveness or cancellation of any Indebtedness owed to any Holding Company or any Restricted Subsidiary (and not involving a cash advance made by any Holding Company or any Restricted Subsidiary) issued for repurchases of any Equity Interests of a Parent Entity (or, after an IPO, the Public Company’s), Holdings, a Holding Company or the Borrower;</w:t>
      </w:r>
    </w:p>
    <w:p>
      <w:pPr>
        <w:spacing w:after="0" w:line="160" w:lineRule="exact"/>
        <w:rPr>
          <w:rFonts w:ascii="Arial" w:cs="Arial" w:eastAsia="Arial" w:hAnsi="Arial"/>
          <w:sz w:val="22"/>
          <w:szCs w:val="22"/>
          <w:color w:val="auto"/>
        </w:rPr>
      </w:pPr>
    </w:p>
    <w:p>
      <w:pPr>
        <w:jc w:val="both"/>
        <w:ind w:left="660" w:firstLine="644"/>
        <w:spacing w:after="0" w:line="226" w:lineRule="auto"/>
        <w:tabs>
          <w:tab w:leader="none" w:pos="1832" w:val="left"/>
        </w:tabs>
        <w:numPr>
          <w:ilvl w:val="0"/>
          <w:numId w:val="237"/>
        </w:numPr>
        <w:rPr>
          <w:rFonts w:ascii="Arial" w:cs="Arial" w:eastAsia="Arial" w:hAnsi="Arial"/>
          <w:sz w:val="21"/>
          <w:szCs w:val="21"/>
          <w:color w:val="auto"/>
        </w:rPr>
      </w:pPr>
      <w:r>
        <w:rPr>
          <w:rFonts w:ascii="Arial" w:cs="Arial" w:eastAsia="Arial" w:hAnsi="Arial"/>
          <w:sz w:val="21"/>
          <w:szCs w:val="21"/>
          <w:color w:val="auto"/>
        </w:rPr>
        <w:t xml:space="preserve">(i) additional Restricted Payments;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no Event of Default has occurred and is continuing or would result therefrom and (b) the Total Net Leverage Ratio after giving effect thereto on a Pro Forma Basis as of the Applicable Date of Determination is less than or equal to 6.25 to 1.00 and (ii) additional Restricted Payments in an amount not in excess of the Available Excluded Contribution Amount so long as no Event of Default has occurred and is continuing or would result from the making of such Restricted Payment;</w:t>
      </w:r>
    </w:p>
    <w:p>
      <w:pPr>
        <w:spacing w:after="0" w:line="159" w:lineRule="exact"/>
        <w:rPr>
          <w:rFonts w:ascii="Arial" w:cs="Arial" w:eastAsia="Arial" w:hAnsi="Arial"/>
          <w:sz w:val="21"/>
          <w:szCs w:val="21"/>
          <w:color w:val="auto"/>
        </w:rPr>
      </w:pPr>
    </w:p>
    <w:p>
      <w:pPr>
        <w:jc w:val="both"/>
        <w:ind w:left="660" w:firstLine="644"/>
        <w:spacing w:after="0" w:line="268" w:lineRule="auto"/>
        <w:tabs>
          <w:tab w:leader="none" w:pos="1937" w:val="left"/>
        </w:tabs>
        <w:numPr>
          <w:ilvl w:val="0"/>
          <w:numId w:val="237"/>
        </w:numPr>
        <w:rPr>
          <w:rFonts w:ascii="Arial" w:cs="Arial" w:eastAsia="Arial" w:hAnsi="Arial"/>
          <w:sz w:val="19"/>
          <w:szCs w:val="19"/>
          <w:color w:val="auto"/>
        </w:rPr>
      </w:pPr>
      <w:r>
        <w:rPr>
          <w:rFonts w:ascii="Arial" w:cs="Arial" w:eastAsia="Arial" w:hAnsi="Arial"/>
          <w:sz w:val="19"/>
          <w:szCs w:val="19"/>
          <w:color w:val="auto"/>
        </w:rPr>
        <w:t>distributions or payments of Securitization Fees, sales contributions and other transfers of Securitization Assets or Receivables Assets and purchases of Securitization Assets or Receivables Assets pursuant to Securitization Repurchase Obligations, in each case in connection with a Qualified Securitization Financing or a Receivables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32" w:name="page233"/>
    <w:bookmarkEnd w:id="232"/>
    <w:p>
      <w:pPr>
        <w:ind w:left="660" w:firstLine="644"/>
        <w:spacing w:after="0" w:line="232" w:lineRule="auto"/>
        <w:tabs>
          <w:tab w:leader="none" w:pos="1922" w:val="left"/>
        </w:tabs>
        <w:numPr>
          <w:ilvl w:val="1"/>
          <w:numId w:val="238"/>
        </w:numPr>
        <w:rPr>
          <w:rFonts w:ascii="Arial" w:cs="Arial" w:eastAsia="Arial" w:hAnsi="Arial"/>
          <w:sz w:val="22"/>
          <w:szCs w:val="22"/>
          <w:color w:val="auto"/>
        </w:rPr>
      </w:pPr>
      <w:r>
        <w:rPr>
          <w:rFonts w:ascii="Arial" w:cs="Arial" w:eastAsia="Arial" w:hAnsi="Arial"/>
          <w:sz w:val="22"/>
          <w:szCs w:val="22"/>
          <w:color w:val="auto"/>
        </w:rPr>
        <w:t>Restricted Payments the proceeds of which shall be used to pay customary costs, fees and expenses related to any unsuccessful equity or debt offering permitted by this Agreement;</w:t>
      </w:r>
    </w:p>
    <w:p>
      <w:pPr>
        <w:spacing w:after="0" w:line="158" w:lineRule="exact"/>
        <w:rPr>
          <w:rFonts w:ascii="Arial" w:cs="Arial" w:eastAsia="Arial" w:hAnsi="Arial"/>
          <w:sz w:val="22"/>
          <w:szCs w:val="22"/>
          <w:color w:val="auto"/>
        </w:rPr>
      </w:pPr>
    </w:p>
    <w:p>
      <w:pPr>
        <w:jc w:val="both"/>
        <w:ind w:left="660" w:firstLine="644"/>
        <w:spacing w:after="0" w:line="214" w:lineRule="auto"/>
        <w:tabs>
          <w:tab w:leader="none" w:pos="1991" w:val="left"/>
        </w:tabs>
        <w:numPr>
          <w:ilvl w:val="1"/>
          <w:numId w:val="238"/>
        </w:numPr>
        <w:rPr>
          <w:rFonts w:ascii="Arial" w:cs="Arial" w:eastAsia="Arial" w:hAnsi="Arial"/>
          <w:sz w:val="22"/>
          <w:szCs w:val="22"/>
          <w:color w:val="auto"/>
        </w:rPr>
      </w:pPr>
      <w:r>
        <w:rPr>
          <w:rFonts w:ascii="Arial" w:cs="Arial" w:eastAsia="Arial" w:hAnsi="Arial"/>
          <w:sz w:val="22"/>
          <w:szCs w:val="22"/>
          <w:color w:val="auto"/>
        </w:rPr>
        <w:t>Restricted Payments to (a) pay cash in lieu of fractional Equity Interests in connection with any dividend, split or combination thereof or any Acquisition, Investment or other transaction otherwise permitted hereunder, and (b) honor any conversion request by a holder of convertible Indebtedness (to the extent such conversion request is paid solely in shares of Qualified Equity Interests of Holdings (or any Parent Entity)) and make cash payments in lieu of fractional shares in connection with any such conversion and may make payments on convertible Indebtedness in accordance with its terms;</w:t>
      </w:r>
    </w:p>
    <w:p>
      <w:pPr>
        <w:spacing w:after="0" w:line="158" w:lineRule="exact"/>
        <w:rPr>
          <w:rFonts w:ascii="Arial" w:cs="Arial" w:eastAsia="Arial" w:hAnsi="Arial"/>
          <w:sz w:val="22"/>
          <w:szCs w:val="22"/>
          <w:color w:val="auto"/>
        </w:rPr>
      </w:pPr>
    </w:p>
    <w:p>
      <w:pPr>
        <w:jc w:val="both"/>
        <w:ind w:left="660" w:firstLine="644"/>
        <w:spacing w:after="0" w:line="242" w:lineRule="auto"/>
        <w:tabs>
          <w:tab w:leader="none" w:pos="2060" w:val="left"/>
        </w:tabs>
        <w:numPr>
          <w:ilvl w:val="1"/>
          <w:numId w:val="238"/>
        </w:numPr>
        <w:rPr>
          <w:rFonts w:ascii="Arial" w:cs="Arial" w:eastAsia="Arial" w:hAnsi="Arial"/>
          <w:sz w:val="19"/>
          <w:szCs w:val="19"/>
          <w:color w:val="auto"/>
        </w:rPr>
      </w:pPr>
      <w:r>
        <w:rPr>
          <w:rFonts w:ascii="Arial" w:cs="Arial" w:eastAsia="Arial" w:hAnsi="Arial"/>
          <w:sz w:val="19"/>
          <w:szCs w:val="19"/>
          <w:color w:val="auto"/>
        </w:rPr>
        <w:t xml:space="preserve">Restricted Payments in an aggregate amount not to exceed (A) the greater of (x) $25,000,000 and (y) 25.0% of LTM EBITDA calculated on a Pro Forma Basis as of the Applicable Date of Determination (less any amounts reallocated to </w:t>
      </w:r>
      <w:r>
        <w:rPr>
          <w:rFonts w:ascii="Arial" w:cs="Arial" w:eastAsia="Arial" w:hAnsi="Arial"/>
          <w:sz w:val="19"/>
          <w:szCs w:val="19"/>
          <w:u w:val="single" w:color="auto"/>
          <w:color w:val="auto"/>
        </w:rPr>
        <w:t>Section 6.04(q)(B)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6.06(b)(vi)(A)</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Available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at the time of making such Restricted Payment pursuant to this clause (B), no Event of Default pursuant to </w:t>
      </w:r>
      <w:r>
        <w:rPr>
          <w:rFonts w:ascii="Arial" w:cs="Arial" w:eastAsia="Arial" w:hAnsi="Arial"/>
          <w:sz w:val="19"/>
          <w:szCs w:val="19"/>
          <w:u w:val="single" w:color="auto"/>
          <w:color w:val="auto"/>
        </w:rPr>
        <w:t>Sections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w:t>
      </w:r>
    </w:p>
    <w:p>
      <w:pPr>
        <w:ind w:left="960" w:hanging="304"/>
        <w:spacing w:after="0"/>
        <w:tabs>
          <w:tab w:leader="none" w:pos="960" w:val="left"/>
        </w:tabs>
        <w:numPr>
          <w:ilvl w:val="0"/>
          <w:numId w:val="239"/>
        </w:numPr>
        <w:rPr>
          <w:rFonts w:ascii="Arial" w:cs="Arial" w:eastAsia="Arial" w:hAnsi="Arial"/>
          <w:sz w:val="22"/>
          <w:szCs w:val="22"/>
          <w:u w:val="single" w:color="auto"/>
          <w:color w:val="auto"/>
        </w:rPr>
      </w:pPr>
      <w:r>
        <w:rPr>
          <w:rFonts w:ascii="Arial" w:cs="Arial" w:eastAsia="Arial" w:hAnsi="Arial"/>
          <w:sz w:val="22"/>
          <w:szCs w:val="22"/>
          <w:color w:val="auto"/>
        </w:rPr>
        <w:t xml:space="preserve">or </w:t>
      </w:r>
      <w:r>
        <w:rPr>
          <w:rFonts w:ascii="Arial" w:cs="Arial" w:eastAsia="Arial" w:hAnsi="Arial"/>
          <w:sz w:val="22"/>
          <w:szCs w:val="22"/>
          <w:u w:val="single" w:color="auto"/>
          <w:color w:val="auto"/>
        </w:rPr>
        <w:t>(i)</w:t>
      </w:r>
      <w:r>
        <w:rPr>
          <w:rFonts w:ascii="Arial" w:cs="Arial" w:eastAsia="Arial" w:hAnsi="Arial"/>
          <w:sz w:val="22"/>
          <w:szCs w:val="22"/>
          <w:color w:val="auto"/>
        </w:rPr>
        <w:t xml:space="preserve"> has occurred and is continuing or would result therefrom;</w:t>
      </w:r>
    </w:p>
    <w:p>
      <w:pPr>
        <w:spacing w:after="0" w:line="161" w:lineRule="exact"/>
        <w:rPr>
          <w:rFonts w:ascii="Arial" w:cs="Arial" w:eastAsia="Arial" w:hAnsi="Arial"/>
          <w:sz w:val="22"/>
          <w:szCs w:val="22"/>
          <w:u w:val="single" w:color="auto"/>
          <w:color w:val="auto"/>
        </w:rPr>
      </w:pPr>
    </w:p>
    <w:p>
      <w:pPr>
        <w:jc w:val="both"/>
        <w:ind w:left="660" w:firstLine="644"/>
        <w:spacing w:after="0" w:line="249" w:lineRule="auto"/>
        <w:tabs>
          <w:tab w:leader="none" w:pos="2148" w:val="left"/>
        </w:tabs>
        <w:numPr>
          <w:ilvl w:val="1"/>
          <w:numId w:val="239"/>
        </w:numPr>
        <w:rPr>
          <w:rFonts w:ascii="Arial" w:cs="Arial" w:eastAsia="Arial" w:hAnsi="Arial"/>
          <w:sz w:val="19"/>
          <w:szCs w:val="19"/>
          <w:color w:val="auto"/>
        </w:rPr>
      </w:pPr>
      <w:r>
        <w:rPr>
          <w:rFonts w:ascii="Arial" w:cs="Arial" w:eastAsia="Arial" w:hAnsi="Arial"/>
          <w:sz w:val="19"/>
          <w:szCs w:val="19"/>
          <w:color w:val="auto"/>
        </w:rPr>
        <w:t>Restricted Payments to the extent that such Restricted Payments are made with (A) any capital contributions made in cash by any Person other than a Restricted Subsidiary to Holdings after the Closing Date (other than any Cure Amount) to the extent Not Otherwise Applied; and (B) any Net Proceeds of any issuance of Qualified Equity Interests after the Closing Date of Holdings (other than any Cure Amount) to any Person other than a Restricted Subsidiary to the extent Not Otherwise Applied, and to the extent, in each case, such contributions and Net Proceeds have been contributed to the Qualified Equity Interests of the Borrower or any other Loan Party (other than Holdings);</w:t>
      </w:r>
    </w:p>
    <w:p>
      <w:pPr>
        <w:spacing w:after="0" w:line="151" w:lineRule="exact"/>
        <w:rPr>
          <w:rFonts w:ascii="Arial" w:cs="Arial" w:eastAsia="Arial" w:hAnsi="Arial"/>
          <w:sz w:val="19"/>
          <w:szCs w:val="19"/>
          <w:color w:val="auto"/>
        </w:rPr>
      </w:pPr>
    </w:p>
    <w:p>
      <w:pPr>
        <w:jc w:val="both"/>
        <w:ind w:left="660" w:firstLine="644"/>
        <w:spacing w:after="0" w:line="226" w:lineRule="auto"/>
        <w:tabs>
          <w:tab w:leader="none" w:pos="1998" w:val="left"/>
        </w:tabs>
        <w:numPr>
          <w:ilvl w:val="1"/>
          <w:numId w:val="239"/>
        </w:numPr>
        <w:rPr>
          <w:rFonts w:ascii="Arial" w:cs="Arial" w:eastAsia="Arial" w:hAnsi="Arial"/>
          <w:sz w:val="21"/>
          <w:szCs w:val="21"/>
          <w:color w:val="auto"/>
        </w:rPr>
      </w:pPr>
      <w:r>
        <w:rPr>
          <w:rFonts w:ascii="Arial" w:cs="Arial" w:eastAsia="Arial" w:hAnsi="Arial"/>
          <w:sz w:val="21"/>
          <w:szCs w:val="21"/>
          <w:color w:val="auto"/>
        </w:rPr>
        <w:t>Restricted Payments at such times and in such amounts as shall be necessary to permit any Parent Entity and any Holding Company to discharge their respective general corporate and overhead or other expenses (including franchise and similar taxes required to maintain its corporate existence, customary salary, bonus and other benefits payable to officers and employees of any Holding Companies or any Parent Entity and directors fees and director and officer indemnification obligations) incurred in the ordinary course of business;</w:t>
      </w:r>
    </w:p>
    <w:p>
      <w:pPr>
        <w:spacing w:after="0" w:line="159" w:lineRule="exact"/>
        <w:rPr>
          <w:rFonts w:ascii="Arial" w:cs="Arial" w:eastAsia="Arial" w:hAnsi="Arial"/>
          <w:sz w:val="21"/>
          <w:szCs w:val="21"/>
          <w:color w:val="auto"/>
        </w:rPr>
      </w:pPr>
    </w:p>
    <w:p>
      <w:pPr>
        <w:ind w:left="660" w:firstLine="644"/>
        <w:spacing w:after="0" w:line="232" w:lineRule="auto"/>
        <w:tabs>
          <w:tab w:leader="none" w:pos="2038" w:val="left"/>
        </w:tabs>
        <w:numPr>
          <w:ilvl w:val="1"/>
          <w:numId w:val="239"/>
        </w:numPr>
        <w:rPr>
          <w:rFonts w:ascii="Arial" w:cs="Arial" w:eastAsia="Arial" w:hAnsi="Arial"/>
          <w:sz w:val="22"/>
          <w:szCs w:val="22"/>
          <w:color w:val="auto"/>
        </w:rPr>
      </w:pPr>
      <w:r>
        <w:rPr>
          <w:rFonts w:ascii="Arial" w:cs="Arial" w:eastAsia="Arial" w:hAnsi="Arial"/>
          <w:sz w:val="22"/>
          <w:szCs w:val="22"/>
          <w:color w:val="auto"/>
        </w:rPr>
        <w:t>Restricted Payments to Holding Companies and any Parent Entities at such times and in such amounts as are necessary to make Permitted Investor Payments;</w:t>
      </w:r>
    </w:p>
    <w:p>
      <w:pPr>
        <w:spacing w:after="0" w:line="158" w:lineRule="exact"/>
        <w:rPr>
          <w:rFonts w:ascii="Arial" w:cs="Arial" w:eastAsia="Arial" w:hAnsi="Arial"/>
          <w:sz w:val="22"/>
          <w:szCs w:val="22"/>
          <w:color w:val="auto"/>
        </w:rPr>
      </w:pPr>
    </w:p>
    <w:p>
      <w:pPr>
        <w:jc w:val="both"/>
        <w:ind w:left="660" w:firstLine="644"/>
        <w:spacing w:after="0" w:line="243" w:lineRule="auto"/>
        <w:tabs>
          <w:tab w:leader="none" w:pos="2231" w:val="left"/>
        </w:tabs>
        <w:numPr>
          <w:ilvl w:val="1"/>
          <w:numId w:val="239"/>
        </w:numPr>
        <w:rPr>
          <w:rFonts w:ascii="Arial" w:cs="Arial" w:eastAsia="Arial" w:hAnsi="Arial"/>
          <w:sz w:val="19"/>
          <w:szCs w:val="19"/>
          <w:color w:val="auto"/>
        </w:rPr>
      </w:pPr>
      <w:r>
        <w:rPr>
          <w:rFonts w:ascii="Arial" w:cs="Arial" w:eastAsia="Arial" w:hAnsi="Arial"/>
          <w:sz w:val="19"/>
          <w:szCs w:val="19"/>
          <w:color w:val="auto"/>
        </w:rPr>
        <w:t xml:space="preserve">Restricted Payments made (i) in connection with reorganizations and other activities related to tax planning and reorganization;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good-faith judgment of the Borrowers and Administrative Agent, after giving effect to any such reorganizations and activities, there is no material adverse impact on the value of the</w:t>
      </w:r>
    </w:p>
    <w:p>
      <w:pPr>
        <w:spacing w:after="0" w:line="2" w:lineRule="exact"/>
        <w:rPr>
          <w:rFonts w:ascii="Arial" w:cs="Arial" w:eastAsia="Arial" w:hAnsi="Arial"/>
          <w:sz w:val="19"/>
          <w:szCs w:val="19"/>
          <w:color w:val="auto"/>
        </w:rPr>
      </w:pPr>
    </w:p>
    <w:p>
      <w:pPr>
        <w:jc w:val="both"/>
        <w:ind w:left="660"/>
        <w:spacing w:after="0" w:line="214" w:lineRule="auto"/>
        <w:rPr>
          <w:rFonts w:ascii="Arial" w:cs="Arial" w:eastAsia="Arial" w:hAnsi="Arial"/>
          <w:sz w:val="19"/>
          <w:szCs w:val="19"/>
          <w:color w:val="auto"/>
        </w:rPr>
      </w:pPr>
      <w:r>
        <w:rPr>
          <w:rFonts w:ascii="Arial" w:cs="Arial" w:eastAsia="Arial" w:hAnsi="Arial"/>
          <w:sz w:val="22"/>
          <w:szCs w:val="22"/>
          <w:color w:val="auto"/>
        </w:rPr>
        <w:t>(A) Collateral granted to the Collateral Agent for the benefit of the Secured Parties or (B) Guarantees of the Obligations pursuant to the Guaranty, (ii) in connection with, and reasonably related to, the consummation of an IPO, or (iii) to pay costs and expenses related to an IPO (whether or not such IPO is in fact consummated) and, after the consummation of an IPO, Public Company Costs;</w:t>
      </w:r>
    </w:p>
    <w:p>
      <w:pPr>
        <w:spacing w:after="0" w:line="159" w:lineRule="exact"/>
        <w:rPr>
          <w:rFonts w:ascii="Arial" w:cs="Arial" w:eastAsia="Arial" w:hAnsi="Arial"/>
          <w:sz w:val="19"/>
          <w:szCs w:val="19"/>
          <w:color w:val="auto"/>
        </w:rPr>
      </w:pPr>
    </w:p>
    <w:p>
      <w:pPr>
        <w:jc w:val="both"/>
        <w:ind w:left="660" w:firstLine="644"/>
        <w:spacing w:after="0" w:line="223" w:lineRule="auto"/>
        <w:tabs>
          <w:tab w:leader="none" w:pos="2003" w:val="left"/>
        </w:tabs>
        <w:numPr>
          <w:ilvl w:val="1"/>
          <w:numId w:val="239"/>
        </w:numPr>
        <w:rPr>
          <w:rFonts w:ascii="Arial" w:cs="Arial" w:eastAsia="Arial" w:hAnsi="Arial"/>
          <w:sz w:val="22"/>
          <w:szCs w:val="22"/>
          <w:color w:val="auto"/>
        </w:rPr>
      </w:pPr>
      <w:r>
        <w:rPr>
          <w:rFonts w:ascii="Arial" w:cs="Arial" w:eastAsia="Arial" w:hAnsi="Arial"/>
          <w:sz w:val="22"/>
          <w:szCs w:val="22"/>
          <w:color w:val="auto"/>
        </w:rPr>
        <w:t xml:space="preserve">after an IPO, cash Restricted Payments to equity holders of the Public Company in an aggregate amount per annum not exceeding the sum of (x) 7.0% of Market Capitalization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(y) 6.0% of the Net Cash Proceeds received by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33" w:name="page234"/>
    <w:bookmarkEnd w:id="233"/>
    <w:p>
      <w:pPr>
        <w:ind w:left="660"/>
        <w:spacing w:after="0" w:line="232" w:lineRule="auto"/>
        <w:rPr>
          <w:sz w:val="20"/>
          <w:szCs w:val="20"/>
          <w:color w:val="auto"/>
        </w:rPr>
      </w:pPr>
      <w:r>
        <w:rPr>
          <w:rFonts w:ascii="Arial" w:cs="Arial" w:eastAsia="Arial" w:hAnsi="Arial"/>
          <w:sz w:val="22"/>
          <w:szCs w:val="22"/>
          <w:color w:val="auto"/>
        </w:rPr>
        <w:t xml:space="preserve">Parties from such IPO to the extent Not Otherwise Applied;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Event of Default has occurred and is continuing or would result therefrom;</w:t>
      </w:r>
    </w:p>
    <w:p>
      <w:pPr>
        <w:spacing w:after="0" w:line="159" w:lineRule="exact"/>
        <w:rPr>
          <w:sz w:val="20"/>
          <w:szCs w:val="20"/>
          <w:color w:val="auto"/>
        </w:rPr>
      </w:pPr>
    </w:p>
    <w:p>
      <w:pPr>
        <w:jc w:val="both"/>
        <w:ind w:left="660" w:firstLine="644"/>
        <w:spacing w:after="0" w:line="218" w:lineRule="auto"/>
        <w:tabs>
          <w:tab w:leader="none" w:pos="1929" w:val="left"/>
        </w:tabs>
        <w:numPr>
          <w:ilvl w:val="0"/>
          <w:numId w:val="240"/>
        </w:numPr>
        <w:rPr>
          <w:rFonts w:ascii="Arial" w:cs="Arial" w:eastAsia="Arial" w:hAnsi="Arial"/>
          <w:sz w:val="22"/>
          <w:szCs w:val="22"/>
          <w:color w:val="auto"/>
        </w:rPr>
      </w:pPr>
      <w:r>
        <w:rPr>
          <w:rFonts w:ascii="Arial" w:cs="Arial" w:eastAsia="Arial" w:hAnsi="Arial"/>
          <w:sz w:val="22"/>
          <w:szCs w:val="22"/>
          <w:color w:val="auto"/>
        </w:rPr>
        <w:t xml:space="preserve">the making of any Restricted Payment within sixty (60) days after the date of declaration thereof, if at the date of such declaration such Restricted Payment would have complied with another provision of this </w:t>
      </w:r>
      <w:r>
        <w:rPr>
          <w:rFonts w:ascii="Arial" w:cs="Arial" w:eastAsia="Arial" w:hAnsi="Arial"/>
          <w:sz w:val="22"/>
          <w:szCs w:val="22"/>
          <w:u w:val="single" w:color="auto"/>
          <w:color w:val="auto"/>
        </w:rPr>
        <w:t>Section 6.06(a)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making of such declaration will reduce capacity for Restricted Payments pursuant to such other provision when such declaration is made;</w:t>
      </w:r>
    </w:p>
    <w:p>
      <w:pPr>
        <w:spacing w:after="0" w:line="160" w:lineRule="exact"/>
        <w:rPr>
          <w:rFonts w:ascii="Arial" w:cs="Arial" w:eastAsia="Arial" w:hAnsi="Arial"/>
          <w:sz w:val="22"/>
          <w:szCs w:val="22"/>
          <w:color w:val="auto"/>
        </w:rPr>
      </w:pPr>
    </w:p>
    <w:p>
      <w:pPr>
        <w:jc w:val="both"/>
        <w:ind w:left="660" w:firstLine="644"/>
        <w:spacing w:after="0" w:line="244" w:lineRule="auto"/>
        <w:tabs>
          <w:tab w:leader="none" w:pos="2013" w:val="left"/>
        </w:tabs>
        <w:numPr>
          <w:ilvl w:val="0"/>
          <w:numId w:val="240"/>
        </w:numPr>
        <w:rPr>
          <w:rFonts w:ascii="Arial" w:cs="Arial" w:eastAsia="Arial" w:hAnsi="Arial"/>
          <w:sz w:val="19"/>
          <w:szCs w:val="19"/>
          <w:color w:val="auto"/>
        </w:rPr>
      </w:pPr>
      <w:r>
        <w:rPr>
          <w:rFonts w:ascii="Arial" w:cs="Arial" w:eastAsia="Arial" w:hAnsi="Arial"/>
          <w:sz w:val="19"/>
          <w:szCs w:val="19"/>
          <w:color w:val="auto"/>
        </w:rPr>
        <w:t>for so long as the Borrower is a member of a consolidated, combined, or similar group for U.S. federal, state, or local income tax purposes of which Holdings (or any Parent Entity) is the parent (or is an entity disregarded as separate from a member of any such group), Restricted Payments to Holdings to pay (or to make Restricted Payments to any such Parent Entity to pay) tax liabilities (to the extent such tax liabilities are attributable to the Borrower and its Restricted Subsidiaries and, to the extent of amounts actually received from its Unrestricted Subsidiaries, its Unrestricted Subsidiaries) in an amount not to exceed the amount of any U.S. federal, state and/or local income taxes that the Borrower, its Restricted Subsidiaries and/or its Unrestricted Subsidiaries, as applicable, would have paid for such taxable period had the Borrower, its Restricted Subsidiaries and/or its Unrestricted Subsidiaries, as applicable, been a stand-alone corporate taxpayer or a stand-alone corporate group; and</w:t>
      </w:r>
    </w:p>
    <w:p>
      <w:pPr>
        <w:spacing w:after="0" w:line="160" w:lineRule="exact"/>
        <w:rPr>
          <w:rFonts w:ascii="Arial" w:cs="Arial" w:eastAsia="Arial" w:hAnsi="Arial"/>
          <w:sz w:val="19"/>
          <w:szCs w:val="19"/>
          <w:color w:val="auto"/>
        </w:rPr>
      </w:pPr>
    </w:p>
    <w:p>
      <w:pPr>
        <w:jc w:val="both"/>
        <w:ind w:left="660" w:firstLine="644"/>
        <w:spacing w:after="0" w:line="223" w:lineRule="auto"/>
        <w:tabs>
          <w:tab w:leader="none" w:pos="2077"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distribution, by dividend or otherwise, of Equity Interests of or Indebtedness owed to Holdings, the Borrower or a Restricted Subsidiary by Unrestricted Subsidiaries (other than Unrestricted Subsidiaries, the primary assets of which are cash and Cash Equivalents).</w:t>
      </w:r>
    </w:p>
    <w:p>
      <w:pPr>
        <w:spacing w:after="0" w:line="159" w:lineRule="exact"/>
        <w:rPr>
          <w:sz w:val="20"/>
          <w:szCs w:val="20"/>
          <w:color w:val="auto"/>
        </w:rPr>
      </w:pPr>
    </w:p>
    <w:p>
      <w:pPr>
        <w:jc w:val="both"/>
        <w:ind w:firstLine="1304"/>
        <w:spacing w:after="0" w:line="216" w:lineRule="auto"/>
        <w:tabs>
          <w:tab w:leader="none" w:pos="1839"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The Borrower will not, nor will the Borrower permit any Restricted Subsidiary to, make any voluntary or optional payment or other distribution (whether in cash, securities or other property), of or in respect of principal or interest (including by way of the optional or voluntary purchase, redemption, retirement, acquisition, cancellation or termination, in each case prior to the final scheduled maturity thereof) of any Indebtedness that is by its terms subordinated in right of payment to all or any portion of the Obligations except:</w:t>
      </w:r>
    </w:p>
    <w:p>
      <w:pPr>
        <w:spacing w:after="0" w:line="158" w:lineRule="exact"/>
        <w:rPr>
          <w:sz w:val="20"/>
          <w:szCs w:val="20"/>
          <w:color w:val="auto"/>
        </w:rPr>
      </w:pPr>
    </w:p>
    <w:p>
      <w:pPr>
        <w:jc w:val="both"/>
        <w:ind w:left="660" w:firstLine="644"/>
        <w:spacing w:after="0" w:line="223" w:lineRule="auto"/>
        <w:tabs>
          <w:tab w:leader="none" w:pos="1746" w:val="left"/>
        </w:tabs>
        <w:numPr>
          <w:ilvl w:val="0"/>
          <w:numId w:val="242"/>
        </w:numPr>
        <w:rPr>
          <w:rFonts w:ascii="Arial" w:cs="Arial" w:eastAsia="Arial" w:hAnsi="Arial"/>
          <w:sz w:val="22"/>
          <w:szCs w:val="22"/>
          <w:color w:val="auto"/>
        </w:rPr>
      </w:pPr>
      <w:r>
        <w:rPr>
          <w:rFonts w:ascii="Arial" w:cs="Arial" w:eastAsia="Arial" w:hAnsi="Arial"/>
          <w:sz w:val="22"/>
          <w:szCs w:val="22"/>
          <w:color w:val="auto"/>
        </w:rPr>
        <w:t>payment of regularly scheduled interest and principal payments (and fees, indemnities and expenses payable) as, and when due in respect of any such Indebtedness to the extent not prohibited by any subordination or intercreditor provisions in respect thereof;</w:t>
      </w:r>
    </w:p>
    <w:p>
      <w:pPr>
        <w:spacing w:after="0" w:line="158" w:lineRule="exact"/>
        <w:rPr>
          <w:rFonts w:ascii="Arial" w:cs="Arial" w:eastAsia="Arial" w:hAnsi="Arial"/>
          <w:sz w:val="22"/>
          <w:szCs w:val="22"/>
          <w:color w:val="auto"/>
        </w:rPr>
      </w:pPr>
    </w:p>
    <w:p>
      <w:pPr>
        <w:ind w:left="1820" w:hanging="516"/>
        <w:spacing w:after="0"/>
        <w:tabs>
          <w:tab w:leader="none" w:pos="182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a Permitted Refinancing of any such Indebtedness to the extent such Permitted Refinancing is permitted by</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61" w:lineRule="exact"/>
        <w:rPr>
          <w:rFonts w:ascii="Arial" w:cs="Arial" w:eastAsia="Arial" w:hAnsi="Arial"/>
          <w:sz w:val="19"/>
          <w:szCs w:val="19"/>
          <w:color w:val="auto"/>
        </w:rPr>
      </w:pPr>
    </w:p>
    <w:p>
      <w:pPr>
        <w:ind w:left="660" w:firstLine="644"/>
        <w:spacing w:after="0" w:line="232" w:lineRule="auto"/>
        <w:tabs>
          <w:tab w:leader="none" w:pos="1919" w:val="left"/>
        </w:tabs>
        <w:numPr>
          <w:ilvl w:val="0"/>
          <w:numId w:val="242"/>
        </w:numPr>
        <w:rPr>
          <w:rFonts w:ascii="Arial" w:cs="Arial" w:eastAsia="Arial" w:hAnsi="Arial"/>
          <w:sz w:val="22"/>
          <w:szCs w:val="22"/>
          <w:color w:val="auto"/>
        </w:rPr>
      </w:pPr>
      <w:r>
        <w:rPr>
          <w:rFonts w:ascii="Arial" w:cs="Arial" w:eastAsia="Arial" w:hAnsi="Arial"/>
          <w:sz w:val="22"/>
          <w:szCs w:val="22"/>
          <w:color w:val="auto"/>
        </w:rPr>
        <w:t xml:space="preserve">payments of intercompany Indebtedness permitted under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to the extent not prohibited by any subordination provisions in respect thereof;</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879" w:val="left"/>
        </w:tabs>
        <w:numPr>
          <w:ilvl w:val="0"/>
          <w:numId w:val="242"/>
        </w:numPr>
        <w:rPr>
          <w:rFonts w:ascii="Arial" w:cs="Arial" w:eastAsia="Arial" w:hAnsi="Arial"/>
          <w:sz w:val="22"/>
          <w:szCs w:val="22"/>
          <w:color w:val="auto"/>
        </w:rPr>
      </w:pPr>
      <w:r>
        <w:rPr>
          <w:rFonts w:ascii="Arial" w:cs="Arial" w:eastAsia="Arial" w:hAnsi="Arial"/>
          <w:sz w:val="22"/>
          <w:szCs w:val="22"/>
          <w:color w:val="auto"/>
        </w:rPr>
        <w:t xml:space="preserve">conversions, exchanges, redemptions, repayments or prepayments of such Indebtedness into, or for, Equity Interests (other than Disqualified Equity Interests, except to the extent permitted under </w:t>
      </w:r>
      <w:r>
        <w:rPr>
          <w:rFonts w:ascii="Arial" w:cs="Arial" w:eastAsia="Arial" w:hAnsi="Arial"/>
          <w:sz w:val="22"/>
          <w:szCs w:val="22"/>
          <w:u w:val="single" w:color="auto"/>
          <w:color w:val="auto"/>
        </w:rPr>
        <w:t>Section 6.01(y)</w:t>
      </w:r>
      <w:r>
        <w:rPr>
          <w:rFonts w:ascii="Arial" w:cs="Arial" w:eastAsia="Arial" w:hAnsi="Arial"/>
          <w:sz w:val="22"/>
          <w:szCs w:val="22"/>
          <w:color w:val="auto"/>
        </w:rPr>
        <w:t>) of any Parent Entity or Holdings;</w:t>
      </w:r>
    </w:p>
    <w:p>
      <w:pPr>
        <w:spacing w:after="0" w:line="158" w:lineRule="exact"/>
        <w:rPr>
          <w:rFonts w:ascii="Arial" w:cs="Arial" w:eastAsia="Arial" w:hAnsi="Arial"/>
          <w:sz w:val="22"/>
          <w:szCs w:val="22"/>
          <w:color w:val="auto"/>
        </w:rPr>
      </w:pPr>
    </w:p>
    <w:p>
      <w:pPr>
        <w:ind w:left="660" w:firstLine="644"/>
        <w:spacing w:after="0" w:line="247" w:lineRule="auto"/>
        <w:tabs>
          <w:tab w:leader="none" w:pos="1865" w:val="left"/>
        </w:tabs>
        <w:numPr>
          <w:ilvl w:val="0"/>
          <w:numId w:val="242"/>
        </w:numPr>
        <w:rPr>
          <w:rFonts w:ascii="Arial" w:cs="Arial" w:eastAsia="Arial" w:hAnsi="Arial"/>
          <w:sz w:val="21"/>
          <w:szCs w:val="21"/>
          <w:color w:val="auto"/>
        </w:rPr>
      </w:pPr>
      <w:r>
        <w:rPr>
          <w:rFonts w:ascii="Arial" w:cs="Arial" w:eastAsia="Arial" w:hAnsi="Arial"/>
          <w:sz w:val="21"/>
          <w:szCs w:val="21"/>
          <w:color w:val="auto"/>
        </w:rPr>
        <w:t xml:space="preserve">AHYDO Catch-Up Payments relating to Indebtedness of the Borrower and the Restricted Subsidiaries so long as no Event of Default under </w:t>
      </w:r>
      <w:r>
        <w:rPr>
          <w:rFonts w:ascii="Arial" w:cs="Arial" w:eastAsia="Arial" w:hAnsi="Arial"/>
          <w:sz w:val="21"/>
          <w:szCs w:val="21"/>
          <w:u w:val="single" w:color="auto"/>
          <w:color w:val="auto"/>
        </w:rPr>
        <w:t>Section 7.01(a)</w:t>
      </w:r>
      <w:r>
        <w:rPr>
          <w:rFonts w:ascii="Arial" w:cs="Arial" w:eastAsia="Arial" w:hAnsi="Arial"/>
          <w:sz w:val="21"/>
          <w:szCs w:val="21"/>
          <w:color w:val="auto"/>
        </w:rPr>
        <w:t>,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(h</w:t>
      </w:r>
      <w:r>
        <w:rPr>
          <w:rFonts w:ascii="Arial" w:cs="Arial" w:eastAsia="Arial" w:hAnsi="Arial"/>
          <w:sz w:val="21"/>
          <w:szCs w:val="21"/>
          <w:color w:val="auto"/>
        </w:rPr>
        <w:t>) or (</w:t>
      </w:r>
      <w:r>
        <w:rPr>
          <w:rFonts w:ascii="Arial" w:cs="Arial" w:eastAsia="Arial" w:hAnsi="Arial"/>
          <w:sz w:val="21"/>
          <w:szCs w:val="21"/>
          <w:u w:val="single" w:color="auto"/>
          <w:color w:val="auto"/>
        </w:rPr>
        <w:t>i</w:t>
      </w:r>
      <w:r>
        <w:rPr>
          <w:rFonts w:ascii="Arial" w:cs="Arial" w:eastAsia="Arial" w:hAnsi="Arial"/>
          <w:sz w:val="21"/>
          <w:szCs w:val="21"/>
          <w:color w:val="auto"/>
        </w:rPr>
        <w: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34" w:name="page235"/>
    <w:bookmarkEnd w:id="234"/>
    <w:p>
      <w:pPr>
        <w:ind w:left="1860" w:hanging="556"/>
        <w:spacing w:after="0"/>
        <w:tabs>
          <w:tab w:leader="none" w:pos="1860" w:val="left"/>
        </w:tabs>
        <w:numPr>
          <w:ilvl w:val="1"/>
          <w:numId w:val="243"/>
        </w:numPr>
        <w:rPr>
          <w:rFonts w:ascii="Arial" w:cs="Arial" w:eastAsia="Arial" w:hAnsi="Arial"/>
          <w:sz w:val="19"/>
          <w:szCs w:val="19"/>
          <w:color w:val="auto"/>
        </w:rPr>
      </w:pPr>
      <w:r>
        <w:rPr>
          <w:rFonts w:ascii="Arial" w:cs="Arial" w:eastAsia="Arial" w:hAnsi="Arial"/>
          <w:sz w:val="19"/>
          <w:szCs w:val="19"/>
          <w:color w:val="auto"/>
        </w:rPr>
        <w:t>any such payments or other distributions in an amount not to exceed (A) the greater of (x) $25,000,000 and</w:t>
      </w:r>
    </w:p>
    <w:p>
      <w:pPr>
        <w:spacing w:after="0" w:line="15" w:lineRule="exact"/>
        <w:rPr>
          <w:rFonts w:ascii="Arial" w:cs="Arial" w:eastAsia="Arial" w:hAnsi="Arial"/>
          <w:sz w:val="19"/>
          <w:szCs w:val="19"/>
          <w:color w:val="auto"/>
        </w:rPr>
      </w:pPr>
    </w:p>
    <w:p>
      <w:pPr>
        <w:jc w:val="both"/>
        <w:ind w:left="660" w:hanging="4"/>
        <w:spacing w:after="0" w:line="247" w:lineRule="auto"/>
        <w:tabs>
          <w:tab w:leader="none" w:pos="987" w:val="left"/>
        </w:tabs>
        <w:numPr>
          <w:ilvl w:val="0"/>
          <w:numId w:val="244"/>
        </w:numPr>
        <w:rPr>
          <w:rFonts w:ascii="Arial" w:cs="Arial" w:eastAsia="Arial" w:hAnsi="Arial"/>
          <w:sz w:val="19"/>
          <w:szCs w:val="19"/>
          <w:color w:val="auto"/>
        </w:rPr>
      </w:pPr>
      <w:r>
        <w:rPr>
          <w:rFonts w:ascii="Arial" w:cs="Arial" w:eastAsia="Arial" w:hAnsi="Arial"/>
          <w:sz w:val="19"/>
          <w:szCs w:val="19"/>
          <w:color w:val="auto"/>
        </w:rPr>
        <w:t>25.0% of LTM EBITDA calculated on a Pro Forma Basis as of the Applicable Date of Determination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unused amounts under </w:t>
      </w:r>
      <w:r>
        <w:rPr>
          <w:rFonts w:ascii="Arial" w:cs="Arial" w:eastAsia="Arial" w:hAnsi="Arial"/>
          <w:sz w:val="19"/>
          <w:szCs w:val="19"/>
          <w:u w:val="single" w:color="auto"/>
          <w:color w:val="auto"/>
        </w:rPr>
        <w:t>Section 6.06(a)(xiv)(A)</w:t>
      </w:r>
      <w:r>
        <w:rPr>
          <w:rFonts w:ascii="Arial" w:cs="Arial" w:eastAsia="Arial" w:hAnsi="Arial"/>
          <w:sz w:val="19"/>
          <w:szCs w:val="19"/>
          <w:color w:val="auto"/>
        </w:rPr>
        <w:t xml:space="preserve"> reallocated to this </w:t>
      </w:r>
      <w:r>
        <w:rPr>
          <w:rFonts w:ascii="Arial" w:cs="Arial" w:eastAsia="Arial" w:hAnsi="Arial"/>
          <w:sz w:val="19"/>
          <w:szCs w:val="19"/>
          <w:u w:val="single" w:color="auto"/>
          <w:color w:val="auto"/>
        </w:rPr>
        <w:t>clause (vi)(A)</w:t>
      </w:r>
      <w:r>
        <w:rPr>
          <w:rFonts w:ascii="Arial" w:cs="Arial" w:eastAsia="Arial" w:hAnsi="Arial"/>
          <w:sz w:val="19"/>
          <w:szCs w:val="19"/>
          <w:color w:val="auto"/>
        </w:rPr>
        <w:t xml:space="preserve">, but less any amounts reallocated from this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(vi)(A)</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Section 6.04(q)(B)</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Available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case of payments or distributions made pursuant to this </w:t>
      </w:r>
      <w:r>
        <w:rPr>
          <w:rFonts w:ascii="Arial" w:cs="Arial" w:eastAsia="Arial" w:hAnsi="Arial"/>
          <w:sz w:val="19"/>
          <w:szCs w:val="19"/>
          <w:u w:val="single" w:color="auto"/>
          <w:color w:val="auto"/>
        </w:rPr>
        <w:t>clause (vi)(B)</w:t>
      </w:r>
      <w:r>
        <w:rPr>
          <w:rFonts w:ascii="Arial" w:cs="Arial" w:eastAsia="Arial" w:hAnsi="Arial"/>
          <w:sz w:val="19"/>
          <w:szCs w:val="19"/>
          <w:color w:val="auto"/>
        </w:rPr>
        <w:t xml:space="preserve">, at the time of making such payment or distribution, no Event of Default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has occurred and is continuing or would result therefrom;</w:t>
      </w:r>
    </w:p>
    <w:p>
      <w:pPr>
        <w:spacing w:after="0" w:line="153" w:lineRule="exact"/>
        <w:rPr>
          <w:rFonts w:ascii="Arial" w:cs="Arial" w:eastAsia="Arial" w:hAnsi="Arial"/>
          <w:sz w:val="19"/>
          <w:szCs w:val="19"/>
          <w:color w:val="auto"/>
        </w:rPr>
      </w:pPr>
    </w:p>
    <w:p>
      <w:pPr>
        <w:jc w:val="both"/>
        <w:ind w:left="660" w:firstLine="644"/>
        <w:spacing w:after="0" w:line="224" w:lineRule="auto"/>
        <w:tabs>
          <w:tab w:leader="none" w:pos="1918" w:val="left"/>
        </w:tabs>
        <w:numPr>
          <w:ilvl w:val="1"/>
          <w:numId w:val="244"/>
        </w:numPr>
        <w:rPr>
          <w:rFonts w:ascii="Arial" w:cs="Arial" w:eastAsia="Arial" w:hAnsi="Arial"/>
          <w:sz w:val="21"/>
          <w:szCs w:val="21"/>
          <w:color w:val="auto"/>
        </w:rPr>
      </w:pPr>
      <w:r>
        <w:rPr>
          <w:rFonts w:ascii="Arial" w:cs="Arial" w:eastAsia="Arial" w:hAnsi="Arial"/>
          <w:sz w:val="21"/>
          <w:szCs w:val="21"/>
          <w:color w:val="auto"/>
        </w:rPr>
        <w:t>payments or distributions made with (A) any capital contributions made in cash by any Person other than a Restricted Subsidiary to Holdings after the Closing Date (other than any Cure Amount) to the extent Not Otherwise Applied; and (B) any Net Proceeds of any issuance of Qualified Equity Interests after the Closing Date of Holdings (other than any Cure Amount) to any Person other than a Restricted Subsidiary to the extent Not Otherwise Applied, and to the extent, in each case, such Net Proceeds and contributions have been contributed to the Qualified Equity Interests of the Borrower or any other Loan Party (other than Holdings);</w:t>
      </w:r>
    </w:p>
    <w:p>
      <w:pPr>
        <w:spacing w:after="0" w:line="159" w:lineRule="exact"/>
        <w:rPr>
          <w:rFonts w:ascii="Arial" w:cs="Arial" w:eastAsia="Arial" w:hAnsi="Arial"/>
          <w:sz w:val="21"/>
          <w:szCs w:val="21"/>
          <w:color w:val="auto"/>
        </w:rPr>
      </w:pPr>
    </w:p>
    <w:p>
      <w:pPr>
        <w:jc w:val="both"/>
        <w:ind w:left="660" w:firstLine="644"/>
        <w:spacing w:after="0" w:line="214" w:lineRule="auto"/>
        <w:tabs>
          <w:tab w:leader="none" w:pos="2000" w:val="left"/>
        </w:tabs>
        <w:numPr>
          <w:ilvl w:val="1"/>
          <w:numId w:val="244"/>
        </w:numPr>
        <w:rPr>
          <w:rFonts w:ascii="Arial" w:cs="Arial" w:eastAsia="Arial" w:hAnsi="Arial"/>
          <w:sz w:val="22"/>
          <w:szCs w:val="22"/>
          <w:color w:val="auto"/>
        </w:rPr>
      </w:pPr>
      <w:r>
        <w:rPr>
          <w:rFonts w:ascii="Arial" w:cs="Arial" w:eastAsia="Arial" w:hAnsi="Arial"/>
          <w:sz w:val="22"/>
          <w:szCs w:val="22"/>
          <w:color w:val="auto"/>
        </w:rPr>
        <w:t>the payment, redemption, repurchase, retirement, termination or cancellation of Indebtedness within sixty (60) days of the date of the Redemption Notice if, at the date of any payment, redemption, repurchase, retirement, termination or cancellation notice in respect thereof (the “</w:t>
      </w:r>
      <w:r>
        <w:rPr>
          <w:rFonts w:ascii="Arial" w:cs="Arial" w:eastAsia="Arial" w:hAnsi="Arial"/>
          <w:sz w:val="22"/>
          <w:szCs w:val="22"/>
          <w:u w:val="single" w:color="auto"/>
          <w:color w:val="auto"/>
        </w:rPr>
        <w:t>Redemption Notice</w:t>
      </w:r>
      <w:r>
        <w:rPr>
          <w:rFonts w:ascii="Arial" w:cs="Arial" w:eastAsia="Arial" w:hAnsi="Arial"/>
          <w:sz w:val="22"/>
          <w:szCs w:val="22"/>
          <w:color w:val="auto"/>
        </w:rPr>
        <w:t xml:space="preserve">”), such payment, redemption, repurchase, retirement termination or cancellation would have complied with another provision of this </w:t>
      </w:r>
      <w:r>
        <w:rPr>
          <w:rFonts w:ascii="Arial" w:cs="Arial" w:eastAsia="Arial" w:hAnsi="Arial"/>
          <w:sz w:val="22"/>
          <w:szCs w:val="22"/>
          <w:u w:val="single" w:color="auto"/>
          <w:color w:val="auto"/>
        </w:rPr>
        <w:t>Section 6.06(b)</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payment, redemption, repurchase, retirement termination or cancellation shall reduce capacity under such other provision; and</w:t>
      </w:r>
    </w:p>
    <w:p>
      <w:pPr>
        <w:spacing w:after="0" w:line="158" w:lineRule="exact"/>
        <w:rPr>
          <w:rFonts w:ascii="Arial" w:cs="Arial" w:eastAsia="Arial" w:hAnsi="Arial"/>
          <w:sz w:val="22"/>
          <w:szCs w:val="22"/>
          <w:color w:val="auto"/>
        </w:rPr>
      </w:pPr>
    </w:p>
    <w:p>
      <w:pPr>
        <w:jc w:val="both"/>
        <w:ind w:left="660" w:firstLine="644"/>
        <w:spacing w:after="0" w:line="252" w:lineRule="auto"/>
        <w:tabs>
          <w:tab w:leader="none" w:pos="1922" w:val="left"/>
        </w:tabs>
        <w:numPr>
          <w:ilvl w:val="1"/>
          <w:numId w:val="244"/>
        </w:numPr>
        <w:rPr>
          <w:rFonts w:ascii="Arial" w:cs="Arial" w:eastAsia="Arial" w:hAnsi="Arial"/>
          <w:sz w:val="19"/>
          <w:szCs w:val="19"/>
          <w:color w:val="auto"/>
        </w:rPr>
      </w:pPr>
      <w:r>
        <w:rPr>
          <w:rFonts w:ascii="Arial" w:cs="Arial" w:eastAsia="Arial" w:hAnsi="Arial"/>
          <w:sz w:val="19"/>
          <w:szCs w:val="19"/>
          <w:color w:val="auto"/>
        </w:rPr>
        <w:t xml:space="preserve">(i) any Holding Company or any Restricted Subsidiary may make additional payments and distributions;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Total Net Leverage Ratio after giving effect thereto on a Pro Forma Basis as of the Applicable Date of Determination is less than or equal to 6.25 to 1.00 and (ii) any Holding Company or any Restricted Subsidiary may make additional payments and distributions in an amount not to exceed the Available Excluded Contribution Amount so long as no Event of Default has occurred and is continuing or would result from the making of such payment or distribution.</w:t>
      </w:r>
    </w:p>
    <w:p>
      <w:pPr>
        <w:spacing w:after="0" w:line="14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6.07</w:t>
      </w:r>
      <w:r>
        <w:rPr>
          <w:sz w:val="20"/>
          <w:szCs w:val="20"/>
          <w:color w:val="auto"/>
        </w:rPr>
        <w:tab/>
      </w:r>
      <w:r>
        <w:rPr>
          <w:rFonts w:ascii="Arial" w:cs="Arial" w:eastAsia="Arial" w:hAnsi="Arial"/>
          <w:sz w:val="19"/>
          <w:szCs w:val="19"/>
          <w:u w:val="single" w:color="auto"/>
          <w:color w:val="auto"/>
        </w:rPr>
        <w:t>Transactions with Affiliates</w:t>
      </w:r>
      <w:r>
        <w:rPr>
          <w:rFonts w:ascii="Arial" w:cs="Arial" w:eastAsia="Arial" w:hAnsi="Arial"/>
          <w:sz w:val="19"/>
          <w:szCs w:val="19"/>
          <w:color w:val="FF0000"/>
          <w:strike w:val="1"/>
        </w:rPr>
        <w:t>.</w:t>
      </w:r>
    </w:p>
    <w:p>
      <w:pPr>
        <w:spacing w:after="0" w:line="179" w:lineRule="exact"/>
        <w:rPr>
          <w:sz w:val="20"/>
          <w:szCs w:val="20"/>
          <w:color w:val="auto"/>
        </w:rPr>
      </w:pPr>
    </w:p>
    <w:p>
      <w:pPr>
        <w:jc w:val="both"/>
        <w:ind w:firstLine="1304"/>
        <w:spacing w:after="0" w:line="257" w:lineRule="auto"/>
        <w:tabs>
          <w:tab w:leader="none" w:pos="1401" w:val="left"/>
        </w:tabs>
        <w:numPr>
          <w:ilvl w:val="0"/>
          <w:numId w:val="245"/>
        </w:numPr>
        <w:rPr>
          <w:rFonts w:ascii="Arial" w:cs="Arial" w:eastAsia="Arial" w:hAnsi="Arial"/>
          <w:sz w:val="19"/>
          <w:szCs w:val="19"/>
          <w:u w:val="single" w:color="auto"/>
          <w:color w:val="0000FF"/>
        </w:rPr>
      </w:pPr>
      <w:r>
        <w:rPr>
          <w:rFonts w:ascii="Arial" w:cs="Arial" w:eastAsia="Arial" w:hAnsi="Arial"/>
          <w:sz w:val="19"/>
          <w:szCs w:val="19"/>
          <w:color w:val="auto"/>
        </w:rPr>
        <w:t>The Borrower will not, nor will the Borrower permit any Restricted Subsidiary to, sell, lease or otherwise transfer any property or assets to, or purchase, lease or otherwise acquire any property or assets from, or otherwise engage in any other transactions with, any of its Affiliates, with a fair market value in excess of the greater of (x) $7,500,000 and (y) 7.5% of LTM EBITDA calculated on a Pro Forma Basis as of the Applicable Date of Determination except:</w:t>
      </w:r>
    </w:p>
    <w:p>
      <w:pPr>
        <w:spacing w:after="0" w:line="144" w:lineRule="exact"/>
        <w:rPr>
          <w:sz w:val="20"/>
          <w:szCs w:val="20"/>
          <w:color w:val="auto"/>
        </w:rPr>
      </w:pPr>
    </w:p>
    <w:p>
      <w:pPr>
        <w:jc w:val="both"/>
        <w:ind w:firstLine="1304"/>
        <w:spacing w:after="0" w:line="234" w:lineRule="auto"/>
        <w:tabs>
          <w:tab w:leader="none" w:pos="1790" w:val="left"/>
        </w:tabs>
        <w:numPr>
          <w:ilvl w:val="0"/>
          <w:numId w:val="246"/>
        </w:numPr>
        <w:rPr>
          <w:rFonts w:ascii="Arial" w:cs="Arial" w:eastAsia="Arial" w:hAnsi="Arial"/>
          <w:sz w:val="21"/>
          <w:szCs w:val="21"/>
          <w:color w:val="0000FF"/>
        </w:rPr>
      </w:pPr>
      <w:r>
        <w:rPr>
          <w:rFonts w:ascii="Arial" w:cs="Arial" w:eastAsia="Arial" w:hAnsi="Arial"/>
          <w:sz w:val="21"/>
          <w:szCs w:val="21"/>
          <w:color w:val="FF0000"/>
          <w:strike w:val="1"/>
        </w:rPr>
        <w:t>(a)</w:t>
      </w:r>
      <w:r>
        <w:rPr>
          <w:rFonts w:ascii="Arial" w:cs="Arial" w:eastAsia="Arial" w:hAnsi="Arial"/>
          <w:sz w:val="21"/>
          <w:szCs w:val="21"/>
          <w:color w:val="FF0000"/>
        </w:rPr>
        <w:t xml:space="preserve"> </w:t>
      </w:r>
      <w:r>
        <w:rPr>
          <w:rFonts w:ascii="Arial" w:cs="Arial" w:eastAsia="Arial" w:hAnsi="Arial"/>
          <w:sz w:val="21"/>
          <w:szCs w:val="21"/>
          <w:color w:val="000000"/>
        </w:rPr>
        <w:t>transactions at prices and on terms and conditions (taken as a whole) not materially less favorable to the</w:t>
      </w:r>
      <w:r>
        <w:rPr>
          <w:rFonts w:ascii="Arial" w:cs="Arial" w:eastAsia="Arial" w:hAnsi="Arial"/>
          <w:sz w:val="21"/>
          <w:szCs w:val="21"/>
          <w:color w:val="FF0000"/>
        </w:rPr>
        <w:t xml:space="preserve"> </w:t>
      </w:r>
      <w:r>
        <w:rPr>
          <w:rFonts w:ascii="Arial" w:cs="Arial" w:eastAsia="Arial" w:hAnsi="Arial"/>
          <w:sz w:val="21"/>
          <w:szCs w:val="21"/>
          <w:color w:val="000000"/>
        </w:rPr>
        <w:t>Borrower, such Holding Company or such Restricted Subsidiary than could reasonably be expected to be obtained on an arm’s-length basis from unrelated third parties (as determined in good faith by the Borrower);</w:t>
      </w:r>
    </w:p>
    <w:p>
      <w:pPr>
        <w:spacing w:after="0" w:line="157" w:lineRule="exact"/>
        <w:rPr>
          <w:rFonts w:ascii="Arial" w:cs="Arial" w:eastAsia="Arial" w:hAnsi="Arial"/>
          <w:sz w:val="21"/>
          <w:szCs w:val="21"/>
          <w:color w:val="0000FF"/>
        </w:rPr>
      </w:pPr>
    </w:p>
    <w:p>
      <w:pPr>
        <w:ind w:firstLine="1304"/>
        <w:spacing w:after="0" w:line="232" w:lineRule="auto"/>
        <w:tabs>
          <w:tab w:leader="none" w:pos="1818" w:val="left"/>
        </w:tabs>
        <w:numPr>
          <w:ilvl w:val="0"/>
          <w:numId w:val="246"/>
        </w:numPr>
        <w:rPr>
          <w:rFonts w:ascii="Arial" w:cs="Arial" w:eastAsia="Arial" w:hAnsi="Arial"/>
          <w:sz w:val="22"/>
          <w:szCs w:val="22"/>
          <w:color w:val="0000FF"/>
        </w:rPr>
      </w:pPr>
      <w:r>
        <w:rPr>
          <w:rFonts w:ascii="Arial" w:cs="Arial" w:eastAsia="Arial" w:hAnsi="Arial"/>
          <w:sz w:val="22"/>
          <w:szCs w:val="22"/>
          <w:color w:val="FF0000"/>
          <w:strike w:val="1"/>
        </w:rPr>
        <w:t>(b)</w:t>
      </w:r>
      <w:r>
        <w:rPr>
          <w:rFonts w:ascii="Arial" w:cs="Arial" w:eastAsia="Arial" w:hAnsi="Arial"/>
          <w:sz w:val="22"/>
          <w:szCs w:val="22"/>
          <w:color w:val="FF0000"/>
        </w:rPr>
        <w:t xml:space="preserve"> </w:t>
      </w:r>
      <w:r>
        <w:rPr>
          <w:rFonts w:ascii="Arial" w:cs="Arial" w:eastAsia="Arial" w:hAnsi="Arial"/>
          <w:sz w:val="22"/>
          <w:szCs w:val="22"/>
          <w:color w:val="000000"/>
        </w:rPr>
        <w:t>transactions between or among the Loan Parties (or any entity that becomes a Loan Party as a result of</w:t>
      </w:r>
      <w:r>
        <w:rPr>
          <w:rFonts w:ascii="Arial" w:cs="Arial" w:eastAsia="Arial" w:hAnsi="Arial"/>
          <w:sz w:val="22"/>
          <w:szCs w:val="22"/>
          <w:color w:val="FF0000"/>
        </w:rPr>
        <w:t xml:space="preserve"> </w:t>
      </w:r>
      <w:r>
        <w:rPr>
          <w:rFonts w:ascii="Arial" w:cs="Arial" w:eastAsia="Arial" w:hAnsi="Arial"/>
          <w:sz w:val="22"/>
          <w:szCs w:val="22"/>
          <w:color w:val="000000"/>
        </w:rPr>
        <w:t>such transaction) not involving any other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-716280</wp:posOffset>
            </wp:positionV>
            <wp:extent cx="313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3136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-167640</wp:posOffset>
            </wp:positionV>
            <wp:extent cx="331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331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35" w:name="page236"/>
    <w:bookmarkEnd w:id="235"/>
    <w:p>
      <w:pPr>
        <w:ind w:left="1760" w:hanging="456"/>
        <w:spacing w:after="0"/>
        <w:tabs>
          <w:tab w:leader="none" w:pos="1760" w:val="left"/>
        </w:tabs>
        <w:numPr>
          <w:ilvl w:val="0"/>
          <w:numId w:val="247"/>
        </w:numPr>
        <w:rPr>
          <w:rFonts w:ascii="Arial" w:cs="Arial" w:eastAsia="Arial" w:hAnsi="Arial"/>
          <w:sz w:val="22"/>
          <w:szCs w:val="22"/>
          <w:color w:val="0000FF"/>
        </w:rPr>
      </w:pPr>
      <w:r>
        <w:rPr>
          <w:rFonts w:ascii="Arial" w:cs="Arial" w:eastAsia="Arial" w:hAnsi="Arial"/>
          <w:sz w:val="22"/>
          <w:szCs w:val="22"/>
          <w:color w:val="FF0000"/>
          <w:strike w:val="1"/>
        </w:rPr>
        <w:t>(c)</w:t>
      </w:r>
      <w:r>
        <w:rPr>
          <w:rFonts w:ascii="Arial" w:cs="Arial" w:eastAsia="Arial" w:hAnsi="Arial"/>
          <w:sz w:val="22"/>
          <w:szCs w:val="22"/>
          <w:color w:val="FF0000"/>
        </w:rPr>
        <w:t xml:space="preserve"> </w:t>
      </w:r>
      <w:r>
        <w:rPr>
          <w:rFonts w:ascii="Arial" w:cs="Arial" w:eastAsia="Arial" w:hAnsi="Arial"/>
          <w:sz w:val="22"/>
          <w:szCs w:val="22"/>
          <w:color w:val="000000"/>
        </w:rPr>
        <w:t>loans or advances to employees, officers and directors permitted under</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Section 6.04</w:t>
      </w:r>
      <w:r>
        <w:rPr>
          <w:rFonts w:ascii="Arial" w:cs="Arial" w:eastAsia="Arial" w:hAnsi="Arial"/>
          <w:sz w:val="22"/>
          <w:szCs w:val="22"/>
          <w:color w:val="000000"/>
        </w:rPr>
        <w:t>;</w:t>
      </w:r>
    </w:p>
    <w:p>
      <w:pPr>
        <w:spacing w:after="0" w:line="179" w:lineRule="exact"/>
        <w:rPr>
          <w:rFonts w:ascii="Arial" w:cs="Arial" w:eastAsia="Arial" w:hAnsi="Arial"/>
          <w:sz w:val="22"/>
          <w:szCs w:val="22"/>
          <w:color w:val="0000FF"/>
        </w:rPr>
      </w:pPr>
    </w:p>
    <w:p>
      <w:pPr>
        <w:ind w:left="1780" w:hanging="476"/>
        <w:spacing w:after="0"/>
        <w:tabs>
          <w:tab w:leader="none" w:pos="1780" w:val="left"/>
        </w:tabs>
        <w:numPr>
          <w:ilvl w:val="0"/>
          <w:numId w:val="247"/>
        </w:numPr>
        <w:rPr>
          <w:rFonts w:ascii="Arial" w:cs="Arial" w:eastAsia="Arial" w:hAnsi="Arial"/>
          <w:sz w:val="22"/>
          <w:szCs w:val="22"/>
          <w:color w:val="0000FF"/>
        </w:rPr>
      </w:pPr>
      <w:r>
        <w:rPr>
          <w:rFonts w:ascii="Arial" w:cs="Arial" w:eastAsia="Arial" w:hAnsi="Arial"/>
          <w:sz w:val="22"/>
          <w:szCs w:val="22"/>
          <w:color w:val="FF0000"/>
          <w:strike w:val="1"/>
        </w:rPr>
        <w:t>(d)</w:t>
      </w:r>
      <w:r>
        <w:rPr>
          <w:rFonts w:ascii="Arial" w:cs="Arial" w:eastAsia="Arial" w:hAnsi="Arial"/>
          <w:sz w:val="22"/>
          <w:szCs w:val="22"/>
          <w:color w:val="FF0000"/>
        </w:rPr>
        <w:t xml:space="preserve"> </w:t>
      </w:r>
      <w:r>
        <w:rPr>
          <w:rFonts w:ascii="Arial" w:cs="Arial" w:eastAsia="Arial" w:hAnsi="Arial"/>
          <w:sz w:val="22"/>
          <w:szCs w:val="22"/>
          <w:color w:val="000000"/>
        </w:rPr>
        <w:t>payroll, travel and similar advances to cover matters permitted under</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Section 6.04</w:t>
      </w:r>
      <w:r>
        <w:rPr>
          <w:rFonts w:ascii="Arial" w:cs="Arial" w:eastAsia="Arial" w:hAnsi="Arial"/>
          <w:sz w:val="22"/>
          <w:szCs w:val="22"/>
          <w:color w:val="000000"/>
        </w:rPr>
        <w:t>;</w:t>
      </w:r>
    </w:p>
    <w:p>
      <w:pPr>
        <w:spacing w:after="0" w:line="179" w:lineRule="exact"/>
        <w:rPr>
          <w:rFonts w:ascii="Arial" w:cs="Arial" w:eastAsia="Arial" w:hAnsi="Arial"/>
          <w:sz w:val="22"/>
          <w:szCs w:val="22"/>
          <w:color w:val="0000FF"/>
        </w:rPr>
      </w:pPr>
    </w:p>
    <w:p>
      <w:pPr>
        <w:ind w:firstLine="1304"/>
        <w:spacing w:after="0" w:line="232" w:lineRule="auto"/>
        <w:tabs>
          <w:tab w:leader="none" w:pos="1955" w:val="left"/>
        </w:tabs>
        <w:numPr>
          <w:ilvl w:val="0"/>
          <w:numId w:val="247"/>
        </w:numPr>
        <w:rPr>
          <w:rFonts w:ascii="Arial" w:cs="Arial" w:eastAsia="Arial" w:hAnsi="Arial"/>
          <w:sz w:val="22"/>
          <w:szCs w:val="22"/>
          <w:color w:val="0000FF"/>
        </w:rPr>
      </w:pPr>
      <w:r>
        <w:rPr>
          <w:rFonts w:ascii="Arial" w:cs="Arial" w:eastAsia="Arial" w:hAnsi="Arial"/>
          <w:sz w:val="22"/>
          <w:szCs w:val="22"/>
          <w:color w:val="FF0000"/>
          <w:strike w:val="1"/>
        </w:rPr>
        <w:t>(e)</w:t>
      </w:r>
      <w:r>
        <w:rPr>
          <w:rFonts w:ascii="Arial" w:cs="Arial" w:eastAsia="Arial" w:hAnsi="Arial"/>
          <w:sz w:val="22"/>
          <w:szCs w:val="22"/>
          <w:color w:val="FF0000"/>
        </w:rPr>
        <w:t xml:space="preserve"> </w:t>
      </w:r>
      <w:r>
        <w:rPr>
          <w:rFonts w:ascii="Arial" w:cs="Arial" w:eastAsia="Arial" w:hAnsi="Arial"/>
          <w:sz w:val="22"/>
          <w:szCs w:val="22"/>
          <w:color w:val="000000"/>
        </w:rPr>
        <w:t>the payment of reasonable fees and reimbursement of out-of-pocket expenses to directors of the</w:t>
      </w:r>
      <w:r>
        <w:rPr>
          <w:rFonts w:ascii="Arial" w:cs="Arial" w:eastAsia="Arial" w:hAnsi="Arial"/>
          <w:sz w:val="22"/>
          <w:szCs w:val="22"/>
          <w:color w:val="FF0000"/>
        </w:rPr>
        <w:t xml:space="preserve"> </w:t>
      </w:r>
      <w:r>
        <w:rPr>
          <w:rFonts w:ascii="Arial" w:cs="Arial" w:eastAsia="Arial" w:hAnsi="Arial"/>
          <w:sz w:val="22"/>
          <w:szCs w:val="22"/>
          <w:color w:val="000000"/>
        </w:rPr>
        <w:t>Borrower, the Holding Companies, any Parent Entity or any Restricted Subsidiary;</w:t>
      </w:r>
    </w:p>
    <w:p>
      <w:pPr>
        <w:spacing w:after="0" w:line="158" w:lineRule="exact"/>
        <w:rPr>
          <w:rFonts w:ascii="Arial" w:cs="Arial" w:eastAsia="Arial" w:hAnsi="Arial"/>
          <w:sz w:val="22"/>
          <w:szCs w:val="22"/>
          <w:color w:val="0000FF"/>
        </w:rPr>
      </w:pPr>
    </w:p>
    <w:p>
      <w:pPr>
        <w:jc w:val="both"/>
        <w:ind w:firstLine="1304"/>
        <w:spacing w:after="0" w:line="218" w:lineRule="auto"/>
        <w:tabs>
          <w:tab w:leader="none" w:pos="1790" w:val="left"/>
        </w:tabs>
        <w:numPr>
          <w:ilvl w:val="0"/>
          <w:numId w:val="247"/>
        </w:numPr>
        <w:rPr>
          <w:rFonts w:ascii="Arial" w:cs="Arial" w:eastAsia="Arial" w:hAnsi="Arial"/>
          <w:sz w:val="22"/>
          <w:szCs w:val="22"/>
          <w:color w:val="0000FF"/>
        </w:rPr>
      </w:pPr>
      <w:r>
        <w:rPr>
          <w:rFonts w:ascii="Arial" w:cs="Arial" w:eastAsia="Arial" w:hAnsi="Arial"/>
          <w:sz w:val="22"/>
          <w:szCs w:val="22"/>
          <w:color w:val="FF0000"/>
          <w:strike w:val="1"/>
        </w:rPr>
        <w:t>(f)</w:t>
      </w:r>
      <w:r>
        <w:rPr>
          <w:rFonts w:ascii="Arial" w:cs="Arial" w:eastAsia="Arial" w:hAnsi="Arial"/>
          <w:sz w:val="22"/>
          <w:szCs w:val="22"/>
          <w:color w:val="FF0000"/>
        </w:rPr>
        <w:t xml:space="preserve"> </w:t>
      </w:r>
      <w:r>
        <w:rPr>
          <w:rFonts w:ascii="Arial" w:cs="Arial" w:eastAsia="Arial" w:hAnsi="Arial"/>
          <w:sz w:val="22"/>
          <w:szCs w:val="22"/>
          <w:color w:val="000000"/>
        </w:rPr>
        <w:t>compensation (including bonuses) and employee benefit arrangements paid to, indemnities provided for</w:t>
      </w:r>
      <w:r>
        <w:rPr>
          <w:rFonts w:ascii="Arial" w:cs="Arial" w:eastAsia="Arial" w:hAnsi="Arial"/>
          <w:sz w:val="22"/>
          <w:szCs w:val="22"/>
          <w:color w:val="FF0000"/>
        </w:rPr>
        <w:t xml:space="preserve"> </w:t>
      </w:r>
      <w:r>
        <w:rPr>
          <w:rFonts w:ascii="Arial" w:cs="Arial" w:eastAsia="Arial" w:hAnsi="Arial"/>
          <w:sz w:val="22"/>
          <w:szCs w:val="22"/>
          <w:color w:val="000000"/>
        </w:rPr>
        <w:t>the benefit of, and employment and severance arrangements entered into with, directors, officers, managers, consultants or employees of the Holding Companies, the Borrower or the Subsidiaries in the ordinary course of business, including in connection with the Transactions and any other transaction permitted hereunder;</w:t>
      </w:r>
    </w:p>
    <w:p>
      <w:pPr>
        <w:spacing w:after="0" w:line="160" w:lineRule="exact"/>
        <w:rPr>
          <w:rFonts w:ascii="Arial" w:cs="Arial" w:eastAsia="Arial" w:hAnsi="Arial"/>
          <w:sz w:val="22"/>
          <w:szCs w:val="22"/>
          <w:color w:val="0000FF"/>
        </w:rPr>
      </w:pPr>
    </w:p>
    <w:p>
      <w:pPr>
        <w:ind w:firstLine="1304"/>
        <w:spacing w:after="0" w:line="232" w:lineRule="auto"/>
        <w:tabs>
          <w:tab w:leader="none" w:pos="1808" w:val="left"/>
        </w:tabs>
        <w:numPr>
          <w:ilvl w:val="0"/>
          <w:numId w:val="247"/>
        </w:numPr>
        <w:rPr>
          <w:rFonts w:ascii="Arial" w:cs="Arial" w:eastAsia="Arial" w:hAnsi="Arial"/>
          <w:sz w:val="22"/>
          <w:szCs w:val="22"/>
          <w:color w:val="0000FF"/>
        </w:rPr>
      </w:pPr>
      <w:r>
        <w:rPr>
          <w:rFonts w:ascii="Arial" w:cs="Arial" w:eastAsia="Arial" w:hAnsi="Arial"/>
          <w:sz w:val="22"/>
          <w:szCs w:val="22"/>
          <w:color w:val="FF0000"/>
          <w:strike w:val="1"/>
        </w:rPr>
        <w:t>(g)</w:t>
      </w:r>
      <w:r>
        <w:rPr>
          <w:rFonts w:ascii="Arial" w:cs="Arial" w:eastAsia="Arial" w:hAnsi="Arial"/>
          <w:sz w:val="22"/>
          <w:szCs w:val="22"/>
          <w:color w:val="FF0000"/>
        </w:rPr>
        <w:t xml:space="preserve"> </w:t>
      </w:r>
      <w:r>
        <w:rPr>
          <w:rFonts w:ascii="Arial" w:cs="Arial" w:eastAsia="Arial" w:hAnsi="Arial"/>
          <w:sz w:val="22"/>
          <w:szCs w:val="22"/>
          <w:color w:val="000000"/>
        </w:rPr>
        <w:t>any issuances of securities or other payments, awards or grants in cash, securities or otherwise pursuant</w:t>
      </w:r>
      <w:r>
        <w:rPr>
          <w:rFonts w:ascii="Arial" w:cs="Arial" w:eastAsia="Arial" w:hAnsi="Arial"/>
          <w:sz w:val="22"/>
          <w:szCs w:val="22"/>
          <w:color w:val="FF0000"/>
        </w:rPr>
        <w:t xml:space="preserve"> </w:t>
      </w:r>
      <w:r>
        <w:rPr>
          <w:rFonts w:ascii="Arial" w:cs="Arial" w:eastAsia="Arial" w:hAnsi="Arial"/>
          <w:sz w:val="22"/>
          <w:szCs w:val="22"/>
          <w:color w:val="000000"/>
        </w:rPr>
        <w:t>to, or the funding of, employment agreements, stock options and stock ownership plans;</w:t>
      </w:r>
    </w:p>
    <w:p>
      <w:pPr>
        <w:spacing w:after="0" w:line="158" w:lineRule="exact"/>
        <w:rPr>
          <w:rFonts w:ascii="Arial" w:cs="Arial" w:eastAsia="Arial" w:hAnsi="Arial"/>
          <w:sz w:val="22"/>
          <w:szCs w:val="22"/>
          <w:color w:val="0000FF"/>
        </w:rPr>
      </w:pPr>
    </w:p>
    <w:p>
      <w:pPr>
        <w:ind w:firstLine="1304"/>
        <w:spacing w:after="0" w:line="232" w:lineRule="auto"/>
        <w:tabs>
          <w:tab w:leader="none" w:pos="1804" w:val="left"/>
        </w:tabs>
        <w:numPr>
          <w:ilvl w:val="0"/>
          <w:numId w:val="247"/>
        </w:numPr>
        <w:rPr>
          <w:rFonts w:ascii="Arial" w:cs="Arial" w:eastAsia="Arial" w:hAnsi="Arial"/>
          <w:sz w:val="22"/>
          <w:szCs w:val="22"/>
          <w:color w:val="0000FF"/>
        </w:rPr>
      </w:pPr>
      <w:r>
        <w:rPr>
          <w:rFonts w:ascii="Arial" w:cs="Arial" w:eastAsia="Arial" w:hAnsi="Arial"/>
          <w:sz w:val="22"/>
          <w:szCs w:val="22"/>
          <w:color w:val="FF0000"/>
          <w:strike w:val="1"/>
        </w:rPr>
        <w:t>(h)</w:t>
      </w:r>
      <w:r>
        <w:rPr>
          <w:rFonts w:ascii="Arial" w:cs="Arial" w:eastAsia="Arial" w:hAnsi="Arial"/>
          <w:sz w:val="22"/>
          <w:szCs w:val="22"/>
          <w:color w:val="FF0000"/>
        </w:rPr>
        <w:t xml:space="preserve"> </w:t>
      </w:r>
      <w:r>
        <w:rPr>
          <w:rFonts w:ascii="Arial" w:cs="Arial" w:eastAsia="Arial" w:hAnsi="Arial"/>
          <w:sz w:val="22"/>
          <w:szCs w:val="22"/>
          <w:color w:val="000000"/>
        </w:rPr>
        <w:t>payment of fees and expenses pursuant to the Transactions, which payments are approved by a majority</w:t>
      </w:r>
      <w:r>
        <w:rPr>
          <w:rFonts w:ascii="Arial" w:cs="Arial" w:eastAsia="Arial" w:hAnsi="Arial"/>
          <w:sz w:val="22"/>
          <w:szCs w:val="22"/>
          <w:color w:val="FF0000"/>
        </w:rPr>
        <w:t xml:space="preserve"> </w:t>
      </w:r>
      <w:r>
        <w:rPr>
          <w:rFonts w:ascii="Arial" w:cs="Arial" w:eastAsia="Arial" w:hAnsi="Arial"/>
          <w:sz w:val="22"/>
          <w:szCs w:val="22"/>
          <w:color w:val="000000"/>
        </w:rPr>
        <w:t>of the disinterested members of the board of directors of the Borrower in good faith;</w:t>
      </w:r>
    </w:p>
    <w:p>
      <w:pPr>
        <w:spacing w:after="0" w:line="158" w:lineRule="exact"/>
        <w:rPr>
          <w:rFonts w:ascii="Arial" w:cs="Arial" w:eastAsia="Arial" w:hAnsi="Arial"/>
          <w:sz w:val="22"/>
          <w:szCs w:val="22"/>
          <w:color w:val="0000FF"/>
        </w:rPr>
      </w:pPr>
    </w:p>
    <w:p>
      <w:pPr>
        <w:ind w:left="1720" w:hanging="416"/>
        <w:spacing w:after="0"/>
        <w:tabs>
          <w:tab w:leader="none" w:pos="1720" w:val="left"/>
        </w:tabs>
        <w:numPr>
          <w:ilvl w:val="0"/>
          <w:numId w:val="247"/>
        </w:numPr>
        <w:rPr>
          <w:rFonts w:ascii="Arial" w:cs="Arial" w:eastAsia="Arial" w:hAnsi="Arial"/>
          <w:sz w:val="22"/>
          <w:szCs w:val="22"/>
          <w:color w:val="0000FF"/>
        </w:rPr>
      </w:pPr>
      <w:r>
        <w:rPr>
          <w:rFonts w:ascii="Arial" w:cs="Arial" w:eastAsia="Arial" w:hAnsi="Arial"/>
          <w:sz w:val="22"/>
          <w:szCs w:val="22"/>
          <w:color w:val="FF0000"/>
          <w:strike w:val="1"/>
        </w:rPr>
        <w:t>(i)</w:t>
      </w:r>
      <w:r>
        <w:rPr>
          <w:rFonts w:ascii="Arial" w:cs="Arial" w:eastAsia="Arial" w:hAnsi="Arial"/>
          <w:sz w:val="22"/>
          <w:szCs w:val="22"/>
          <w:color w:val="FF0000"/>
        </w:rPr>
        <w:t xml:space="preserve"> </w:t>
      </w:r>
      <w:r>
        <w:rPr>
          <w:rFonts w:ascii="Arial" w:cs="Arial" w:eastAsia="Arial" w:hAnsi="Arial"/>
          <w:sz w:val="22"/>
          <w:szCs w:val="22"/>
          <w:color w:val="000000"/>
        </w:rPr>
        <w:t>any Restricted Payment or payment of Indebtedness not prohibited by</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Section 6.06</w:t>
      </w:r>
      <w:r>
        <w:rPr>
          <w:rFonts w:ascii="Arial" w:cs="Arial" w:eastAsia="Arial" w:hAnsi="Arial"/>
          <w:sz w:val="22"/>
          <w:szCs w:val="22"/>
          <w:color w:val="000000"/>
        </w:rPr>
        <w:t>;</w:t>
      </w:r>
    </w:p>
    <w:p>
      <w:pPr>
        <w:spacing w:after="0" w:line="179" w:lineRule="exact"/>
        <w:rPr>
          <w:rFonts w:ascii="Arial" w:cs="Arial" w:eastAsia="Arial" w:hAnsi="Arial"/>
          <w:sz w:val="22"/>
          <w:szCs w:val="22"/>
          <w:color w:val="0000FF"/>
        </w:rPr>
      </w:pPr>
    </w:p>
    <w:p>
      <w:pPr>
        <w:jc w:val="both"/>
        <w:ind w:firstLine="1304"/>
        <w:spacing w:after="0" w:line="223" w:lineRule="auto"/>
        <w:tabs>
          <w:tab w:leader="none" w:pos="1848" w:val="left"/>
        </w:tabs>
        <w:numPr>
          <w:ilvl w:val="0"/>
          <w:numId w:val="247"/>
        </w:numPr>
        <w:rPr>
          <w:rFonts w:ascii="Arial" w:cs="Arial" w:eastAsia="Arial" w:hAnsi="Arial"/>
          <w:sz w:val="22"/>
          <w:szCs w:val="22"/>
          <w:color w:val="0000FF"/>
        </w:rPr>
      </w:pPr>
      <w:r>
        <w:rPr>
          <w:rFonts w:ascii="Arial" w:cs="Arial" w:eastAsia="Arial" w:hAnsi="Arial"/>
          <w:sz w:val="22"/>
          <w:szCs w:val="22"/>
          <w:color w:val="FF0000"/>
          <w:strike w:val="1"/>
        </w:rPr>
        <w:t>(j)</w:t>
      </w:r>
      <w:r>
        <w:rPr>
          <w:rFonts w:ascii="Arial" w:cs="Arial" w:eastAsia="Arial" w:hAnsi="Arial"/>
          <w:sz w:val="22"/>
          <w:szCs w:val="22"/>
          <w:color w:val="FF0000"/>
        </w:rPr>
        <w:t xml:space="preserve"> </w:t>
      </w:r>
      <w:r>
        <w:rPr>
          <w:rFonts w:ascii="Arial" w:cs="Arial" w:eastAsia="Arial" w:hAnsi="Arial"/>
          <w:sz w:val="22"/>
          <w:szCs w:val="22"/>
          <w:color w:val="000000"/>
        </w:rPr>
        <w:t>any transaction among the Holding Companies, the Borrower and the Restricted Subsidiaries for the</w:t>
      </w:r>
      <w:r>
        <w:rPr>
          <w:rFonts w:ascii="Arial" w:cs="Arial" w:eastAsia="Arial" w:hAnsi="Arial"/>
          <w:sz w:val="22"/>
          <w:szCs w:val="22"/>
          <w:color w:val="FF0000"/>
        </w:rPr>
        <w:t xml:space="preserve"> </w:t>
      </w:r>
      <w:r>
        <w:rPr>
          <w:rFonts w:ascii="Arial" w:cs="Arial" w:eastAsia="Arial" w:hAnsi="Arial"/>
          <w:sz w:val="22"/>
          <w:szCs w:val="22"/>
          <w:color w:val="000000"/>
        </w:rPr>
        <w:t>sharing of liabilities for taxes, so long as the payments made pursuant to such transaction are made by and among the common members of an “affiliated group” (as defined in the Code);</w:t>
      </w:r>
    </w:p>
    <w:p>
      <w:pPr>
        <w:spacing w:after="0" w:line="158" w:lineRule="exact"/>
        <w:rPr>
          <w:rFonts w:ascii="Arial" w:cs="Arial" w:eastAsia="Arial" w:hAnsi="Arial"/>
          <w:sz w:val="22"/>
          <w:szCs w:val="22"/>
          <w:color w:val="0000FF"/>
        </w:rPr>
      </w:pPr>
    </w:p>
    <w:p>
      <w:pPr>
        <w:jc w:val="both"/>
        <w:ind w:firstLine="1304"/>
        <w:spacing w:after="0" w:line="218" w:lineRule="auto"/>
        <w:tabs>
          <w:tab w:leader="none" w:pos="1944" w:val="left"/>
        </w:tabs>
        <w:numPr>
          <w:ilvl w:val="0"/>
          <w:numId w:val="247"/>
        </w:numPr>
        <w:rPr>
          <w:rFonts w:ascii="Arial" w:cs="Arial" w:eastAsia="Arial" w:hAnsi="Arial"/>
          <w:sz w:val="22"/>
          <w:szCs w:val="22"/>
          <w:color w:val="0000FF"/>
        </w:rPr>
      </w:pPr>
      <w:r>
        <w:rPr>
          <w:rFonts w:ascii="Arial" w:cs="Arial" w:eastAsia="Arial" w:hAnsi="Arial"/>
          <w:sz w:val="22"/>
          <w:szCs w:val="22"/>
          <w:color w:val="FF0000"/>
          <w:strike w:val="1"/>
        </w:rPr>
        <w:t>(k)</w:t>
      </w:r>
      <w:r>
        <w:rPr>
          <w:rFonts w:ascii="Arial" w:cs="Arial" w:eastAsia="Arial" w:hAnsi="Arial"/>
          <w:sz w:val="22"/>
          <w:szCs w:val="22"/>
          <w:color w:val="FF0000"/>
        </w:rPr>
        <w:t xml:space="preserve"> </w:t>
      </w:r>
      <w:r>
        <w:rPr>
          <w:rFonts w:ascii="Arial" w:cs="Arial" w:eastAsia="Arial" w:hAnsi="Arial"/>
          <w:sz w:val="22"/>
          <w:szCs w:val="22"/>
          <w:color w:val="000000"/>
        </w:rPr>
        <w:t>transactions between and among any Holding Company, any Parent Entity, the Borrower and the</w:t>
      </w:r>
      <w:r>
        <w:rPr>
          <w:rFonts w:ascii="Arial" w:cs="Arial" w:eastAsia="Arial" w:hAnsi="Arial"/>
          <w:sz w:val="22"/>
          <w:szCs w:val="22"/>
          <w:color w:val="FF0000"/>
        </w:rPr>
        <w:t xml:space="preserve"> </w:t>
      </w:r>
      <w:r>
        <w:rPr>
          <w:rFonts w:ascii="Arial" w:cs="Arial" w:eastAsia="Arial" w:hAnsi="Arial"/>
          <w:sz w:val="22"/>
          <w:szCs w:val="22"/>
          <w:color w:val="000000"/>
        </w:rPr>
        <w:t>Guarantors which are in the ordinary course of business with respect to the Equity Interests in any Holding Company or any Parent Entity, such as shareholder agreements, registration agreements and including providing expense reimbursement and indemnities in respect thereof;</w:t>
      </w:r>
    </w:p>
    <w:p>
      <w:pPr>
        <w:spacing w:after="0" w:line="160" w:lineRule="exact"/>
        <w:rPr>
          <w:rFonts w:ascii="Arial" w:cs="Arial" w:eastAsia="Arial" w:hAnsi="Arial"/>
          <w:sz w:val="22"/>
          <w:szCs w:val="22"/>
          <w:color w:val="0000FF"/>
        </w:rPr>
      </w:pPr>
    </w:p>
    <w:p>
      <w:pPr>
        <w:ind w:left="1720" w:hanging="416"/>
        <w:spacing w:after="0"/>
        <w:tabs>
          <w:tab w:leader="none" w:pos="1720" w:val="left"/>
        </w:tabs>
        <w:numPr>
          <w:ilvl w:val="0"/>
          <w:numId w:val="247"/>
        </w:numPr>
        <w:rPr>
          <w:rFonts w:ascii="Arial" w:cs="Arial" w:eastAsia="Arial" w:hAnsi="Arial"/>
          <w:sz w:val="22"/>
          <w:szCs w:val="22"/>
          <w:color w:val="0000FF"/>
        </w:rPr>
      </w:pPr>
      <w:r>
        <w:rPr>
          <w:rFonts w:ascii="Arial" w:cs="Arial" w:eastAsia="Arial" w:hAnsi="Arial"/>
          <w:sz w:val="22"/>
          <w:szCs w:val="22"/>
          <w:color w:val="FF0000"/>
          <w:strike w:val="1"/>
        </w:rPr>
        <w:t>(l)</w:t>
      </w:r>
      <w:r>
        <w:rPr>
          <w:rFonts w:ascii="Arial" w:cs="Arial" w:eastAsia="Arial" w:hAnsi="Arial"/>
          <w:sz w:val="22"/>
          <w:szCs w:val="22"/>
          <w:color w:val="FF0000"/>
        </w:rPr>
        <w:t xml:space="preserve"> </w:t>
      </w:r>
      <w:r>
        <w:rPr>
          <w:rFonts w:ascii="Arial" w:cs="Arial" w:eastAsia="Arial" w:hAnsi="Arial"/>
          <w:sz w:val="22"/>
          <w:szCs w:val="22"/>
          <w:color w:val="000000"/>
        </w:rPr>
        <w:t>the Transactions;</w:t>
      </w:r>
    </w:p>
    <w:p>
      <w:pPr>
        <w:spacing w:after="0" w:line="179" w:lineRule="exact"/>
        <w:rPr>
          <w:rFonts w:ascii="Arial" w:cs="Arial" w:eastAsia="Arial" w:hAnsi="Arial"/>
          <w:sz w:val="22"/>
          <w:szCs w:val="22"/>
          <w:color w:val="0000FF"/>
        </w:rPr>
      </w:pPr>
    </w:p>
    <w:p>
      <w:pPr>
        <w:jc w:val="both"/>
        <w:ind w:firstLine="1304"/>
        <w:spacing w:after="0" w:line="216" w:lineRule="auto"/>
        <w:tabs>
          <w:tab w:leader="none" w:pos="1919" w:val="left"/>
        </w:tabs>
        <w:numPr>
          <w:ilvl w:val="0"/>
          <w:numId w:val="247"/>
        </w:numPr>
        <w:rPr>
          <w:rFonts w:ascii="Arial" w:cs="Arial" w:eastAsia="Arial" w:hAnsi="Arial"/>
          <w:sz w:val="22"/>
          <w:szCs w:val="22"/>
          <w:color w:val="0000FF"/>
        </w:rPr>
      </w:pPr>
      <w:r>
        <w:rPr>
          <w:rFonts w:ascii="Arial" w:cs="Arial" w:eastAsia="Arial" w:hAnsi="Arial"/>
          <w:sz w:val="22"/>
          <w:szCs w:val="22"/>
          <w:color w:val="FF0000"/>
          <w:strike w:val="1"/>
        </w:rPr>
        <w:t>(m)</w:t>
      </w:r>
      <w:r>
        <w:rPr>
          <w:rFonts w:ascii="Arial" w:cs="Arial" w:eastAsia="Arial" w:hAnsi="Arial"/>
          <w:sz w:val="22"/>
          <w:szCs w:val="22"/>
          <w:color w:val="FF0000"/>
        </w:rPr>
        <w:t xml:space="preserve"> </w:t>
      </w:r>
      <w:r>
        <w:rPr>
          <w:rFonts w:ascii="Arial" w:cs="Arial" w:eastAsia="Arial" w:hAnsi="Arial"/>
          <w:sz w:val="22"/>
          <w:szCs w:val="22"/>
          <w:color w:val="000000"/>
        </w:rPr>
        <w:t>the existence and performance of agreements and transactions with any Unrestricted Subsidiary that</w:t>
      </w:r>
      <w:r>
        <w:rPr>
          <w:rFonts w:ascii="Arial" w:cs="Arial" w:eastAsia="Arial" w:hAnsi="Arial"/>
          <w:sz w:val="22"/>
          <w:szCs w:val="22"/>
          <w:color w:val="FF0000"/>
        </w:rPr>
        <w:t xml:space="preserve"> </w:t>
      </w:r>
      <w:r>
        <w:rPr>
          <w:rFonts w:ascii="Arial" w:cs="Arial" w:eastAsia="Arial" w:hAnsi="Arial"/>
          <w:sz w:val="22"/>
          <w:szCs w:val="22"/>
          <w:color w:val="000000"/>
        </w:rPr>
        <w:t>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w:t>
      </w:r>
    </w:p>
    <w:p>
      <w:pPr>
        <w:spacing w:after="0" w:line="157" w:lineRule="exact"/>
        <w:rPr>
          <w:rFonts w:ascii="Arial" w:cs="Arial" w:eastAsia="Arial" w:hAnsi="Arial"/>
          <w:sz w:val="22"/>
          <w:szCs w:val="22"/>
          <w:color w:val="0000FF"/>
        </w:rPr>
      </w:pPr>
    </w:p>
    <w:p>
      <w:pPr>
        <w:ind w:firstLine="1304"/>
        <w:spacing w:after="0" w:line="232" w:lineRule="auto"/>
        <w:tabs>
          <w:tab w:leader="none" w:pos="2022" w:val="left"/>
        </w:tabs>
        <w:numPr>
          <w:ilvl w:val="0"/>
          <w:numId w:val="247"/>
        </w:numPr>
        <w:rPr>
          <w:rFonts w:ascii="Arial" w:cs="Arial" w:eastAsia="Arial" w:hAnsi="Arial"/>
          <w:sz w:val="22"/>
          <w:szCs w:val="22"/>
          <w:color w:val="0000FF"/>
        </w:rPr>
      </w:pPr>
      <w:r>
        <w:rPr>
          <w:rFonts w:ascii="Arial" w:cs="Arial" w:eastAsia="Arial" w:hAnsi="Arial"/>
          <w:sz w:val="22"/>
          <w:szCs w:val="22"/>
          <w:color w:val="FF0000"/>
          <w:strike w:val="1"/>
        </w:rPr>
        <w:t>(n)</w:t>
      </w:r>
      <w:r>
        <w:rPr>
          <w:rFonts w:ascii="Arial" w:cs="Arial" w:eastAsia="Arial" w:hAnsi="Arial"/>
          <w:sz w:val="22"/>
          <w:szCs w:val="22"/>
          <w:color w:val="FF0000"/>
        </w:rPr>
        <w:t xml:space="preserve"> </w:t>
      </w:r>
      <w:r>
        <w:rPr>
          <w:rFonts w:ascii="Arial" w:cs="Arial" w:eastAsia="Arial" w:hAnsi="Arial"/>
          <w:sz w:val="22"/>
          <w:szCs w:val="22"/>
          <w:color w:val="000000"/>
        </w:rPr>
        <w:t>any customary transaction with a Receivables Facility, Qualified Securitization Financing or a</w:t>
      </w:r>
      <w:r>
        <w:rPr>
          <w:rFonts w:ascii="Arial" w:cs="Arial" w:eastAsia="Arial" w:hAnsi="Arial"/>
          <w:sz w:val="22"/>
          <w:szCs w:val="22"/>
          <w:color w:val="FF0000"/>
        </w:rPr>
        <w:t xml:space="preserve"> </w:t>
      </w:r>
      <w:r>
        <w:rPr>
          <w:rFonts w:ascii="Arial" w:cs="Arial" w:eastAsia="Arial" w:hAnsi="Arial"/>
          <w:sz w:val="22"/>
          <w:szCs w:val="22"/>
          <w:color w:val="000000"/>
        </w:rPr>
        <w:t>Securitization Subsidiary effected as part of a Qualified Securitization Financing;</w:t>
      </w:r>
    </w:p>
    <w:p>
      <w:pPr>
        <w:spacing w:after="0" w:line="158" w:lineRule="exact"/>
        <w:rPr>
          <w:rFonts w:ascii="Arial" w:cs="Arial" w:eastAsia="Arial" w:hAnsi="Arial"/>
          <w:sz w:val="22"/>
          <w:szCs w:val="22"/>
          <w:color w:val="0000FF"/>
        </w:rPr>
      </w:pPr>
    </w:p>
    <w:p>
      <w:pPr>
        <w:ind w:left="1780" w:hanging="476"/>
        <w:spacing w:after="0"/>
        <w:tabs>
          <w:tab w:leader="none" w:pos="1780" w:val="left"/>
        </w:tabs>
        <w:numPr>
          <w:ilvl w:val="0"/>
          <w:numId w:val="247"/>
        </w:numPr>
        <w:rPr>
          <w:rFonts w:ascii="Arial" w:cs="Arial" w:eastAsia="Arial" w:hAnsi="Arial"/>
          <w:sz w:val="22"/>
          <w:szCs w:val="22"/>
          <w:color w:val="0000FF"/>
        </w:rPr>
      </w:pPr>
      <w:r>
        <w:rPr>
          <w:rFonts w:ascii="Arial" w:cs="Arial" w:eastAsia="Arial" w:hAnsi="Arial"/>
          <w:sz w:val="22"/>
          <w:szCs w:val="22"/>
          <w:color w:val="FF0000"/>
          <w:strike w:val="1"/>
        </w:rPr>
        <w:t>(o)</w:t>
      </w:r>
      <w:r>
        <w:rPr>
          <w:rFonts w:ascii="Arial" w:cs="Arial" w:eastAsia="Arial" w:hAnsi="Arial"/>
          <w:sz w:val="22"/>
          <w:szCs w:val="22"/>
          <w:color w:val="FF0000"/>
        </w:rPr>
        <w:t xml:space="preserve"> </w:t>
      </w:r>
      <w:r>
        <w:rPr>
          <w:rFonts w:ascii="Arial" w:cs="Arial" w:eastAsia="Arial" w:hAnsi="Arial"/>
          <w:sz w:val="22"/>
          <w:szCs w:val="22"/>
          <w:color w:val="000000"/>
        </w:rPr>
        <w:t>any Intercompany License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-5504180</wp:posOffset>
            </wp:positionV>
            <wp:extent cx="2895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-5229860</wp:posOffset>
            </wp:positionV>
            <wp:extent cx="297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-4955540</wp:posOffset>
            </wp:positionV>
            <wp:extent cx="4184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41846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-4544060</wp:posOffset>
            </wp:positionV>
            <wp:extent cx="313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3136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-3858260</wp:posOffset>
            </wp:positionV>
            <wp:extent cx="3251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32512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-3446780</wp:posOffset>
            </wp:positionV>
            <wp:extent cx="322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32258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-3035300</wp:posOffset>
            </wp:positionV>
            <wp:extent cx="266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26670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-2760980</wp:posOffset>
            </wp:positionV>
            <wp:extent cx="3505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35052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-2212340</wp:posOffset>
            </wp:positionV>
            <wp:extent cx="4114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-1526540</wp:posOffset>
            </wp:positionV>
            <wp:extent cx="266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26670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-1252220</wp:posOffset>
            </wp:positionV>
            <wp:extent cx="3956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39560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-429260</wp:posOffset>
            </wp:positionV>
            <wp:extent cx="4610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46101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-17780</wp:posOffset>
            </wp:positionV>
            <wp:extent cx="297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297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36" w:name="page237"/>
    <w:bookmarkEnd w:id="236"/>
    <w:p>
      <w:pPr>
        <w:jc w:val="both"/>
        <w:ind w:firstLine="1304"/>
        <w:spacing w:after="0" w:line="234" w:lineRule="auto"/>
        <w:tabs>
          <w:tab w:leader="none" w:pos="1783" w:val="left"/>
        </w:tabs>
        <w:numPr>
          <w:ilvl w:val="0"/>
          <w:numId w:val="248"/>
        </w:numPr>
        <w:rPr>
          <w:rFonts w:ascii="Arial" w:cs="Arial" w:eastAsia="Arial" w:hAnsi="Arial"/>
          <w:sz w:val="21"/>
          <w:szCs w:val="21"/>
          <w:color w:val="0000FF"/>
        </w:rPr>
      </w:pPr>
      <w:r>
        <w:rPr>
          <w:rFonts w:ascii="Arial" w:cs="Arial" w:eastAsia="Arial" w:hAnsi="Arial"/>
          <w:sz w:val="21"/>
          <w:szCs w:val="21"/>
          <w:color w:val="FF0000"/>
          <w:strike w:val="1"/>
        </w:rPr>
        <w:t>(p)</w:t>
      </w:r>
      <w:r>
        <w:rPr>
          <w:rFonts w:ascii="Arial" w:cs="Arial" w:eastAsia="Arial" w:hAnsi="Arial"/>
          <w:sz w:val="21"/>
          <w:szCs w:val="21"/>
          <w:color w:val="FF0000"/>
        </w:rPr>
        <w:t xml:space="preserve"> </w:t>
      </w:r>
      <w:r>
        <w:rPr>
          <w:rFonts w:ascii="Arial" w:cs="Arial" w:eastAsia="Arial" w:hAnsi="Arial"/>
          <w:sz w:val="21"/>
          <w:szCs w:val="21"/>
          <w:color w:val="000000"/>
        </w:rPr>
        <w:t>transactions set forth on</w:t>
      </w:r>
      <w:r>
        <w:rPr>
          <w:rFonts w:ascii="Arial" w:cs="Arial" w:eastAsia="Arial" w:hAnsi="Arial"/>
          <w:sz w:val="21"/>
          <w:szCs w:val="21"/>
          <w:color w:val="FF0000"/>
        </w:rPr>
        <w:t xml:space="preserve"> </w:t>
      </w:r>
      <w:r>
        <w:rPr>
          <w:rFonts w:ascii="Arial" w:cs="Arial" w:eastAsia="Arial" w:hAnsi="Arial"/>
          <w:sz w:val="21"/>
          <w:szCs w:val="21"/>
          <w:u w:val="single" w:color="auto"/>
          <w:color w:val="000000"/>
        </w:rPr>
        <w:t>Schedule 6.07</w:t>
      </w:r>
      <w:r>
        <w:rPr>
          <w:rFonts w:ascii="Arial" w:cs="Arial" w:eastAsia="Arial" w:hAnsi="Arial"/>
          <w:sz w:val="21"/>
          <w:szCs w:val="21"/>
          <w:color w:val="000000"/>
        </w:rPr>
        <w:t>, as those agreements and instruments may be amended, modified,</w:t>
      </w:r>
      <w:r>
        <w:rPr>
          <w:rFonts w:ascii="Arial" w:cs="Arial" w:eastAsia="Arial" w:hAnsi="Arial"/>
          <w:sz w:val="21"/>
          <w:szCs w:val="21"/>
          <w:color w:val="FF0000"/>
        </w:rPr>
        <w:t xml:space="preserve"> </w:t>
      </w:r>
      <w:r>
        <w:rPr>
          <w:rFonts w:ascii="Arial" w:cs="Arial" w:eastAsia="Arial" w:hAnsi="Arial"/>
          <w:sz w:val="21"/>
          <w:szCs w:val="21"/>
          <w:color w:val="000000"/>
        </w:rPr>
        <w:t>supplemented, extended, renewed or refinanced from time to time in accordance with the other terms of this covenant or to the extent not more disadvantageous to the Secured Parties in any material respect (taken as a whole);</w:t>
      </w:r>
    </w:p>
    <w:p>
      <w:pPr>
        <w:spacing w:after="0" w:line="157" w:lineRule="exact"/>
        <w:rPr>
          <w:rFonts w:ascii="Arial" w:cs="Arial" w:eastAsia="Arial" w:hAnsi="Arial"/>
          <w:sz w:val="21"/>
          <w:szCs w:val="21"/>
          <w:color w:val="0000FF"/>
        </w:rPr>
      </w:pPr>
    </w:p>
    <w:p>
      <w:pPr>
        <w:jc w:val="both"/>
        <w:ind w:firstLine="1304"/>
        <w:spacing w:after="0" w:line="223" w:lineRule="auto"/>
        <w:tabs>
          <w:tab w:leader="none" w:pos="1769" w:val="left"/>
        </w:tabs>
        <w:numPr>
          <w:ilvl w:val="0"/>
          <w:numId w:val="248"/>
        </w:numPr>
        <w:rPr>
          <w:rFonts w:ascii="Arial" w:cs="Arial" w:eastAsia="Arial" w:hAnsi="Arial"/>
          <w:sz w:val="22"/>
          <w:szCs w:val="22"/>
          <w:color w:val="0000FF"/>
        </w:rPr>
      </w:pPr>
      <w:r>
        <w:rPr>
          <w:rFonts w:ascii="Arial" w:cs="Arial" w:eastAsia="Arial" w:hAnsi="Arial"/>
          <w:sz w:val="22"/>
          <w:szCs w:val="22"/>
          <w:color w:val="FF0000"/>
          <w:strike w:val="1"/>
        </w:rPr>
        <w:t>(q)</w:t>
      </w:r>
      <w:r>
        <w:rPr>
          <w:rFonts w:ascii="Arial" w:cs="Arial" w:eastAsia="Arial" w:hAnsi="Arial"/>
          <w:sz w:val="22"/>
          <w:szCs w:val="22"/>
          <w:color w:val="FF0000"/>
        </w:rPr>
        <w:t xml:space="preserve"> </w:t>
      </w:r>
      <w:r>
        <w:rPr>
          <w:rFonts w:ascii="Arial" w:cs="Arial" w:eastAsia="Arial" w:hAnsi="Arial"/>
          <w:sz w:val="22"/>
          <w:szCs w:val="22"/>
          <w:color w:val="000000"/>
        </w:rPr>
        <w:t>payments to or from, and transactions with, Joint Ventures (to the extent any such Joint Venture is only an</w:t>
      </w:r>
      <w:r>
        <w:rPr>
          <w:rFonts w:ascii="Arial" w:cs="Arial" w:eastAsia="Arial" w:hAnsi="Arial"/>
          <w:sz w:val="22"/>
          <w:szCs w:val="22"/>
          <w:color w:val="FF0000"/>
        </w:rPr>
        <w:t xml:space="preserve"> </w:t>
      </w:r>
      <w:r>
        <w:rPr>
          <w:rFonts w:ascii="Arial" w:cs="Arial" w:eastAsia="Arial" w:hAnsi="Arial"/>
          <w:sz w:val="22"/>
          <w:szCs w:val="22"/>
          <w:color w:val="000000"/>
        </w:rPr>
        <w:t>Affiliate as a result of Investments by the Borrower and the Restricted Subsidiaries in such Joint Venture) in the ordinary course of business;</w:t>
      </w:r>
    </w:p>
    <w:p>
      <w:pPr>
        <w:spacing w:after="0" w:line="158" w:lineRule="exact"/>
        <w:rPr>
          <w:rFonts w:ascii="Arial" w:cs="Arial" w:eastAsia="Arial" w:hAnsi="Arial"/>
          <w:sz w:val="22"/>
          <w:szCs w:val="22"/>
          <w:color w:val="0000FF"/>
        </w:rPr>
      </w:pPr>
    </w:p>
    <w:p>
      <w:pPr>
        <w:ind w:left="1740" w:hanging="436"/>
        <w:spacing w:after="0"/>
        <w:tabs>
          <w:tab w:leader="none" w:pos="1740" w:val="left"/>
        </w:tabs>
        <w:numPr>
          <w:ilvl w:val="0"/>
          <w:numId w:val="248"/>
        </w:numPr>
        <w:rPr>
          <w:rFonts w:ascii="Arial" w:cs="Arial" w:eastAsia="Arial" w:hAnsi="Arial"/>
          <w:sz w:val="19"/>
          <w:szCs w:val="19"/>
          <w:color w:val="0000FF"/>
        </w:rPr>
      </w:pPr>
      <w:r>
        <w:rPr>
          <w:rFonts w:ascii="Arial" w:cs="Arial" w:eastAsia="Arial" w:hAnsi="Arial"/>
          <w:sz w:val="19"/>
          <w:szCs w:val="19"/>
          <w:color w:val="FF0000"/>
          <w:strike w:val="1"/>
        </w:rPr>
        <w:t>(r)</w:t>
      </w:r>
      <w:r>
        <w:rPr>
          <w:rFonts w:ascii="Arial" w:cs="Arial" w:eastAsia="Arial" w:hAnsi="Arial"/>
          <w:sz w:val="19"/>
          <w:szCs w:val="19"/>
          <w:color w:val="FF0000"/>
        </w:rPr>
        <w:t xml:space="preserve"> </w:t>
      </w:r>
      <w:r>
        <w:rPr>
          <w:rFonts w:ascii="Arial" w:cs="Arial" w:eastAsia="Arial" w:hAnsi="Arial"/>
          <w:sz w:val="19"/>
          <w:szCs w:val="19"/>
          <w:color w:val="000000"/>
        </w:rPr>
        <w:t>loans and other transactions by and among the Holding Companies and the Restricted Subsidiaries;</w:t>
      </w:r>
    </w:p>
    <w:p>
      <w:pPr>
        <w:spacing w:after="0" w:line="213" w:lineRule="exact"/>
        <w:rPr>
          <w:rFonts w:ascii="Arial" w:cs="Arial" w:eastAsia="Arial" w:hAnsi="Arial"/>
          <w:sz w:val="19"/>
          <w:szCs w:val="19"/>
          <w:color w:val="0000FF"/>
        </w:rPr>
      </w:pPr>
    </w:p>
    <w:p>
      <w:pPr>
        <w:jc w:val="both"/>
        <w:ind w:firstLine="1304"/>
        <w:spacing w:after="0" w:line="252" w:lineRule="auto"/>
        <w:tabs>
          <w:tab w:leader="none" w:pos="1848" w:val="left"/>
        </w:tabs>
        <w:numPr>
          <w:ilvl w:val="0"/>
          <w:numId w:val="248"/>
        </w:numPr>
        <w:rPr>
          <w:rFonts w:ascii="Arial" w:cs="Arial" w:eastAsia="Arial" w:hAnsi="Arial"/>
          <w:sz w:val="19"/>
          <w:szCs w:val="19"/>
          <w:color w:val="0000FF"/>
        </w:rPr>
      </w:pPr>
      <w:r>
        <w:rPr>
          <w:rFonts w:ascii="Arial" w:cs="Arial" w:eastAsia="Arial" w:hAnsi="Arial"/>
          <w:sz w:val="19"/>
          <w:szCs w:val="19"/>
          <w:color w:val="FF0000"/>
          <w:strike w:val="1"/>
        </w:rPr>
        <w:t>(s)</w:t>
      </w:r>
      <w:r>
        <w:rPr>
          <w:rFonts w:ascii="Arial" w:cs="Arial" w:eastAsia="Arial" w:hAnsi="Arial"/>
          <w:sz w:val="19"/>
          <w:szCs w:val="19"/>
          <w:color w:val="FF0000"/>
        </w:rPr>
        <w:t xml:space="preserve"> </w:t>
      </w:r>
      <w:r>
        <w:rPr>
          <w:rFonts w:ascii="Arial" w:cs="Arial" w:eastAsia="Arial" w:hAnsi="Arial"/>
          <w:sz w:val="19"/>
          <w:szCs w:val="19"/>
          <w:color w:val="000000"/>
        </w:rPr>
        <w:t>transactions by the Holding Companies, and the Restricted Subsidiaries with customers, clients, Joint</w:t>
      </w:r>
      <w:r>
        <w:rPr>
          <w:rFonts w:ascii="Arial" w:cs="Arial" w:eastAsia="Arial" w:hAnsi="Arial"/>
          <w:sz w:val="19"/>
          <w:szCs w:val="19"/>
          <w:color w:val="FF0000"/>
        </w:rPr>
        <w:t xml:space="preserve"> </w:t>
      </w:r>
      <w:r>
        <w:rPr>
          <w:rFonts w:ascii="Arial" w:cs="Arial" w:eastAsia="Arial" w:hAnsi="Arial"/>
          <w:sz w:val="19"/>
          <w:szCs w:val="19"/>
          <w:color w:val="000000"/>
        </w:rPr>
        <w:t>Venture partners, suppliers or purchasers or sellers of goods or services, in each case in the ordinary course of business and otherwise in compliance with the terms of this Agreement that are fair to the Holding Companies and the Restricted Subsidiaries, as determined in good faith by the board of directors or the senior management of the relevant Person, or are on terms at least as favorable as might reasonably have been obtained at such time from an unaffiliated party;</w:t>
      </w:r>
    </w:p>
    <w:p>
      <w:pPr>
        <w:spacing w:after="0" w:line="148" w:lineRule="exact"/>
        <w:rPr>
          <w:rFonts w:ascii="Arial" w:cs="Arial" w:eastAsia="Arial" w:hAnsi="Arial"/>
          <w:sz w:val="19"/>
          <w:szCs w:val="19"/>
          <w:color w:val="0000FF"/>
        </w:rPr>
      </w:pPr>
    </w:p>
    <w:p>
      <w:pPr>
        <w:jc w:val="both"/>
        <w:ind w:firstLine="1304"/>
        <w:spacing w:after="0" w:line="218" w:lineRule="auto"/>
        <w:tabs>
          <w:tab w:leader="none" w:pos="1750" w:val="left"/>
        </w:tabs>
        <w:numPr>
          <w:ilvl w:val="0"/>
          <w:numId w:val="248"/>
        </w:numPr>
        <w:rPr>
          <w:rFonts w:ascii="Arial" w:cs="Arial" w:eastAsia="Arial" w:hAnsi="Arial"/>
          <w:sz w:val="22"/>
          <w:szCs w:val="22"/>
          <w:color w:val="0000FF"/>
        </w:rPr>
      </w:pPr>
      <w:r>
        <w:rPr>
          <w:rFonts w:ascii="Arial" w:cs="Arial" w:eastAsia="Arial" w:hAnsi="Arial"/>
          <w:sz w:val="22"/>
          <w:szCs w:val="22"/>
          <w:color w:val="FF0000"/>
          <w:strike w:val="1"/>
        </w:rPr>
        <w:t>(t)</w:t>
      </w:r>
      <w:r>
        <w:rPr>
          <w:rFonts w:ascii="Arial" w:cs="Arial" w:eastAsia="Arial" w:hAnsi="Arial"/>
          <w:sz w:val="22"/>
          <w:szCs w:val="22"/>
          <w:color w:val="FF0000"/>
        </w:rPr>
        <w:t xml:space="preserve"> </w:t>
      </w:r>
      <w:r>
        <w:rPr>
          <w:rFonts w:ascii="Arial" w:cs="Arial" w:eastAsia="Arial" w:hAnsi="Arial"/>
          <w:sz w:val="22"/>
          <w:szCs w:val="22"/>
          <w:color w:val="000000"/>
        </w:rPr>
        <w:t>transactions in which any Holding Company or any Restricted Subsidiary, as the case may be, delivers to</w:t>
      </w:r>
      <w:r>
        <w:rPr>
          <w:rFonts w:ascii="Arial" w:cs="Arial" w:eastAsia="Arial" w:hAnsi="Arial"/>
          <w:sz w:val="22"/>
          <w:szCs w:val="22"/>
          <w:color w:val="FF0000"/>
        </w:rPr>
        <w:t xml:space="preserve"> </w:t>
      </w:r>
      <w:r>
        <w:rPr>
          <w:rFonts w:ascii="Arial" w:cs="Arial" w:eastAsia="Arial" w:hAnsi="Arial"/>
          <w:sz w:val="22"/>
          <w:szCs w:val="22"/>
          <w:color w:val="000000"/>
        </w:rPr>
        <w:t xml:space="preserve">the Administrative Agent a letter from an independent financial advisor stating that such transaction is fair to such Holding Company or such Restricted Subsidiary from a financial point of view or meets the requirements of </w:t>
      </w:r>
      <w:r>
        <w:rPr>
          <w:rFonts w:ascii="Arial" w:cs="Arial" w:eastAsia="Arial" w:hAnsi="Arial"/>
          <w:sz w:val="22"/>
          <w:szCs w:val="22"/>
          <w:u w:val="single" w:color="auto"/>
          <w:color w:val="000000"/>
        </w:rPr>
        <w:t>clause (a)</w:t>
      </w:r>
      <w:r>
        <w:rPr>
          <w:rFonts w:ascii="Arial" w:cs="Arial" w:eastAsia="Arial" w:hAnsi="Arial"/>
          <w:sz w:val="22"/>
          <w:szCs w:val="22"/>
          <w:color w:val="000000"/>
        </w:rPr>
        <w:t xml:space="preserve"> of this </w:t>
      </w:r>
      <w:r>
        <w:rPr>
          <w:rFonts w:ascii="Arial" w:cs="Arial" w:eastAsia="Arial" w:hAnsi="Arial"/>
          <w:sz w:val="22"/>
          <w:szCs w:val="22"/>
          <w:u w:val="single" w:color="auto"/>
          <w:color w:val="000000"/>
        </w:rPr>
        <w:t>Section</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6.07</w:t>
      </w:r>
      <w:r>
        <w:rPr>
          <w:rFonts w:ascii="Arial" w:cs="Arial" w:eastAsia="Arial" w:hAnsi="Arial"/>
          <w:sz w:val="22"/>
          <w:szCs w:val="22"/>
          <w:color w:val="000000"/>
        </w:rPr>
        <w:t>;</w:t>
      </w:r>
    </w:p>
    <w:p>
      <w:pPr>
        <w:spacing w:after="0" w:line="160" w:lineRule="exact"/>
        <w:rPr>
          <w:rFonts w:ascii="Arial" w:cs="Arial" w:eastAsia="Arial" w:hAnsi="Arial"/>
          <w:sz w:val="22"/>
          <w:szCs w:val="22"/>
          <w:color w:val="0000FF"/>
        </w:rPr>
      </w:pPr>
    </w:p>
    <w:p>
      <w:pPr>
        <w:ind w:left="1780" w:hanging="476"/>
        <w:spacing w:after="0"/>
        <w:tabs>
          <w:tab w:leader="none" w:pos="1780" w:val="left"/>
        </w:tabs>
        <w:numPr>
          <w:ilvl w:val="0"/>
          <w:numId w:val="248"/>
        </w:numPr>
        <w:rPr>
          <w:rFonts w:ascii="Arial" w:cs="Arial" w:eastAsia="Arial" w:hAnsi="Arial"/>
          <w:sz w:val="22"/>
          <w:szCs w:val="22"/>
          <w:color w:val="0000FF"/>
        </w:rPr>
      </w:pPr>
      <w:r>
        <w:rPr>
          <w:rFonts w:ascii="Arial" w:cs="Arial" w:eastAsia="Arial" w:hAnsi="Arial"/>
          <w:sz w:val="22"/>
          <w:szCs w:val="22"/>
          <w:color w:val="FF0000"/>
          <w:strike w:val="1"/>
        </w:rPr>
        <w:t>(u)</w:t>
      </w:r>
      <w:r>
        <w:rPr>
          <w:rFonts w:ascii="Arial" w:cs="Arial" w:eastAsia="Arial" w:hAnsi="Arial"/>
          <w:sz w:val="22"/>
          <w:szCs w:val="22"/>
          <w:color w:val="FF0000"/>
        </w:rPr>
        <w:t xml:space="preserve"> </w:t>
      </w:r>
      <w:r>
        <w:rPr>
          <w:rFonts w:ascii="Arial" w:cs="Arial" w:eastAsia="Arial" w:hAnsi="Arial"/>
          <w:sz w:val="22"/>
          <w:szCs w:val="22"/>
          <w:color w:val="000000"/>
        </w:rPr>
        <w:t>Permitted Investor Payments;</w:t>
      </w:r>
    </w:p>
    <w:p>
      <w:pPr>
        <w:spacing w:after="0" w:line="179" w:lineRule="exact"/>
        <w:rPr>
          <w:rFonts w:ascii="Arial" w:cs="Arial" w:eastAsia="Arial" w:hAnsi="Arial"/>
          <w:sz w:val="22"/>
          <w:szCs w:val="22"/>
          <w:color w:val="0000FF"/>
        </w:rPr>
      </w:pPr>
    </w:p>
    <w:p>
      <w:pPr>
        <w:jc w:val="both"/>
        <w:ind w:firstLine="1304"/>
        <w:spacing w:after="0" w:line="226" w:lineRule="auto"/>
        <w:tabs>
          <w:tab w:leader="none" w:pos="1776" w:val="left"/>
        </w:tabs>
        <w:numPr>
          <w:ilvl w:val="0"/>
          <w:numId w:val="248"/>
        </w:numPr>
        <w:rPr>
          <w:rFonts w:ascii="Arial" w:cs="Arial" w:eastAsia="Arial" w:hAnsi="Arial"/>
          <w:sz w:val="21"/>
          <w:szCs w:val="21"/>
          <w:color w:val="0000FF"/>
        </w:rPr>
      </w:pPr>
      <w:r>
        <w:rPr>
          <w:rFonts w:ascii="Arial" w:cs="Arial" w:eastAsia="Arial" w:hAnsi="Arial"/>
          <w:sz w:val="21"/>
          <w:szCs w:val="21"/>
          <w:color w:val="FF0000"/>
          <w:strike w:val="1"/>
        </w:rPr>
        <w:t>(v)</w:t>
      </w:r>
      <w:r>
        <w:rPr>
          <w:rFonts w:ascii="Arial" w:cs="Arial" w:eastAsia="Arial" w:hAnsi="Arial"/>
          <w:sz w:val="21"/>
          <w:szCs w:val="21"/>
          <w:color w:val="FF0000"/>
        </w:rPr>
        <w:t xml:space="preserve"> </w:t>
      </w:r>
      <w:r>
        <w:rPr>
          <w:rFonts w:ascii="Arial" w:cs="Arial" w:eastAsia="Arial" w:hAnsi="Arial"/>
          <w:sz w:val="21"/>
          <w:szCs w:val="21"/>
          <w:color w:val="000000"/>
        </w:rPr>
        <w:t>transactions with Affiliated Lenders permitted pursuant to (i)</w:t>
      </w:r>
      <w:r>
        <w:rPr>
          <w:rFonts w:ascii="Arial" w:cs="Arial" w:eastAsia="Arial" w:hAnsi="Arial"/>
          <w:sz w:val="21"/>
          <w:szCs w:val="21"/>
          <w:color w:val="FF0000"/>
        </w:rPr>
        <w:t xml:space="preserve"> </w:t>
      </w:r>
      <w:r>
        <w:rPr>
          <w:rFonts w:ascii="Arial" w:cs="Arial" w:eastAsia="Arial" w:hAnsi="Arial"/>
          <w:sz w:val="21"/>
          <w:szCs w:val="21"/>
          <w:u w:val="single" w:color="auto"/>
          <w:color w:val="000000"/>
        </w:rPr>
        <w:t>Section 9.04</w:t>
      </w:r>
      <w:r>
        <w:rPr>
          <w:rFonts w:ascii="Arial" w:cs="Arial" w:eastAsia="Arial" w:hAnsi="Arial"/>
          <w:sz w:val="21"/>
          <w:szCs w:val="21"/>
          <w:color w:val="FF0000"/>
        </w:rPr>
        <w:t xml:space="preserve"> </w:t>
      </w:r>
      <w:r>
        <w:rPr>
          <w:rFonts w:ascii="Arial" w:cs="Arial" w:eastAsia="Arial" w:hAnsi="Arial"/>
          <w:sz w:val="21"/>
          <w:szCs w:val="21"/>
          <w:color w:val="000000"/>
        </w:rPr>
        <w:t>or any similar provision in any</w:t>
      </w:r>
      <w:r>
        <w:rPr>
          <w:rFonts w:ascii="Arial" w:cs="Arial" w:eastAsia="Arial" w:hAnsi="Arial"/>
          <w:sz w:val="21"/>
          <w:szCs w:val="21"/>
          <w:color w:val="FF0000"/>
        </w:rPr>
        <w:t xml:space="preserve"> </w:t>
      </w:r>
      <w:r>
        <w:rPr>
          <w:rFonts w:ascii="Arial" w:cs="Arial" w:eastAsia="Arial" w:hAnsi="Arial"/>
          <w:sz w:val="21"/>
          <w:szCs w:val="21"/>
          <w:color w:val="000000"/>
        </w:rPr>
        <w:t xml:space="preserve">documentation with respect to any Permitted Refinancing of the Obligations, (ii) </w:t>
      </w:r>
      <w:r>
        <w:rPr>
          <w:rFonts w:ascii="Arial" w:cs="Arial" w:eastAsia="Arial" w:hAnsi="Arial"/>
          <w:sz w:val="21"/>
          <w:szCs w:val="21"/>
          <w:u w:val="single" w:color="auto"/>
          <w:color w:val="000000"/>
        </w:rPr>
        <w:t>Section 9.04</w:t>
      </w:r>
      <w:r>
        <w:rPr>
          <w:rFonts w:ascii="Arial" w:cs="Arial" w:eastAsia="Arial" w:hAnsi="Arial"/>
          <w:sz w:val="21"/>
          <w:szCs w:val="21"/>
          <w:color w:val="000000"/>
        </w:rPr>
        <w:t xml:space="preserve"> of the Second Lien Credit Agreement or any similar provision in any documentation with respect to any Permitted Refinancing thereof or (iii) any similar provision in any Additional Debt documentation or any documentation with respect to any Permitted Refinancing thereof, in each case in this </w:t>
      </w:r>
      <w:r>
        <w:rPr>
          <w:rFonts w:ascii="Arial" w:cs="Arial" w:eastAsia="Arial" w:hAnsi="Arial"/>
          <w:sz w:val="21"/>
          <w:szCs w:val="21"/>
          <w:u w:val="single" w:color="auto"/>
          <w:color w:val="000000"/>
        </w:rPr>
        <w:t>clause</w:t>
      </w:r>
      <w:r>
        <w:rPr>
          <w:rFonts w:ascii="Arial" w:cs="Arial" w:eastAsia="Arial" w:hAnsi="Arial"/>
          <w:sz w:val="21"/>
          <w:szCs w:val="21"/>
          <w:color w:val="000000"/>
        </w:rPr>
        <w:t xml:space="preserve"> </w:t>
      </w:r>
      <w:r>
        <w:rPr>
          <w:rFonts w:ascii="Arial" w:cs="Arial" w:eastAsia="Arial" w:hAnsi="Arial"/>
          <w:sz w:val="21"/>
          <w:szCs w:val="21"/>
          <w:u w:val="single" w:color="auto"/>
          <w:color w:val="FF0000"/>
          <w:strike w:val="1"/>
        </w:rPr>
        <w:t>(w)</w:t>
      </w:r>
      <w:r>
        <w:rPr>
          <w:rFonts w:ascii="Arial" w:cs="Arial" w:eastAsia="Arial" w:hAnsi="Arial"/>
          <w:sz w:val="21"/>
          <w:szCs w:val="21"/>
          <w:u w:val="single" w:color="auto"/>
          <w:color w:val="0000FF"/>
        </w:rPr>
        <w:t>(v)</w:t>
      </w:r>
      <w:r>
        <w:rPr>
          <w:rFonts w:ascii="Arial" w:cs="Arial" w:eastAsia="Arial" w:hAnsi="Arial"/>
          <w:sz w:val="21"/>
          <w:szCs w:val="21"/>
          <w:color w:val="000000"/>
        </w:rPr>
        <w:t>, to the extent not otherwise prohibited hereunder; and</w:t>
      </w:r>
    </w:p>
    <w:p>
      <w:pPr>
        <w:spacing w:after="0" w:line="159" w:lineRule="exact"/>
        <w:rPr>
          <w:rFonts w:ascii="Arial" w:cs="Arial" w:eastAsia="Arial" w:hAnsi="Arial"/>
          <w:sz w:val="21"/>
          <w:szCs w:val="21"/>
          <w:color w:val="0000FF"/>
        </w:rPr>
      </w:pPr>
    </w:p>
    <w:p>
      <w:pPr>
        <w:ind w:left="1820" w:hanging="516"/>
        <w:spacing w:after="0"/>
        <w:tabs>
          <w:tab w:leader="none" w:pos="1820" w:val="left"/>
        </w:tabs>
        <w:numPr>
          <w:ilvl w:val="0"/>
          <w:numId w:val="248"/>
        </w:numPr>
        <w:rPr>
          <w:rFonts w:ascii="Arial" w:cs="Arial" w:eastAsia="Arial" w:hAnsi="Arial"/>
          <w:sz w:val="22"/>
          <w:szCs w:val="22"/>
          <w:color w:val="0000FF"/>
        </w:rPr>
      </w:pPr>
      <w:r>
        <w:rPr>
          <w:rFonts w:ascii="Arial" w:cs="Arial" w:eastAsia="Arial" w:hAnsi="Arial"/>
          <w:sz w:val="22"/>
          <w:szCs w:val="22"/>
          <w:color w:val="FF0000"/>
          <w:strike w:val="1"/>
        </w:rPr>
        <w:t>(w)</w:t>
      </w:r>
      <w:r>
        <w:rPr>
          <w:rFonts w:ascii="Arial" w:cs="Arial" w:eastAsia="Arial" w:hAnsi="Arial"/>
          <w:sz w:val="22"/>
          <w:szCs w:val="22"/>
          <w:color w:val="FF0000"/>
        </w:rPr>
        <w:t xml:space="preserve"> </w:t>
      </w:r>
      <w:r>
        <w:rPr>
          <w:rFonts w:ascii="Arial" w:cs="Arial" w:eastAsia="Arial" w:hAnsi="Arial"/>
          <w:sz w:val="22"/>
          <w:szCs w:val="22"/>
          <w:color w:val="000000"/>
        </w:rPr>
        <w:t>transactions referred to in</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Section 6.04(ff)</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-3995420</wp:posOffset>
            </wp:positionV>
            <wp:extent cx="3092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30924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-3446780</wp:posOffset>
            </wp:positionV>
            <wp:extent cx="3003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-2898140</wp:posOffset>
            </wp:positionV>
            <wp:extent cx="274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-2623820</wp:posOffset>
            </wp:positionV>
            <wp:extent cx="3505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35052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-1800860</wp:posOffset>
            </wp:positionV>
            <wp:extent cx="2882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2882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-1115060</wp:posOffset>
            </wp:positionV>
            <wp:extent cx="297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-840740</wp:posOffset>
            </wp:positionV>
            <wp:extent cx="3048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30480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-17780</wp:posOffset>
            </wp:positionV>
            <wp:extent cx="3276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327660" cy="8255"/>
                    </a:xfrm>
                    <a:prstGeom prst="rect">
                      <a:avLst/>
                    </a:prstGeom>
                    <a:noFill/>
                  </pic:spPr>
                </pic:pic>
              </a:graphicData>
            </a:graphic>
          </wp:anchor>
        </w:drawing>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6.08</w:t>
      </w:r>
      <w:r>
        <w:rPr>
          <w:sz w:val="20"/>
          <w:szCs w:val="20"/>
          <w:color w:val="auto"/>
        </w:rPr>
        <w:tab/>
      </w:r>
      <w:r>
        <w:rPr>
          <w:rFonts w:ascii="Arial" w:cs="Arial" w:eastAsia="Arial" w:hAnsi="Arial"/>
          <w:sz w:val="19"/>
          <w:szCs w:val="19"/>
          <w:u w:val="single" w:color="auto"/>
          <w:color w:val="auto"/>
        </w:rPr>
        <w:t>Restrictive Agreements</w:t>
      </w:r>
      <w:r>
        <w:rPr>
          <w:rFonts w:ascii="Arial" w:cs="Arial" w:eastAsia="Arial" w:hAnsi="Arial"/>
          <w:sz w:val="19"/>
          <w:szCs w:val="19"/>
          <w:color w:val="FF0000"/>
          <w:strike w:val="1"/>
        </w:rPr>
        <w:t>.</w:t>
      </w:r>
    </w:p>
    <w:p>
      <w:pPr>
        <w:spacing w:after="0" w:line="179" w:lineRule="exact"/>
        <w:rPr>
          <w:sz w:val="20"/>
          <w:szCs w:val="20"/>
          <w:color w:val="auto"/>
        </w:rPr>
      </w:pPr>
    </w:p>
    <w:p>
      <w:pPr>
        <w:jc w:val="both"/>
        <w:ind w:firstLine="1304"/>
        <w:spacing w:after="0" w:line="226" w:lineRule="auto"/>
        <w:tabs>
          <w:tab w:leader="none" w:pos="1429" w:val="left"/>
        </w:tabs>
        <w:numPr>
          <w:ilvl w:val="0"/>
          <w:numId w:val="249"/>
        </w:numPr>
        <w:rPr>
          <w:rFonts w:ascii="Arial" w:cs="Arial" w:eastAsia="Arial" w:hAnsi="Arial"/>
          <w:sz w:val="21"/>
          <w:szCs w:val="21"/>
          <w:u w:val="single" w:color="auto"/>
          <w:color w:val="0000FF"/>
        </w:rPr>
      </w:pPr>
      <w:r>
        <w:rPr>
          <w:rFonts w:ascii="Arial" w:cs="Arial" w:eastAsia="Arial" w:hAnsi="Arial"/>
          <w:sz w:val="21"/>
          <w:szCs w:val="21"/>
          <w:color w:val="auto"/>
        </w:rPr>
        <w:t xml:space="preserve">The Borrower will not, nor will the Borrower permit any Restricted Subsidiary to, enter into any agreement, instrument, deed or lease that prohibits, restricts or imposes any condition upon: (a) the ability of any Loan Party to create, incur or permit to exist any Lien in favor of the Secured Parties (excluding Lender Counterparties) upon any of its Collateral or (b) the ability of any Restricted Subsidiary to make Restricted Payments or to make or repay loans or advances to any Holding Company or any other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to:</w:t>
      </w:r>
    </w:p>
    <w:p>
      <w:pPr>
        <w:spacing w:after="0" w:line="159" w:lineRule="exact"/>
        <w:rPr>
          <w:sz w:val="20"/>
          <w:szCs w:val="20"/>
          <w:color w:val="auto"/>
        </w:rPr>
      </w:pPr>
    </w:p>
    <w:p>
      <w:pPr>
        <w:jc w:val="both"/>
        <w:ind w:left="660" w:firstLine="644"/>
        <w:spacing w:after="0" w:line="216" w:lineRule="auto"/>
        <w:tabs>
          <w:tab w:leader="none" w:pos="1855" w:val="left"/>
        </w:tabs>
        <w:numPr>
          <w:ilvl w:val="0"/>
          <w:numId w:val="250"/>
        </w:numPr>
        <w:rPr>
          <w:rFonts w:ascii="Arial" w:cs="Arial" w:eastAsia="Arial" w:hAnsi="Arial"/>
          <w:sz w:val="22"/>
          <w:szCs w:val="22"/>
          <w:color w:val="0000FF"/>
        </w:rPr>
      </w:pPr>
      <w:r>
        <w:rPr>
          <w:rFonts w:ascii="Arial" w:cs="Arial" w:eastAsia="Arial" w:hAnsi="Arial"/>
          <w:sz w:val="22"/>
          <w:szCs w:val="22"/>
          <w:color w:val="FF0000"/>
          <w:strike w:val="1"/>
        </w:rPr>
        <w:t>(i)</w:t>
      </w:r>
      <w:r>
        <w:rPr>
          <w:rFonts w:ascii="Arial" w:cs="Arial" w:eastAsia="Arial" w:hAnsi="Arial"/>
          <w:sz w:val="22"/>
          <w:szCs w:val="22"/>
          <w:color w:val="FF0000"/>
        </w:rPr>
        <w:t xml:space="preserve"> </w:t>
      </w:r>
      <w:r>
        <w:rPr>
          <w:rFonts w:ascii="Arial" w:cs="Arial" w:eastAsia="Arial" w:hAnsi="Arial"/>
          <w:sz w:val="22"/>
          <w:szCs w:val="22"/>
          <w:color w:val="000000"/>
        </w:rPr>
        <w:t>restrictions and conditions imposed by (A) law, (B) any Loan Document and any Second Lien Loan</w:t>
      </w:r>
      <w:r>
        <w:rPr>
          <w:rFonts w:ascii="Arial" w:cs="Arial" w:eastAsia="Arial" w:hAnsi="Arial"/>
          <w:sz w:val="22"/>
          <w:szCs w:val="22"/>
          <w:color w:val="FF0000"/>
        </w:rPr>
        <w:t xml:space="preserve"> </w:t>
      </w:r>
      <w:r>
        <w:rPr>
          <w:rFonts w:ascii="Arial" w:cs="Arial" w:eastAsia="Arial" w:hAnsi="Arial"/>
          <w:sz w:val="22"/>
          <w:szCs w:val="22"/>
          <w:color w:val="000000"/>
        </w:rPr>
        <w:t xml:space="preserve">Document, any agreements evidencing secured Indebtedness permitted by this Agreement, or any documentation providing for any Permitted Refinancing of any of the foregoing or (C) other agreements evidencing Indebtedness permitted by </w:t>
      </w:r>
      <w:r>
        <w:rPr>
          <w:rFonts w:ascii="Arial" w:cs="Arial" w:eastAsia="Arial" w:hAnsi="Arial"/>
          <w:sz w:val="22"/>
          <w:szCs w:val="22"/>
          <w:u w:val="single" w:color="auto"/>
          <w:color w:val="000000"/>
        </w:rPr>
        <w:t>Section 6.01</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that in each case under this </w:t>
      </w:r>
      <w:r>
        <w:rPr>
          <w:rFonts w:ascii="Arial" w:cs="Arial" w:eastAsia="Arial" w:hAnsi="Arial"/>
          <w:sz w:val="22"/>
          <w:szCs w:val="22"/>
          <w:u w:val="single" w:color="auto"/>
          <w:color w:val="000000"/>
        </w:rPr>
        <w:t>clause (i)</w:t>
      </w:r>
      <w:r>
        <w:rPr>
          <w:rFonts w:ascii="Arial" w:cs="Arial" w:eastAsia="Arial" w:hAnsi="Arial"/>
          <w:sz w:val="22"/>
          <w:szCs w:val="22"/>
          <w:color w:val="000000"/>
        </w:rPr>
        <w:t xml:space="preserve"> such restrictions or conditions (x) apply solely to a Restricted Subsidiary that is not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-579755</wp:posOffset>
            </wp:positionV>
            <wp:extent cx="3473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347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37" w:name="page238"/>
    <w:bookmarkEnd w:id="237"/>
    <w:p>
      <w:pPr>
        <w:jc w:val="both"/>
        <w:ind w:left="660"/>
        <w:spacing w:after="0" w:line="223" w:lineRule="auto"/>
        <w:rPr>
          <w:sz w:val="20"/>
          <w:szCs w:val="20"/>
          <w:color w:val="auto"/>
        </w:rPr>
      </w:pPr>
      <w:r>
        <w:rPr>
          <w:rFonts w:ascii="Arial" w:cs="Arial" w:eastAsia="Arial" w:hAnsi="Arial"/>
          <w:sz w:val="22"/>
          <w:szCs w:val="22"/>
          <w:color w:val="auto"/>
        </w:rPr>
        <w:t>Loan Party, (y) are no more restrictive than the restrictions or conditions set forth in the Loan Documents, or (z) do not materially impair the Borrower’s ability to pay its obligations under the Loan Documents as and when due (as determined in good faith by the Borrower);</w:t>
      </w:r>
    </w:p>
    <w:p>
      <w:pPr>
        <w:spacing w:after="0" w:line="159" w:lineRule="exact"/>
        <w:rPr>
          <w:sz w:val="20"/>
          <w:szCs w:val="20"/>
          <w:color w:val="auto"/>
        </w:rPr>
      </w:pPr>
    </w:p>
    <w:p>
      <w:pPr>
        <w:jc w:val="both"/>
        <w:ind w:left="660" w:firstLine="644"/>
        <w:spacing w:after="0" w:line="218" w:lineRule="auto"/>
        <w:tabs>
          <w:tab w:leader="none" w:pos="1901" w:val="left"/>
        </w:tabs>
        <w:numPr>
          <w:ilvl w:val="0"/>
          <w:numId w:val="251"/>
        </w:numPr>
        <w:rPr>
          <w:rFonts w:ascii="Arial" w:cs="Arial" w:eastAsia="Arial" w:hAnsi="Arial"/>
          <w:sz w:val="22"/>
          <w:szCs w:val="22"/>
          <w:color w:val="0000FF"/>
        </w:rPr>
      </w:pPr>
      <w:r>
        <w:rPr>
          <w:rFonts w:ascii="Arial" w:cs="Arial" w:eastAsia="Arial" w:hAnsi="Arial"/>
          <w:sz w:val="22"/>
          <w:szCs w:val="22"/>
          <w:color w:val="FF0000"/>
          <w:strike w:val="1"/>
        </w:rPr>
        <w:t>(ii)</w:t>
      </w:r>
      <w:r>
        <w:rPr>
          <w:rFonts w:ascii="Arial" w:cs="Arial" w:eastAsia="Arial" w:hAnsi="Arial"/>
          <w:sz w:val="22"/>
          <w:szCs w:val="22"/>
          <w:color w:val="FF0000"/>
        </w:rPr>
        <w:t xml:space="preserve"> </w:t>
      </w:r>
      <w:r>
        <w:rPr>
          <w:rFonts w:ascii="Arial" w:cs="Arial" w:eastAsia="Arial" w:hAnsi="Arial"/>
          <w:sz w:val="22"/>
          <w:szCs w:val="22"/>
          <w:color w:val="000000"/>
        </w:rPr>
        <w:t>restrictions and conditions existing on the Closing Date (to the extent not incurred in contemplation</w:t>
      </w:r>
      <w:r>
        <w:rPr>
          <w:rFonts w:ascii="Arial" w:cs="Arial" w:eastAsia="Arial" w:hAnsi="Arial"/>
          <w:sz w:val="22"/>
          <w:szCs w:val="22"/>
          <w:color w:val="FF0000"/>
        </w:rPr>
        <w:t xml:space="preserve"> </w:t>
      </w:r>
      <w:r>
        <w:rPr>
          <w:rFonts w:ascii="Arial" w:cs="Arial" w:eastAsia="Arial" w:hAnsi="Arial"/>
          <w:sz w:val="22"/>
          <w:szCs w:val="22"/>
          <w:color w:val="000000"/>
        </w:rPr>
        <w:t>thereof) or in any extension, renewal, amendment, modification or replacement thereof, except to the extent any such amendment, modification or replacement materially expands the scope of any such restriction or condition (as determined in good faith by the Borrower);</w:t>
      </w:r>
    </w:p>
    <w:p>
      <w:pPr>
        <w:spacing w:after="0" w:line="160" w:lineRule="exact"/>
        <w:rPr>
          <w:rFonts w:ascii="Arial" w:cs="Arial" w:eastAsia="Arial" w:hAnsi="Arial"/>
          <w:sz w:val="22"/>
          <w:szCs w:val="22"/>
          <w:color w:val="0000FF"/>
        </w:rPr>
      </w:pPr>
    </w:p>
    <w:p>
      <w:pPr>
        <w:jc w:val="both"/>
        <w:ind w:left="660" w:firstLine="644"/>
        <w:spacing w:after="0" w:line="216" w:lineRule="auto"/>
        <w:tabs>
          <w:tab w:leader="none" w:pos="2039" w:val="left"/>
        </w:tabs>
        <w:numPr>
          <w:ilvl w:val="0"/>
          <w:numId w:val="251"/>
        </w:numPr>
        <w:rPr>
          <w:rFonts w:ascii="Arial" w:cs="Arial" w:eastAsia="Arial" w:hAnsi="Arial"/>
          <w:sz w:val="22"/>
          <w:szCs w:val="22"/>
          <w:color w:val="0000FF"/>
        </w:rPr>
      </w:pPr>
      <w:r>
        <w:rPr>
          <w:rFonts w:ascii="Arial" w:cs="Arial" w:eastAsia="Arial" w:hAnsi="Arial"/>
          <w:sz w:val="22"/>
          <w:szCs w:val="22"/>
          <w:color w:val="FF0000"/>
          <w:strike w:val="1"/>
        </w:rPr>
        <w:t>(iii)</w:t>
      </w:r>
      <w:r>
        <w:rPr>
          <w:rFonts w:ascii="Arial" w:cs="Arial" w:eastAsia="Arial" w:hAnsi="Arial"/>
          <w:sz w:val="22"/>
          <w:szCs w:val="22"/>
          <w:color w:val="FF0000"/>
        </w:rPr>
        <w:t xml:space="preserve"> </w:t>
      </w:r>
      <w:r>
        <w:rPr>
          <w:rFonts w:ascii="Arial" w:cs="Arial" w:eastAsia="Arial" w:hAnsi="Arial"/>
          <w:sz w:val="22"/>
          <w:szCs w:val="22"/>
          <w:color w:val="000000"/>
        </w:rPr>
        <w:t>restrictions and conditions contained in agreements relating to the sale of Equity Interests of a</w:t>
      </w:r>
      <w:r>
        <w:rPr>
          <w:rFonts w:ascii="Arial" w:cs="Arial" w:eastAsia="Arial" w:hAnsi="Arial"/>
          <w:sz w:val="22"/>
          <w:szCs w:val="22"/>
          <w:color w:val="FF0000"/>
        </w:rPr>
        <w:t xml:space="preserve"> </w:t>
      </w:r>
      <w:r>
        <w:rPr>
          <w:rFonts w:ascii="Arial" w:cs="Arial" w:eastAsia="Arial" w:hAnsi="Arial"/>
          <w:sz w:val="22"/>
          <w:szCs w:val="22"/>
          <w:color w:val="000000"/>
        </w:rPr>
        <w:t xml:space="preserve">Subsidiary or a Joint Venture or of any assets of the Holding Companies, a Subsidiary or a Joint Venture, in each case pending such sale,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that such restrictions and conditions apply only to the Subsidiary or assets that is or are to be sold and such sale is permitted hereunder or is conditioned on obtaining consent of the Lenders pursuant to the terms hereof;</w:t>
      </w:r>
    </w:p>
    <w:p>
      <w:pPr>
        <w:spacing w:after="0" w:line="157" w:lineRule="exact"/>
        <w:rPr>
          <w:rFonts w:ascii="Arial" w:cs="Arial" w:eastAsia="Arial" w:hAnsi="Arial"/>
          <w:sz w:val="22"/>
          <w:szCs w:val="22"/>
          <w:color w:val="0000FF"/>
        </w:rPr>
      </w:pPr>
    </w:p>
    <w:p>
      <w:pPr>
        <w:ind w:left="660" w:firstLine="644"/>
        <w:spacing w:after="0" w:line="232" w:lineRule="auto"/>
        <w:tabs>
          <w:tab w:leader="none" w:pos="1940" w:val="left"/>
        </w:tabs>
        <w:numPr>
          <w:ilvl w:val="0"/>
          <w:numId w:val="251"/>
        </w:numPr>
        <w:rPr>
          <w:rFonts w:ascii="Arial" w:cs="Arial" w:eastAsia="Arial" w:hAnsi="Arial"/>
          <w:sz w:val="22"/>
          <w:szCs w:val="22"/>
          <w:color w:val="0000FF"/>
        </w:rPr>
      </w:pPr>
      <w:r>
        <w:rPr>
          <w:rFonts w:ascii="Arial" w:cs="Arial" w:eastAsia="Arial" w:hAnsi="Arial"/>
          <w:sz w:val="22"/>
          <w:szCs w:val="22"/>
          <w:color w:val="FF0000"/>
          <w:strike w:val="1"/>
        </w:rPr>
        <w:t>(iv)</w:t>
      </w:r>
      <w:r>
        <w:rPr>
          <w:rFonts w:ascii="Arial" w:cs="Arial" w:eastAsia="Arial" w:hAnsi="Arial"/>
          <w:sz w:val="22"/>
          <w:szCs w:val="22"/>
          <w:color w:val="FF0000"/>
        </w:rPr>
        <w:t xml:space="preserve"> </w:t>
      </w:r>
      <w:r>
        <w:rPr>
          <w:rFonts w:ascii="Arial" w:cs="Arial" w:eastAsia="Arial" w:hAnsi="Arial"/>
          <w:sz w:val="22"/>
          <w:szCs w:val="22"/>
          <w:color w:val="000000"/>
        </w:rPr>
        <w:t>customary provisions in leases, licenses and other contracts restricting the assignment, subletting or</w:t>
      </w:r>
      <w:r>
        <w:rPr>
          <w:rFonts w:ascii="Arial" w:cs="Arial" w:eastAsia="Arial" w:hAnsi="Arial"/>
          <w:sz w:val="22"/>
          <w:szCs w:val="22"/>
          <w:color w:val="FF0000"/>
        </w:rPr>
        <w:t xml:space="preserve"> </w:t>
      </w:r>
      <w:r>
        <w:rPr>
          <w:rFonts w:ascii="Arial" w:cs="Arial" w:eastAsia="Arial" w:hAnsi="Arial"/>
          <w:sz w:val="22"/>
          <w:szCs w:val="22"/>
          <w:color w:val="000000"/>
        </w:rPr>
        <w:t>transfer thereof or other assets subject thereto;</w:t>
      </w:r>
    </w:p>
    <w:p>
      <w:pPr>
        <w:spacing w:after="0" w:line="158" w:lineRule="exact"/>
        <w:rPr>
          <w:rFonts w:ascii="Arial" w:cs="Arial" w:eastAsia="Arial" w:hAnsi="Arial"/>
          <w:sz w:val="22"/>
          <w:szCs w:val="22"/>
          <w:color w:val="0000FF"/>
        </w:rPr>
      </w:pPr>
    </w:p>
    <w:p>
      <w:pPr>
        <w:jc w:val="both"/>
        <w:ind w:left="660" w:firstLine="644"/>
        <w:spacing w:after="0" w:line="257" w:lineRule="auto"/>
        <w:tabs>
          <w:tab w:leader="none" w:pos="1815" w:val="left"/>
        </w:tabs>
        <w:numPr>
          <w:ilvl w:val="0"/>
          <w:numId w:val="251"/>
        </w:numPr>
        <w:rPr>
          <w:rFonts w:ascii="Arial" w:cs="Arial" w:eastAsia="Arial" w:hAnsi="Arial"/>
          <w:sz w:val="19"/>
          <w:szCs w:val="19"/>
          <w:color w:val="0000FF"/>
        </w:rPr>
      </w:pPr>
      <w:r>
        <w:rPr>
          <w:rFonts w:ascii="Arial" w:cs="Arial" w:eastAsia="Arial" w:hAnsi="Arial"/>
          <w:sz w:val="19"/>
          <w:szCs w:val="19"/>
          <w:color w:val="FF0000"/>
          <w:strike w:val="1"/>
        </w:rPr>
        <w:t>(v)</w:t>
      </w:r>
      <w:r>
        <w:rPr>
          <w:rFonts w:ascii="Arial" w:cs="Arial" w:eastAsia="Arial" w:hAnsi="Arial"/>
          <w:sz w:val="19"/>
          <w:szCs w:val="19"/>
          <w:color w:val="000000"/>
        </w:rPr>
        <w:t>(A) any restrictions with respect to a Subsidiary imposed pursuant to an agreement that has been entered</w:t>
      </w:r>
      <w:r>
        <w:rPr>
          <w:rFonts w:ascii="Arial" w:cs="Arial" w:eastAsia="Arial" w:hAnsi="Arial"/>
          <w:sz w:val="19"/>
          <w:szCs w:val="19"/>
          <w:color w:val="FF0000"/>
        </w:rPr>
        <w:t xml:space="preserve"> </w:t>
      </w:r>
      <w:r>
        <w:rPr>
          <w:rFonts w:ascii="Arial" w:cs="Arial" w:eastAsia="Arial" w:hAnsi="Arial"/>
          <w:sz w:val="19"/>
          <w:szCs w:val="19"/>
          <w:color w:val="000000"/>
        </w:rPr>
        <w:t xml:space="preserve">into in connection with the sale, transfer or other disposition of all or substantially all of the Equity Interests or assets of such Subsidiary or (B) restrictions on transfers of assets subject to Liens permitted by </w:t>
      </w:r>
      <w:r>
        <w:rPr>
          <w:rFonts w:ascii="Arial" w:cs="Arial" w:eastAsia="Arial" w:hAnsi="Arial"/>
          <w:sz w:val="19"/>
          <w:szCs w:val="19"/>
          <w:u w:val="single" w:color="auto"/>
          <w:color w:val="000000"/>
        </w:rPr>
        <w:t>Section 6.02</w:t>
      </w:r>
      <w:r>
        <w:rPr>
          <w:rFonts w:ascii="Arial" w:cs="Arial" w:eastAsia="Arial" w:hAnsi="Arial"/>
          <w:sz w:val="19"/>
          <w:szCs w:val="19"/>
          <w:color w:val="000000"/>
        </w:rPr>
        <w:t xml:space="preserve"> (but, with respect to any such Lien, only to the extent that such transfer restrictions apply solely to the assets that are the subject of such Lien);</w:t>
      </w:r>
    </w:p>
    <w:p>
      <w:pPr>
        <w:spacing w:after="0" w:line="144" w:lineRule="exact"/>
        <w:rPr>
          <w:rFonts w:ascii="Arial" w:cs="Arial" w:eastAsia="Arial" w:hAnsi="Arial"/>
          <w:sz w:val="19"/>
          <w:szCs w:val="19"/>
          <w:color w:val="0000FF"/>
        </w:rPr>
      </w:pPr>
    </w:p>
    <w:p>
      <w:pPr>
        <w:ind w:left="1840" w:hanging="536"/>
        <w:spacing w:after="0"/>
        <w:tabs>
          <w:tab w:leader="none" w:pos="1840" w:val="left"/>
        </w:tabs>
        <w:numPr>
          <w:ilvl w:val="0"/>
          <w:numId w:val="251"/>
        </w:numPr>
        <w:rPr>
          <w:rFonts w:ascii="Arial" w:cs="Arial" w:eastAsia="Arial" w:hAnsi="Arial"/>
          <w:sz w:val="22"/>
          <w:szCs w:val="22"/>
          <w:color w:val="0000FF"/>
        </w:rPr>
      </w:pPr>
      <w:r>
        <w:rPr>
          <w:rFonts w:ascii="Arial" w:cs="Arial" w:eastAsia="Arial" w:hAnsi="Arial"/>
          <w:sz w:val="22"/>
          <w:szCs w:val="22"/>
          <w:color w:val="FF0000"/>
          <w:strike w:val="1"/>
        </w:rPr>
        <w:t>(vi)</w:t>
      </w:r>
      <w:r>
        <w:rPr>
          <w:rFonts w:ascii="Arial" w:cs="Arial" w:eastAsia="Arial" w:hAnsi="Arial"/>
          <w:sz w:val="22"/>
          <w:szCs w:val="22"/>
          <w:color w:val="FF0000"/>
        </w:rPr>
        <w:t xml:space="preserve"> </w:t>
      </w:r>
      <w:r>
        <w:rPr>
          <w:rFonts w:ascii="Arial" w:cs="Arial" w:eastAsia="Arial" w:hAnsi="Arial"/>
          <w:sz w:val="22"/>
          <w:szCs w:val="22"/>
          <w:color w:val="000000"/>
        </w:rPr>
        <w:t>restrictions created in connection with any Qualified Securitization Financing;</w:t>
      </w:r>
    </w:p>
    <w:p>
      <w:pPr>
        <w:spacing w:after="0" w:line="179" w:lineRule="exact"/>
        <w:rPr>
          <w:rFonts w:ascii="Arial" w:cs="Arial" w:eastAsia="Arial" w:hAnsi="Arial"/>
          <w:sz w:val="22"/>
          <w:szCs w:val="22"/>
          <w:color w:val="0000FF"/>
        </w:rPr>
      </w:pPr>
    </w:p>
    <w:p>
      <w:pPr>
        <w:jc w:val="both"/>
        <w:ind w:left="660" w:firstLine="644"/>
        <w:spacing w:after="0" w:line="218" w:lineRule="auto"/>
        <w:tabs>
          <w:tab w:leader="none" w:pos="2033" w:val="left"/>
        </w:tabs>
        <w:numPr>
          <w:ilvl w:val="0"/>
          <w:numId w:val="251"/>
        </w:numPr>
        <w:rPr>
          <w:rFonts w:ascii="Arial" w:cs="Arial" w:eastAsia="Arial" w:hAnsi="Arial"/>
          <w:sz w:val="22"/>
          <w:szCs w:val="22"/>
          <w:color w:val="0000FF"/>
        </w:rPr>
      </w:pPr>
      <w:r>
        <w:rPr>
          <w:rFonts w:ascii="Arial" w:cs="Arial" w:eastAsia="Arial" w:hAnsi="Arial"/>
          <w:sz w:val="22"/>
          <w:szCs w:val="22"/>
          <w:color w:val="FF0000"/>
          <w:strike w:val="1"/>
        </w:rPr>
        <w:t>(vii)</w:t>
      </w:r>
      <w:r>
        <w:rPr>
          <w:rFonts w:ascii="Arial" w:cs="Arial" w:eastAsia="Arial" w:hAnsi="Arial"/>
          <w:sz w:val="22"/>
          <w:szCs w:val="22"/>
          <w:color w:val="FF0000"/>
        </w:rPr>
        <w:t xml:space="preserve"> </w:t>
      </w:r>
      <w:r>
        <w:rPr>
          <w:rFonts w:ascii="Arial" w:cs="Arial" w:eastAsia="Arial" w:hAnsi="Arial"/>
          <w:sz w:val="22"/>
          <w:szCs w:val="22"/>
          <w:color w:val="000000"/>
        </w:rPr>
        <w:t>restrictions or conditions set forth in any agreement in effect at any time any Person becomes a</w:t>
      </w:r>
      <w:r>
        <w:rPr>
          <w:rFonts w:ascii="Arial" w:cs="Arial" w:eastAsia="Arial" w:hAnsi="Arial"/>
          <w:sz w:val="22"/>
          <w:szCs w:val="22"/>
          <w:color w:val="FF0000"/>
        </w:rPr>
        <w:t xml:space="preserve"> </w:t>
      </w:r>
      <w:r>
        <w:rPr>
          <w:rFonts w:ascii="Arial" w:cs="Arial" w:eastAsia="Arial" w:hAnsi="Arial"/>
          <w:sz w:val="22"/>
          <w:szCs w:val="22"/>
          <w:color w:val="000000"/>
        </w:rPr>
        <w:t xml:space="preserve">Restricted Subsidiary;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that such agreement was not entered into in contemplation of such Person becoming a Restricted Subsidiary and the restriction or condition set forth in such agreement does not apply to any other Restricted Subsidiary;</w:t>
      </w:r>
    </w:p>
    <w:p>
      <w:pPr>
        <w:spacing w:after="0" w:line="160" w:lineRule="exact"/>
        <w:rPr>
          <w:rFonts w:ascii="Arial" w:cs="Arial" w:eastAsia="Arial" w:hAnsi="Arial"/>
          <w:sz w:val="22"/>
          <w:szCs w:val="22"/>
          <w:color w:val="0000FF"/>
        </w:rPr>
      </w:pPr>
    </w:p>
    <w:p>
      <w:pPr>
        <w:jc w:val="both"/>
        <w:ind w:left="660" w:firstLine="644"/>
        <w:spacing w:after="0" w:line="216" w:lineRule="auto"/>
        <w:tabs>
          <w:tab w:leader="none" w:pos="2164" w:val="left"/>
        </w:tabs>
        <w:numPr>
          <w:ilvl w:val="0"/>
          <w:numId w:val="251"/>
        </w:numPr>
        <w:rPr>
          <w:rFonts w:ascii="Arial" w:cs="Arial" w:eastAsia="Arial" w:hAnsi="Arial"/>
          <w:sz w:val="22"/>
          <w:szCs w:val="22"/>
          <w:color w:val="0000FF"/>
        </w:rPr>
      </w:pPr>
      <w:r>
        <w:rPr>
          <w:rFonts w:ascii="Arial" w:cs="Arial" w:eastAsia="Arial" w:hAnsi="Arial"/>
          <w:sz w:val="22"/>
          <w:szCs w:val="22"/>
          <w:color w:val="FF0000"/>
          <w:strike w:val="1"/>
        </w:rPr>
        <w:t>(viii)</w:t>
      </w:r>
      <w:r>
        <w:rPr>
          <w:rFonts w:ascii="Arial" w:cs="Arial" w:eastAsia="Arial" w:hAnsi="Arial"/>
          <w:sz w:val="22"/>
          <w:szCs w:val="22"/>
          <w:color w:val="FF0000"/>
        </w:rPr>
        <w:t xml:space="preserve"> </w:t>
      </w:r>
      <w:r>
        <w:rPr>
          <w:rFonts w:ascii="Arial" w:cs="Arial" w:eastAsia="Arial" w:hAnsi="Arial"/>
          <w:sz w:val="22"/>
          <w:szCs w:val="22"/>
          <w:color w:val="000000"/>
        </w:rPr>
        <w:t>customary provisions in shareholders agreements, joint venture agreements, organizational or</w:t>
      </w:r>
      <w:r>
        <w:rPr>
          <w:rFonts w:ascii="Arial" w:cs="Arial" w:eastAsia="Arial" w:hAnsi="Arial"/>
          <w:sz w:val="22"/>
          <w:szCs w:val="22"/>
          <w:color w:val="FF0000"/>
        </w:rPr>
        <w:t xml:space="preserve"> </w:t>
      </w:r>
      <w:r>
        <w:rPr>
          <w:rFonts w:ascii="Arial" w:cs="Arial" w:eastAsia="Arial" w:hAnsi="Arial"/>
          <w:sz w:val="22"/>
          <w:szCs w:val="22"/>
          <w:color w:val="000000"/>
        </w:rPr>
        <w:t>constitutive documents or similar binding agreements relating to any Joint Venture or non-wholly-owned Restricted Subsidiary and other similar agreements applicable to Joint Ventures and non-wholly-owned Restricted Subsidiaries and applicable solely to such Joint Venture or non-wholly-owned Restricted Subsidiary and the Equity Interests issued thereby;</w:t>
      </w:r>
    </w:p>
    <w:p>
      <w:pPr>
        <w:spacing w:after="0" w:line="157" w:lineRule="exact"/>
        <w:rPr>
          <w:rFonts w:ascii="Arial" w:cs="Arial" w:eastAsia="Arial" w:hAnsi="Arial"/>
          <w:sz w:val="22"/>
          <w:szCs w:val="22"/>
          <w:color w:val="0000FF"/>
        </w:rPr>
      </w:pPr>
    </w:p>
    <w:p>
      <w:pPr>
        <w:ind w:left="1860" w:hanging="556"/>
        <w:spacing w:after="0"/>
        <w:tabs>
          <w:tab w:leader="none" w:pos="1860" w:val="left"/>
        </w:tabs>
        <w:numPr>
          <w:ilvl w:val="0"/>
          <w:numId w:val="251"/>
        </w:numPr>
        <w:rPr>
          <w:rFonts w:ascii="Arial" w:cs="Arial" w:eastAsia="Arial" w:hAnsi="Arial"/>
          <w:sz w:val="19"/>
          <w:szCs w:val="19"/>
          <w:color w:val="0000FF"/>
        </w:rPr>
      </w:pPr>
      <w:r>
        <w:rPr>
          <w:rFonts w:ascii="Arial" w:cs="Arial" w:eastAsia="Arial" w:hAnsi="Arial"/>
          <w:sz w:val="19"/>
          <w:szCs w:val="19"/>
          <w:color w:val="FF0000"/>
          <w:strike w:val="1"/>
        </w:rPr>
        <w:t>(ix)</w:t>
      </w:r>
      <w:r>
        <w:rPr>
          <w:rFonts w:ascii="Arial" w:cs="Arial" w:eastAsia="Arial" w:hAnsi="Arial"/>
          <w:sz w:val="19"/>
          <w:szCs w:val="19"/>
          <w:color w:val="FF0000"/>
        </w:rPr>
        <w:t xml:space="preserve"> </w:t>
      </w:r>
      <w:r>
        <w:rPr>
          <w:rFonts w:ascii="Arial" w:cs="Arial" w:eastAsia="Arial" w:hAnsi="Arial"/>
          <w:sz w:val="19"/>
          <w:szCs w:val="19"/>
          <w:color w:val="000000"/>
        </w:rPr>
        <w:t>any restrictions on cash or other deposits imposed by agreements entered into in the ordinary course of</w:t>
      </w:r>
    </w:p>
    <w:p>
      <w:pPr>
        <w:spacing w:after="0" w:line="15" w:lineRule="exact"/>
        <w:rPr>
          <w:rFonts w:ascii="Arial" w:cs="Arial" w:eastAsia="Arial" w:hAnsi="Arial"/>
          <w:sz w:val="19"/>
          <w:szCs w:val="19"/>
          <w:color w:val="0000FF"/>
        </w:rPr>
      </w:pPr>
    </w:p>
    <w:p>
      <w:pPr>
        <w:ind w:left="660"/>
        <w:spacing w:after="0"/>
        <w:rPr>
          <w:rFonts w:ascii="Arial" w:cs="Arial" w:eastAsia="Arial" w:hAnsi="Arial"/>
          <w:sz w:val="19"/>
          <w:szCs w:val="19"/>
          <w:color w:val="0000FF"/>
        </w:rPr>
      </w:pPr>
      <w:r>
        <w:rPr>
          <w:rFonts w:ascii="Arial" w:cs="Arial" w:eastAsia="Arial" w:hAnsi="Arial"/>
          <w:sz w:val="22"/>
          <w:szCs w:val="22"/>
          <w:color w:val="auto"/>
        </w:rPr>
        <w:t>business;</w:t>
      </w:r>
    </w:p>
    <w:p>
      <w:pPr>
        <w:spacing w:after="0" w:line="161" w:lineRule="exact"/>
        <w:rPr>
          <w:rFonts w:ascii="Arial" w:cs="Arial" w:eastAsia="Arial" w:hAnsi="Arial"/>
          <w:sz w:val="19"/>
          <w:szCs w:val="19"/>
          <w:color w:val="0000FF"/>
        </w:rPr>
      </w:pPr>
    </w:p>
    <w:p>
      <w:pPr>
        <w:jc w:val="both"/>
        <w:ind w:left="660" w:firstLine="644"/>
        <w:spacing w:after="0" w:line="223" w:lineRule="auto"/>
        <w:tabs>
          <w:tab w:leader="none" w:pos="1936" w:val="left"/>
        </w:tabs>
        <w:numPr>
          <w:ilvl w:val="0"/>
          <w:numId w:val="251"/>
        </w:numPr>
        <w:rPr>
          <w:rFonts w:ascii="Arial" w:cs="Arial" w:eastAsia="Arial" w:hAnsi="Arial"/>
          <w:sz w:val="22"/>
          <w:szCs w:val="22"/>
          <w:color w:val="0000FF"/>
        </w:rPr>
      </w:pPr>
      <w:r>
        <w:rPr>
          <w:rFonts w:ascii="Arial" w:cs="Arial" w:eastAsia="Arial" w:hAnsi="Arial"/>
          <w:sz w:val="22"/>
          <w:szCs w:val="22"/>
          <w:color w:val="FF0000"/>
          <w:strike w:val="1"/>
        </w:rPr>
        <w:t>(x)</w:t>
      </w:r>
      <w:r>
        <w:rPr>
          <w:rFonts w:ascii="Arial" w:cs="Arial" w:eastAsia="Arial" w:hAnsi="Arial"/>
          <w:sz w:val="22"/>
          <w:szCs w:val="22"/>
          <w:color w:val="FF0000"/>
        </w:rPr>
        <w:t xml:space="preserve"> </w:t>
      </w:r>
      <w:r>
        <w:rPr>
          <w:rFonts w:ascii="Arial" w:cs="Arial" w:eastAsia="Arial" w:hAnsi="Arial"/>
          <w:sz w:val="22"/>
          <w:szCs w:val="22"/>
          <w:color w:val="000000"/>
        </w:rPr>
        <w:t>any restrictions regarding licensing or sublicensing by Holdings and the Restricted Subsidiaries of</w:t>
      </w:r>
      <w:r>
        <w:rPr>
          <w:rFonts w:ascii="Arial" w:cs="Arial" w:eastAsia="Arial" w:hAnsi="Arial"/>
          <w:sz w:val="22"/>
          <w:szCs w:val="22"/>
          <w:color w:val="FF0000"/>
        </w:rPr>
        <w:t xml:space="preserve"> </w:t>
      </w:r>
      <w:r>
        <w:rPr>
          <w:rFonts w:ascii="Arial" w:cs="Arial" w:eastAsia="Arial" w:hAnsi="Arial"/>
          <w:sz w:val="22"/>
          <w:szCs w:val="22"/>
          <w:color w:val="000000"/>
        </w:rPr>
        <w:t>Intellectual Property in the ordinary course of business to the extent not materially interfering with the business of Holdings or the Restricted Subsidiaries taken as a whole;</w:t>
      </w:r>
    </w:p>
    <w:p>
      <w:pPr>
        <w:spacing w:after="0" w:line="158" w:lineRule="exact"/>
        <w:rPr>
          <w:rFonts w:ascii="Arial" w:cs="Arial" w:eastAsia="Arial" w:hAnsi="Arial"/>
          <w:sz w:val="22"/>
          <w:szCs w:val="22"/>
          <w:color w:val="0000FF"/>
        </w:rPr>
      </w:pPr>
    </w:p>
    <w:p>
      <w:pPr>
        <w:ind w:left="660" w:firstLine="644"/>
        <w:spacing w:after="0" w:line="232" w:lineRule="auto"/>
        <w:tabs>
          <w:tab w:leader="none" w:pos="1907" w:val="left"/>
        </w:tabs>
        <w:numPr>
          <w:ilvl w:val="0"/>
          <w:numId w:val="251"/>
        </w:numPr>
        <w:rPr>
          <w:rFonts w:ascii="Arial" w:cs="Arial" w:eastAsia="Arial" w:hAnsi="Arial"/>
          <w:sz w:val="22"/>
          <w:szCs w:val="22"/>
          <w:color w:val="0000FF"/>
        </w:rPr>
      </w:pPr>
      <w:r>
        <w:rPr>
          <w:rFonts w:ascii="Arial" w:cs="Arial" w:eastAsia="Arial" w:hAnsi="Arial"/>
          <w:sz w:val="22"/>
          <w:szCs w:val="22"/>
          <w:color w:val="FF0000"/>
          <w:strike w:val="1"/>
        </w:rPr>
        <w:t>(xi)</w:t>
      </w:r>
      <w:r>
        <w:rPr>
          <w:rFonts w:ascii="Arial" w:cs="Arial" w:eastAsia="Arial" w:hAnsi="Arial"/>
          <w:sz w:val="22"/>
          <w:szCs w:val="22"/>
          <w:color w:val="FF0000"/>
        </w:rPr>
        <w:t xml:space="preserve"> </w:t>
      </w:r>
      <w:r>
        <w:rPr>
          <w:rFonts w:ascii="Arial" w:cs="Arial" w:eastAsia="Arial" w:hAnsi="Arial"/>
          <w:sz w:val="22"/>
          <w:szCs w:val="22"/>
          <w:color w:val="000000"/>
        </w:rPr>
        <w:t>any restrictions that arise in connection with cash or other deposits permitted under</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Section 6.02</w:t>
      </w:r>
      <w:r>
        <w:rPr>
          <w:rFonts w:ascii="Arial" w:cs="Arial" w:eastAsia="Arial" w:hAnsi="Arial"/>
          <w:sz w:val="22"/>
          <w:szCs w:val="22"/>
          <w:color w:val="FF0000"/>
        </w:rPr>
        <w:t xml:space="preserve"> </w:t>
      </w:r>
      <w:r>
        <w:rPr>
          <w:rFonts w:ascii="Arial" w:cs="Arial" w:eastAsia="Arial" w:hAnsi="Arial"/>
          <w:sz w:val="22"/>
          <w:szCs w:val="22"/>
          <w:color w:val="000000"/>
        </w:rPr>
        <w:t>and</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Section 6.04</w:t>
      </w:r>
      <w:r>
        <w:rPr>
          <w:rFonts w:ascii="Arial" w:cs="Arial" w:eastAsia="Arial" w:hAnsi="Arial"/>
          <w:sz w:val="22"/>
          <w:szCs w:val="22"/>
          <w:color w:val="000000"/>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-5516880</wp:posOffset>
            </wp:positionV>
            <wp:extent cx="3765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37655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-4831080</wp:posOffset>
            </wp:positionV>
            <wp:extent cx="4641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46418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-4008120</wp:posOffset>
            </wp:positionV>
            <wp:extent cx="401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40132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-3596640</wp:posOffset>
            </wp:positionV>
            <wp:extent cx="3219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32194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-2910840</wp:posOffset>
            </wp:positionV>
            <wp:extent cx="3352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-2636520</wp:posOffset>
            </wp:positionV>
            <wp:extent cx="4603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46037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-1950720</wp:posOffset>
            </wp:positionV>
            <wp:extent cx="5435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5435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-1127760</wp:posOffset>
            </wp:positionV>
            <wp:extent cx="3549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35496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-716280</wp:posOffset>
            </wp:positionV>
            <wp:extent cx="3987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39878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-167640</wp:posOffset>
            </wp:positionV>
            <wp:extent cx="3803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380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38" w:name="page239"/>
    <w:bookmarkEnd w:id="238"/>
    <w:p>
      <w:pPr>
        <w:ind w:left="660" w:firstLine="644"/>
        <w:spacing w:after="0" w:line="232" w:lineRule="auto"/>
        <w:tabs>
          <w:tab w:leader="none" w:pos="1942" w:val="left"/>
        </w:tabs>
        <w:numPr>
          <w:ilvl w:val="0"/>
          <w:numId w:val="252"/>
        </w:numPr>
        <w:rPr>
          <w:rFonts w:ascii="Arial" w:cs="Arial" w:eastAsia="Arial" w:hAnsi="Arial"/>
          <w:sz w:val="22"/>
          <w:szCs w:val="22"/>
          <w:color w:val="0000FF"/>
        </w:rPr>
      </w:pPr>
      <w:r>
        <w:rPr>
          <w:rFonts w:ascii="Arial" w:cs="Arial" w:eastAsia="Arial" w:hAnsi="Arial"/>
          <w:sz w:val="22"/>
          <w:szCs w:val="22"/>
          <w:color w:val="FF0000"/>
          <w:strike w:val="1"/>
        </w:rPr>
        <w:t>(xii)</w:t>
      </w:r>
      <w:r>
        <w:rPr>
          <w:rFonts w:ascii="Arial" w:cs="Arial" w:eastAsia="Arial" w:hAnsi="Arial"/>
          <w:sz w:val="22"/>
          <w:szCs w:val="22"/>
          <w:color w:val="FF0000"/>
        </w:rPr>
        <w:t xml:space="preserve"> </w:t>
      </w:r>
      <w:r>
        <w:rPr>
          <w:rFonts w:ascii="Arial" w:cs="Arial" w:eastAsia="Arial" w:hAnsi="Arial"/>
          <w:sz w:val="22"/>
          <w:szCs w:val="22"/>
          <w:color w:val="000000"/>
        </w:rPr>
        <w:t>any restrictions on cash or other deposits or net worth imposed by customers under contracts entered</w:t>
      </w:r>
      <w:r>
        <w:rPr>
          <w:rFonts w:ascii="Arial" w:cs="Arial" w:eastAsia="Arial" w:hAnsi="Arial"/>
          <w:sz w:val="22"/>
          <w:szCs w:val="22"/>
          <w:color w:val="FF0000"/>
        </w:rPr>
        <w:t xml:space="preserve"> </w:t>
      </w:r>
      <w:r>
        <w:rPr>
          <w:rFonts w:ascii="Arial" w:cs="Arial" w:eastAsia="Arial" w:hAnsi="Arial"/>
          <w:sz w:val="22"/>
          <w:szCs w:val="22"/>
          <w:color w:val="000000"/>
        </w:rPr>
        <w:t>into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-167640</wp:posOffset>
            </wp:positionV>
            <wp:extent cx="4025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13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6.09</w:t>
      </w:r>
      <w:r>
        <w:rPr>
          <w:sz w:val="20"/>
          <w:szCs w:val="20"/>
          <w:color w:val="auto"/>
        </w:rPr>
        <w:tab/>
      </w:r>
      <w:r>
        <w:rPr>
          <w:rFonts w:ascii="Arial" w:cs="Arial" w:eastAsia="Arial" w:hAnsi="Arial"/>
          <w:sz w:val="19"/>
          <w:szCs w:val="19"/>
          <w:u w:val="single" w:color="auto"/>
          <w:color w:val="auto"/>
        </w:rPr>
        <w:t>Amendment of Material Documents</w:t>
      </w:r>
      <w:r>
        <w:rPr>
          <w:rFonts w:ascii="Arial" w:cs="Arial" w:eastAsia="Arial" w:hAnsi="Arial"/>
          <w:sz w:val="19"/>
          <w:szCs w:val="19"/>
          <w:color w:val="FF0000"/>
          <w:strike w:val="1"/>
        </w:rPr>
        <w:t>.</w:t>
      </w:r>
    </w:p>
    <w:p>
      <w:pPr>
        <w:spacing w:after="0" w:line="179" w:lineRule="exact"/>
        <w:rPr>
          <w:sz w:val="20"/>
          <w:szCs w:val="20"/>
          <w:color w:val="auto"/>
        </w:rPr>
      </w:pPr>
    </w:p>
    <w:p>
      <w:pPr>
        <w:jc w:val="both"/>
        <w:ind w:firstLine="1304"/>
        <w:spacing w:after="0" w:line="216" w:lineRule="auto"/>
        <w:tabs>
          <w:tab w:leader="none" w:pos="1404" w:val="left"/>
        </w:tabs>
        <w:numPr>
          <w:ilvl w:val="0"/>
          <w:numId w:val="253"/>
        </w:numPr>
        <w:rPr>
          <w:rFonts w:ascii="Arial" w:cs="Arial" w:eastAsia="Arial" w:hAnsi="Arial"/>
          <w:sz w:val="22"/>
          <w:szCs w:val="22"/>
          <w:u w:val="single" w:color="auto"/>
          <w:color w:val="0000FF"/>
        </w:rPr>
      </w:pPr>
      <w:r>
        <w:rPr>
          <w:rFonts w:ascii="Arial" w:cs="Arial" w:eastAsia="Arial" w:hAnsi="Arial"/>
          <w:sz w:val="22"/>
          <w:szCs w:val="22"/>
          <w:color w:val="auto"/>
        </w:rPr>
        <w:t xml:space="preserve">The Borrower will not, nor will the Borrower permit any Loan Party to, amend or otherwise modify (i) any of its Organizational Documents in a manner materially adverse to the Lenders and (ii) Subordinated Indebtedness if the effect of such amendment or modification is materially adverse to the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modification will not be deemed to be materially adverse if such Subordinated Indebtedness could be otherwise incurred under this Agreement with such terms as so modified at the time of such modification.</w:t>
      </w:r>
    </w:p>
    <w:p>
      <w:pPr>
        <w:spacing w:after="0" w:line="158"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u w:val="single" w:color="auto"/>
          <w:color w:val="auto"/>
        </w:rPr>
        <w:t>Section 6.10 Change in Nature of Business</w:t>
      </w:r>
      <w:r>
        <w:rPr>
          <w:rFonts w:ascii="Arial" w:cs="Arial" w:eastAsia="Arial" w:hAnsi="Arial"/>
          <w:sz w:val="22"/>
          <w:szCs w:val="22"/>
          <w:color w:val="auto"/>
        </w:rPr>
        <w:t>. The Borrower will not, nor will the Borrower permit any Restricted Subsidiary to, engage in any material line of business substantially different from those lines of business conducted by the Borrower and the Restricted Subsidiaries on the Closing Date or any business reasonably related, complementary, corollary, synergistic or ancillary thereto (including related, complementary, synergistic or ancillary technologies) or reasonable extensions thereof.</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6.11</w:t>
      </w:r>
      <w:r>
        <w:rPr>
          <w:sz w:val="20"/>
          <w:szCs w:val="20"/>
          <w:color w:val="auto"/>
        </w:rPr>
        <w:tab/>
      </w:r>
      <w:r>
        <w:rPr>
          <w:rFonts w:ascii="Arial" w:cs="Arial" w:eastAsia="Arial" w:hAnsi="Arial"/>
          <w:sz w:val="19"/>
          <w:szCs w:val="19"/>
          <w:u w:val="single" w:color="auto"/>
          <w:color w:val="auto"/>
        </w:rPr>
        <w:t>First Lien Net Leverage Ratio</w:t>
      </w:r>
      <w:r>
        <w:rPr>
          <w:rFonts w:ascii="Arial" w:cs="Arial" w:eastAsia="Arial" w:hAnsi="Arial"/>
          <w:sz w:val="19"/>
          <w:szCs w:val="19"/>
          <w:color w:val="FF0000"/>
          <w:strike w:val="1"/>
        </w:rPr>
        <w:t>.</w:t>
      </w:r>
    </w:p>
    <w:p>
      <w:pPr>
        <w:spacing w:after="0" w:line="179" w:lineRule="exact"/>
        <w:rPr>
          <w:sz w:val="20"/>
          <w:szCs w:val="20"/>
          <w:color w:val="auto"/>
        </w:rPr>
      </w:pPr>
    </w:p>
    <w:p>
      <w:pPr>
        <w:jc w:val="both"/>
        <w:ind w:firstLine="1304"/>
        <w:spacing w:after="0" w:line="221" w:lineRule="auto"/>
        <w:tabs>
          <w:tab w:leader="none" w:pos="1415" w:val="left"/>
        </w:tabs>
        <w:numPr>
          <w:ilvl w:val="0"/>
          <w:numId w:val="254"/>
        </w:numPr>
        <w:rPr>
          <w:rFonts w:ascii="Arial" w:cs="Arial" w:eastAsia="Arial" w:hAnsi="Arial"/>
          <w:sz w:val="21"/>
          <w:szCs w:val="21"/>
          <w:u w:val="single" w:color="auto"/>
          <w:color w:val="0000FF"/>
        </w:rPr>
      </w:pPr>
      <w:r>
        <w:rPr>
          <w:rFonts w:ascii="Arial" w:cs="Arial" w:eastAsia="Arial" w:hAnsi="Arial"/>
          <w:sz w:val="21"/>
          <w:szCs w:val="21"/>
          <w:color w:val="auto"/>
        </w:rPr>
        <w:t xml:space="preserve">Except with the written consent of the Required Revolving Lenders, commencing with the fiscal quarter ending March 31, 2019, the Borrower will not permit the First Lien Net Leverage Ratio, calculated as of the last day of any Test Period, to exceed 8.20 to 1.00;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the foregoing, the financial covenant set forth in this </w:t>
      </w:r>
      <w:r>
        <w:rPr>
          <w:rFonts w:ascii="Arial" w:cs="Arial" w:eastAsia="Arial" w:hAnsi="Arial"/>
          <w:sz w:val="21"/>
          <w:szCs w:val="21"/>
          <w:u w:val="single" w:color="auto"/>
          <w:color w:val="auto"/>
        </w:rPr>
        <w:t>Section 6.11</w:t>
      </w:r>
      <w:r>
        <w:rPr>
          <w:rFonts w:ascii="Arial" w:cs="Arial" w:eastAsia="Arial" w:hAnsi="Arial"/>
          <w:sz w:val="21"/>
          <w:szCs w:val="21"/>
          <w:color w:val="auto"/>
        </w:rPr>
        <w:t xml:space="preserve"> shall be tested as of the last day of any Test Period only in the event that, on the last day of such Test Period, the aggregate amount of the Revolving Exposures (excluding (x) up to $10,000,000 of undrawn Letters of Credit, (y) Letters of Credit which have been cash collateralized or backstopped in accordance with this Agreement and (z) prior to June 30, 2019, any outstanding Revolving Loans originally borrowed on the Closing Date to pay the Transaction Costs or fund original issue discount or upfront fees in connection with the “flex” provisions of the Fee Letter) of all of the Revolving Lenders is greater than 35% of the aggregate amount of the Revolving Commitments in effect on such date.</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6.12</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u w:val="single" w:color="auto"/>
          <w:color w:val="auto"/>
        </w:rPr>
        <w:t>Section 6.13 Changes in Fiscal Year</w:t>
      </w:r>
      <w:r>
        <w:rPr>
          <w:rFonts w:ascii="Arial" w:cs="Arial" w:eastAsia="Arial" w:hAnsi="Arial"/>
          <w:sz w:val="22"/>
          <w:szCs w:val="22"/>
          <w:color w:val="auto"/>
        </w:rPr>
        <w:t xml:space="preserve">. The Borrower will not permit its fiscal year for financial reporting purposes to end on a day other than the last day of December; </w:t>
      </w:r>
      <w:r>
        <w:rPr>
          <w:rFonts w:ascii="Arial" w:cs="Arial" w:eastAsia="Arial" w:hAnsi="Arial"/>
          <w:sz w:val="22"/>
          <w:szCs w:val="22"/>
          <w:u w:val="single" w:color="auto"/>
          <w:color w:val="auto"/>
        </w:rPr>
        <w:t>provided</w:t>
      </w:r>
      <w:r>
        <w:rPr>
          <w:rFonts w:ascii="Arial" w:cs="Arial" w:eastAsia="Arial" w:hAnsi="Arial"/>
          <w:sz w:val="22"/>
          <w:szCs w:val="22"/>
          <w:color w:val="auto"/>
        </w:rPr>
        <w:t>, that the Borrower may, upon written notice to the Administrative Agent, change such fiscal year (and the fiscal year of the Restricted Subsidiaries) to any other fiscal year reasonably acceptable to the Administrative Agent, in which case, the Borrower and the Administrative Agent will, and are hereby authorized by the Lenders to, make any adjustments to this Agreement and to the covenants contained herein that are that are reasonably necessary in order to reflect such change.</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6.14</w:t>
      </w:r>
      <w:r>
        <w:rPr>
          <w:sz w:val="20"/>
          <w:szCs w:val="20"/>
          <w:color w:val="auto"/>
        </w:rPr>
        <w:tab/>
      </w:r>
      <w:r>
        <w:rPr>
          <w:rFonts w:ascii="Arial" w:cs="Arial" w:eastAsia="Arial" w:hAnsi="Arial"/>
          <w:sz w:val="19"/>
          <w:szCs w:val="19"/>
          <w:u w:val="single" w:color="auto"/>
          <w:color w:val="auto"/>
        </w:rPr>
        <w:t>Holdings</w:t>
      </w:r>
      <w:r>
        <w:rPr>
          <w:rFonts w:ascii="Arial" w:cs="Arial" w:eastAsia="Arial" w:hAnsi="Arial"/>
          <w:sz w:val="19"/>
          <w:szCs w:val="19"/>
          <w:color w:val="auto"/>
        </w:rPr>
        <w:t>. Holdings (and, if any, each Holding Company) will not:</w:t>
      </w:r>
    </w:p>
    <w:p>
      <w:pPr>
        <w:spacing w:after="0" w:line="179" w:lineRule="exact"/>
        <w:rPr>
          <w:sz w:val="20"/>
          <w:szCs w:val="20"/>
          <w:color w:val="auto"/>
        </w:rPr>
      </w:pPr>
    </w:p>
    <w:p>
      <w:pPr>
        <w:ind w:left="1760" w:hanging="456"/>
        <w:spacing w:after="0"/>
        <w:tabs>
          <w:tab w:leader="none" w:pos="176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own the Equity Interests of any Subsidiary other than the Borrower;</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engage in any operations or business, other than:</w:t>
      </w:r>
    </w:p>
    <w:p>
      <w:pPr>
        <w:spacing w:after="0" w:line="179" w:lineRule="exact"/>
        <w:rPr>
          <w:rFonts w:ascii="Arial" w:cs="Arial" w:eastAsia="Arial" w:hAnsi="Arial"/>
          <w:sz w:val="22"/>
          <w:szCs w:val="22"/>
          <w:color w:val="auto"/>
        </w:rPr>
      </w:pPr>
    </w:p>
    <w:p>
      <w:pPr>
        <w:ind w:left="2040" w:hanging="412"/>
        <w:spacing w:after="0"/>
        <w:tabs>
          <w:tab w:leader="none" w:pos="2040" w:val="left"/>
        </w:tabs>
        <w:numPr>
          <w:ilvl w:val="1"/>
          <w:numId w:val="255"/>
        </w:numPr>
        <w:rPr>
          <w:rFonts w:ascii="Arial" w:cs="Arial" w:eastAsia="Arial" w:hAnsi="Arial"/>
          <w:sz w:val="22"/>
          <w:szCs w:val="22"/>
          <w:color w:val="auto"/>
        </w:rPr>
      </w:pPr>
      <w:r>
        <w:rPr>
          <w:rFonts w:ascii="Arial" w:cs="Arial" w:eastAsia="Arial" w:hAnsi="Arial"/>
          <w:sz w:val="22"/>
          <w:szCs w:val="22"/>
          <w:color w:val="auto"/>
        </w:rPr>
        <w:t>the ownership of its Subsidiaries and activities incidental thereto,</w:t>
      </w:r>
    </w:p>
    <w:p>
      <w:pPr>
        <w:spacing w:after="0" w:line="179" w:lineRule="exact"/>
        <w:rPr>
          <w:rFonts w:ascii="Arial" w:cs="Arial" w:eastAsia="Arial" w:hAnsi="Arial"/>
          <w:sz w:val="22"/>
          <w:szCs w:val="22"/>
          <w:color w:val="auto"/>
        </w:rPr>
      </w:pPr>
    </w:p>
    <w:p>
      <w:pPr>
        <w:ind w:left="2100" w:hanging="472"/>
        <w:spacing w:after="0"/>
        <w:tabs>
          <w:tab w:leader="none" w:pos="2100" w:val="left"/>
        </w:tabs>
        <w:numPr>
          <w:ilvl w:val="1"/>
          <w:numId w:val="255"/>
        </w:numPr>
        <w:rPr>
          <w:rFonts w:ascii="Arial" w:cs="Arial" w:eastAsia="Arial" w:hAnsi="Arial"/>
          <w:sz w:val="22"/>
          <w:szCs w:val="22"/>
          <w:color w:val="auto"/>
        </w:rPr>
      </w:pPr>
      <w:r>
        <w:rPr>
          <w:rFonts w:ascii="Arial" w:cs="Arial" w:eastAsia="Arial" w:hAnsi="Arial"/>
          <w:sz w:val="22"/>
          <w:szCs w:val="22"/>
          <w:color w:val="auto"/>
        </w:rPr>
        <w:t>as expressly permitted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39" w:name="page240"/>
    <w:bookmarkEnd w:id="239"/>
    <w:p>
      <w:pPr>
        <w:ind w:left="980" w:right="500" w:firstLine="648"/>
        <w:spacing w:after="0" w:line="232" w:lineRule="auto"/>
        <w:tabs>
          <w:tab w:leader="none" w:pos="2222" w:val="left"/>
        </w:tabs>
        <w:numPr>
          <w:ilvl w:val="3"/>
          <w:numId w:val="256"/>
        </w:numPr>
        <w:rPr>
          <w:rFonts w:ascii="Arial" w:cs="Arial" w:eastAsia="Arial" w:hAnsi="Arial"/>
          <w:sz w:val="22"/>
          <w:szCs w:val="22"/>
          <w:color w:val="auto"/>
        </w:rPr>
      </w:pPr>
      <w:r>
        <w:rPr>
          <w:rFonts w:ascii="Arial" w:cs="Arial" w:eastAsia="Arial" w:hAnsi="Arial"/>
          <w:sz w:val="22"/>
          <w:szCs w:val="22"/>
          <w:color w:val="auto"/>
        </w:rPr>
        <w:t>in connection with its rights and obligations under the Loan Documents and the Second Lien Loan Documents or any other definitive documents for Indebtedness permitted hereunder,</w:t>
      </w:r>
    </w:p>
    <w:p>
      <w:pPr>
        <w:spacing w:after="0" w:line="158" w:lineRule="exact"/>
        <w:rPr>
          <w:rFonts w:ascii="Arial" w:cs="Arial" w:eastAsia="Arial" w:hAnsi="Arial"/>
          <w:sz w:val="22"/>
          <w:szCs w:val="22"/>
          <w:color w:val="auto"/>
        </w:rPr>
      </w:pPr>
    </w:p>
    <w:p>
      <w:pPr>
        <w:ind w:left="2220" w:hanging="592"/>
        <w:spacing w:after="0"/>
        <w:tabs>
          <w:tab w:leader="none" w:pos="2220" w:val="left"/>
        </w:tabs>
        <w:numPr>
          <w:ilvl w:val="3"/>
          <w:numId w:val="256"/>
        </w:numPr>
        <w:rPr>
          <w:rFonts w:ascii="Arial" w:cs="Arial" w:eastAsia="Arial" w:hAnsi="Arial"/>
          <w:sz w:val="22"/>
          <w:szCs w:val="22"/>
          <w:color w:val="auto"/>
        </w:rPr>
      </w:pPr>
      <w:r>
        <w:rPr>
          <w:rFonts w:ascii="Arial" w:cs="Arial" w:eastAsia="Arial" w:hAnsi="Arial"/>
          <w:sz w:val="22"/>
          <w:szCs w:val="22"/>
          <w:color w:val="auto"/>
        </w:rPr>
        <w:t>maintaining its corporate existence,</w:t>
      </w:r>
    </w:p>
    <w:p>
      <w:pPr>
        <w:spacing w:after="0" w:line="179" w:lineRule="exact"/>
        <w:rPr>
          <w:rFonts w:ascii="Arial" w:cs="Arial" w:eastAsia="Arial" w:hAnsi="Arial"/>
          <w:sz w:val="22"/>
          <w:szCs w:val="22"/>
          <w:color w:val="auto"/>
        </w:rPr>
      </w:pPr>
    </w:p>
    <w:p>
      <w:pPr>
        <w:ind w:left="2100" w:hanging="472"/>
        <w:spacing w:after="0"/>
        <w:tabs>
          <w:tab w:leader="none" w:pos="2100" w:val="left"/>
        </w:tabs>
        <w:numPr>
          <w:ilvl w:val="3"/>
          <w:numId w:val="256"/>
        </w:numPr>
        <w:rPr>
          <w:rFonts w:ascii="Arial" w:cs="Arial" w:eastAsia="Arial" w:hAnsi="Arial"/>
          <w:sz w:val="22"/>
          <w:szCs w:val="22"/>
          <w:color w:val="auto"/>
        </w:rPr>
      </w:pPr>
      <w:r>
        <w:rPr>
          <w:rFonts w:ascii="Arial" w:cs="Arial" w:eastAsia="Arial" w:hAnsi="Arial"/>
          <w:sz w:val="22"/>
          <w:szCs w:val="22"/>
          <w:color w:val="auto"/>
        </w:rPr>
        <w:t xml:space="preserve">making any Restricted Payments in accordance with </w:t>
      </w:r>
      <w:r>
        <w:rPr>
          <w:rFonts w:ascii="Arial" w:cs="Arial" w:eastAsia="Arial" w:hAnsi="Arial"/>
          <w:sz w:val="22"/>
          <w:szCs w:val="22"/>
          <w:u w:val="single" w:color="auto"/>
          <w:color w:val="auto"/>
        </w:rPr>
        <w:t>Section 6.06</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2160" w:hanging="532"/>
        <w:spacing w:after="0"/>
        <w:tabs>
          <w:tab w:leader="none" w:pos="2160" w:val="left"/>
        </w:tabs>
        <w:numPr>
          <w:ilvl w:val="3"/>
          <w:numId w:val="256"/>
        </w:numPr>
        <w:rPr>
          <w:rFonts w:ascii="Arial" w:cs="Arial" w:eastAsia="Arial" w:hAnsi="Arial"/>
          <w:sz w:val="22"/>
          <w:szCs w:val="22"/>
          <w:color w:val="auto"/>
        </w:rPr>
      </w:pPr>
      <w:r>
        <w:rPr>
          <w:rFonts w:ascii="Arial" w:cs="Arial" w:eastAsia="Arial" w:hAnsi="Arial"/>
          <w:sz w:val="22"/>
          <w:szCs w:val="22"/>
          <w:color w:val="auto"/>
        </w:rPr>
        <w:t>the buyback and sales of Equity Interests in accordance with this Agreement,</w:t>
      </w:r>
    </w:p>
    <w:p>
      <w:pPr>
        <w:spacing w:after="0" w:line="179" w:lineRule="exact"/>
        <w:rPr>
          <w:rFonts w:ascii="Arial" w:cs="Arial" w:eastAsia="Arial" w:hAnsi="Arial"/>
          <w:sz w:val="22"/>
          <w:szCs w:val="22"/>
          <w:color w:val="auto"/>
        </w:rPr>
      </w:pPr>
    </w:p>
    <w:p>
      <w:pPr>
        <w:ind w:left="2220" w:hanging="592"/>
        <w:spacing w:after="0"/>
        <w:tabs>
          <w:tab w:leader="none" w:pos="2220" w:val="left"/>
        </w:tabs>
        <w:numPr>
          <w:ilvl w:val="3"/>
          <w:numId w:val="256"/>
        </w:numPr>
        <w:rPr>
          <w:rFonts w:ascii="Arial" w:cs="Arial" w:eastAsia="Arial" w:hAnsi="Arial"/>
          <w:sz w:val="22"/>
          <w:szCs w:val="22"/>
          <w:color w:val="auto"/>
        </w:rPr>
      </w:pPr>
      <w:r>
        <w:rPr>
          <w:rFonts w:ascii="Arial" w:cs="Arial" w:eastAsia="Arial" w:hAnsi="Arial"/>
          <w:sz w:val="22"/>
          <w:szCs w:val="22"/>
          <w:color w:val="auto"/>
        </w:rPr>
        <w:t>making capital contributions to their respective Subsidiaries,</w:t>
      </w:r>
    </w:p>
    <w:p>
      <w:pPr>
        <w:spacing w:after="0" w:line="179" w:lineRule="exact"/>
        <w:rPr>
          <w:rFonts w:ascii="Arial" w:cs="Arial" w:eastAsia="Arial" w:hAnsi="Arial"/>
          <w:sz w:val="22"/>
          <w:szCs w:val="22"/>
          <w:color w:val="auto"/>
        </w:rPr>
      </w:pPr>
    </w:p>
    <w:p>
      <w:pPr>
        <w:ind w:left="980" w:right="720" w:firstLine="648"/>
        <w:spacing w:after="0" w:line="232" w:lineRule="auto"/>
        <w:tabs>
          <w:tab w:leader="none" w:pos="2276" w:val="left"/>
        </w:tabs>
        <w:numPr>
          <w:ilvl w:val="3"/>
          <w:numId w:val="256"/>
        </w:numPr>
        <w:rPr>
          <w:rFonts w:ascii="Arial" w:cs="Arial" w:eastAsia="Arial" w:hAnsi="Arial"/>
          <w:sz w:val="22"/>
          <w:szCs w:val="22"/>
          <w:color w:val="auto"/>
        </w:rPr>
      </w:pPr>
      <w:r>
        <w:rPr>
          <w:rFonts w:ascii="Arial" w:cs="Arial" w:eastAsia="Arial" w:hAnsi="Arial"/>
          <w:sz w:val="22"/>
          <w:szCs w:val="22"/>
          <w:color w:val="auto"/>
        </w:rPr>
        <w:t>taking actions in furtherance of and consummating an IPO, and fulfilling all initial and ongoing obligations related thereto,</w:t>
      </w:r>
    </w:p>
    <w:p>
      <w:pPr>
        <w:spacing w:after="0" w:line="158" w:lineRule="exact"/>
        <w:rPr>
          <w:rFonts w:ascii="Arial" w:cs="Arial" w:eastAsia="Arial" w:hAnsi="Arial"/>
          <w:sz w:val="22"/>
          <w:szCs w:val="22"/>
          <w:color w:val="auto"/>
        </w:rPr>
      </w:pPr>
    </w:p>
    <w:p>
      <w:pPr>
        <w:ind w:left="980" w:right="620" w:firstLine="567"/>
        <w:spacing w:after="0" w:line="298" w:lineRule="auto"/>
        <w:tabs>
          <w:tab w:leader="none" w:pos="2075" w:val="left"/>
        </w:tabs>
        <w:numPr>
          <w:ilvl w:val="2"/>
          <w:numId w:val="257"/>
        </w:numPr>
        <w:rPr>
          <w:rFonts w:ascii="Arial" w:cs="Arial" w:eastAsia="Arial" w:hAnsi="Arial"/>
          <w:sz w:val="19"/>
          <w:szCs w:val="19"/>
          <w:color w:val="auto"/>
        </w:rPr>
      </w:pPr>
      <w:r>
        <w:rPr>
          <w:rFonts w:ascii="Arial" w:cs="Arial" w:eastAsia="Arial" w:hAnsi="Arial"/>
          <w:sz w:val="19"/>
          <w:szCs w:val="19"/>
          <w:color w:val="auto"/>
        </w:rPr>
        <w:t>financing activities, including the issuance of securities, incurrence of debt, receipt and payment of dividends and distributions and making contributions to the capital of the Borrower and its Subsidiaries,</w:t>
      </w:r>
    </w:p>
    <w:p>
      <w:pPr>
        <w:spacing w:after="0" w:line="105" w:lineRule="exact"/>
        <w:rPr>
          <w:rFonts w:ascii="Arial" w:cs="Arial" w:eastAsia="Arial" w:hAnsi="Arial"/>
          <w:sz w:val="19"/>
          <w:szCs w:val="19"/>
          <w:color w:val="auto"/>
        </w:rPr>
      </w:pPr>
    </w:p>
    <w:p>
      <w:pPr>
        <w:ind w:left="980" w:right="80" w:firstLine="486"/>
        <w:spacing w:after="0" w:line="232" w:lineRule="auto"/>
        <w:tabs>
          <w:tab w:leader="none" w:pos="1988" w:val="left"/>
        </w:tabs>
        <w:numPr>
          <w:ilvl w:val="1"/>
          <w:numId w:val="258"/>
        </w:numPr>
        <w:rPr>
          <w:rFonts w:ascii="Arial" w:cs="Arial" w:eastAsia="Arial" w:hAnsi="Arial"/>
          <w:sz w:val="22"/>
          <w:szCs w:val="22"/>
          <w:color w:val="auto"/>
        </w:rPr>
      </w:pPr>
      <w:r>
        <w:rPr>
          <w:rFonts w:ascii="Arial" w:cs="Arial" w:eastAsia="Arial" w:hAnsi="Arial"/>
          <w:sz w:val="22"/>
          <w:szCs w:val="22"/>
          <w:color w:val="auto"/>
        </w:rPr>
        <w:t>participating in tax, accounting and other administrative matters as a member of the consolidated group of any Parent Entity, Holdings and the Borrower,</w:t>
      </w:r>
    </w:p>
    <w:p>
      <w:pPr>
        <w:spacing w:after="0" w:line="158" w:lineRule="exact"/>
        <w:rPr>
          <w:rFonts w:ascii="Arial" w:cs="Arial" w:eastAsia="Arial" w:hAnsi="Arial"/>
          <w:sz w:val="22"/>
          <w:szCs w:val="22"/>
          <w:color w:val="auto"/>
        </w:rPr>
      </w:pPr>
    </w:p>
    <w:p>
      <w:pPr>
        <w:ind w:left="980" w:firstLine="648"/>
        <w:spacing w:after="0" w:line="298" w:lineRule="auto"/>
        <w:tabs>
          <w:tab w:leader="none" w:pos="2210" w:val="left"/>
        </w:tabs>
        <w:numPr>
          <w:ilvl w:val="3"/>
          <w:numId w:val="258"/>
        </w:numPr>
        <w:rPr>
          <w:rFonts w:ascii="Arial" w:cs="Arial" w:eastAsia="Arial" w:hAnsi="Arial"/>
          <w:sz w:val="19"/>
          <w:szCs w:val="19"/>
          <w:color w:val="auto"/>
        </w:rPr>
      </w:pPr>
      <w:r>
        <w:rPr>
          <w:rFonts w:ascii="Arial" w:cs="Arial" w:eastAsia="Arial" w:hAnsi="Arial"/>
          <w:sz w:val="19"/>
          <w:szCs w:val="19"/>
          <w:color w:val="auto"/>
        </w:rPr>
        <w:t>incurring fees, costs and expenses relating to overhead and general operating including professional fees for legal, tax and accounting issues and paying taxes and providing indemnification to officers and directors, or</w:t>
      </w:r>
    </w:p>
    <w:p>
      <w:pPr>
        <w:spacing w:after="0" w:line="105" w:lineRule="exact"/>
        <w:rPr>
          <w:rFonts w:ascii="Arial" w:cs="Arial" w:eastAsia="Arial" w:hAnsi="Arial"/>
          <w:sz w:val="19"/>
          <w:szCs w:val="19"/>
          <w:color w:val="auto"/>
        </w:rPr>
      </w:pPr>
    </w:p>
    <w:p>
      <w:pPr>
        <w:ind w:left="2220" w:hanging="592"/>
        <w:spacing w:after="0"/>
        <w:tabs>
          <w:tab w:leader="none" w:pos="2220" w:val="left"/>
        </w:tabs>
        <w:numPr>
          <w:ilvl w:val="3"/>
          <w:numId w:val="258"/>
        </w:numPr>
        <w:rPr>
          <w:rFonts w:ascii="Arial" w:cs="Arial" w:eastAsia="Arial" w:hAnsi="Arial"/>
          <w:sz w:val="22"/>
          <w:szCs w:val="22"/>
          <w:color w:val="auto"/>
        </w:rPr>
      </w:pPr>
      <w:r>
        <w:rPr>
          <w:rFonts w:ascii="Arial" w:cs="Arial" w:eastAsia="Arial" w:hAnsi="Arial"/>
          <w:sz w:val="22"/>
          <w:szCs w:val="22"/>
          <w:color w:val="auto"/>
        </w:rPr>
        <w:t xml:space="preserve">activities incidental to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(xi)</w:t>
      </w:r>
      <w:r>
        <w:rPr>
          <w:rFonts w:ascii="Arial" w:cs="Arial" w:eastAsia="Arial" w:hAnsi="Arial"/>
          <w:sz w:val="22"/>
          <w:szCs w:val="22"/>
          <w:color w:val="auto"/>
        </w:rPr>
        <w:t xml:space="preserve"> above and the maintenance of its existence;</w:t>
      </w:r>
    </w:p>
    <w:p>
      <w:pPr>
        <w:spacing w:after="0" w:line="179" w:lineRule="exact"/>
        <w:rPr>
          <w:rFonts w:ascii="Arial" w:cs="Arial" w:eastAsia="Arial" w:hAnsi="Arial"/>
          <w:sz w:val="22"/>
          <w:szCs w:val="22"/>
          <w:color w:val="auto"/>
        </w:rPr>
      </w:pPr>
    </w:p>
    <w:p>
      <w:pPr>
        <w:ind w:firstLine="1304"/>
        <w:spacing w:after="0" w:line="247" w:lineRule="auto"/>
        <w:tabs>
          <w:tab w:leader="none" w:pos="1766" w:val="left"/>
        </w:tabs>
        <w:numPr>
          <w:ilvl w:val="0"/>
          <w:numId w:val="259"/>
        </w:numPr>
        <w:rPr>
          <w:rFonts w:ascii="Arial" w:cs="Arial" w:eastAsia="Arial" w:hAnsi="Arial"/>
          <w:sz w:val="21"/>
          <w:szCs w:val="21"/>
          <w:color w:val="auto"/>
        </w:rPr>
      </w:pPr>
      <w:r>
        <w:rPr>
          <w:rFonts w:ascii="Arial" w:cs="Arial" w:eastAsia="Arial" w:hAnsi="Arial"/>
          <w:sz w:val="21"/>
          <w:szCs w:val="21"/>
          <w:color w:val="auto"/>
        </w:rPr>
        <w:t xml:space="preserve">create or suffer to exist any Lien other than non-consensual Liens on Equity Interests of the Borrower owned by it, other than in connection with Guarantees of Indebtedness of the Borrower permitted by </w:t>
      </w:r>
      <w:r>
        <w:rPr>
          <w:rFonts w:ascii="Arial" w:cs="Arial" w:eastAsia="Arial" w:hAnsi="Arial"/>
          <w:sz w:val="21"/>
          <w:szCs w:val="21"/>
          <w:u w:val="single" w:color="auto"/>
          <w:color w:val="auto"/>
        </w:rPr>
        <w:t>Section 6.01</w:t>
      </w:r>
      <w:r>
        <w:rPr>
          <w:rFonts w:ascii="Arial" w:cs="Arial" w:eastAsia="Arial" w:hAnsi="Arial"/>
          <w:sz w:val="21"/>
          <w:szCs w:val="21"/>
          <w:color w:val="auto"/>
        </w:rPr>
        <w:t>; or</w:t>
      </w:r>
    </w:p>
    <w:p>
      <w:pPr>
        <w:spacing w:after="0" w:line="150" w:lineRule="exact"/>
        <w:rPr>
          <w:rFonts w:ascii="Arial" w:cs="Arial" w:eastAsia="Arial" w:hAnsi="Arial"/>
          <w:sz w:val="21"/>
          <w:szCs w:val="21"/>
          <w:color w:val="auto"/>
        </w:rPr>
      </w:pPr>
    </w:p>
    <w:p>
      <w:pPr>
        <w:jc w:val="both"/>
        <w:ind w:firstLine="1304"/>
        <w:spacing w:after="0" w:line="223" w:lineRule="auto"/>
        <w:tabs>
          <w:tab w:leader="none" w:pos="1978" w:val="left"/>
        </w:tabs>
        <w:numPr>
          <w:ilvl w:val="0"/>
          <w:numId w:val="259"/>
        </w:numPr>
        <w:rPr>
          <w:rFonts w:ascii="Arial" w:cs="Arial" w:eastAsia="Arial" w:hAnsi="Arial"/>
          <w:sz w:val="22"/>
          <w:szCs w:val="22"/>
          <w:color w:val="auto"/>
        </w:rPr>
      </w:pPr>
      <w:r>
        <w:rPr>
          <w:rFonts w:ascii="Arial" w:cs="Arial" w:eastAsia="Arial" w:hAnsi="Arial"/>
          <w:sz w:val="22"/>
          <w:szCs w:val="22"/>
          <w:color w:val="auto"/>
        </w:rPr>
        <w:t>consolidate or amalgamate with, or merge with or into, or convey, sell or otherwise transfer all or substantially all of its assets to, any other Person or permit any other Person to merge into or consolidate or amalgamate with it, except that:</w:t>
      </w:r>
    </w:p>
    <w:p>
      <w:pPr>
        <w:spacing w:after="0" w:line="159" w:lineRule="exact"/>
        <w:rPr>
          <w:sz w:val="20"/>
          <w:szCs w:val="20"/>
          <w:color w:val="auto"/>
        </w:rPr>
      </w:pPr>
    </w:p>
    <w:p>
      <w:pPr>
        <w:jc w:val="both"/>
        <w:ind w:left="660" w:firstLine="644"/>
        <w:spacing w:after="0" w:line="216" w:lineRule="auto"/>
        <w:tabs>
          <w:tab w:leader="none" w:pos="1732" w:val="left"/>
        </w:tabs>
        <w:numPr>
          <w:ilvl w:val="0"/>
          <w:numId w:val="260"/>
        </w:numPr>
        <w:rPr>
          <w:rFonts w:ascii="Arial" w:cs="Arial" w:eastAsia="Arial" w:hAnsi="Arial"/>
          <w:sz w:val="22"/>
          <w:szCs w:val="22"/>
          <w:color w:val="auto"/>
        </w:rPr>
      </w:pPr>
      <w:r>
        <w:rPr>
          <w:rFonts w:ascii="Arial" w:cs="Arial" w:eastAsia="Arial" w:hAnsi="Arial"/>
          <w:sz w:val="22"/>
          <w:szCs w:val="22"/>
          <w:color w:val="auto"/>
        </w:rPr>
        <w:t xml:space="preserve">any Holding Company may merge into or consolidate or amalgamate with another Holding Company as long, as after giving effect thereto, all Equity Interests of the Borrower (other than directors’ and other similar qualifying shares) are owned, directly or indirectly, by Holdings or a successor passive holding company that is a Loan Party and complies with this </w:t>
      </w:r>
      <w:r>
        <w:rPr>
          <w:rFonts w:ascii="Arial" w:cs="Arial" w:eastAsia="Arial" w:hAnsi="Arial"/>
          <w:sz w:val="22"/>
          <w:szCs w:val="22"/>
          <w:u w:val="single" w:color="auto"/>
          <w:color w:val="auto"/>
        </w:rPr>
        <w:t>Section 6.14</w:t>
      </w:r>
      <w:r>
        <w:rPr>
          <w:rFonts w:ascii="Arial" w:cs="Arial" w:eastAsia="Arial" w:hAnsi="Arial"/>
          <w:sz w:val="22"/>
          <w:szCs w:val="22"/>
          <w:color w:val="auto"/>
        </w:rPr>
        <w:t xml:space="preserve"> and that pledges the Equity Interests owned by it in the Borrower (such entity, the “</w:t>
      </w:r>
      <w:r>
        <w:rPr>
          <w:rFonts w:ascii="Arial" w:cs="Arial" w:eastAsia="Arial" w:hAnsi="Arial"/>
          <w:sz w:val="22"/>
          <w:szCs w:val="22"/>
          <w:u w:val="single" w:color="auto"/>
          <w:color w:val="auto"/>
        </w:rPr>
        <w:t>Successor Holdings</w:t>
      </w:r>
      <w:r>
        <w:rPr>
          <w:rFonts w:ascii="Arial" w:cs="Arial" w:eastAsia="Arial" w:hAnsi="Arial"/>
          <w:sz w:val="22"/>
          <w:szCs w:val="22"/>
          <w:color w:val="auto"/>
        </w:rPr>
        <w:t>”); and</w:t>
      </w:r>
    </w:p>
    <w:p>
      <w:pPr>
        <w:spacing w:after="0" w:line="157" w:lineRule="exact"/>
        <w:rPr>
          <w:rFonts w:ascii="Arial" w:cs="Arial" w:eastAsia="Arial" w:hAnsi="Arial"/>
          <w:sz w:val="22"/>
          <w:szCs w:val="22"/>
          <w:color w:val="auto"/>
        </w:rPr>
      </w:pPr>
    </w:p>
    <w:p>
      <w:pPr>
        <w:jc w:val="both"/>
        <w:ind w:left="660" w:firstLine="644"/>
        <w:spacing w:after="0" w:line="229" w:lineRule="auto"/>
        <w:tabs>
          <w:tab w:leader="none" w:pos="1800" w:val="left"/>
        </w:tabs>
        <w:numPr>
          <w:ilvl w:val="0"/>
          <w:numId w:val="260"/>
        </w:numPr>
        <w:rPr>
          <w:rFonts w:ascii="Arial" w:cs="Arial" w:eastAsia="Arial" w:hAnsi="Arial"/>
          <w:sz w:val="21"/>
          <w:szCs w:val="21"/>
          <w:color w:val="auto"/>
        </w:rPr>
      </w:pPr>
      <w:r>
        <w:rPr>
          <w:rFonts w:ascii="Arial" w:cs="Arial" w:eastAsia="Arial" w:hAnsi="Arial"/>
          <w:sz w:val="21"/>
          <w:szCs w:val="21"/>
          <w:color w:val="auto"/>
        </w:rPr>
        <w:t>any Holding Company may transfer all or any portion of its assets (upon liquidation, dissolution, winding up or any similar transaction) to any other Holding Company or any Subsidiary of Holdings that is a Loan Party so long as, after giving effect thereto, Holdings or a Successor Holdings continues to own directly or indirectly 100% of the Equity Interests of the Borrower (other than director’s and other similar qualifying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22"/>
          <w:szCs w:val="22"/>
          <w:color w:val="auto"/>
        </w:rPr>
        <w:t>ARTICLE VII</w:t>
      </w:r>
    </w:p>
    <w:p>
      <w:pPr>
        <w:jc w:val="center"/>
        <w:spacing w:after="0"/>
        <w:rPr>
          <w:sz w:val="20"/>
          <w:szCs w:val="20"/>
          <w:color w:val="auto"/>
        </w:rPr>
      </w:pPr>
      <w:r>
        <w:rPr>
          <w:rFonts w:ascii="Arial" w:cs="Arial" w:eastAsia="Arial" w:hAnsi="Arial"/>
          <w:sz w:val="22"/>
          <w:szCs w:val="22"/>
          <w:u w:val="single" w:color="auto"/>
          <w:color w:val="auto"/>
        </w:rPr>
        <w:t>Events of Default</w:t>
      </w:r>
    </w:p>
    <w:p>
      <w:pPr>
        <w:spacing w:after="0" w:line="142"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2"/>
          <w:szCs w:val="22"/>
          <w:u w:val="single" w:color="auto"/>
          <w:color w:val="auto"/>
        </w:rPr>
        <w:t>Section 7.01</w:t>
      </w:r>
      <w:r>
        <w:rPr>
          <w:sz w:val="20"/>
          <w:szCs w:val="20"/>
          <w:color w:val="auto"/>
        </w:rPr>
        <w:tab/>
      </w:r>
      <w:r>
        <w:rPr>
          <w:rFonts w:ascii="Arial" w:cs="Arial" w:eastAsia="Arial" w:hAnsi="Arial"/>
          <w:sz w:val="21"/>
          <w:szCs w:val="21"/>
          <w:u w:val="single" w:color="auto"/>
          <w:color w:val="auto"/>
        </w:rPr>
        <w:t>Events of Default</w:t>
      </w:r>
      <w:r>
        <w:rPr>
          <w:rFonts w:ascii="Arial" w:cs="Arial" w:eastAsia="Arial" w:hAnsi="Arial"/>
          <w:sz w:val="21"/>
          <w:szCs w:val="21"/>
          <w:color w:val="auto"/>
        </w:rPr>
        <w:t>. If any of the following events (any such event, an “</w:t>
      </w:r>
      <w:r>
        <w:rPr>
          <w:rFonts w:ascii="Arial" w:cs="Arial" w:eastAsia="Arial" w:hAnsi="Arial"/>
          <w:sz w:val="21"/>
          <w:szCs w:val="21"/>
          <w:u w:val="single" w:color="auto"/>
          <w:color w:val="auto"/>
        </w:rPr>
        <w:t>Event of Default</w:t>
      </w:r>
      <w:r>
        <w:rPr>
          <w:rFonts w:ascii="Arial" w:cs="Arial" w:eastAsia="Arial" w:hAnsi="Arial"/>
          <w:sz w:val="21"/>
          <w:szCs w:val="21"/>
          <w:color w:val="auto"/>
        </w:rPr>
        <w:t>”) shall</w:t>
      </w:r>
    </w:p>
    <w:p>
      <w:pPr>
        <w:spacing w:after="0"/>
        <w:rPr>
          <w:sz w:val="20"/>
          <w:szCs w:val="20"/>
          <w:color w:val="auto"/>
        </w:rPr>
      </w:pPr>
      <w:r>
        <w:rPr>
          <w:rFonts w:ascii="Arial" w:cs="Arial" w:eastAsia="Arial" w:hAnsi="Arial"/>
          <w:sz w:val="22"/>
          <w:szCs w:val="22"/>
          <w:color w:val="auto"/>
        </w:rPr>
        <w:t>occur:</w:t>
      </w:r>
    </w:p>
    <w:p>
      <w:pPr>
        <w:spacing w:after="0" w:line="161" w:lineRule="exact"/>
        <w:rPr>
          <w:sz w:val="20"/>
          <w:szCs w:val="20"/>
          <w:color w:val="auto"/>
        </w:rPr>
      </w:pPr>
    </w:p>
    <w:p>
      <w:pPr>
        <w:ind w:firstLine="1304"/>
        <w:spacing w:after="0" w:line="247" w:lineRule="auto"/>
        <w:tabs>
          <w:tab w:leader="none" w:pos="1861" w:val="left"/>
        </w:tabs>
        <w:numPr>
          <w:ilvl w:val="0"/>
          <w:numId w:val="261"/>
        </w:numPr>
        <w:rPr>
          <w:rFonts w:ascii="Arial" w:cs="Arial" w:eastAsia="Arial" w:hAnsi="Arial"/>
          <w:sz w:val="21"/>
          <w:szCs w:val="21"/>
          <w:color w:val="auto"/>
        </w:rPr>
      </w:pPr>
      <w:r>
        <w:rPr>
          <w:rFonts w:ascii="Arial" w:cs="Arial" w:eastAsia="Arial" w:hAnsi="Arial"/>
          <w:sz w:val="21"/>
          <w:szCs w:val="21"/>
          <w:color w:val="auto"/>
        </w:rPr>
        <w:t>the Borrower or any other Loan Party shall fail to pay any principal of any Loan or any reimbursement obligation in respect of any LC Disbursement when and as the same shall become due and payable;</w:t>
      </w:r>
    </w:p>
    <w:p>
      <w:pPr>
        <w:spacing w:after="0" w:line="150" w:lineRule="exact"/>
        <w:rPr>
          <w:rFonts w:ascii="Arial" w:cs="Arial" w:eastAsia="Arial" w:hAnsi="Arial"/>
          <w:sz w:val="21"/>
          <w:szCs w:val="21"/>
          <w:color w:val="auto"/>
        </w:rPr>
      </w:pPr>
    </w:p>
    <w:p>
      <w:pPr>
        <w:jc w:val="both"/>
        <w:ind w:firstLine="1304"/>
        <w:spacing w:after="0" w:line="257" w:lineRule="auto"/>
        <w:tabs>
          <w:tab w:leader="none" w:pos="1818" w:val="left"/>
        </w:tabs>
        <w:numPr>
          <w:ilvl w:val="0"/>
          <w:numId w:val="261"/>
        </w:numPr>
        <w:rPr>
          <w:rFonts w:ascii="Arial" w:cs="Arial" w:eastAsia="Arial" w:hAnsi="Arial"/>
          <w:sz w:val="19"/>
          <w:szCs w:val="19"/>
          <w:color w:val="auto"/>
        </w:rPr>
      </w:pPr>
      <w:r>
        <w:rPr>
          <w:rFonts w:ascii="Arial" w:cs="Arial" w:eastAsia="Arial" w:hAnsi="Arial"/>
          <w:sz w:val="19"/>
          <w:szCs w:val="19"/>
          <w:color w:val="auto"/>
        </w:rPr>
        <w:t>the Borrower or any other Loan Party shall fail to pay (x) any interest on any Loan, when and as the same shall become due and payable, and such failure shall continue unremedied for a period of five (5) Business Days or (y) any fee payable hereunder or any other amount due under this Agreement or any other Loan Document, when and as the same shall become due and payable, and such failure shall continue unremedied for a period of five (5) Business Days;</w:t>
      </w:r>
    </w:p>
    <w:p>
      <w:pPr>
        <w:spacing w:after="0" w:line="144" w:lineRule="exact"/>
        <w:rPr>
          <w:rFonts w:ascii="Arial" w:cs="Arial" w:eastAsia="Arial" w:hAnsi="Arial"/>
          <w:sz w:val="19"/>
          <w:szCs w:val="19"/>
          <w:color w:val="auto"/>
        </w:rPr>
      </w:pPr>
    </w:p>
    <w:p>
      <w:pPr>
        <w:jc w:val="both"/>
        <w:ind w:firstLine="1304"/>
        <w:spacing w:after="0" w:line="246" w:lineRule="auto"/>
        <w:tabs>
          <w:tab w:leader="none" w:pos="1775" w:val="left"/>
        </w:tabs>
        <w:numPr>
          <w:ilvl w:val="0"/>
          <w:numId w:val="261"/>
        </w:numPr>
        <w:rPr>
          <w:rFonts w:ascii="Arial" w:cs="Arial" w:eastAsia="Arial" w:hAnsi="Arial"/>
          <w:sz w:val="19"/>
          <w:szCs w:val="19"/>
          <w:color w:val="auto"/>
        </w:rPr>
      </w:pPr>
      <w:r>
        <w:rPr>
          <w:rFonts w:ascii="Arial" w:cs="Arial" w:eastAsia="Arial" w:hAnsi="Arial"/>
          <w:sz w:val="19"/>
          <w:szCs w:val="19"/>
          <w:color w:val="auto"/>
        </w:rPr>
        <w:t>any representation, warranty or certification made or deemed made by any Loan Party herein or in any other Loan Document or that is contained in any certificate or other document furnished by it at any time under or in connection with this Agreement or any such other Loan Document shall be false or incorrect in any material respect (or if qualified by materiality, in any respect) as of the date made or deemed made or furnished and (except in the case of any Specified Representation or any Specified Recapitalization Agreement Representation), if the inaccuracy of such representation, warranty or certification is capable of being cured, such representation, warranty or certification shall continue to be false or incorrect in any material respect (or if qualified by materiality, in any respect) for a period of thirty (30) days (which thirty (30) day period shall begin upon receipt by the Borrower of written notice from the Administrative Agent);</w:t>
      </w:r>
    </w:p>
    <w:p>
      <w:pPr>
        <w:spacing w:after="0" w:line="152" w:lineRule="exact"/>
        <w:rPr>
          <w:rFonts w:ascii="Arial" w:cs="Arial" w:eastAsia="Arial" w:hAnsi="Arial"/>
          <w:sz w:val="19"/>
          <w:szCs w:val="19"/>
          <w:color w:val="auto"/>
        </w:rPr>
      </w:pPr>
    </w:p>
    <w:p>
      <w:pPr>
        <w:jc w:val="both"/>
        <w:ind w:firstLine="1304"/>
        <w:spacing w:after="0" w:line="244" w:lineRule="auto"/>
        <w:tabs>
          <w:tab w:leader="none" w:pos="1891" w:val="left"/>
        </w:tabs>
        <w:numPr>
          <w:ilvl w:val="0"/>
          <w:numId w:val="261"/>
        </w:numPr>
        <w:rPr>
          <w:rFonts w:ascii="Arial" w:cs="Arial" w:eastAsia="Arial" w:hAnsi="Arial"/>
          <w:sz w:val="19"/>
          <w:szCs w:val="19"/>
          <w:color w:val="auto"/>
        </w:rPr>
      </w:pPr>
      <w:r>
        <w:rPr>
          <w:rFonts w:ascii="Arial" w:cs="Arial" w:eastAsia="Arial" w:hAnsi="Arial"/>
          <w:sz w:val="19"/>
          <w:szCs w:val="19"/>
          <w:color w:val="auto"/>
        </w:rPr>
        <w:t xml:space="preserve">the Borrower shall default in the performance of or compliance with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delivery of a notice of Default or Event of Default at any time will cure an Event of Default under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arising from the failure of the Borrower to timely deliver such notice of Default or Event of Default),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(solely with respect to the existence of the Borrower in its jurisdiction of incorporation) or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default in the performance of or compliance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(x) is subject to cure as provided in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and (y) shall not constitute an Event of Default for purposes of any Term Loan unless and until the Required Revolving Lenders shall have terminated the Revolving Commitments or accelerated the Revolving Loans and declared the Revolving Loans due and payable in accordance with this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(which Event of Default shall terminate automatically and immediately upon the Required Revolving Lenders’ rescinding such acceleration and/or waiving such Event of Default in accordance with the terms hereof);</w:t>
      </w:r>
    </w:p>
    <w:p>
      <w:pPr>
        <w:spacing w:after="0" w:line="160" w:lineRule="exact"/>
        <w:rPr>
          <w:rFonts w:ascii="Arial" w:cs="Arial" w:eastAsia="Arial" w:hAnsi="Arial"/>
          <w:sz w:val="19"/>
          <w:szCs w:val="19"/>
          <w:color w:val="auto"/>
        </w:rPr>
      </w:pPr>
    </w:p>
    <w:p>
      <w:pPr>
        <w:jc w:val="both"/>
        <w:ind w:firstLine="1304"/>
        <w:spacing w:after="0" w:line="226" w:lineRule="auto"/>
        <w:tabs>
          <w:tab w:leader="none" w:pos="1787" w:val="left"/>
        </w:tabs>
        <w:numPr>
          <w:ilvl w:val="0"/>
          <w:numId w:val="261"/>
        </w:numPr>
        <w:rPr>
          <w:rFonts w:ascii="Arial" w:cs="Arial" w:eastAsia="Arial" w:hAnsi="Arial"/>
          <w:sz w:val="21"/>
          <w:szCs w:val="21"/>
          <w:color w:val="auto"/>
        </w:rPr>
      </w:pPr>
      <w:r>
        <w:rPr>
          <w:rFonts w:ascii="Arial" w:cs="Arial" w:eastAsia="Arial" w:hAnsi="Arial"/>
          <w:sz w:val="21"/>
          <w:szCs w:val="21"/>
          <w:color w:val="auto"/>
        </w:rPr>
        <w:t xml:space="preserve">(i) The Borrower shall default in the performance of or compliance with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and such default shall continue unremedied and unwaived for a period of thirty (30) days, or (ii) any Loan Party shall default in the performance of or compliance with any term contained in any Loan Document (other than those specified in </w:t>
      </w:r>
      <w:r>
        <w:rPr>
          <w:rFonts w:ascii="Arial" w:cs="Arial" w:eastAsia="Arial" w:hAnsi="Arial"/>
          <w:sz w:val="21"/>
          <w:szCs w:val="21"/>
          <w:u w:val="single" w:color="auto"/>
          <w:color w:val="auto"/>
        </w:rPr>
        <w:t>paragraph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(d)</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7.01</w:t>
      </w:r>
      <w:r>
        <w:rPr>
          <w:rFonts w:ascii="Arial" w:cs="Arial" w:eastAsia="Arial" w:hAnsi="Arial"/>
          <w:sz w:val="21"/>
          <w:szCs w:val="21"/>
          <w:color w:val="auto"/>
        </w:rPr>
        <w:t>), and such default shall continue unremedied and unwaived for a period of thirty (30) days after receipt by the Borrower of written notice thereof from the Administrative Agent or the Required Lenders;</w:t>
      </w:r>
    </w:p>
    <w:p>
      <w:pPr>
        <w:spacing w:after="0" w:line="159" w:lineRule="exact"/>
        <w:rPr>
          <w:rFonts w:ascii="Arial" w:cs="Arial" w:eastAsia="Arial" w:hAnsi="Arial"/>
          <w:sz w:val="21"/>
          <w:szCs w:val="21"/>
          <w:color w:val="auto"/>
        </w:rPr>
      </w:pPr>
    </w:p>
    <w:p>
      <w:pPr>
        <w:jc w:val="both"/>
        <w:ind w:firstLine="1304"/>
        <w:spacing w:after="0" w:line="268" w:lineRule="auto"/>
        <w:tabs>
          <w:tab w:leader="none" w:pos="1732" w:val="left"/>
        </w:tabs>
        <w:numPr>
          <w:ilvl w:val="0"/>
          <w:numId w:val="261"/>
        </w:numPr>
        <w:rPr>
          <w:rFonts w:ascii="Arial" w:cs="Arial" w:eastAsia="Arial" w:hAnsi="Arial"/>
          <w:sz w:val="19"/>
          <w:szCs w:val="19"/>
          <w:color w:val="auto"/>
        </w:rPr>
      </w:pPr>
      <w:r>
        <w:rPr>
          <w:rFonts w:ascii="Arial" w:cs="Arial" w:eastAsia="Arial" w:hAnsi="Arial"/>
          <w:sz w:val="19"/>
          <w:szCs w:val="19"/>
          <w:color w:val="auto"/>
        </w:rPr>
        <w:t>any Holding Company, the Borrower or any Restricted Subsidiary shall fail to make any payment (whether of principal or interest and regardless of amount) in respect of any Material Indebtedness, when and as the same shall become due and payable after giving effect to any applicable grace periods provided in the applicable instrument or agreement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382" w:right="339" w:bottom="1440" w:gutter="0" w:footer="0" w:header="0"/>
        </w:sectPr>
      </w:pPr>
    </w:p>
    <w:bookmarkStart w:id="241" w:name="page242"/>
    <w:bookmarkEnd w:id="241"/>
    <w:p>
      <w:pPr>
        <w:jc w:val="both"/>
        <w:spacing w:after="0" w:line="216" w:lineRule="auto"/>
        <w:rPr>
          <w:sz w:val="20"/>
          <w:szCs w:val="20"/>
          <w:color w:val="auto"/>
        </w:rPr>
      </w:pPr>
      <w:r>
        <w:rPr>
          <w:rFonts w:ascii="Arial" w:cs="Arial" w:eastAsia="Arial" w:hAnsi="Arial"/>
          <w:sz w:val="22"/>
          <w:szCs w:val="22"/>
          <w:color w:val="auto"/>
        </w:rPr>
        <w:t xml:space="preserve">which such Material Indebtedness was created;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 Event of Default pursuant to this </w:t>
      </w:r>
      <w:r>
        <w:rPr>
          <w:rFonts w:ascii="Arial" w:cs="Arial" w:eastAsia="Arial" w:hAnsi="Arial"/>
          <w:sz w:val="22"/>
          <w:szCs w:val="22"/>
          <w:u w:val="single" w:color="auto"/>
          <w:color w:val="auto"/>
        </w:rPr>
        <w:t>paragraph (f)</w:t>
      </w:r>
      <w:r>
        <w:rPr>
          <w:rFonts w:ascii="Arial" w:cs="Arial" w:eastAsia="Arial" w:hAnsi="Arial"/>
          <w:sz w:val="22"/>
          <w:szCs w:val="22"/>
          <w:color w:val="auto"/>
        </w:rPr>
        <w:t xml:space="preserve"> shall be deemed to cease to exist and no longer be outstanding to the extent any such failure that has been (x) remedied by the applicable Holding Company, Borrower or applicable Restricted Subsidiary within the applicable grace period or (y) waived (including in the form of amendment) by the requisite holders of the applicable item of Material Indebtedness, in either case, prior to the acceleration of all the Loans pursuant to this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158" w:lineRule="exact"/>
        <w:rPr>
          <w:sz w:val="20"/>
          <w:szCs w:val="20"/>
          <w:color w:val="auto"/>
        </w:rPr>
      </w:pPr>
    </w:p>
    <w:p>
      <w:pPr>
        <w:jc w:val="both"/>
        <w:ind w:firstLine="1304"/>
        <w:spacing w:after="0"/>
        <w:tabs>
          <w:tab w:leader="none" w:pos="1839"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(i) any breach or default (after all applicable grace periods having expired and all required notices having been given) by any Holding Company, the Borrower or any Restricted Subsidiary of any Material Indebtedness if the effect of such breach or default is to cause such Material Indebtedness to become due prior to its scheduled maturity or that enables or permits (with all applicable grace periods having expired and all required notices having been given)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this </w:t>
      </w:r>
      <w:r>
        <w:rPr>
          <w:rFonts w:ascii="Arial" w:cs="Arial" w:eastAsia="Arial" w:hAnsi="Arial"/>
          <w:sz w:val="19"/>
          <w:szCs w:val="19"/>
          <w:u w:val="single" w:color="auto"/>
          <w:color w:val="auto"/>
        </w:rPr>
        <w:t>paragraph (g)</w:t>
      </w:r>
      <w:r>
        <w:rPr>
          <w:rFonts w:ascii="Arial" w:cs="Arial" w:eastAsia="Arial" w:hAnsi="Arial"/>
          <w:sz w:val="19"/>
          <w:szCs w:val="19"/>
          <w:color w:val="auto"/>
        </w:rPr>
        <w:t xml:space="preserve"> shall not apply to (A)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Indebtedness which is convertible into Equity Interests that converts to Equity Interests (other than Disqualified Equity Interests) in accordance with its terms or (2) an Event of Default pursuant to this paragraph (g) shall be deemed to cease to exist and no longer be outstanding to the extent such breach or default (x) is remedied by the applicable Holding Company, Borrower or the applicable Restricted Subsidiary within the applicable grace period or (y) waived (including in the form of amendment) by the requisite holders of the applicable item of Material Indebtedness, in either case, prior to the acceleration of all the Loans pursuant to this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or (ii) if an involuntary “early termination event” or other similar event (which event shall extend beyond any applicable cure periods or grace periods) shall have occurred in respect of obligations owing under any Swap Agreement of any Holding Company, the Borrower or any Restricted Subsidiary, and the amount of such obligations, either individually or in the aggregate for all such Swap Agreements at such time, is in excess of the greater of (a) $25,000,000 and (b) 25% of LTM EBITDA for the most recently ended Test Period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respect of obligations owing under any such Swap Agreement to the applicable counterparty at such time, the amount for purposes of this </w:t>
      </w:r>
      <w:r>
        <w:rPr>
          <w:rFonts w:ascii="Arial" w:cs="Arial" w:eastAsia="Arial" w:hAnsi="Arial"/>
          <w:sz w:val="19"/>
          <w:szCs w:val="19"/>
          <w:u w:val="single" w:color="auto"/>
          <w:color w:val="auto"/>
        </w:rPr>
        <w:t>Section 7.01(g)(ii)</w:t>
      </w:r>
      <w:r>
        <w:rPr>
          <w:rFonts w:ascii="Arial" w:cs="Arial" w:eastAsia="Arial" w:hAnsi="Arial"/>
          <w:sz w:val="19"/>
          <w:szCs w:val="19"/>
          <w:color w:val="auto"/>
        </w:rPr>
        <w:t xml:space="preserve"> shall be the amount payable on a net basis by such Holding Company, the Borrower or such Restricted Subsidiary to such counterparty (after giving effect to all netting arrangements) if such Swap Agreement were terminated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Event of Default pursuant to this </w:t>
      </w:r>
      <w:r>
        <w:rPr>
          <w:rFonts w:ascii="Arial" w:cs="Arial" w:eastAsia="Arial" w:hAnsi="Arial"/>
          <w:sz w:val="19"/>
          <w:szCs w:val="19"/>
          <w:u w:val="single" w:color="auto"/>
          <w:color w:val="auto"/>
        </w:rPr>
        <w:t>paragraph (g)(ii)</w:t>
      </w:r>
      <w:r>
        <w:rPr>
          <w:rFonts w:ascii="Arial" w:cs="Arial" w:eastAsia="Arial" w:hAnsi="Arial"/>
          <w:sz w:val="19"/>
          <w:szCs w:val="19"/>
          <w:color w:val="auto"/>
        </w:rPr>
        <w:t xml:space="preserve"> shall be deemed to cease to exist and no longer be outstanding to the extent any such event that has been (x) remedied by the applicable Holding Company, Borrower or the applicable Restricted Subsidiary within the applicable grace period or (y) waived (including in the form of amendment) by the applicable counterparty, in either case, prior to the acceleration of all the Loans pursuant to this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369" w:lineRule="exact"/>
        <w:rPr>
          <w:rFonts w:ascii="Arial" w:cs="Arial" w:eastAsia="Arial" w:hAnsi="Arial"/>
          <w:sz w:val="19"/>
          <w:szCs w:val="19"/>
          <w:color w:val="auto"/>
        </w:rPr>
      </w:pPr>
    </w:p>
    <w:p>
      <w:pPr>
        <w:jc w:val="both"/>
        <w:ind w:firstLine="1304"/>
        <w:spacing w:after="0" w:line="244" w:lineRule="auto"/>
        <w:tabs>
          <w:tab w:leader="none" w:pos="1983" w:val="left"/>
        </w:tabs>
        <w:numPr>
          <w:ilvl w:val="0"/>
          <w:numId w:val="262"/>
        </w:numPr>
        <w:rPr>
          <w:rFonts w:ascii="Arial" w:cs="Arial" w:eastAsia="Arial" w:hAnsi="Arial"/>
          <w:sz w:val="19"/>
          <w:szCs w:val="19"/>
          <w:color w:val="auto"/>
        </w:rPr>
      </w:pPr>
      <w:r>
        <w:rPr>
          <w:rFonts w:ascii="Arial" w:cs="Arial" w:eastAsia="Arial" w:hAnsi="Arial"/>
          <w:sz w:val="19"/>
          <w:szCs w:val="19"/>
          <w:color w:val="auto"/>
        </w:rPr>
        <w:t>(i) an involuntary proceeding shall be commenced or an involuntary petition shall be filed seeking liquidation, reorganization (by way of voluntary arrangement, scheme of arrangement or otherwise), winding up, suspension of payments, a moratorium of any indebtedness, dissolution, administration or other relief in respect of any Holding Company, the Borrower or any other Restricted Subsidiary (other than an Immaterial Subsidiary (excluding the Holding Companies)), or of all or a substantial part of its assets, under any Federal, state or foreign bankruptcy, insolvency, receivership, examinership or similar law now or hereafter in effect or (ii) the involuntary appointment of a receiver, interim receiver, receiver-manager, trustee, custodian, sequestrator, conservator, examiner, liquidator, administrative receiver, administrator, compulsory manager or similar official for any Holding Company, the Borrower or any other Restricted Subsidiary (other than an Immaterial Subsidiary (excluding the Holding Companies)) or for a substantial part of its assets, and, in any such case, such proceeding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42" w:name="page243"/>
    <w:bookmarkEnd w:id="242"/>
    <w:p>
      <w:pPr>
        <w:spacing w:after="0" w:line="232" w:lineRule="auto"/>
        <w:rPr>
          <w:sz w:val="20"/>
          <w:szCs w:val="20"/>
          <w:color w:val="auto"/>
        </w:rPr>
      </w:pPr>
      <w:r>
        <w:rPr>
          <w:rFonts w:ascii="Arial" w:cs="Arial" w:eastAsia="Arial" w:hAnsi="Arial"/>
          <w:sz w:val="22"/>
          <w:szCs w:val="22"/>
          <w:color w:val="auto"/>
        </w:rPr>
        <w:t>continue undismissed and unstayed for 60 consecutive days without having been dismissed, bonded or discharged or an order of relief is entered in any such proceeding;</w:t>
      </w:r>
    </w:p>
    <w:p>
      <w:pPr>
        <w:spacing w:after="0" w:line="159" w:lineRule="exact"/>
        <w:rPr>
          <w:sz w:val="20"/>
          <w:szCs w:val="20"/>
          <w:color w:val="auto"/>
        </w:rPr>
      </w:pPr>
    </w:p>
    <w:p>
      <w:pPr>
        <w:jc w:val="both"/>
        <w:ind w:firstLine="1304"/>
        <w:spacing w:after="0" w:line="244" w:lineRule="auto"/>
        <w:tabs>
          <w:tab w:leader="none" w:pos="1731" w:val="left"/>
        </w:tabs>
        <w:numPr>
          <w:ilvl w:val="0"/>
          <w:numId w:val="263"/>
        </w:numPr>
        <w:rPr>
          <w:rFonts w:ascii="Arial" w:cs="Arial" w:eastAsia="Arial" w:hAnsi="Arial"/>
          <w:sz w:val="19"/>
          <w:szCs w:val="19"/>
          <w:color w:val="auto"/>
        </w:rPr>
      </w:pPr>
      <w:r>
        <w:rPr>
          <w:rFonts w:ascii="Arial" w:cs="Arial" w:eastAsia="Arial" w:hAnsi="Arial"/>
          <w:sz w:val="19"/>
          <w:szCs w:val="19"/>
          <w:color w:val="auto"/>
        </w:rPr>
        <w:t xml:space="preserve">any Holding Company, the Borrower or any other Restricted Subsidiary (other than an Immaterial Subsidiary (excluding the Holding Companies)) shall (i) voluntarily commence any proceeding seeking liquidation, reorganization (by way of voluntary arrangement, scheme of arrangement or otherwise), winding up, suspension of payments, a moratorium of any indebtedness, dissolution, administration or other relief under any Federal, state, provincial, territorial or foreign bankruptcy, insolvency, receivership, examinership or similar law now or hereafter in effect, (ii) consent to the institution of any proceeding or petition described in </w:t>
      </w:r>
      <w:r>
        <w:rPr>
          <w:rFonts w:ascii="Arial" w:cs="Arial" w:eastAsia="Arial" w:hAnsi="Arial"/>
          <w:sz w:val="19"/>
          <w:szCs w:val="19"/>
          <w:u w:val="single" w:color="auto"/>
          <w:color w:val="auto"/>
        </w:rPr>
        <w:t>paragraph (h)</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7.01</w:t>
      </w:r>
      <w:r>
        <w:rPr>
          <w:rFonts w:ascii="Arial" w:cs="Arial" w:eastAsia="Arial" w:hAnsi="Arial"/>
          <w:sz w:val="19"/>
          <w:szCs w:val="19"/>
          <w:color w:val="auto"/>
        </w:rPr>
        <w:t>, (iii) consent to the appointment of a receiver, interim receiver, receiver-manager, trustee, custodian, sequestrator, conservator, examiner, liquidator, administrative receiver, administrator, compulsory manager or similar official for any Holding Company, the Borrower or any other Restricted Subsidiary (other than an Immaterial Subsidiary (excluding the Holding Companies)) or for all or a substantial part of its assets or (iv) make a general assignment for the benefit of creditors;</w:t>
      </w:r>
    </w:p>
    <w:p>
      <w:pPr>
        <w:spacing w:after="0" w:line="154" w:lineRule="exact"/>
        <w:rPr>
          <w:rFonts w:ascii="Arial" w:cs="Arial" w:eastAsia="Arial" w:hAnsi="Arial"/>
          <w:sz w:val="19"/>
          <w:szCs w:val="19"/>
          <w:color w:val="auto"/>
        </w:rPr>
      </w:pPr>
    </w:p>
    <w:p>
      <w:pPr>
        <w:jc w:val="both"/>
        <w:ind w:firstLine="1304"/>
        <w:spacing w:after="0" w:line="224" w:lineRule="auto"/>
        <w:tabs>
          <w:tab w:leader="none" w:pos="1809" w:val="left"/>
        </w:tabs>
        <w:numPr>
          <w:ilvl w:val="0"/>
          <w:numId w:val="263"/>
        </w:numPr>
        <w:rPr>
          <w:rFonts w:ascii="Arial" w:cs="Arial" w:eastAsia="Arial" w:hAnsi="Arial"/>
          <w:sz w:val="21"/>
          <w:szCs w:val="21"/>
          <w:color w:val="auto"/>
        </w:rPr>
      </w:pPr>
      <w:r>
        <w:rPr>
          <w:rFonts w:ascii="Arial" w:cs="Arial" w:eastAsia="Arial" w:hAnsi="Arial"/>
          <w:sz w:val="21"/>
          <w:szCs w:val="21"/>
          <w:color w:val="auto"/>
        </w:rPr>
        <w:t>any final, non-appealable judgment(s) for the payment of money in an aggregate amount in excess of the greater of (a) $25,000,000 and (b) 25% of LTM EBITDA for the most recently ended Test Period at such time (to the extent not covered by insurance or indemnities as to which the applicable insurance company or third party has not denied coverage) shall be rendered against any Holding Company, the Borrower or any Restricted Subsidiary (other than an Immaterial Subsidiary (excluding the Holding Companies)) or any combination thereof and the same shall remain undischarged, unvacated, unbounded and unstayed for a period of 60 consecutive days;</w:t>
      </w:r>
    </w:p>
    <w:p>
      <w:pPr>
        <w:spacing w:after="0" w:line="159" w:lineRule="exact"/>
        <w:rPr>
          <w:rFonts w:ascii="Arial" w:cs="Arial" w:eastAsia="Arial" w:hAnsi="Arial"/>
          <w:sz w:val="21"/>
          <w:szCs w:val="21"/>
          <w:color w:val="auto"/>
        </w:rPr>
      </w:pPr>
    </w:p>
    <w:p>
      <w:pPr>
        <w:ind w:left="1900" w:hanging="596"/>
        <w:spacing w:after="0"/>
        <w:tabs>
          <w:tab w:leader="none" w:pos="190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an ERISA Event shall have occurred that would reasonably be expected to result in a Material Adverse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w:t>
      </w:r>
    </w:p>
    <w:p>
      <w:pPr>
        <w:spacing w:after="0" w:line="161" w:lineRule="exact"/>
        <w:rPr>
          <w:rFonts w:ascii="Arial" w:cs="Arial" w:eastAsia="Arial" w:hAnsi="Arial"/>
          <w:sz w:val="19"/>
          <w:szCs w:val="19"/>
          <w:color w:val="auto"/>
        </w:rPr>
      </w:pPr>
    </w:p>
    <w:p>
      <w:pPr>
        <w:jc w:val="both"/>
        <w:ind w:firstLine="1304"/>
        <w:spacing w:after="0" w:line="220" w:lineRule="auto"/>
        <w:tabs>
          <w:tab w:leader="none" w:pos="1752" w:val="left"/>
        </w:tabs>
        <w:numPr>
          <w:ilvl w:val="0"/>
          <w:numId w:val="263"/>
        </w:numPr>
        <w:rPr>
          <w:rFonts w:ascii="Arial" w:cs="Arial" w:eastAsia="Arial" w:hAnsi="Arial"/>
          <w:sz w:val="21"/>
          <w:szCs w:val="21"/>
          <w:color w:val="auto"/>
        </w:rPr>
      </w:pPr>
      <w:r>
        <w:rPr>
          <w:rFonts w:ascii="Arial" w:cs="Arial" w:eastAsia="Arial" w:hAnsi="Arial"/>
          <w:sz w:val="21"/>
          <w:szCs w:val="21"/>
          <w:color w:val="auto"/>
        </w:rPr>
        <w:t xml:space="preserve">any Lien purported to be created under any Security Document shall cease to be, or shall be asserted by any Loan Party not to be (other than in an informational notice to the Administrative Agent), a valid and perfected (if and to the extent required to be perfected under the applicable Security Document) Lien on any Collateral with a fair value in excess of the greater of (a) $25,000,000 and (b) 25% of LTM EBITDA for the most recently ended Test Period at such time at any time, with the priority required by the applicable Security Document (subject to Liens permitted under </w:t>
      </w:r>
      <w:r>
        <w:rPr>
          <w:rFonts w:ascii="Arial" w:cs="Arial" w:eastAsia="Arial" w:hAnsi="Arial"/>
          <w:sz w:val="21"/>
          <w:szCs w:val="21"/>
          <w:u w:val="single" w:color="auto"/>
          <w:color w:val="auto"/>
        </w:rPr>
        <w:t>Section 6.02</w:t>
      </w:r>
      <w:r>
        <w:rPr>
          <w:rFonts w:ascii="Arial" w:cs="Arial" w:eastAsia="Arial" w:hAnsi="Arial"/>
          <w:sz w:val="21"/>
          <w:szCs w:val="21"/>
          <w:color w:val="auto"/>
        </w:rPr>
        <w:t>), except (i) as a result of the release of a Loan Party or the sale, transfer or other disposition of the applicable Collateral other than to a Loan Party (including as a result of the designation of a Restricted Subsidiary as an Unrestricted Subsidiary) in a transaction permitted under the Loan Documents or the occurrence of the Termination Date or (ii) as a result of any action of the Administrative Agent, Collateral Agent or any Lender or the failure of the Administrative Agent, Collateral Agent, or any Lender to take any action that is within its control;</w:t>
      </w:r>
    </w:p>
    <w:p>
      <w:pPr>
        <w:spacing w:after="0" w:line="162" w:lineRule="exact"/>
        <w:rPr>
          <w:rFonts w:ascii="Arial" w:cs="Arial" w:eastAsia="Arial" w:hAnsi="Arial"/>
          <w:sz w:val="21"/>
          <w:szCs w:val="21"/>
          <w:color w:val="auto"/>
        </w:rPr>
      </w:pPr>
    </w:p>
    <w:p>
      <w:pPr>
        <w:jc w:val="both"/>
        <w:ind w:firstLine="1304"/>
        <w:spacing w:after="0" w:line="212" w:lineRule="auto"/>
        <w:tabs>
          <w:tab w:leader="none" w:pos="1829" w:val="left"/>
        </w:tabs>
        <w:numPr>
          <w:ilvl w:val="0"/>
          <w:numId w:val="263"/>
        </w:numPr>
        <w:rPr>
          <w:rFonts w:ascii="Arial" w:cs="Arial" w:eastAsia="Arial" w:hAnsi="Arial"/>
          <w:sz w:val="22"/>
          <w:szCs w:val="22"/>
          <w:color w:val="auto"/>
        </w:rPr>
      </w:pPr>
      <w:r>
        <w:rPr>
          <w:rFonts w:ascii="Arial" w:cs="Arial" w:eastAsia="Arial" w:hAnsi="Arial"/>
          <w:sz w:val="22"/>
          <w:szCs w:val="22"/>
          <w:color w:val="auto"/>
        </w:rPr>
        <w:t>at any time after the execution and delivery thereof, any material portion of the Guarantee of the Obligations under any Guaranty shall for any reason other than the occurrence of the Termination Date or as expressly permitted hereunder or thereunder (including or as a result of a transaction permitted hereunder) cease to be in full force and effect, or any Loan Party shall contest the validity or enforceability in writing or repudiate, rescind or deny in writing that it has any further liability or obligation under any Loan Document other than as a result of the occurrence of the Termination Date, the sale or transfer of such Loan Party (including the designation as an Unrestricted Subsidiary) or as a result of a transaction permitted hereunder or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43" w:name="page244"/>
    <w:bookmarkEnd w:id="243"/>
    <w:p>
      <w:pPr>
        <w:jc w:val="both"/>
        <w:ind w:firstLine="1304"/>
        <w:spacing w:after="0" w:line="224" w:lineRule="auto"/>
        <w:tabs>
          <w:tab w:leader="none" w:pos="1788" w:val="left"/>
        </w:tabs>
        <w:numPr>
          <w:ilvl w:val="0"/>
          <w:numId w:val="264"/>
        </w:numPr>
        <w:rPr>
          <w:rFonts w:ascii="Arial" w:cs="Arial" w:eastAsia="Arial" w:hAnsi="Arial"/>
          <w:sz w:val="21"/>
          <w:szCs w:val="21"/>
          <w:color w:val="auto"/>
        </w:rPr>
      </w:pPr>
      <w:r>
        <w:rPr>
          <w:rFonts w:ascii="Arial" w:cs="Arial" w:eastAsia="Arial" w:hAnsi="Arial"/>
          <w:sz w:val="21"/>
          <w:szCs w:val="21"/>
          <w:color w:val="auto"/>
        </w:rPr>
        <w:t>the subordination provisions of any agreement or instrument governing any Subordinated Indebtedness shall for any reason other than the occurrence of the Termination Date cease to be in full force and effect, in any material respect, or any Loan Party shall contest the validity or enforceability in writing or repudiate, rescind or deny in writing that it has any further liability or obligation thereunder other than as a result of the occurrence of the Termination Date, or the Obligations, for any reason shall not in any material respect have the priority contemplated by this Agreement, the Second Lien Intercreditor Agreement or such subordination provisions; or</w:t>
      </w:r>
    </w:p>
    <w:p>
      <w:pPr>
        <w:spacing w:after="0" w:line="159" w:lineRule="exact"/>
        <w:rPr>
          <w:rFonts w:ascii="Arial" w:cs="Arial" w:eastAsia="Arial" w:hAnsi="Arial"/>
          <w:sz w:val="21"/>
          <w:szCs w:val="21"/>
          <w:color w:val="auto"/>
        </w:rPr>
      </w:pPr>
    </w:p>
    <w:p>
      <w:pPr>
        <w:ind w:left="1780" w:hanging="476"/>
        <w:spacing w:after="0"/>
        <w:tabs>
          <w:tab w:leader="none" w:pos="1780" w:val="left"/>
        </w:tabs>
        <w:numPr>
          <w:ilvl w:val="0"/>
          <w:numId w:val="264"/>
        </w:numPr>
        <w:rPr>
          <w:rFonts w:ascii="Arial" w:cs="Arial" w:eastAsia="Arial" w:hAnsi="Arial"/>
          <w:sz w:val="22"/>
          <w:szCs w:val="22"/>
          <w:color w:val="auto"/>
        </w:rPr>
      </w:pPr>
      <w:r>
        <w:rPr>
          <w:rFonts w:ascii="Arial" w:cs="Arial" w:eastAsia="Arial" w:hAnsi="Arial"/>
          <w:sz w:val="22"/>
          <w:szCs w:val="22"/>
          <w:color w:val="auto"/>
        </w:rPr>
        <w:t>a Change in Control shall have occurred,</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then, and in every such event (I) (other than an event with respect to Holdings or the Borrower described in </w:t>
      </w:r>
      <w:r>
        <w:rPr>
          <w:rFonts w:ascii="Arial" w:cs="Arial" w:eastAsia="Arial" w:hAnsi="Arial"/>
          <w:sz w:val="19"/>
          <w:szCs w:val="19"/>
          <w:u w:val="single" w:color="auto"/>
          <w:color w:val="auto"/>
        </w:rPr>
        <w:t>paragraph (h)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and at any time thereafter during the continuance of such event, the Administrative Agent with the consent of the Required Lenders (or, in the case of an event described in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above arising from a breach of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that does not constitute an Event of Default for purposes of any Term Loans, the Required Revolving Lenders) may, and at the request of the Required Lenders (or, in the case of an event described in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above arising from a breach of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that does not constitute an Event of Default for purposes of any Term Loans, the Required Revolving Lenders) shall, by notice to the Borrower, take any or all of the following actions, at the same or different times: (i) terminate the Commitments (or, in the case of an event described in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above arising from a breach of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that does not constitute an Event of Default for purposes of any Term Loans, the Revolving Commitments), and thereupon the Commitments (or the Revolving Commitments, as the case may be) shall terminate immediately; (ii) declare the Loans (or, in the case of an event described in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above arising from a breach of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that does not constitute an Event of Default for purposes of any Term Loans, the Revolving Loans) then outstanding to be due and payable in whole (or in part, in which case any principal not so declared to be due and payable may thereafter, during the continuance of such event, be declared to be due and payable), and thereupon the principal of the Loans (or the Revolving Loans, as the case may be)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that the Borrower Cash Collateralize the outstanding Letters of Credit; and (II) in the case of any event with respect to Holdings or the Borrower described in </w:t>
      </w:r>
      <w:r>
        <w:rPr>
          <w:rFonts w:ascii="Arial" w:cs="Arial" w:eastAsia="Arial" w:hAnsi="Arial"/>
          <w:sz w:val="19"/>
          <w:szCs w:val="19"/>
          <w:u w:val="single" w:color="auto"/>
          <w:color w:val="auto"/>
        </w:rPr>
        <w:t>paragraph (h)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7.01, the Commitments shall automatically terminate and the principal of the Loans then outstanding, together with accrued interest thereon and all fees and other obligations of the Borrower accrued hereunder, shall automatically become due and payable by the Borrower, without presentment, demand, protest or other notice of any kind, all of which are hereby waived by the Borrower.</w:t>
      </w:r>
    </w:p>
    <w:p>
      <w:pPr>
        <w:spacing w:after="0" w:line="38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Notwithstanding anything to the contrary contained herein, no Event of Default shall be deemed to be “continuing” or “existing” if the events, act or condition that gave rise to such Event of Default have been remedied or cured or have ceased to exist.</w:t>
      </w:r>
    </w:p>
    <w:p>
      <w:pPr>
        <w:spacing w:after="0" w:line="1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7.02</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7.03</w:t>
      </w:r>
      <w:r>
        <w:rPr>
          <w:sz w:val="20"/>
          <w:szCs w:val="20"/>
          <w:color w:val="auto"/>
        </w:rPr>
        <w:tab/>
      </w:r>
      <w:r>
        <w:rPr>
          <w:rFonts w:ascii="Arial" w:cs="Arial" w:eastAsia="Arial" w:hAnsi="Arial"/>
          <w:sz w:val="19"/>
          <w:szCs w:val="19"/>
          <w:u w:val="single" w:color="auto"/>
          <w:color w:val="auto"/>
        </w:rPr>
        <w:t>Application of Proceeds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6" w:lineRule="auto"/>
        <w:tabs>
          <w:tab w:leader="none" w:pos="1914" w:val="left"/>
        </w:tabs>
        <w:numPr>
          <w:ilvl w:val="0"/>
          <w:numId w:val="265"/>
        </w:numPr>
        <w:rPr>
          <w:rFonts w:ascii="Arial" w:cs="Arial" w:eastAsia="Arial" w:hAnsi="Arial"/>
          <w:sz w:val="22"/>
          <w:szCs w:val="22"/>
          <w:color w:val="auto"/>
        </w:rPr>
      </w:pPr>
      <w:r>
        <w:rPr>
          <w:rFonts w:ascii="Arial" w:cs="Arial" w:eastAsia="Arial" w:hAnsi="Arial"/>
          <w:sz w:val="22"/>
          <w:szCs w:val="22"/>
          <w:color w:val="auto"/>
        </w:rPr>
        <w:t xml:space="preserve">Subject to the terms of the Second Lien Intercreditor Agreement, upon the occurrence and during the continuation of an Event of Default, if requested by Required Lenders, or upon acceleration of all the Obligations pursuant to </w:t>
      </w:r>
      <w:r>
        <w:rPr>
          <w:rFonts w:ascii="Arial" w:cs="Arial" w:eastAsia="Arial" w:hAnsi="Arial"/>
          <w:sz w:val="22"/>
          <w:szCs w:val="22"/>
          <w:u w:val="single" w:color="auto"/>
          <w:color w:val="auto"/>
        </w:rPr>
        <w:t>Section 7.01</w:t>
      </w:r>
      <w:r>
        <w:rPr>
          <w:rFonts w:ascii="Arial" w:cs="Arial" w:eastAsia="Arial" w:hAnsi="Arial"/>
          <w:sz w:val="22"/>
          <w:szCs w:val="22"/>
          <w:color w:val="auto"/>
        </w:rPr>
        <w:t>, all proceeds received by the Administrative Agent or the Collateral Agent in respect of any sale of, collection from, or other realization upon all or any part of the Collateral under any Loan Document (collectively, “</w:t>
      </w:r>
      <w:r>
        <w:rPr>
          <w:rFonts w:ascii="Arial" w:cs="Arial" w:eastAsia="Arial" w:hAnsi="Arial"/>
          <w:sz w:val="22"/>
          <w:szCs w:val="22"/>
          <w:u w:val="single" w:color="auto"/>
          <w:color w:val="auto"/>
        </w:rPr>
        <w:t>Application Proceeds</w:t>
      </w:r>
      <w:r>
        <w:rPr>
          <w:rFonts w:ascii="Arial" w:cs="Arial" w:eastAsia="Arial" w:hAnsi="Arial"/>
          <w:sz w:val="22"/>
          <w:szCs w:val="22"/>
          <w:color w:val="auto"/>
        </w:rPr>
        <w:t>”) shall be applied by the Administrative Agent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44" w:name="page245"/>
    <w:bookmarkEnd w:id="244"/>
    <w:p>
      <w:pPr>
        <w:ind w:left="660" w:firstLine="644"/>
        <w:spacing w:after="0" w:line="232" w:lineRule="auto"/>
        <w:tabs>
          <w:tab w:leader="none" w:pos="1900" w:val="left"/>
        </w:tabs>
        <w:numPr>
          <w:ilvl w:val="0"/>
          <w:numId w:val="266"/>
        </w:numPr>
        <w:rPr>
          <w:rFonts w:ascii="Arial" w:cs="Arial" w:eastAsia="Arial" w:hAnsi="Arial"/>
          <w:sz w:val="22"/>
          <w:szCs w:val="22"/>
          <w:color w:val="auto"/>
        </w:rPr>
      </w:pPr>
      <w:r>
        <w:rPr>
          <w:rFonts w:ascii="Arial" w:cs="Arial" w:eastAsia="Arial" w:hAnsi="Arial"/>
          <w:sz w:val="22"/>
          <w:szCs w:val="22"/>
          <w:i w:val="1"/>
          <w:iCs w:val="1"/>
          <w:color w:val="auto"/>
        </w:rPr>
        <w:t>First</w:t>
      </w:r>
      <w:r>
        <w:rPr>
          <w:rFonts w:ascii="Arial" w:cs="Arial" w:eastAsia="Arial" w:hAnsi="Arial"/>
          <w:sz w:val="22"/>
          <w:szCs w:val="22"/>
          <w:color w:val="auto"/>
        </w:rPr>
        <w:t>, to payment of that portion of the Obligations constituting fees, indemnities, expenses and other</w:t>
      </w:r>
      <w:r>
        <w:rPr>
          <w:rFonts w:ascii="Arial" w:cs="Arial" w:eastAsia="Arial" w:hAnsi="Arial"/>
          <w:sz w:val="22"/>
          <w:szCs w:val="22"/>
          <w:i w:val="1"/>
          <w:iCs w:val="1"/>
          <w:color w:val="auto"/>
        </w:rPr>
        <w:t xml:space="preserve"> </w:t>
      </w:r>
      <w:r>
        <w:rPr>
          <w:rFonts w:ascii="Arial" w:cs="Arial" w:eastAsia="Arial" w:hAnsi="Arial"/>
          <w:sz w:val="22"/>
          <w:szCs w:val="22"/>
          <w:color w:val="auto"/>
        </w:rPr>
        <w:t>amounts (other than principal and interest) payable to each Agent in its capacity as such;</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797" w:val="left"/>
        </w:tabs>
        <w:numPr>
          <w:ilvl w:val="0"/>
          <w:numId w:val="266"/>
        </w:numPr>
        <w:rPr>
          <w:rFonts w:ascii="Arial" w:cs="Arial" w:eastAsia="Arial" w:hAnsi="Arial"/>
          <w:sz w:val="22"/>
          <w:szCs w:val="22"/>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to payment of that portion of the Obligations constituting fees, indemnities and other amounts (other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than principal and interest) payable to the Lenders, ratably among them in proportion to the amounts described in this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payable to them;</w:t>
      </w:r>
    </w:p>
    <w:p>
      <w:pPr>
        <w:spacing w:after="0" w:line="158" w:lineRule="exact"/>
        <w:rPr>
          <w:rFonts w:ascii="Arial" w:cs="Arial" w:eastAsia="Arial" w:hAnsi="Arial"/>
          <w:sz w:val="22"/>
          <w:szCs w:val="22"/>
          <w:color w:val="auto"/>
        </w:rPr>
      </w:pPr>
    </w:p>
    <w:p>
      <w:pPr>
        <w:jc w:val="both"/>
        <w:ind w:left="660" w:firstLine="644"/>
        <w:spacing w:after="0" w:line="218" w:lineRule="auto"/>
        <w:tabs>
          <w:tab w:leader="none" w:pos="1874" w:val="left"/>
        </w:tabs>
        <w:numPr>
          <w:ilvl w:val="0"/>
          <w:numId w:val="266"/>
        </w:numPr>
        <w:rPr>
          <w:rFonts w:ascii="Arial" w:cs="Arial" w:eastAsia="Arial" w:hAnsi="Arial"/>
          <w:sz w:val="22"/>
          <w:szCs w:val="22"/>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to payment of that portion of the Obligations constituting accrued and unpaid interest (including, but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not limited to, post-petition interest) and periodic payments in respect of Secured Swap Agreements, ratably among the Lenders and the Lender Counterparties, in proportion to the respective amounts described in this </w:t>
      </w:r>
      <w:r>
        <w:rPr>
          <w:rFonts w:ascii="Arial" w:cs="Arial" w:eastAsia="Arial" w:hAnsi="Arial"/>
          <w:sz w:val="22"/>
          <w:szCs w:val="22"/>
          <w:u w:val="single" w:color="auto"/>
          <w:color w:val="auto"/>
        </w:rPr>
        <w:t>clause (iii)</w:t>
      </w:r>
      <w:r>
        <w:rPr>
          <w:rFonts w:ascii="Arial" w:cs="Arial" w:eastAsia="Arial" w:hAnsi="Arial"/>
          <w:sz w:val="22"/>
          <w:szCs w:val="22"/>
          <w:color w:val="auto"/>
        </w:rPr>
        <w:t xml:space="preserve"> payable to them;</w:t>
      </w:r>
    </w:p>
    <w:p>
      <w:pPr>
        <w:spacing w:after="0" w:line="160" w:lineRule="exact"/>
        <w:rPr>
          <w:rFonts w:ascii="Arial" w:cs="Arial" w:eastAsia="Arial" w:hAnsi="Arial"/>
          <w:sz w:val="22"/>
          <w:szCs w:val="22"/>
          <w:color w:val="auto"/>
        </w:rPr>
      </w:pPr>
    </w:p>
    <w:p>
      <w:pPr>
        <w:jc w:val="both"/>
        <w:ind w:left="660" w:firstLine="644"/>
        <w:spacing w:after="0" w:line="224" w:lineRule="auto"/>
        <w:tabs>
          <w:tab w:leader="none" w:pos="1993" w:val="left"/>
        </w:tabs>
        <w:numPr>
          <w:ilvl w:val="0"/>
          <w:numId w:val="266"/>
        </w:numPr>
        <w:rPr>
          <w:rFonts w:ascii="Arial" w:cs="Arial" w:eastAsia="Arial" w:hAnsi="Arial"/>
          <w:sz w:val="21"/>
          <w:szCs w:val="21"/>
          <w:color w:val="auto"/>
        </w:rPr>
      </w:pPr>
      <w:r>
        <w:rPr>
          <w:rFonts w:ascii="Arial" w:cs="Arial" w:eastAsia="Arial" w:hAnsi="Arial"/>
          <w:sz w:val="21"/>
          <w:szCs w:val="21"/>
          <w:i w:val="1"/>
          <w:iCs w:val="1"/>
          <w:color w:val="auto"/>
        </w:rPr>
        <w:t>Fourth</w:t>
      </w:r>
      <w:r>
        <w:rPr>
          <w:rFonts w:ascii="Arial" w:cs="Arial" w:eastAsia="Arial" w:hAnsi="Arial"/>
          <w:sz w:val="21"/>
          <w:szCs w:val="21"/>
          <w:color w:val="auto"/>
        </w:rPr>
        <w:t>, to payment of that portion of the Obligations constituting unpaid principal, unreimbursed LC</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Disbursements or face amounts of the Loans, and Swap Termination Value under Secured Swap Agreements (but excluding any payments paid to the Lender Counterparties third, pursuant to paragraph (iii) of this Section 7.03(a)) and Secured Cash Management Obligations and for the account of the Issuing Bank, to Cash Collateralize that portion of Obligations comprised of the aggregate undrawn amount of Letters of Credit, ratably among the Secured Parties in proportion to the respective amounts described in this </w:t>
      </w:r>
      <w:r>
        <w:rPr>
          <w:rFonts w:ascii="Arial" w:cs="Arial" w:eastAsia="Arial" w:hAnsi="Arial"/>
          <w:sz w:val="21"/>
          <w:szCs w:val="21"/>
          <w:u w:val="single" w:color="auto"/>
          <w:color w:val="auto"/>
        </w:rPr>
        <w:t>clause (iv)</w:t>
      </w:r>
      <w:r>
        <w:rPr>
          <w:rFonts w:ascii="Arial" w:cs="Arial" w:eastAsia="Arial" w:hAnsi="Arial"/>
          <w:sz w:val="21"/>
          <w:szCs w:val="21"/>
          <w:color w:val="auto"/>
        </w:rPr>
        <w:t xml:space="preserve"> held by them;</w:t>
      </w:r>
    </w:p>
    <w:p>
      <w:pPr>
        <w:spacing w:after="0" w:line="159" w:lineRule="exact"/>
        <w:rPr>
          <w:rFonts w:ascii="Arial" w:cs="Arial" w:eastAsia="Arial" w:hAnsi="Arial"/>
          <w:sz w:val="21"/>
          <w:szCs w:val="21"/>
          <w:color w:val="auto"/>
        </w:rPr>
      </w:pPr>
    </w:p>
    <w:p>
      <w:pPr>
        <w:jc w:val="both"/>
        <w:ind w:left="660" w:firstLine="644"/>
        <w:spacing w:after="0" w:line="268" w:lineRule="auto"/>
        <w:tabs>
          <w:tab w:leader="none" w:pos="1856" w:val="left"/>
        </w:tabs>
        <w:numPr>
          <w:ilvl w:val="0"/>
          <w:numId w:val="266"/>
        </w:numPr>
        <w:rPr>
          <w:rFonts w:ascii="Arial" w:cs="Arial" w:eastAsia="Arial" w:hAnsi="Arial"/>
          <w:sz w:val="19"/>
          <w:szCs w:val="19"/>
          <w:color w:val="auto"/>
        </w:rPr>
      </w:pPr>
      <w:r>
        <w:rPr>
          <w:rFonts w:ascii="Arial" w:cs="Arial" w:eastAsia="Arial" w:hAnsi="Arial"/>
          <w:sz w:val="19"/>
          <w:szCs w:val="19"/>
          <w:i w:val="1"/>
          <w:iCs w:val="1"/>
          <w:color w:val="auto"/>
        </w:rPr>
        <w:t>Fifth</w:t>
      </w:r>
      <w:r>
        <w:rPr>
          <w:rFonts w:ascii="Arial" w:cs="Arial" w:eastAsia="Arial" w:hAnsi="Arial"/>
          <w:sz w:val="19"/>
          <w:szCs w:val="19"/>
          <w:color w:val="auto"/>
        </w:rPr>
        <w:t>, to the payment of all other Secured Obligations of the Loan Parties that are due and payable to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Administrative Agent and the other Secured Parties on such date, ratably based upon the respective aggregate amounts of all such Secured Obligations owing to the Administrative Agent and the other Secured Parties on such date; and</w:t>
      </w:r>
    </w:p>
    <w:p>
      <w:pPr>
        <w:spacing w:after="0" w:line="132" w:lineRule="exact"/>
        <w:rPr>
          <w:rFonts w:ascii="Arial" w:cs="Arial" w:eastAsia="Arial" w:hAnsi="Arial"/>
          <w:sz w:val="19"/>
          <w:szCs w:val="19"/>
          <w:color w:val="auto"/>
        </w:rPr>
      </w:pPr>
    </w:p>
    <w:p>
      <w:pPr>
        <w:ind w:left="660" w:firstLine="644"/>
        <w:spacing w:after="0" w:line="232" w:lineRule="auto"/>
        <w:tabs>
          <w:tab w:leader="none" w:pos="1895" w:val="left"/>
        </w:tabs>
        <w:numPr>
          <w:ilvl w:val="0"/>
          <w:numId w:val="266"/>
        </w:numPr>
        <w:rPr>
          <w:rFonts w:ascii="Arial" w:cs="Arial" w:eastAsia="Arial" w:hAnsi="Arial"/>
          <w:sz w:val="22"/>
          <w:szCs w:val="22"/>
          <w:color w:val="auto"/>
        </w:rPr>
      </w:pPr>
      <w:r>
        <w:rPr>
          <w:rFonts w:ascii="Arial" w:cs="Arial" w:eastAsia="Arial" w:hAnsi="Arial"/>
          <w:sz w:val="22"/>
          <w:szCs w:val="22"/>
          <w:i w:val="1"/>
          <w:iCs w:val="1"/>
          <w:color w:val="auto"/>
        </w:rPr>
        <w:t>Last</w:t>
      </w:r>
      <w:r>
        <w:rPr>
          <w:rFonts w:ascii="Arial" w:cs="Arial" w:eastAsia="Arial" w:hAnsi="Arial"/>
          <w:sz w:val="22"/>
          <w:szCs w:val="22"/>
          <w:color w:val="auto"/>
        </w:rPr>
        <w:t>, the balance, if any, after all of the Secured Obligations have been paid in full, to the Borrower or as</w:t>
      </w:r>
      <w:r>
        <w:rPr>
          <w:rFonts w:ascii="Arial" w:cs="Arial" w:eastAsia="Arial" w:hAnsi="Arial"/>
          <w:sz w:val="22"/>
          <w:szCs w:val="22"/>
          <w:i w:val="1"/>
          <w:iCs w:val="1"/>
          <w:color w:val="auto"/>
        </w:rPr>
        <w:t xml:space="preserve"> </w:t>
      </w:r>
      <w:r>
        <w:rPr>
          <w:rFonts w:ascii="Arial" w:cs="Arial" w:eastAsia="Arial" w:hAnsi="Arial"/>
          <w:sz w:val="22"/>
          <w:szCs w:val="22"/>
          <w:color w:val="auto"/>
        </w:rPr>
        <w:t>otherwise required by law.</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amounts used to Cash Collateralize the aggregate undrawn amount of Letters of Credit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 xml:space="preserve">Notwithstanding the foregoing, (a) amounts received from any Loan Party that is not an “Eligible Contract Participant” (as defined in the Commodity Exchange Act) shall not be applied to the obligations that are Excluded Swap Obligations and (b) Secured Cash Management Obligations shall be excluded from the application described above if the Administrative Agent has not received written notice thereof, together with such supporting documentation as the Administrative Agent may request, from the applicable Lender Counterparty. Each Lender Counterparty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hereof for itself and its Affiliates as if a “Lender” party hereto.</w:t>
      </w:r>
    </w:p>
    <w:p>
      <w:pPr>
        <w:spacing w:after="0" w:line="15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Whether or not a proceeding under any Debtor Relief Laws has commenced, any Application Proceeds received by any Secured Party in violation of (or otherwise not in accordance with) this Agreement shall be segregated and held in trust and promptly paid over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45" w:name="page246"/>
    <w:bookmarkEnd w:id="245"/>
    <w:p>
      <w:pPr>
        <w:jc w:val="both"/>
        <w:spacing w:after="0" w:line="218" w:lineRule="auto"/>
        <w:rPr>
          <w:sz w:val="20"/>
          <w:szCs w:val="20"/>
          <w:color w:val="auto"/>
        </w:rPr>
      </w:pPr>
      <w:r>
        <w:rPr>
          <w:rFonts w:ascii="Arial" w:cs="Arial" w:eastAsia="Arial" w:hAnsi="Arial"/>
          <w:sz w:val="22"/>
          <w:szCs w:val="22"/>
          <w:color w:val="auto"/>
        </w:rPr>
        <w:t>Agent, for the benefit of the other Secured Parties, in the same form as received, with any necessary endorsements (which endorsements will be without recourse and without representation or warranty). The Administrative Agent is authorized to make such endorsements as agent for the Secured Parties. This authorization is coupled with an interest and is irrevocable until the Termination Date.</w:t>
      </w:r>
    </w:p>
    <w:p>
      <w:pPr>
        <w:spacing w:after="0" w:line="16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7.04</w:t>
      </w:r>
      <w:r>
        <w:rPr>
          <w:sz w:val="20"/>
          <w:szCs w:val="20"/>
          <w:color w:val="auto"/>
        </w:rPr>
        <w:tab/>
      </w:r>
      <w:r>
        <w:rPr>
          <w:rFonts w:ascii="Arial" w:cs="Arial" w:eastAsia="Arial" w:hAnsi="Arial"/>
          <w:sz w:val="19"/>
          <w:szCs w:val="19"/>
          <w:u w:val="single" w:color="auto"/>
          <w:color w:val="auto"/>
        </w:rPr>
        <w:t>Right to Cure</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2" w:lineRule="auto"/>
        <w:tabs>
          <w:tab w:leader="none" w:pos="1817"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in the event that the Borrower fails to comply with the requirements of the covenant under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at the end of any fiscal quarter, from and after the beginning of the relevant fiscal quarter until the expiration of the fifteenth (15th) Business Day subsequent to the date the financial statements are required to be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5.01(b)</w:t>
      </w:r>
      <w:r>
        <w:rPr>
          <w:rFonts w:ascii="Arial" w:cs="Arial" w:eastAsia="Arial" w:hAnsi="Arial"/>
          <w:sz w:val="19"/>
          <w:szCs w:val="19"/>
          <w:color w:val="auto"/>
        </w:rPr>
        <w:t xml:space="preserve">, as applicable, any Net Proceeds of any common equity contribution made, directly or indirectly to Holdings, and contributed in the form of cash common equity to the Borrower, or any Net Proceeds of any issuance of Qualified Equity Interests of Holdings to the extent contributed in the form of cash common equity to the Borrower, in each case, from and after the beginning of the fiscal quarter then ended for which the Borrower has failed to comply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and/or following the end of such fiscal quarter and on or prior to such fifteenth (15th) Business Day, in each case in an aggregate amount equal to the amount necessary to cure the relevant failure to comply with such covenant may, at the election of the Borrower be included in the calculation of Consolidated EBITDA for purposes of determining compliance with such covenant (the “</w:t>
      </w:r>
      <w:r>
        <w:rPr>
          <w:rFonts w:ascii="Arial" w:cs="Arial" w:eastAsia="Arial" w:hAnsi="Arial"/>
          <w:sz w:val="19"/>
          <w:szCs w:val="19"/>
          <w:u w:val="single" w:color="auto"/>
          <w:color w:val="auto"/>
        </w:rPr>
        <w:t>Cure Right</w:t>
      </w:r>
      <w:r>
        <w:rPr>
          <w:rFonts w:ascii="Arial" w:cs="Arial" w:eastAsia="Arial" w:hAnsi="Arial"/>
          <w:sz w:val="19"/>
          <w:szCs w:val="19"/>
          <w:color w:val="auto"/>
        </w:rPr>
        <w:t>”), and upon the receipt by the Borrower of such cash proceeds (the “</w:t>
      </w:r>
      <w:r>
        <w:rPr>
          <w:rFonts w:ascii="Arial" w:cs="Arial" w:eastAsia="Arial" w:hAnsi="Arial"/>
          <w:sz w:val="19"/>
          <w:szCs w:val="19"/>
          <w:u w:val="single" w:color="auto"/>
          <w:color w:val="auto"/>
        </w:rPr>
        <w:t>Cure Amount</w:t>
      </w:r>
      <w:r>
        <w:rPr>
          <w:rFonts w:ascii="Arial" w:cs="Arial" w:eastAsia="Arial" w:hAnsi="Arial"/>
          <w:sz w:val="19"/>
          <w:szCs w:val="19"/>
          <w:color w:val="auto"/>
        </w:rPr>
        <w:t>”), such covenant shall be recalculated with Consolidated EBITDA being increased by such Cure Amount; and</w:t>
      </w:r>
    </w:p>
    <w:p>
      <w:pPr>
        <w:spacing w:after="0" w:line="164" w:lineRule="exact"/>
        <w:rPr>
          <w:rFonts w:ascii="Arial" w:cs="Arial" w:eastAsia="Arial" w:hAnsi="Arial"/>
          <w:sz w:val="19"/>
          <w:szCs w:val="19"/>
          <w:color w:val="auto"/>
        </w:rPr>
      </w:pPr>
    </w:p>
    <w:p>
      <w:pPr>
        <w:jc w:val="both"/>
        <w:ind w:firstLine="1304"/>
        <w:spacing w:after="0"/>
        <w:tabs>
          <w:tab w:leader="none" w:pos="1805"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(i) in each four-fiscal-quarter period of the Borrower there shall be at least two (2) fiscal quarters in which the Cure Right is not exercised, and the Cure Right may not be exercised more than five (5) times during the term of this Agreement, (ii) the Cure Amount shall not exceed the amount required to cause the Borrower to be in compliance with the covenant under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(iii) for any fiscal quarter for which a Cure Right is exercised, such Cure Amount shall be counted only as Consolidated EBITDA and solely for the purpose of compliance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and not for any other purposes during such fiscal quarter and (iv) from and after the date on which the Borrower provides notice of its intention to use the Cure Right, (A) no Default or Event of Default shall be deemed to have occurred or be continuing with respect to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unless the Cure Amount is not paid by the date so required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Cure Amount is not paid on or before the date the Borrower’s ability to cure has lapsed without exercise of the Cure Right, such Event of Default or potential Event of Default shall be deemed, to exist from the date of the end of the applicable fiscal quarter) and (B) neither the Administrative Agent nor any Lender or Secured Party shall exercise any remedy under the Loan Documents or applicable law on the basis of an Event of Default caused by the failure to comply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until the earliest of (x) the date the Borrower’s ability to cure has lapsed without exercise of the Cure Right, (y) the date the Cure Amount is received and (z) the date the Borrower confirms in writing that it does not intend to exercise the Cure Right. No Lender will be required to extend new Revolving Loans or issue or extend new Letters of Credit until the earlier of (x) the expiration of the Cure Right and (y) the date the Cure Amount is received. To the extent that the Cure Amount (x) is used to repay Indebtedness, there shall be no pro forma or other reduction in Indebtedness with the Cure Amount for determining compliance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for the fiscal quarter for which the Cure Right is exercised;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Cure Amount shall reduce Indebtedness in future quarters to the extent used to prepay the Loans or (y) is not used to repay Indebtedness, there shall be no reduction in Indebtedness by cash netting for determining compliance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for the fiscal quarter for which the Cure Right is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46" w:name="page247"/>
    <w:bookmarkEnd w:id="246"/>
    <w:p>
      <w:pPr>
        <w:spacing w:after="0"/>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that the Cure Amount shall reduce Indebtedness in future quarters by cash netting to the extent applicable.</w:t>
      </w:r>
    </w:p>
    <w:p>
      <w:pPr>
        <w:spacing w:after="0" w:line="17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ARTICLE VIII</w:t>
      </w:r>
    </w:p>
    <w:p>
      <w:pPr>
        <w:jc w:val="center"/>
        <w:spacing w:after="0"/>
        <w:rPr>
          <w:sz w:val="20"/>
          <w:szCs w:val="20"/>
          <w:color w:val="auto"/>
        </w:rPr>
      </w:pPr>
      <w:r>
        <w:rPr>
          <w:rFonts w:ascii="Arial" w:cs="Arial" w:eastAsia="Arial" w:hAnsi="Arial"/>
          <w:sz w:val="22"/>
          <w:szCs w:val="22"/>
          <w:u w:val="single" w:color="auto"/>
          <w:color w:val="auto"/>
        </w:rPr>
        <w:t>The Administrative Agent and Collateral Agent</w:t>
      </w:r>
    </w:p>
    <w:p>
      <w:pPr>
        <w:spacing w:after="0" w:line="161"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u w:val="single" w:color="auto"/>
          <w:color w:val="auto"/>
        </w:rPr>
        <w:t>Section 8.01 Appointment of Agents</w:t>
      </w:r>
      <w:r>
        <w:rPr>
          <w:rFonts w:ascii="Arial" w:cs="Arial" w:eastAsia="Arial" w:hAnsi="Arial"/>
          <w:sz w:val="19"/>
          <w:szCs w:val="19"/>
          <w:color w:val="auto"/>
        </w:rPr>
        <w:t>. Each of the Lenders and each of the Issuing Banks hereby irrevocably appoints Barclays to act on its behalf as the Administrative Agent and Collateral Agent hereunder and under the Loan Documents, and authorizes the Administrative Agent and the Collateral Agent to take such actions on its behalf and to exercise such powers as are delegated to the Administrative Agent and Collateral Agent by the terms of the Loan Documents, together with such actions and powers as are reasonably incidental thereto. Unless otherwise specifically set forth herein, the Collateral Agent shall have all the rights and benefits of the Administrative Agent set forth in this Article.</w:t>
      </w:r>
    </w:p>
    <w:p>
      <w:pPr>
        <w:spacing w:after="0" w:line="152"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1"/>
          <w:szCs w:val="21"/>
          <w:color w:val="auto"/>
        </w:rPr>
        <w:t xml:space="preserve">The Collateral Agent shall act as the “collateral agent” under the Loan Documents, and each of the Lenders (including in its capacities as a Lender Counterparty or potential Lender Counterparty) and each of the Issuing Banks hereby irrevocably appoints and authorizes the Collateral Agent to act as the agent of such Lender and such Issuing Bank for purposes of acquiring, holding and enforcing any and all Liens on Collateral granted by any of the Loan Parties pursuant to the Security Documents to secure any of the Obligations, together with such powers and discretion as are reasonably incidental thereto. In this connection, the Collateral Agent, as “collateral agent” and any co-agents, sub-agents and attorneys-in-fact appointed by the Administrative Agent pursuant to </w:t>
      </w:r>
      <w:r>
        <w:rPr>
          <w:rFonts w:ascii="Arial" w:cs="Arial" w:eastAsia="Arial" w:hAnsi="Arial"/>
          <w:sz w:val="21"/>
          <w:szCs w:val="21"/>
          <w:u w:val="single" w:color="auto"/>
          <w:color w:val="auto"/>
        </w:rPr>
        <w:t>Section 8.05</w:t>
      </w:r>
      <w:r>
        <w:rPr>
          <w:rFonts w:ascii="Arial" w:cs="Arial" w:eastAsia="Arial" w:hAnsi="Arial"/>
          <w:sz w:val="21"/>
          <w:szCs w:val="21"/>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9.03</w:t>
      </w:r>
      <w:r>
        <w:rPr>
          <w:rFonts w:ascii="Arial" w:cs="Arial" w:eastAsia="Arial" w:hAnsi="Arial"/>
          <w:sz w:val="21"/>
          <w:szCs w:val="21"/>
          <w:color w:val="auto"/>
        </w:rPr>
        <w:t xml:space="preserve"> (as though such co-agents, subagents and attorneys-in-fact were the “collateral agent” under the Loan Documents) as if set forth in full herein with respect thereto. The Lenders acknowledge and agree (and each Lender Counterparty shall be deemed to hereby acknowledge and agree) that Collateral Agent may also act as the collateral agent for lenders under the Second Lien Loan Documents, the Other Term Loans, the Other Revolving Commitments, the Additional Debt, and any Permitted Refinancing of any of the foregoing.</w:t>
      </w:r>
    </w:p>
    <w:p>
      <w:pPr>
        <w:spacing w:after="0" w:line="16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Without limiting the generality of the foregoing, the Agents are hereby expressly authorized to execute any and all documents (including releases) with respect to the Collateral and any rights of the Secured Parties with respect thereto as contemplated by and in accordance with the provisions of this Agreement and the other Loan Documents.</w:t>
      </w:r>
    </w:p>
    <w:p>
      <w:pPr>
        <w:spacing w:after="0" w:line="158"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u w:val="single" w:color="auto"/>
          <w:color w:val="auto"/>
        </w:rPr>
        <w:t>Section 8.02 Rights of Lender</w:t>
      </w:r>
      <w:r>
        <w:rPr>
          <w:rFonts w:ascii="Arial" w:cs="Arial" w:eastAsia="Arial" w:hAnsi="Arial"/>
          <w:sz w:val="19"/>
          <w:szCs w:val="19"/>
          <w:color w:val="auto"/>
        </w:rPr>
        <w:t>. Each bank serving as the Administrative Agent or Collateral Agent hereunder shall have the same rights and powers in its capacity as a Lender as any other Lender and may exercise the same as though it were not the Administrative Agent or Collateral Agent, and with respect to any of its Loans or Commitments hereunder, the term “Lender” or “Lenders” shall, unless otherwise expressly indicated or unless the context otherwise requires, include the Person serving as the Administrative Agent and Collateral Agent hereunder in its individual capacity. Such Person and its Affiliates may accept deposits from, lend money to, act as the financial advisor or in any other advisory capacity for and generally engage in any kind of business with any Holding Company or any Subsidiary or other Affiliate thereof as if such Person were not the Administrative Agent or Collateral Agent hereunder and without any duty to account therefor to the Lenders. Should any Lender (other than the Collateral Agent) obtain possession or control of any assets in which, in accordance with the UCC or any other applicable law a security interest can be perfected by possession or control, such Lender shall notify the Collateral Agent thereof, and, promptly following the Collateral Agent’s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47" w:name="page248"/>
    <w:bookmarkEnd w:id="247"/>
    <w:p>
      <w:pPr>
        <w:jc w:val="both"/>
        <w:spacing w:after="0" w:line="232" w:lineRule="auto"/>
        <w:rPr>
          <w:sz w:val="20"/>
          <w:szCs w:val="20"/>
          <w:color w:val="auto"/>
        </w:rPr>
      </w:pPr>
      <w:r>
        <w:rPr>
          <w:rFonts w:ascii="Arial" w:cs="Arial" w:eastAsia="Arial" w:hAnsi="Arial"/>
          <w:sz w:val="22"/>
          <w:szCs w:val="22"/>
          <w:color w:val="auto"/>
        </w:rPr>
        <w:t>therefor, shall deliver such Collateral to the Collateral Agent or otherwise deal with such Collateral in accordance with the Collateral Agent’s instructions.</w:t>
      </w:r>
    </w:p>
    <w:p>
      <w:pPr>
        <w:spacing w:after="0" w:line="159"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9"/>
          <w:szCs w:val="19"/>
          <w:u w:val="single" w:color="auto"/>
          <w:color w:val="auto"/>
        </w:rPr>
        <w:t>Section 8.03 Exculpatory Provisions</w:t>
      </w:r>
      <w:r>
        <w:rPr>
          <w:rFonts w:ascii="Arial" w:cs="Arial" w:eastAsia="Arial" w:hAnsi="Arial"/>
          <w:sz w:val="19"/>
          <w:szCs w:val="19"/>
          <w:color w:val="auto"/>
        </w:rPr>
        <w:t xml:space="preserve">. The Administrative Agent and the Collateral Agent shall not have any duties or obligations except those expressly set forth herein and in the other Loan Documents. In performing its functions and duties hereunder, each Agent shall act solely as an agent of the Lenders and does not assume and shall not be deemed to have assumed any obligation towards or relationship of agency or trust with or for the Borrower or any of its Subsidiaries. Without limiting the generality of the foregoing the Administrative Agent and the Collateral Agent,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Administrative Agent or the Collateral Agent is required to exercise in writing as directed by the Required Lenders (or such other number or percentage of the Lenders as shall be expressly provided for herein or in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foreclosure, modification or termination of property of a Defaulting Lender under any Debtor Relief Law), and (c) shall not except as expressly set forth herein or in the other Loan Documents, have any duty to disclose, and shall not be liable to the Lenders for the failure to disclose, any information relating to any Holding Company, the Borrower or any Subsidiary that is communicated to or obtained by the bank serving as the Administrative Agent, Collateral Agent or any of their respective Affiliates in any capacity. The Administrative Agent and the Collateral Agent shall not be liable for any action taken or not taken by it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 9.02</w:t>
      </w:r>
      <w:r>
        <w:rPr>
          <w:rFonts w:ascii="Arial" w:cs="Arial" w:eastAsia="Arial" w:hAnsi="Arial"/>
          <w:sz w:val="19"/>
          <w:szCs w:val="19"/>
          <w:color w:val="auto"/>
        </w:rPr>
        <w:t>) or in the absence of its own gross negligence, breach of any Loan Documents or willful misconduct. The Administrative Agent and the Collateral Agent shall be deemed not to have knowledge of any Default unless and until written notice thereof is given to the Administrative Agent by the Borrower, a Lender or an Issuing Bank, and the Administrative Agent and the Collateral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w:t>
      </w:r>
    </w:p>
    <w:p>
      <w:pPr>
        <w:spacing w:after="0" w:line="1" w:lineRule="exact"/>
        <w:rPr>
          <w:sz w:val="20"/>
          <w:szCs w:val="20"/>
          <w:color w:val="auto"/>
        </w:rPr>
      </w:pPr>
    </w:p>
    <w:p>
      <w:pPr>
        <w:jc w:val="both"/>
        <w:ind w:firstLine="8"/>
        <w:spacing w:after="0" w:line="241" w:lineRule="auto"/>
        <w:tabs>
          <w:tab w:leader="none" w:pos="379" w:val="left"/>
        </w:tabs>
        <w:numPr>
          <w:ilvl w:val="0"/>
          <w:numId w:val="268"/>
        </w:numPr>
        <w:rPr>
          <w:rFonts w:ascii="Arial" w:cs="Arial" w:eastAsia="Arial" w:hAnsi="Arial"/>
          <w:sz w:val="19"/>
          <w:szCs w:val="19"/>
          <w:color w:val="auto"/>
        </w:rPr>
      </w:pPr>
      <w:r>
        <w:rPr>
          <w:rFonts w:ascii="Arial" w:cs="Arial" w:eastAsia="Arial" w:hAnsi="Arial"/>
          <w:sz w:val="19"/>
          <w:szCs w:val="19"/>
          <w:color w:val="auto"/>
        </w:rPr>
        <w:t xml:space="preserve">the performance or observance of any of the covenants, agreements or other terms or express conditions set forth in any Loan Document or the occurrence of any Default, (iv) the validity, enforceability, effectiveness or genuineness of this Agreement or any other Loan Document or any other agreement, instrument or document or the creation, perfection or priority of any Lien purported to be created by the Security Documents or that the Liens granted to the Collateral Agent pursuant to any Security Document have been properly or sufficiently or lawfully created, perfected, protected or enforced or are entitled to any particular priority, (v) the value or the sufficiency of any Collateral or (vi)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in any Loan Document, other than to confirm receipt of items expressly required to be delivered to such Agent. The Administrative Agent shall have no obligation to monitor whether any amendment or waiver to any Loan Document has properly become effective or is permitted hereunder or thereunder except to the extent expressly agreed to by the Administrative Agent in such amendment or waiver. Borrower acknowledges that each Agent and each Lender and their affiliates may have economic interests that conflict with those of the Borrower</w:t>
      </w:r>
      <w:r>
        <w:rPr>
          <w:rFonts w:ascii="Arial" w:cs="Arial" w:eastAsia="Arial" w:hAnsi="Arial"/>
          <w:sz w:val="19"/>
          <w:szCs w:val="19"/>
          <w:u w:val="single" w:color="auto"/>
          <w:color w:val="0000FF"/>
        </w:rPr>
        <w:t>.</w:t>
      </w:r>
    </w:p>
    <w:p>
      <w:pPr>
        <w:spacing w:after="0" w:line="161"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u w:val="single" w:color="auto"/>
          <w:color w:val="auto"/>
        </w:rPr>
        <w:t>Section 8.04 Reliance by Administrative Agent and Collateral Agent</w:t>
      </w:r>
      <w:r>
        <w:rPr>
          <w:rFonts w:ascii="Arial" w:cs="Arial" w:eastAsia="Arial" w:hAnsi="Arial"/>
          <w:sz w:val="22"/>
          <w:szCs w:val="22"/>
          <w:color w:val="auto"/>
        </w:rPr>
        <w:t>. Each of the Administrative Agent and the Collateral Agent shall be entitled to rely upon, and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48" w:name="page249"/>
    <w:bookmarkEnd w:id="248"/>
    <w:p>
      <w:pPr>
        <w:jc w:val="both"/>
        <w:spacing w:after="0" w:line="242" w:lineRule="auto"/>
        <w:rPr>
          <w:sz w:val="20"/>
          <w:szCs w:val="20"/>
          <w:color w:val="auto"/>
        </w:rPr>
      </w:pPr>
      <w:r>
        <w:rPr>
          <w:rFonts w:ascii="Arial" w:cs="Arial" w:eastAsia="Arial" w:hAnsi="Arial"/>
          <w:sz w:val="19"/>
          <w:szCs w:val="19"/>
          <w:color w:val="auto"/>
        </w:rPr>
        <w:t>incur any liability for relying upon, any notice, request, certificate, consent, statement, instrument, document or other writing (including any electronic message, Internet or intranet website posting or other distribution) believed by it in good faith to be genuine and to have been signed or sent or otherwise authenticated by the proper Person. Each of the Administrative Agent and the Collateral Agent also may rely upon any statement made to it orally or by telephone and believed by it in good faith to be made by the proper Person, and shall not incur any liability to the Lenders for relying thereon. Each of the Administrative Agent and the Collateral Agent may consult with legal counsel (who may be counsel for the Borrower), independent accountants and other experts selected by it, and shall not be liable for any action taken or not taken by it in accordance with the advice of any such counsel, accountants or experts. In determining compliance with any condition hereunder to the making of a Loan, or the issuance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w:t>
      </w:r>
    </w:p>
    <w:p>
      <w:pPr>
        <w:spacing w:after="0" w:line="385"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u w:val="single" w:color="auto"/>
          <w:color w:val="auto"/>
        </w:rPr>
        <w:t>Section 8.05 Delegation of Duties</w:t>
      </w:r>
      <w:r>
        <w:rPr>
          <w:rFonts w:ascii="Arial" w:cs="Arial" w:eastAsia="Arial" w:hAnsi="Arial"/>
          <w:sz w:val="19"/>
          <w:szCs w:val="19"/>
          <w:color w:val="auto"/>
        </w:rPr>
        <w:t xml:space="preserve">. Each of the Administrative Agent and the Collateral Agent may perform any and all of its duties and exercise its rights and powers hereunder or under any other Loan Documents by or through any one or more sub-agents appointed by the Administrative Agent. Each of the Administrative Agent and the Collateral Agent and any such sub-agent may perform any and all its duties and exercise its rights and powers by or through their respective Related Parties. The exculpatory provisions of this Article (and indemnification provisions of </w:t>
      </w:r>
      <w:r>
        <w:rPr>
          <w:rFonts w:ascii="Arial" w:cs="Arial" w:eastAsia="Arial" w:hAnsi="Arial"/>
          <w:sz w:val="19"/>
          <w:szCs w:val="19"/>
          <w:u w:val="single" w:color="auto"/>
          <w:color w:val="auto"/>
        </w:rPr>
        <w:t>Section 9.03(c)</w:t>
      </w:r>
      <w:r>
        <w:rPr>
          <w:rFonts w:ascii="Arial" w:cs="Arial" w:eastAsia="Arial" w:hAnsi="Arial"/>
          <w:sz w:val="19"/>
          <w:szCs w:val="19"/>
          <w:color w:val="auto"/>
        </w:rPr>
        <w:t>)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or Collateral Agent. Each party to this Agreement acknowledges and agrees that the Administrative Agent may from time to time use one or more outside service providers for the tracking of all UCC financing statements (and/or other collateral related filings and registrations from time to time) required to be filed or recorded pursuant to the Loan Documents and the notification to the Administrative Agent, of, among other things, the upcoming lapse or expiration thereof, and that each of such service providers will be deemed to be acting at the request and on behalf of Borrower and the other Loan Parties. No Agent shall be liable for any action taken or not taken by any such service provider. The Agents shall not be responsible for the negligence or misconduct of any sub-agent except to the extent that a court of competent jurisdiction determines in a final and nonappealable judgment that such Agent acted with gross negligence or willful misconduct in the selection of such sub-agent.</w:t>
      </w:r>
    </w:p>
    <w:p>
      <w:pPr>
        <w:spacing w:after="0" w:line="16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u w:val="single" w:color="auto"/>
          <w:color w:val="auto"/>
        </w:rPr>
        <w:t>Section 8.06 Resignation of Agents; Successor, Administrative Agent and Collateral Agent</w:t>
      </w:r>
      <w:r>
        <w:rPr>
          <w:rFonts w:ascii="Arial" w:cs="Arial" w:eastAsia="Arial" w:hAnsi="Arial"/>
          <w:sz w:val="19"/>
          <w:szCs w:val="19"/>
          <w:color w:val="auto"/>
        </w:rPr>
        <w:t xml:space="preserve">. The Administrative Agent and the Collateral Agent may at any time resign by giving thirty (30) days’ prior written notice of its resignation to the Lenders, the Issuing Banks and the Borrower. If the Administrative Agent is a Defaulting Lender pursuant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the definition of “Defaulting Lender” (for purposes of this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the definition of “Defaulting Lender” shall not include a direct or indirect parent company of the Administrative Agent), either the Required Lenders or the Borrower may upon thirty (30) days’ prior notice remove the Administrative Agent or the Collateral Agent, as the case may be. Upon receipt of any such notice of resignation or delivery of such removal notice, the Required Lenders shall have the right, with the consent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consent shall not be unreasonably withheld or delayed and that such consent shall not be required at any time that an Event of Default under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shall have occurred and be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or Collateral Agent, as applicable, gives notice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49" w:name="page250"/>
    <w:bookmarkEnd w:id="249"/>
    <w:p>
      <w:pPr>
        <w:jc w:val="both"/>
        <w:spacing w:after="0"/>
        <w:rPr>
          <w:sz w:val="20"/>
          <w:szCs w:val="20"/>
          <w:color w:val="auto"/>
        </w:rPr>
      </w:pPr>
      <w:r>
        <w:rPr>
          <w:rFonts w:ascii="Arial" w:cs="Arial" w:eastAsia="Arial" w:hAnsi="Arial"/>
          <w:sz w:val="19"/>
          <w:szCs w:val="19"/>
          <w:color w:val="auto"/>
        </w:rPr>
        <w:t xml:space="preserve">resignation or the delivery of such removal notice, then (a) in the case of a retirement, the retiring Administrative Agent may on behalf of the Lenders and the Issuing Banks, appoint a successor Administrative Agent or Collateral Agent, as applicable, meeting the qualifications set forth above (including the consent of the Borrower) or (b) in the case of a removal, the Borrower may, after consulting with the Required Lenders, appoint a successor Administrative Agent or Collateral Agent, as applicable, meeting the qualifications set forth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in the case of a retirement, if the Administrative Agent shall notify the Borrower and the Lenders that no qualifying Person has accepted such appointment or (y) in the case of a removal, the Required Lenders notify the Borrower that no qualifying Person has accepted such appointment, then, in each case, such resignation or removal shall nonetheless become effective in accordance with such notice and (i) the retiring or removed Administrative Agent or Collateral Agent, as applicable, shall be discharged from its duties and obligations hereunder and under the other Loan Documents (except that in the case of any collateral security held by the Administrative Agent or the Collateral Agent, as applicable, on behalf of the Lenders or the Issuing Banks under any of the Loan Documents, the retiring or removed Administrative Agent or Collateral Agent, as applicable, shall continue to hold such collateral security, as bailee, until such time as a successor Administrative Agent or Collateral Agent, as applicable, is appointed and, with respect to its rights and obligations under the Loan Documents, until such rights and obligations have been assigned to and assumed by the successor Administrative Agent or Collateral Agent), (ii) all payments, communications and determinations provided to be made by, to or through the Administrative Agent shall instead be made by or to each Lender and each of the Issuing Banks directly (and each Lender and each of the Issuing Banks will cooperate with the Borrower to enable the Borrower to take such actions), until such time as the Required Lenders or the Borrower, as applicable, appoint a successor Administrative Agent, as provided for above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8.06</w:t>
      </w:r>
      <w:r>
        <w:rPr>
          <w:rFonts w:ascii="Arial" w:cs="Arial" w:eastAsia="Arial" w:hAnsi="Arial"/>
          <w:sz w:val="19"/>
          <w:szCs w:val="19"/>
          <w:color w:val="auto"/>
        </w:rPr>
        <w:t xml:space="preserve"> and (iii) the Borrower and the Lenders agree that in no event shall the retiring Administrative Agent or Collateral Agent or any of their respective Affiliates or any of their respective officers, directors, employees, agents advisors or representatives have any liability to the Loan Parties, any Lender or any other Person or entity for damages of any kind, including direct or indirect, special, incidental or consequential damages, losses or expenses (whether in tort, contract or otherwise) arising out of the failure of a successor Administrative Agent or Collateral Agent to be appointed and to accept such appointment. Upon the acceptance of a successor’s appointment as Administrative Agent or Collateral Agent, as applicable hereunder, such successor shall succeed to and become vested with all of the rights, powers, privileges and duties of the retiring (or retired) Administrative Agent or Collateral Agent, as applicable, and the retiring Administrative Agent or Collateral Agent, as applicable, shall be discharged from all of its duties and obligations hereunder or under the other Loan Documents (if not already discharged therefrom as provided above in this Article). The fees payable by the Borrower to a successor Administrative Agent or Collateral Agent shall be the same as those payable to its predecessor unless otherwise agreed between the Borrower and such successor. After any retiring Administrative Agent’s resignation hereunder and under the other Loan Documents, the provisions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shall continue in effect for the benefit of such retiring Administrative Agent or Collateral Agent, its sub-agents and their respective Related Parties in respect of any actions taken or omitted to be taken by any of them while the retiring Administrative Agent or Collateral Agent was acting as Administrative Agent or Collateral Agent.</w:t>
      </w:r>
    </w:p>
    <w:p>
      <w:pPr>
        <w:spacing w:after="0" w:line="352"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Section 8.07 Non-Reliance on Agents and Other Lenders. Each Lender and each of the Issuing Banks acknowledges and agrees that the extensions of credit made hereunder are commercial loans and letters of credit and not investments in a business enterprise or securities. Each Lender and each of the Issuing Banks acknowledges that it has, independently and without reliance upon the Administrative Agent, the Collateral Agent or any other Lender or any of their Related Parties and based on such documents and information as it has deemed appropriate, conducted its own independent investigation of the financial condition and affairs of the Loan Parties and their Subsidiaries and made its own credit analysis and decision to 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-850265</wp:posOffset>
            </wp:positionV>
            <wp:extent cx="35826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3582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50" w:name="page251"/>
    <w:bookmarkEnd w:id="250"/>
    <w:p>
      <w:pPr>
        <w:jc w:val="both"/>
        <w:spacing w:after="0" w:line="247" w:lineRule="auto"/>
        <w:rPr>
          <w:sz w:val="20"/>
          <w:szCs w:val="20"/>
          <w:color w:val="auto"/>
        </w:rPr>
      </w:pPr>
      <w:r>
        <w:rPr>
          <w:rFonts w:ascii="Arial" w:cs="Arial" w:eastAsia="Arial" w:hAnsi="Arial"/>
          <w:sz w:val="19"/>
          <w:szCs w:val="19"/>
          <w:color w:val="auto"/>
        </w:rPr>
        <w:t>into this Agreement. Each Lender further represents and warrants that it has reviewed each document made available to it on the Platform in connection with this Agreement and has acknowledged and accepted the terms and conditions applicable to the recipients thereof (including any such terms and conditions set forth, or otherwise maintained, on the Platform with respect thereto). Each Lender and each of the Issuing Banks also acknowledges that it will, independently and without reliance upon the Administrative Agent, the Collateral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thereunder.</w:t>
      </w:r>
    </w:p>
    <w:p>
      <w:pPr>
        <w:spacing w:after="0" w:line="154"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u w:val="single" w:color="auto"/>
          <w:color w:val="auto"/>
        </w:rPr>
        <w:t>Section 8.08 No Other Duties</w:t>
      </w:r>
      <w:r>
        <w:rPr>
          <w:rFonts w:ascii="Arial" w:cs="Arial" w:eastAsia="Arial" w:hAnsi="Arial"/>
          <w:sz w:val="22"/>
          <w:szCs w:val="22"/>
          <w:color w:val="auto"/>
        </w:rPr>
        <w:t>. Notwithstanding anything herein to the contrary, none of the Agents, Joint Lead Arrangers or Joint Bookrunners listed on the cover page hereof shall have any powers, duties or responsibilities under any Loan Document, except in its capacity, as applicable, as an Administrative Agent, Collateral Agent, a Lender or an Issuing Bank hereunder.</w:t>
      </w:r>
    </w:p>
    <w:p>
      <w:pPr>
        <w:spacing w:after="0" w:line="161"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u w:val="single" w:color="auto"/>
          <w:color w:val="auto"/>
        </w:rPr>
        <w:t>Section 8.09 Collateral and Guaranty Matters</w:t>
      </w:r>
      <w:r>
        <w:rPr>
          <w:rFonts w:ascii="Arial" w:cs="Arial" w:eastAsia="Arial" w:hAnsi="Arial"/>
          <w:sz w:val="21"/>
          <w:szCs w:val="21"/>
          <w:color w:val="auto"/>
        </w:rPr>
        <w:t>. Each Lender hereby agrees, and each holder of any Note by the acceptance thereof will be deemed to agree, that, except as otherwise set forth herein, any action taken by the Required Lenders in accordance with the provisions of this Agreement or the Security Documents, and the exercise by the Required Lenders of the powers set forth herein or therein, together with such other powers as are reasonably incidental thereto, shall be authorized and binding upon all of the Lenders. Each of the Lenders, the Lender Counterparties and the Issuing Banks irrevocably authorize each of the Administrative Agent and the Collateral Agent:</w:t>
      </w:r>
    </w:p>
    <w:p>
      <w:pPr>
        <w:spacing w:after="0" w:line="160" w:lineRule="exact"/>
        <w:rPr>
          <w:sz w:val="20"/>
          <w:szCs w:val="20"/>
          <w:color w:val="auto"/>
        </w:rPr>
      </w:pPr>
    </w:p>
    <w:p>
      <w:pPr>
        <w:jc w:val="both"/>
        <w:ind w:firstLine="1304"/>
        <w:spacing w:after="0" w:line="242" w:lineRule="auto"/>
        <w:tabs>
          <w:tab w:leader="none" w:pos="1753" w:val="left"/>
        </w:tabs>
        <w:numPr>
          <w:ilvl w:val="0"/>
          <w:numId w:val="269"/>
        </w:numPr>
        <w:rPr>
          <w:rFonts w:ascii="Arial" w:cs="Arial" w:eastAsia="Arial" w:hAnsi="Arial"/>
          <w:sz w:val="19"/>
          <w:szCs w:val="19"/>
          <w:color w:val="auto"/>
        </w:rPr>
      </w:pPr>
      <w:r>
        <w:rPr>
          <w:rFonts w:ascii="Arial" w:cs="Arial" w:eastAsia="Arial" w:hAnsi="Arial"/>
          <w:sz w:val="19"/>
          <w:szCs w:val="19"/>
          <w:color w:val="auto"/>
        </w:rPr>
        <w:t xml:space="preserve">to release any Lien on any property granted to or held by the Administrative Agent or the Collateral Agent (or any sub-agent thereof) under any Loan Document (or to acknowledge that a Lien does exist on any property): (i) upon the Termination Date, (ii) that is (A) Securitization Assets or Receivables Assets sold or transferred (other than to a Loan Party) in connection with or as part of a Qualified Securitization Financing or a Receivables Facility (including any related bank accounts or collection accounts related thereto), in each case permitted pursuant to the terms of this Agreement or (B) sold or to be sold or transferred as part of or in connection with any sale or other transfer permitted hereunder or under any other Loan Document to a Person other than another Loan Party, in connection with any other sale or disposition resulting in any Collateral becoming Excluded Property, or in connection with the designation of any Restricted Subsidiary as an Unrestricted Subsidiary, (iii) that constitutes Excluded Property or other assets not required to be Collateral pursuant to the applicable Collateral Document (with respect to Holdings and Foreign Subsidiaries), (iv) if the property subject to such Lien is owned by a Loan Party, upon the release of such Loan Party from the applicable Guaranty otherwise in accordance with the Loan Documents, (v) as to the extent, if any, provided in the Security Documents or (vi) if approved, authorized or ratified in writing in accordance with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64" w:lineRule="exact"/>
        <w:rPr>
          <w:rFonts w:ascii="Arial" w:cs="Arial" w:eastAsia="Arial" w:hAnsi="Arial"/>
          <w:sz w:val="19"/>
          <w:szCs w:val="19"/>
          <w:color w:val="auto"/>
        </w:rPr>
      </w:pPr>
    </w:p>
    <w:p>
      <w:pPr>
        <w:ind w:firstLine="1304"/>
        <w:spacing w:after="0" w:line="298" w:lineRule="auto"/>
        <w:tabs>
          <w:tab w:leader="none" w:pos="1828" w:val="left"/>
        </w:tabs>
        <w:numPr>
          <w:ilvl w:val="0"/>
          <w:numId w:val="269"/>
        </w:numPr>
        <w:rPr>
          <w:rFonts w:ascii="Arial" w:cs="Arial" w:eastAsia="Arial" w:hAnsi="Arial"/>
          <w:sz w:val="19"/>
          <w:szCs w:val="19"/>
          <w:color w:val="auto"/>
        </w:rPr>
      </w:pPr>
      <w:r>
        <w:rPr>
          <w:rFonts w:ascii="Arial" w:cs="Arial" w:eastAsia="Arial" w:hAnsi="Arial"/>
          <w:sz w:val="19"/>
          <w:szCs w:val="19"/>
          <w:color w:val="auto"/>
        </w:rPr>
        <w:t>to release any Loan Party from its obligations under the applicable Guaranty if such Person ceases to be a Restricted Subsidiary (or becomes an Excluded Subsidiary) as a result of a transaction or designation permitted hereunder;</w:t>
      </w:r>
    </w:p>
    <w:p>
      <w:pPr>
        <w:spacing w:after="0" w:line="105" w:lineRule="exact"/>
        <w:rPr>
          <w:rFonts w:ascii="Arial" w:cs="Arial" w:eastAsia="Arial" w:hAnsi="Arial"/>
          <w:sz w:val="19"/>
          <w:szCs w:val="19"/>
          <w:color w:val="auto"/>
        </w:rPr>
      </w:pPr>
    </w:p>
    <w:p>
      <w:pPr>
        <w:jc w:val="both"/>
        <w:ind w:firstLine="1304"/>
        <w:spacing w:after="0" w:line="223" w:lineRule="auto"/>
        <w:tabs>
          <w:tab w:leader="none" w:pos="1842" w:val="left"/>
        </w:tabs>
        <w:numPr>
          <w:ilvl w:val="0"/>
          <w:numId w:val="269"/>
        </w:numPr>
        <w:rPr>
          <w:rFonts w:ascii="Arial" w:cs="Arial" w:eastAsia="Arial" w:hAnsi="Arial"/>
          <w:sz w:val="22"/>
          <w:szCs w:val="22"/>
          <w:color w:val="auto"/>
        </w:rPr>
      </w:pPr>
      <w:r>
        <w:rPr>
          <w:rFonts w:ascii="Arial" w:cs="Arial" w:eastAsia="Arial" w:hAnsi="Arial"/>
          <w:sz w:val="22"/>
          <w:szCs w:val="22"/>
          <w:color w:val="auto"/>
        </w:rPr>
        <w:t xml:space="preserve">to subordinate any Lien on any property granted to or held by the Administrative Agent or the Collateral Agent under any Loan Document to the holder of any Lien on such property that is permitted under </w:t>
      </w:r>
      <w:r>
        <w:rPr>
          <w:rFonts w:ascii="Arial" w:cs="Arial" w:eastAsia="Arial" w:hAnsi="Arial"/>
          <w:sz w:val="22"/>
          <w:szCs w:val="22"/>
          <w:u w:val="single" w:color="auto"/>
          <w:color w:val="auto"/>
        </w:rPr>
        <w:t>Section 6.02(d)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6.02(e)</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304"/>
        <w:spacing w:after="0" w:line="232" w:lineRule="auto"/>
        <w:tabs>
          <w:tab w:leader="none" w:pos="1951" w:val="left"/>
        </w:tabs>
        <w:numPr>
          <w:ilvl w:val="0"/>
          <w:numId w:val="269"/>
        </w:numPr>
        <w:rPr>
          <w:rFonts w:ascii="Arial" w:cs="Arial" w:eastAsia="Arial" w:hAnsi="Arial"/>
          <w:sz w:val="22"/>
          <w:szCs w:val="22"/>
          <w:color w:val="auto"/>
        </w:rPr>
      </w:pPr>
      <w:r>
        <w:rPr>
          <w:rFonts w:ascii="Arial" w:cs="Arial" w:eastAsia="Arial" w:hAnsi="Arial"/>
          <w:sz w:val="22"/>
          <w:szCs w:val="22"/>
          <w:color w:val="auto"/>
        </w:rPr>
        <w:t>to enter into subordination or intercreditor agreements with respect to Indebtedness to the extent the Collateral Agent is otherwise contemplated herein as being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51" w:name="page252"/>
    <w:bookmarkEnd w:id="251"/>
    <w:p>
      <w:pPr>
        <w:spacing w:after="0" w:line="232" w:lineRule="auto"/>
        <w:rPr>
          <w:sz w:val="20"/>
          <w:szCs w:val="20"/>
          <w:color w:val="auto"/>
        </w:rPr>
      </w:pPr>
      <w:r>
        <w:rPr>
          <w:rFonts w:ascii="Arial" w:cs="Arial" w:eastAsia="Arial" w:hAnsi="Arial"/>
          <w:sz w:val="22"/>
          <w:szCs w:val="22"/>
          <w:color w:val="auto"/>
        </w:rPr>
        <w:t>to such intercreditor or subordination agreement, including any Pari Passu Intercreditor Agreement or Second Lien Intercreditor Agreement; and</w:t>
      </w:r>
    </w:p>
    <w:p>
      <w:pPr>
        <w:spacing w:after="0" w:line="159" w:lineRule="exact"/>
        <w:rPr>
          <w:sz w:val="20"/>
          <w:szCs w:val="20"/>
          <w:color w:val="auto"/>
        </w:rPr>
      </w:pPr>
    </w:p>
    <w:p>
      <w:pPr>
        <w:ind w:firstLine="1304"/>
        <w:spacing w:after="0" w:line="232" w:lineRule="auto"/>
        <w:tabs>
          <w:tab w:leader="none" w:pos="1828"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to enter into and sign for and on behalf of the Lenders as Secured Parties the Security Documents for the benefit of the Lenders and the other Secured Parties.</w:t>
      </w:r>
    </w:p>
    <w:p>
      <w:pPr>
        <w:spacing w:after="0" w:line="159"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 xml:space="preserve">Upon request by the Administrative Agent or the Collateral Agent at any time, the Required Lenders (or such greater number of Lenders as may be required pursuant to </w:t>
      </w:r>
      <w:r>
        <w:rPr>
          <w:rFonts w:ascii="Arial" w:cs="Arial" w:eastAsia="Arial" w:hAnsi="Arial"/>
          <w:sz w:val="21"/>
          <w:szCs w:val="21"/>
          <w:u w:val="single" w:color="auto"/>
          <w:color w:val="auto"/>
        </w:rPr>
        <w:t>Section 9.02(b)(v)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(vi)</w:t>
      </w:r>
      <w:r>
        <w:rPr>
          <w:rFonts w:ascii="Arial" w:cs="Arial" w:eastAsia="Arial" w:hAnsi="Arial"/>
          <w:sz w:val="21"/>
          <w:szCs w:val="21"/>
          <w:color w:val="auto"/>
        </w:rPr>
        <w:t xml:space="preserve">) will confirm in writing the Administrative Agent’s or the Collateral Agent’s, as the case may be, authority to release or subordinate its interest in particular types or items of property, or to release any Loan Party from its obligations under the applicable Guaranty pursuant to this </w:t>
      </w:r>
      <w:r>
        <w:rPr>
          <w:rFonts w:ascii="Arial" w:cs="Arial" w:eastAsia="Arial" w:hAnsi="Arial"/>
          <w:sz w:val="21"/>
          <w:szCs w:val="21"/>
          <w:u w:val="single" w:color="auto"/>
          <w:color w:val="auto"/>
        </w:rPr>
        <w:t>Section 8.09</w:t>
      </w:r>
      <w:r>
        <w:rPr>
          <w:rFonts w:ascii="Arial" w:cs="Arial" w:eastAsia="Arial" w:hAnsi="Arial"/>
          <w:sz w:val="21"/>
          <w:szCs w:val="21"/>
          <w:color w:val="auto"/>
        </w:rPr>
        <w:t xml:space="preserve">. In each case as specified in this </w:t>
      </w:r>
      <w:r>
        <w:rPr>
          <w:rFonts w:ascii="Arial" w:cs="Arial" w:eastAsia="Arial" w:hAnsi="Arial"/>
          <w:sz w:val="21"/>
          <w:szCs w:val="21"/>
          <w:u w:val="single" w:color="auto"/>
          <w:color w:val="auto"/>
        </w:rPr>
        <w:t>Section 8.09</w:t>
      </w:r>
      <w:r>
        <w:rPr>
          <w:rFonts w:ascii="Arial" w:cs="Arial" w:eastAsia="Arial" w:hAnsi="Arial"/>
          <w:sz w:val="21"/>
          <w:szCs w:val="21"/>
          <w:color w:val="auto"/>
        </w:rPr>
        <w:t xml:space="preserve"> , the Administrative Agent and the Collateral Agent will (and each Lender hereby authorizes the Administrative Agent and the Collateral Agent to), at the Borrower’s expense, execute and deliver to the applicable Loan Party such documents as such Loan Party may reasonably request to evidence the release of such item of Collateral from the assignment and security interest granted under the Security Documents or to subordinate its interest in such item, or to release such Loan Party from its obligations under the applicable Guaranty, in each case in accordance with the terms of the Loan Documents and this </w:t>
      </w:r>
      <w:r>
        <w:rPr>
          <w:rFonts w:ascii="Arial" w:cs="Arial" w:eastAsia="Arial" w:hAnsi="Arial"/>
          <w:sz w:val="21"/>
          <w:szCs w:val="21"/>
          <w:u w:val="single" w:color="auto"/>
          <w:color w:val="auto"/>
        </w:rPr>
        <w:t>Section 8.09</w:t>
      </w:r>
      <w:r>
        <w:rPr>
          <w:rFonts w:ascii="Arial" w:cs="Arial" w:eastAsia="Arial" w:hAnsi="Arial"/>
          <w:sz w:val="21"/>
          <w:szCs w:val="21"/>
          <w:color w:val="auto"/>
        </w:rPr>
        <w:t>.</w:t>
      </w:r>
    </w:p>
    <w:p>
      <w:pPr>
        <w:spacing w:after="0" w:line="162"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u w:val="single" w:color="auto"/>
          <w:color w:val="auto"/>
        </w:rPr>
        <w:t>Section 8.10 Secured Swap Agents and Secured Cash Management Agents</w:t>
      </w:r>
      <w:r>
        <w:rPr>
          <w:rFonts w:ascii="Arial" w:cs="Arial" w:eastAsia="Arial" w:hAnsi="Arial"/>
          <w:sz w:val="21"/>
          <w:szCs w:val="21"/>
          <w:color w:val="auto"/>
        </w:rPr>
        <w:t xml:space="preserve">. No Lender Counterparty that obtains the benefits of the Security Agreement, the Guaranty or any Collateral by virtue of the provisions hereof or of any Guaranty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to the contrary, neither the Administrative Agent nor the Collateral Agent shall be required to verify the payment of, or that other satisfactory arrangements have been made with respect to, Secured Swap Obligations or Secured Cash Management Obligations arising under Secured Swap Agreements or Secured Cash Management Agreements with Lender Counterparties unless the Administrative Agent has received written notice of such Secured Obligations, together with such supporting documentation as the Administrative Agent may request, from the applicable Lender Counterparty.</w:t>
      </w:r>
    </w:p>
    <w:p>
      <w:pPr>
        <w:spacing w:after="0" w:line="168"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u w:val="single" w:color="auto"/>
          <w:color w:val="auto"/>
        </w:rPr>
        <w:t>Section 8.11 Withholding Tax</w:t>
      </w:r>
      <w:r>
        <w:rPr>
          <w:rFonts w:ascii="Arial" w:cs="Arial" w:eastAsia="Arial" w:hAnsi="Arial"/>
          <w:sz w:val="19"/>
          <w:szCs w:val="19"/>
          <w:color w:val="auto"/>
        </w:rPr>
        <w:t>. To the extent required by any applicable law (as determined in good faith by the Administrative Agent), the Administrative Agent may withhold from any payment to any Lender under any Loan Document an amount equivalent to any applicable withholding Tax. If the IRS or any other Governmental Authority of any jurisdiction asserts a claim that an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or is otherwise required to pay any Indemnified Tax attributable to such Lender, any Excluded Tax attributable to such Lender or any Tax attributable to such Lender’s failure to comply with its obligations relating to the maintenance of a Participant Register, such Lender shall indemnify the Administrative Agent (to the extent that the Administrative Agent has not already been reimbursed by the Loan Parties and without limiting the obligation of the Loan Parties to do so) fully for, and shall make payable in respect thereof within ten (10) days after demand therefor, all amounts paid, directly or indirectly, by the Administrative Agent as Tax or otherwise, including penalties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52" w:name="page253"/>
    <w:bookmarkEnd w:id="252"/>
    <w:p>
      <w:pPr>
        <w:jc w:val="both"/>
        <w:spacing w:after="0" w:line="252" w:lineRule="auto"/>
        <w:rPr>
          <w:sz w:val="20"/>
          <w:szCs w:val="20"/>
          <w:color w:val="auto"/>
        </w:rPr>
      </w:pPr>
      <w:r>
        <w:rPr>
          <w:rFonts w:ascii="Arial" w:cs="Arial" w:eastAsia="Arial" w:hAnsi="Arial"/>
          <w:sz w:val="19"/>
          <w:szCs w:val="19"/>
          <w:color w:val="auto"/>
        </w:rPr>
        <w:t xml:space="preserve">the Administrative Agent to set off and apply any and all amounts at any time owing to such Lender under this Agreement or any other Loan Document against any amount due the Administrative Agent under this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The agreements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8.11</w:t>
      </w:r>
      <w:r>
        <w:rPr>
          <w:rFonts w:ascii="Arial" w:cs="Arial" w:eastAsia="Arial" w:hAnsi="Arial"/>
          <w:sz w:val="19"/>
          <w:szCs w:val="19"/>
          <w:color w:val="auto"/>
        </w:rPr>
        <w:t xml:space="preserve"> shall survive the resignation and/or replacement of the Administrative Agent, any assignment of rights by, or the replacement of, a Lender, the termination of the Commitments and the repayment, satisfaction or discharge of all other Obligations. For purposes of this </w:t>
      </w:r>
      <w:r>
        <w:rPr>
          <w:rFonts w:ascii="Arial" w:cs="Arial" w:eastAsia="Arial" w:hAnsi="Arial"/>
          <w:sz w:val="19"/>
          <w:szCs w:val="19"/>
          <w:u w:val="single" w:color="auto"/>
          <w:color w:val="auto"/>
        </w:rPr>
        <w:t>Section 8.11</w:t>
      </w:r>
      <w:r>
        <w:rPr>
          <w:rFonts w:ascii="Arial" w:cs="Arial" w:eastAsia="Arial" w:hAnsi="Arial"/>
          <w:sz w:val="19"/>
          <w:szCs w:val="19"/>
          <w:color w:val="auto"/>
        </w:rPr>
        <w:t>, the term “Lender” includes any Issuing Bank.</w:t>
      </w:r>
    </w:p>
    <w:p>
      <w:pPr>
        <w:spacing w:after="0" w:line="149"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u w:val="single" w:color="auto"/>
          <w:color w:val="auto"/>
        </w:rPr>
        <w:t>Section 8.12 Administrative Agent and Collateral Agent May File Proofs of Claim</w:t>
      </w:r>
      <w:r>
        <w:rPr>
          <w:rFonts w:ascii="Arial" w:cs="Arial" w:eastAsia="Arial" w:hAnsi="Arial"/>
          <w:sz w:val="22"/>
          <w:szCs w:val="22"/>
          <w:color w:val="auto"/>
        </w:rPr>
        <w:t>. In case of the pendency of any receivership, examinership, insolvency, liquidation, bankruptcy, reorganization, arrangement, adjustment or composition under any Debtor Relief Law or any other judicial proceeding relative to any Loan Party, the Administrative Agent and the Collateral Agent (irrespective of whether the principal of any Loan or LC Exposure shall then be due and payable as herein expressed or by declaration or otherwise and irrespective of whether the Administrative Agent or the Collateral Agent shall have made any demand on the Borrower) shall be entitled and empowered (but not obligated), by intervention in such proceeding or otherwise:</w:t>
      </w:r>
    </w:p>
    <w:p>
      <w:pPr>
        <w:spacing w:after="0" w:line="164" w:lineRule="exact"/>
        <w:rPr>
          <w:sz w:val="20"/>
          <w:szCs w:val="20"/>
          <w:color w:val="auto"/>
        </w:rPr>
      </w:pPr>
    </w:p>
    <w:p>
      <w:pPr>
        <w:jc w:val="both"/>
        <w:ind w:firstLine="1304"/>
        <w:spacing w:after="0" w:line="247" w:lineRule="auto"/>
        <w:tabs>
          <w:tab w:leader="none" w:pos="1848"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amount of the principal and interest owing and unpaid in respect of the Loans, LC Exposures and all other Obligations, in each case, that are owing and unpaid by such Loan Party and to file such other documents as may be necessary or advisable in order to have such claims of the Lenders, the Issuing Banks, the Administrative Agent and the Collateral Agent (including any claim for the reasonable compensation, expenses, disbursements and advances of the Lenders, the Issuing Banks, the Administrative Agent and the Collateral Agent and their respective agents and counsel and all other amounts due the Lenders, the Issuing Banks, the Administrative Agent and the Collateral Agent under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which are payable by such Loan Party) allowed in such judicial proceeding;</w:t>
      </w:r>
    </w:p>
    <w:p>
      <w:pPr>
        <w:spacing w:after="0" w:line="153" w:lineRule="exact"/>
        <w:rPr>
          <w:rFonts w:ascii="Arial" w:cs="Arial" w:eastAsia="Arial" w:hAnsi="Arial"/>
          <w:sz w:val="19"/>
          <w:szCs w:val="19"/>
          <w:color w:val="auto"/>
        </w:rPr>
      </w:pPr>
    </w:p>
    <w:p>
      <w:pPr>
        <w:ind w:firstLine="1304"/>
        <w:spacing w:after="0" w:line="232" w:lineRule="auto"/>
        <w:tabs>
          <w:tab w:leader="none" w:pos="1916" w:val="left"/>
        </w:tabs>
        <w:numPr>
          <w:ilvl w:val="0"/>
          <w:numId w:val="271"/>
        </w:numPr>
        <w:rPr>
          <w:rFonts w:ascii="Arial" w:cs="Arial" w:eastAsia="Arial" w:hAnsi="Arial"/>
          <w:sz w:val="22"/>
          <w:szCs w:val="22"/>
          <w:color w:val="auto"/>
        </w:rPr>
      </w:pPr>
      <w:r>
        <w:rPr>
          <w:rFonts w:ascii="Arial" w:cs="Arial" w:eastAsia="Arial" w:hAnsi="Arial"/>
          <w:sz w:val="22"/>
          <w:szCs w:val="22"/>
          <w:color w:val="auto"/>
        </w:rPr>
        <w:t>to collect and receive any monies or other property payable or deliverable on any such claims and to distribute the same; and</w:t>
      </w:r>
    </w:p>
    <w:p>
      <w:pPr>
        <w:spacing w:after="0" w:line="158" w:lineRule="exact"/>
        <w:rPr>
          <w:rFonts w:ascii="Arial" w:cs="Arial" w:eastAsia="Arial" w:hAnsi="Arial"/>
          <w:sz w:val="22"/>
          <w:szCs w:val="22"/>
          <w:color w:val="auto"/>
        </w:rPr>
      </w:pPr>
    </w:p>
    <w:p>
      <w:pPr>
        <w:jc w:val="both"/>
        <w:ind w:firstLine="1304"/>
        <w:spacing w:after="0" w:line="247" w:lineRule="auto"/>
        <w:tabs>
          <w:tab w:leader="none" w:pos="2057"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any custodian, receiver, interim receiver, receiver-manager, examiner, assignee, trustee, liquidator, sequestrator, examiner or other similar official in any such judicial proceeding is hereby authorized by each Lender and each of the Issuing Banks to make such payments to the Administrative Agent and, if the Administrative Agent shall consent, to the making of such payments directly to the Lenders and the Issuing Banks, to pay to the Administrative Agent (and Lenders and Issuing Banks, as applicable) any amount due for the reasonable compensation, expenses, disbursements and advances of the Administrative Agent and its agents and counsel, and any other amounts due the Administrative Agent under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in each case reimbursable or payable by such Loan Party.</w:t>
      </w:r>
    </w:p>
    <w:p>
      <w:pPr>
        <w:spacing w:after="0" w:line="154"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Nothing contained herein shall be deemed to authorize the Administrative Agent or the Collateral Agent to authorize or consent to or accept or adopt on behalf of any Lender or any Issuing Bank any plan of reorganization, arrangement, adjustment or composition affecting the Obligations or the rights of any Lender or any Issuing Bank to authorize the Administrative Agent or the Collateral Agent to vote in respect of the claim of any Lender or any Issuing Bank or in any such proceeding, in each case subject to Section 14(d) of the Security Agreement. To the extent that the payment of any such compensation, expenses, disbursements and advances of the Administrative Agent, its agents and counsel, and any other amounts due the Administrative Agent under this Agreement out of the estate in any such proceeding, shall be denied for any reason, payment of the same shall be secured by a Lien on, and shall be paid out of, any and all distributions, dividends, money, securities and other properties that the Lenders may be entitled to receive in such proceeding whether in liquidation or under any plan of reorganization or arrangement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53" w:name="page254"/>
    <w:bookmarkEnd w:id="253"/>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8.13</w:t>
      </w:r>
      <w:r>
        <w:rPr>
          <w:sz w:val="20"/>
          <w:szCs w:val="20"/>
          <w:color w:val="auto"/>
        </w:rPr>
        <w:tab/>
      </w:r>
      <w:r>
        <w:rPr>
          <w:rFonts w:ascii="Arial" w:cs="Arial" w:eastAsia="Arial" w:hAnsi="Arial"/>
          <w:sz w:val="19"/>
          <w:szCs w:val="19"/>
          <w:u w:val="single" w:color="auto"/>
          <w:color w:val="auto"/>
        </w:rPr>
        <w:t>Lender ERISA Representations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6" w:lineRule="auto"/>
        <w:tabs>
          <w:tab w:leader="none" w:pos="1755" w:val="left"/>
        </w:tabs>
        <w:numPr>
          <w:ilvl w:val="0"/>
          <w:numId w:val="272"/>
        </w:numPr>
        <w:rPr>
          <w:rFonts w:ascii="Arial" w:cs="Arial" w:eastAsia="Arial" w:hAnsi="Arial"/>
          <w:sz w:val="22"/>
          <w:szCs w:val="22"/>
          <w:color w:val="auto"/>
        </w:rPr>
      </w:pPr>
      <w:r>
        <w:rPr>
          <w:rFonts w:ascii="Arial" w:cs="Arial" w:eastAsia="Arial" w:hAnsi="Arial"/>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 or any other Loan Party, that at least one of the following is and will be true:</w:t>
      </w:r>
    </w:p>
    <w:p>
      <w:pPr>
        <w:spacing w:after="0" w:line="158" w:lineRule="exact"/>
        <w:rPr>
          <w:sz w:val="20"/>
          <w:szCs w:val="20"/>
          <w:color w:val="auto"/>
        </w:rPr>
      </w:pPr>
    </w:p>
    <w:p>
      <w:pPr>
        <w:jc w:val="both"/>
        <w:ind w:left="660" w:firstLine="644"/>
        <w:spacing w:after="0" w:line="223" w:lineRule="auto"/>
        <w:tabs>
          <w:tab w:leader="none" w:pos="1736" w:val="left"/>
        </w:tabs>
        <w:numPr>
          <w:ilvl w:val="0"/>
          <w:numId w:val="273"/>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58" w:lineRule="exact"/>
        <w:rPr>
          <w:rFonts w:ascii="Arial" w:cs="Arial" w:eastAsia="Arial" w:hAnsi="Arial"/>
          <w:sz w:val="22"/>
          <w:szCs w:val="22"/>
          <w:color w:val="auto"/>
        </w:rPr>
      </w:pPr>
    </w:p>
    <w:p>
      <w:pPr>
        <w:jc w:val="both"/>
        <w:ind w:left="660" w:firstLine="644"/>
        <w:spacing w:after="0" w:line="247" w:lineRule="auto"/>
        <w:tabs>
          <w:tab w:leader="none" w:pos="1837" w:val="left"/>
        </w:tabs>
        <w:numPr>
          <w:ilvl w:val="0"/>
          <w:numId w:val="273"/>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3" w:lineRule="exact"/>
        <w:rPr>
          <w:rFonts w:ascii="Arial" w:cs="Arial" w:eastAsia="Arial" w:hAnsi="Arial"/>
          <w:sz w:val="19"/>
          <w:szCs w:val="19"/>
          <w:color w:val="auto"/>
        </w:rPr>
      </w:pPr>
    </w:p>
    <w:p>
      <w:pPr>
        <w:jc w:val="both"/>
        <w:ind w:left="660" w:firstLine="644"/>
        <w:spacing w:after="0" w:line="246" w:lineRule="auto"/>
        <w:tabs>
          <w:tab w:leader="none" w:pos="191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2" w:lineRule="exact"/>
        <w:rPr>
          <w:rFonts w:ascii="Arial" w:cs="Arial" w:eastAsia="Arial" w:hAnsi="Arial"/>
          <w:sz w:val="19"/>
          <w:szCs w:val="19"/>
          <w:color w:val="auto"/>
        </w:rPr>
      </w:pPr>
    </w:p>
    <w:p>
      <w:pPr>
        <w:ind w:left="660" w:firstLine="644"/>
        <w:spacing w:after="0" w:line="232" w:lineRule="auto"/>
        <w:tabs>
          <w:tab w:leader="none" w:pos="1899" w:val="left"/>
        </w:tabs>
        <w:numPr>
          <w:ilvl w:val="0"/>
          <w:numId w:val="273"/>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59" w:lineRule="exact"/>
        <w:rPr>
          <w:sz w:val="20"/>
          <w:szCs w:val="20"/>
          <w:color w:val="auto"/>
        </w:rPr>
      </w:pPr>
    </w:p>
    <w:p>
      <w:pPr>
        <w:jc w:val="both"/>
        <w:ind w:firstLine="1304"/>
        <w:spacing w:after="0" w:line="244" w:lineRule="auto"/>
        <w:tabs>
          <w:tab w:leader="none" w:pos="1814" w:val="left"/>
        </w:tabs>
        <w:numPr>
          <w:ilvl w:val="0"/>
          <w:numId w:val="274"/>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 or any other Loan Party, that none of the Administrative Agent, the Joint Lead Arrangers nor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54" w:name="page255"/>
    <w:bookmarkEnd w:id="254"/>
    <w:p>
      <w:pPr>
        <w:ind w:left="5040"/>
        <w:spacing w:after="0"/>
        <w:rPr>
          <w:sz w:val="20"/>
          <w:szCs w:val="20"/>
          <w:color w:val="auto"/>
        </w:rPr>
      </w:pPr>
      <w:r>
        <w:rPr>
          <w:rFonts w:ascii="Arial" w:cs="Arial" w:eastAsia="Arial" w:hAnsi="Arial"/>
          <w:sz w:val="22"/>
          <w:szCs w:val="22"/>
          <w:color w:val="auto"/>
        </w:rPr>
        <w:t>ARTICLE IX</w:t>
      </w:r>
    </w:p>
    <w:p>
      <w:pPr>
        <w:ind w:left="5000"/>
        <w:spacing w:after="0"/>
        <w:rPr>
          <w:sz w:val="20"/>
          <w:szCs w:val="20"/>
          <w:color w:val="auto"/>
        </w:rPr>
      </w:pPr>
      <w:r>
        <w:rPr>
          <w:rFonts w:ascii="Arial" w:cs="Arial" w:eastAsia="Arial" w:hAnsi="Arial"/>
          <w:sz w:val="22"/>
          <w:szCs w:val="22"/>
          <w:u w:val="single" w:color="auto"/>
          <w:color w:val="auto"/>
        </w:rPr>
        <w:t>Miscellaneous</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auto"/>
        </w:rPr>
        <w:t>Section 9.01 Notices</w:t>
      </w:r>
      <w:r>
        <w:rPr>
          <w:rFonts w:ascii="Arial" w:cs="Arial" w:eastAsia="Arial" w:hAnsi="Arial"/>
          <w:sz w:val="22"/>
          <w:szCs w:val="22"/>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facsimile, as follows:</w:t>
      </w:r>
    </w:p>
    <w:p>
      <w:pPr>
        <w:spacing w:after="0" w:line="159" w:lineRule="exact"/>
        <w:rPr>
          <w:sz w:val="20"/>
          <w:szCs w:val="20"/>
          <w:color w:val="auto"/>
        </w:rPr>
      </w:pPr>
    </w:p>
    <w:p>
      <w:pPr>
        <w:jc w:val="both"/>
        <w:ind w:firstLine="1304"/>
        <w:spacing w:after="0" w:line="214" w:lineRule="auto"/>
        <w:tabs>
          <w:tab w:leader="none" w:pos="176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if to the Borrower or any Loan Party, to it (a) c/o Francisco Partners, One Letterman Drive, Building C, Suite 410, San Francisco, CA 94120, Attention of Chris Adams (E-mail: ), Adam Solomon (E-mail: ) and Megan Karlen (E-mail: ) and copies to Kirkland &amp; Ellis LLP, 555 California St., San Francisco, CA 94104, Attention: Christopher Kirkham, P.C. (Facsimile No. ) and (b) c/o Silver Lake Partners, 2775 Sand Hill Road, Suite 100, Menlo Park, CA 94025, Attention: Andrew J. Schader (E-mail: ) and copies to Ropes &amp; Gray LLP, Prudential Tower, 800 Boylston Street, Boston, MA 02199-3600, Attention: Byung Choi (Facsimile No. );</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if to the Administrative Agent, to it at the following address:</w:t>
      </w:r>
    </w:p>
    <w:p>
      <w:pPr>
        <w:spacing w:after="0" w:line="160"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Barclays Bank PLC</w:t>
      </w:r>
    </w:p>
    <w:p>
      <w:pPr>
        <w:ind w:left="2160"/>
        <w:spacing w:after="0" w:line="204" w:lineRule="auto"/>
        <w:rPr>
          <w:sz w:val="20"/>
          <w:szCs w:val="20"/>
          <w:color w:val="auto"/>
        </w:rPr>
      </w:pPr>
      <w:r>
        <w:rPr>
          <w:rFonts w:ascii="Arial" w:cs="Arial" w:eastAsia="Arial" w:hAnsi="Arial"/>
          <w:sz w:val="22"/>
          <w:szCs w:val="22"/>
          <w:color w:val="auto"/>
        </w:rPr>
        <w:t>Street Address: 400 Jefferson Park</w:t>
      </w:r>
    </w:p>
    <w:p>
      <w:pPr>
        <w:ind w:left="2160"/>
        <w:spacing w:after="0" w:line="205" w:lineRule="auto"/>
        <w:rPr>
          <w:sz w:val="20"/>
          <w:szCs w:val="20"/>
          <w:color w:val="auto"/>
        </w:rPr>
      </w:pPr>
      <w:r>
        <w:rPr>
          <w:rFonts w:ascii="Arial" w:cs="Arial" w:eastAsia="Arial" w:hAnsi="Arial"/>
          <w:sz w:val="22"/>
          <w:szCs w:val="22"/>
          <w:color w:val="auto"/>
        </w:rPr>
        <w:t>City, State, Zip Code: Whippany, NJ 07987</w:t>
      </w:r>
    </w:p>
    <w:p>
      <w:pPr>
        <w:ind w:left="1960"/>
        <w:spacing w:after="0" w:line="205" w:lineRule="auto"/>
        <w:tabs>
          <w:tab w:leader="none" w:pos="2640" w:val="left"/>
        </w:tabs>
        <w:rPr>
          <w:sz w:val="20"/>
          <w:szCs w:val="20"/>
          <w:color w:val="auto"/>
        </w:rPr>
      </w:pPr>
      <w:r>
        <w:rPr>
          <w:rFonts w:ascii="Arial" w:cs="Arial" w:eastAsia="Arial" w:hAnsi="Arial"/>
          <w:sz w:val="22"/>
          <w:szCs w:val="22"/>
          <w:color w:val="auto"/>
        </w:rPr>
        <w:t>Attn:</w:t>
        <w:tab/>
        <w:t>Grace Pascocello</w:t>
      </w:r>
    </w:p>
    <w:p>
      <w:pPr>
        <w:ind w:left="1960"/>
        <w:spacing w:after="0" w:line="205" w:lineRule="auto"/>
        <w:rPr>
          <w:sz w:val="20"/>
          <w:szCs w:val="20"/>
          <w:color w:val="auto"/>
        </w:rPr>
      </w:pPr>
      <w:r>
        <w:rPr>
          <w:rFonts w:ascii="Arial" w:cs="Arial" w:eastAsia="Arial" w:hAnsi="Arial"/>
          <w:sz w:val="22"/>
          <w:szCs w:val="22"/>
          <w:color w:val="auto"/>
        </w:rPr>
        <w:t>Phone:</w:t>
      </w:r>
    </w:p>
    <w:p>
      <w:pPr>
        <w:ind w:left="1960"/>
        <w:spacing w:after="0" w:line="205" w:lineRule="auto"/>
        <w:rPr>
          <w:sz w:val="20"/>
          <w:szCs w:val="20"/>
          <w:color w:val="auto"/>
        </w:rPr>
      </w:pPr>
      <w:r>
        <w:rPr>
          <w:rFonts w:ascii="Arial" w:cs="Arial" w:eastAsia="Arial" w:hAnsi="Arial"/>
          <w:sz w:val="22"/>
          <w:szCs w:val="22"/>
          <w:color w:val="auto"/>
        </w:rPr>
        <w:t>Fax:</w:t>
      </w:r>
    </w:p>
    <w:p>
      <w:pPr>
        <w:ind w:left="1960"/>
        <w:spacing w:after="0" w:line="205" w:lineRule="auto"/>
        <w:rPr>
          <w:sz w:val="20"/>
          <w:szCs w:val="20"/>
          <w:color w:val="auto"/>
        </w:rPr>
      </w:pPr>
      <w:r>
        <w:rPr>
          <w:rFonts w:ascii="Arial" w:cs="Arial" w:eastAsia="Arial" w:hAnsi="Arial"/>
          <w:sz w:val="22"/>
          <w:szCs w:val="22"/>
          <w:color w:val="auto"/>
        </w:rPr>
        <w:t>E-Mail Address:</w:t>
      </w:r>
    </w:p>
    <w:p>
      <w:pPr>
        <w:spacing w:after="0" w:line="1" w:lineRule="exact"/>
        <w:rPr>
          <w:sz w:val="20"/>
          <w:szCs w:val="20"/>
          <w:color w:val="auto"/>
        </w:rPr>
      </w:pPr>
    </w:p>
    <w:p>
      <w:pPr>
        <w:ind w:left="1960" w:right="200"/>
        <w:spacing w:after="0" w:line="204" w:lineRule="auto"/>
        <w:rPr>
          <w:sz w:val="20"/>
          <w:szCs w:val="20"/>
          <w:color w:val="auto"/>
        </w:rPr>
      </w:pPr>
      <w:r>
        <w:rPr>
          <w:rFonts w:ascii="Arial" w:cs="Arial" w:eastAsia="Arial" w:hAnsi="Arial"/>
          <w:sz w:val="22"/>
          <w:szCs w:val="22"/>
          <w:color w:val="auto"/>
        </w:rPr>
        <w:t>if to an Issuing Bank, to it at the address or facsimile number set forth separately in writing and delivered to the Borrower and the Administrative Agent;</w:t>
      </w:r>
    </w:p>
    <w:p>
      <w:pPr>
        <w:spacing w:after="0" w:line="2" w:lineRule="exact"/>
        <w:rPr>
          <w:sz w:val="20"/>
          <w:szCs w:val="20"/>
          <w:color w:val="auto"/>
        </w:rPr>
      </w:pPr>
    </w:p>
    <w:p>
      <w:pPr>
        <w:ind w:firstLine="1304"/>
        <w:spacing w:after="0" w:line="224" w:lineRule="auto"/>
        <w:tabs>
          <w:tab w:leader="none" w:pos="1895" w:val="left"/>
        </w:tabs>
        <w:numPr>
          <w:ilvl w:val="0"/>
          <w:numId w:val="276"/>
        </w:numPr>
        <w:rPr>
          <w:rFonts w:ascii="Arial" w:cs="Arial" w:eastAsia="Arial" w:hAnsi="Arial"/>
          <w:sz w:val="22"/>
          <w:szCs w:val="22"/>
          <w:color w:val="auto"/>
        </w:rPr>
      </w:pPr>
      <w:r>
        <w:rPr>
          <w:rFonts w:ascii="Arial" w:cs="Arial" w:eastAsia="Arial" w:hAnsi="Arial"/>
          <w:sz w:val="22"/>
          <w:szCs w:val="22"/>
          <w:color w:val="auto"/>
        </w:rPr>
        <w:t>if to the Swingline Lender, to it at the address or facsimile number set forth separately in writing and delivered to the Borrower and the Administrative Agent; and</w:t>
      </w:r>
    </w:p>
    <w:p>
      <w:pPr>
        <w:spacing w:after="0" w:line="157" w:lineRule="exact"/>
        <w:rPr>
          <w:rFonts w:ascii="Arial" w:cs="Arial" w:eastAsia="Arial" w:hAnsi="Arial"/>
          <w:sz w:val="22"/>
          <w:szCs w:val="22"/>
          <w:color w:val="auto"/>
        </w:rPr>
      </w:pPr>
    </w:p>
    <w:p>
      <w:pPr>
        <w:ind w:left="1780" w:hanging="476"/>
        <w:spacing w:after="0"/>
        <w:tabs>
          <w:tab w:leader="none" w:pos="178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if to any other Lender, to it at its address (or facsimile number) set forth in its Administrative Questionnaire.</w:t>
      </w:r>
    </w:p>
    <w:p>
      <w:pPr>
        <w:spacing w:after="0" w:line="214"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 xml:space="preserve">Any party hereto may change its address or facsimile number for notices and other communications hereunder by notice to the other parties hereto. Subject to </w:t>
      </w:r>
      <w:r>
        <w:rPr>
          <w:rFonts w:ascii="Arial" w:cs="Arial" w:eastAsia="Arial" w:hAnsi="Arial"/>
          <w:sz w:val="19"/>
          <w:szCs w:val="19"/>
          <w:u w:val="single" w:color="auto"/>
          <w:color w:val="auto"/>
        </w:rPr>
        <w:t>Section 9.15</w:t>
      </w:r>
      <w:r>
        <w:rPr>
          <w:rFonts w:ascii="Arial" w:cs="Arial" w:eastAsia="Arial" w:hAnsi="Arial"/>
          <w:sz w:val="19"/>
          <w:szCs w:val="19"/>
          <w:color w:val="auto"/>
        </w:rPr>
        <w:t xml:space="preserve">, notices and other communications to the Lenders and the Issuing Banks hereunder may also be delivered or furnished by electronic communication (including e-mail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any Issuing Bank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such Issuing Bank, as applicable,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 All notices and other communications given to any party hereto in accordance with the provisions of this Agreement shall be deemed to have been given on the date of receipt.</w:t>
      </w:r>
    </w:p>
    <w:p>
      <w:pPr>
        <w:spacing w:after="0" w:line="15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u w:val="single" w:color="auto"/>
          <w:color w:val="auto"/>
        </w:rPr>
        <w:t>Section 9.02 Waivers; Amendments</w:t>
      </w:r>
      <w:r>
        <w:rPr>
          <w:rFonts w:ascii="Arial" w:cs="Arial" w:eastAsia="Arial" w:hAnsi="Arial"/>
          <w:sz w:val="22"/>
          <w:szCs w:val="22"/>
          <w:color w:val="auto"/>
        </w:rPr>
        <w:t>. (a) 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382" w:right="339" w:bottom="1440" w:gutter="0" w:footer="0" w:header="0"/>
        </w:sectPr>
      </w:pPr>
    </w:p>
    <w:bookmarkStart w:id="255" w:name="page256"/>
    <w:bookmarkEnd w:id="255"/>
    <w:p>
      <w:pPr>
        <w:jc w:val="both"/>
        <w:spacing w:after="0" w:line="221" w:lineRule="auto"/>
        <w:rPr>
          <w:sz w:val="20"/>
          <w:szCs w:val="20"/>
          <w:color w:val="auto"/>
        </w:rPr>
      </w:pPr>
      <w:r>
        <w:rPr>
          <w:rFonts w:ascii="Arial" w:cs="Arial" w:eastAsia="Arial" w:hAnsi="Arial"/>
          <w:sz w:val="21"/>
          <w:szCs w:val="21"/>
          <w:color w:val="auto"/>
        </w:rPr>
        <w:t xml:space="preserve">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in any case shall entitle the Borrower to any other or further notice or demand in similar or other circumstances.</w:t>
      </w:r>
    </w:p>
    <w:p>
      <w:pPr>
        <w:spacing w:after="0" w:line="165" w:lineRule="exact"/>
        <w:rPr>
          <w:sz w:val="20"/>
          <w:szCs w:val="20"/>
          <w:color w:val="auto"/>
        </w:rPr>
      </w:pPr>
    </w:p>
    <w:p>
      <w:pPr>
        <w:jc w:val="both"/>
        <w:ind w:firstLine="1304"/>
        <w:spacing w:after="0" w:line="239" w:lineRule="auto"/>
        <w:tabs>
          <w:tab w:leader="none" w:pos="1824" w:val="left"/>
        </w:tabs>
        <w:numPr>
          <w:ilvl w:val="1"/>
          <w:numId w:val="277"/>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with respect to any Incremental Credit Facility Amendment,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2.21</w:t>
      </w:r>
      <w:r>
        <w:rPr>
          <w:rFonts w:ascii="Arial" w:cs="Arial" w:eastAsia="Arial" w:hAnsi="Arial"/>
          <w:sz w:val="19"/>
          <w:szCs w:val="19"/>
          <w:color w:val="auto"/>
        </w:rPr>
        <w:t xml:space="preserve"> with respect to any Refinancing Amendment, in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with respect to an Extension Offer, in connection with the Term Loan Exchange Notes, in </w:t>
      </w:r>
      <w:r>
        <w:rPr>
          <w:rFonts w:ascii="Arial" w:cs="Arial" w:eastAsia="Arial" w:hAnsi="Arial"/>
          <w:sz w:val="19"/>
          <w:szCs w:val="19"/>
          <w:u w:val="single" w:color="auto"/>
          <w:color w:val="auto"/>
        </w:rPr>
        <w:t>Section 9.02(d)</w:t>
      </w:r>
      <w:r>
        <w:rPr>
          <w:rFonts w:ascii="Arial" w:cs="Arial" w:eastAsia="Arial" w:hAnsi="Arial"/>
          <w:sz w:val="19"/>
          <w:szCs w:val="19"/>
          <w:color w:val="auto"/>
        </w:rPr>
        <w:t xml:space="preserve"> with respect to any amendment in respect of Replacement Term Loans and in </w:t>
      </w:r>
      <w:r>
        <w:rPr>
          <w:rFonts w:ascii="Arial" w:cs="Arial" w:eastAsia="Arial" w:hAnsi="Arial"/>
          <w:sz w:val="19"/>
          <w:szCs w:val="19"/>
          <w:u w:val="single" w:color="auto"/>
          <w:color w:val="auto"/>
        </w:rPr>
        <w:t>Section 9.02(i)</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9.16</w:t>
      </w:r>
      <w:r>
        <w:rPr>
          <w:rFonts w:ascii="Arial" w:cs="Arial" w:eastAsia="Arial" w:hAnsi="Arial"/>
          <w:sz w:val="19"/>
          <w:szCs w:val="19"/>
          <w:color w:val="auto"/>
        </w:rPr>
        <w:t xml:space="preserve"> or as otherwise specifically provided below or otherwise provided herein or in a Loan Document, neither any Loan Document nor any provision thereof may be waived, amended or modified except, in the case of this Agreement, pursuant to an agreement or agreements in writing entered into by the Borrower and the Required Lenders or, in the case of any other Loan Document, pursuant to an agreement or agreements in writing entered into by the Administrative Agent and the Loan Party or Loan Parties that are parties thereto (except as otherwise expressly provided therein), in each case with the consent of the Required Lenders (other than with respect to any amendment, modification or waiver contemplated in </w:t>
      </w:r>
      <w:r>
        <w:rPr>
          <w:rFonts w:ascii="Arial" w:cs="Arial" w:eastAsia="Arial" w:hAnsi="Arial"/>
          <w:sz w:val="19"/>
          <w:szCs w:val="19"/>
          <w:u w:val="single" w:color="auto"/>
          <w:color w:val="auto"/>
        </w:rPr>
        <w:t>clauses (i)</w:t>
      </w:r>
      <w:r>
        <w:rPr>
          <w:rFonts w:ascii="Arial" w:cs="Arial" w:eastAsia="Arial" w:hAnsi="Arial"/>
          <w:sz w:val="19"/>
          <w:szCs w:val="19"/>
          <w:color w:val="auto"/>
        </w:rPr>
        <w:t>,</w:t>
      </w:r>
    </w:p>
    <w:p>
      <w:pPr>
        <w:spacing w:after="0" w:line="3" w:lineRule="exact"/>
        <w:rPr>
          <w:rFonts w:ascii="Arial" w:cs="Arial" w:eastAsia="Arial" w:hAnsi="Arial"/>
          <w:sz w:val="19"/>
          <w:szCs w:val="19"/>
          <w:color w:val="auto"/>
        </w:rPr>
      </w:pPr>
    </w:p>
    <w:p>
      <w:pPr>
        <w:jc w:val="both"/>
        <w:ind w:firstLine="8"/>
        <w:spacing w:after="0"/>
        <w:tabs>
          <w:tab w:leader="none" w:pos="332" w:val="left"/>
        </w:tabs>
        <w:numPr>
          <w:ilvl w:val="0"/>
          <w:numId w:val="278"/>
        </w:numPr>
        <w:rPr>
          <w:rFonts w:ascii="Arial" w:cs="Arial" w:eastAsia="Arial" w:hAnsi="Arial"/>
          <w:sz w:val="19"/>
          <w:szCs w:val="19"/>
          <w:u w:val="single" w:color="auto"/>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which shall require only the consent of the Lenders expressly set forth therein and not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 (i) increase the Commitment of any Lender without the written consent of such Lender (it being understood that a waiver of any condition precedent in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4.02 of this Agreement or the waiver of any covenant, Default, Event of Default or mandatory prepayment or reductions shall not constitute an increase of any Commitment of a Lender), (ii) reduce or forgive the principal amount of any Loan or LC Disbursement owed to a Lender or, subject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t>
      </w:r>
      <w:r>
        <w:rPr>
          <w:rFonts w:ascii="Arial" w:cs="Arial" w:eastAsia="Arial" w:hAnsi="Arial"/>
          <w:sz w:val="19"/>
          <w:szCs w:val="19"/>
          <w:color w:val="0000FF"/>
        </w:rPr>
        <w:t>and the proviso in the definition of “Term SOFR”</w:t>
      </w:r>
      <w:r>
        <w:rPr>
          <w:rFonts w:ascii="Arial" w:cs="Arial" w:eastAsia="Arial" w:hAnsi="Arial"/>
          <w:sz w:val="19"/>
          <w:szCs w:val="19"/>
          <w:color w:val="auto"/>
        </w:rPr>
        <w:t xml:space="preserve">, reduce the rate of interest thereon owed to such Lender, or reduce any fees or premiums payable hereunder owed to such Lender, without the written consent of such Lender directly and adversely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waiver of any Default or Event of Default or default interest, waiver of a mandatory prepayment or any modification, waiver or amendment to the financial covenant definitions or financial ratios or any component thereof in this Agreement shall not constitute a reduction or forgiveness in the interest rates or the fees or premiums for purposes of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(iii) except as otherwise provided hereunder, including pursuant to Refinancing Amendments or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postpone the scheduled maturity of any Loan, or the date of any scheduled repayment (but not prepayment) of the principal amount of any Term Loan under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or the applicable Incremental Credit Facility Amendment, or the required date of reimbursement of any LC Disbursement, or any date for the payment of any interest, fees or premiums payable hereunder, or reduce or forgive the amount of, waive or excuse any such repayment (but not prepayment), or postpone the scheduled date of expiration of any Commitment, without the written consent of each Lender directly and adversely affected thereby (it being understood that no amendment, modification or waiver of, or consent to departure from, any condition precedent, covenant, Default, Event of Default, waiver of default interest, mandatory prepayment or mandatory reduction of the Commitments shall constitute a postponement of any date scheduled for the payment of principal or interest or an extension of the final maturity of any Loan or the scheduled termination date of any Commitment), (iv) change any of the provisions of this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or reduce the percentage set forth in the definition of the term “Required Lenders” or reduce the percentage in any other provision of any Loan Document specifying the number or percentage of Lenders (or Lenders of any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-2235200</wp:posOffset>
            </wp:positionV>
            <wp:extent cx="28149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2814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56" w:name="page257"/>
    <w:bookmarkEnd w:id="256"/>
    <w:p>
      <w:pPr>
        <w:jc w:val="both"/>
        <w:spacing w:after="0" w:line="242" w:lineRule="auto"/>
        <w:rPr>
          <w:sz w:val="20"/>
          <w:szCs w:val="20"/>
          <w:color w:val="auto"/>
        </w:rPr>
      </w:pPr>
      <w:r>
        <w:rPr>
          <w:rFonts w:ascii="Arial" w:cs="Arial" w:eastAsia="Arial" w:hAnsi="Arial"/>
          <w:sz w:val="19"/>
          <w:szCs w:val="19"/>
          <w:color w:val="auto"/>
        </w:rPr>
        <w:t xml:space="preserve">required (including pursuant to </w:t>
      </w:r>
      <w:r>
        <w:rPr>
          <w:rFonts w:ascii="Arial" w:cs="Arial" w:eastAsia="Arial" w:hAnsi="Arial"/>
          <w:sz w:val="19"/>
          <w:szCs w:val="19"/>
          <w:u w:val="single" w:color="auto"/>
          <w:color w:val="auto"/>
        </w:rPr>
        <w:t>clause (z)</w:t>
      </w:r>
      <w:r>
        <w:rPr>
          <w:rFonts w:ascii="Arial" w:cs="Arial" w:eastAsia="Arial" w:hAnsi="Arial"/>
          <w:sz w:val="19"/>
          <w:szCs w:val="19"/>
          <w:color w:val="auto"/>
        </w:rPr>
        <w:t xml:space="preserve"> of the proviso to definition of “Required Lenders”) to waive, amend or modify any rights thereunder or make any determination or grant any consent thereunder, without the written consent of each Lender directly and adversely affected thereby (or each Lender of such Class directly and adversely affected thereby, as the case may be) (it being understood that, other than as specifically provided in this Agreement, including pursuant to (v) the Term Loan Exchange Notes,</w:t>
      </w:r>
    </w:p>
    <w:p>
      <w:pPr>
        <w:spacing w:after="0" w:line="1" w:lineRule="exact"/>
        <w:rPr>
          <w:sz w:val="20"/>
          <w:szCs w:val="20"/>
          <w:color w:val="auto"/>
        </w:rPr>
      </w:pPr>
    </w:p>
    <w:p>
      <w:pPr>
        <w:jc w:val="both"/>
        <w:ind w:firstLine="8"/>
        <w:spacing w:after="0"/>
        <w:tabs>
          <w:tab w:leader="none" w:pos="393"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Section 9.02(d)</w:t>
      </w:r>
      <w:r>
        <w:rPr>
          <w:rFonts w:ascii="Arial" w:cs="Arial" w:eastAsia="Arial" w:hAnsi="Arial"/>
          <w:sz w:val="19"/>
          <w:szCs w:val="19"/>
          <w:color w:val="auto"/>
        </w:rPr>
        <w:t xml:space="preserve"> with respect to Replacement Term Loans, (x) any Incremental Credit Facility Amendment (the consent requirements for which are set forth in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(y) a Refinancing Amendment (the consent requirements for which are set forth in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and (z) an Extension Offer pursuant to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with the consent of the Required Lenders, additional extensions of credit pursuant to this Agreement may be included in the determination of the Required Lenders or a particular Class of Lenders on substantially the same basis as the Term Loans and Revolving Commitments on the Closing Date), (v) release all or substantially all of the value of the Guarantees under the Guaranties (except as provided herein or in the applicable Loan Document), without the written consent of each Lender, (vi) release all or substantially all the Collateral from the Liens of the Security Documents (except as provided herein or in the applicable Loan Document), without the written consent of each Lender (it being understood that any subordination of a lien permitted hereunder shall not constitute a release of a lien under this Section and the granting of any pari passu liens in connection with the incurrence of debt or the granting of liens otherwise permitted hereunder from time to time (including pursuant to amendments) shall not constitute a release of liens), (vii) [reserved], (viii) amend, waive or otherwise modify (w) any provision of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(x) solely for purposes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6.11</w:t>
      </w:r>
      <w:r>
        <w:rPr>
          <w:rFonts w:ascii="Arial" w:cs="Arial" w:eastAsia="Arial" w:hAnsi="Arial"/>
          <w:sz w:val="19"/>
          <w:szCs w:val="19"/>
          <w:color w:val="auto"/>
        </w:rPr>
        <w:t xml:space="preserve">, the definition of “First Lien Net Leverage Ratio” or any defined term used in such definition, (y) solely for purposes of </w:t>
      </w:r>
      <w:r>
        <w:rPr>
          <w:rFonts w:ascii="Arial" w:cs="Arial" w:eastAsia="Arial" w:hAnsi="Arial"/>
          <w:sz w:val="19"/>
          <w:szCs w:val="19"/>
          <w:u w:val="single" w:color="auto"/>
          <w:color w:val="auto"/>
        </w:rPr>
        <w:t>Section 7.04</w:t>
      </w:r>
      <w:r>
        <w:rPr>
          <w:rFonts w:ascii="Arial" w:cs="Arial" w:eastAsia="Arial" w:hAnsi="Arial"/>
          <w:sz w:val="19"/>
          <w:szCs w:val="19"/>
          <w:color w:val="auto"/>
        </w:rPr>
        <w:t>, the definition of “Cure Right”, “Cure Amount” or any other defined term used in such provisions or (z) the conditions precedent to any Borrowings or other Credit Event, including issuances of Letters of Credit, under the Revolving Credit Facility, in each case, without the written consent of the Required Revolving Lenders, (ix) decrease the amount of any mandatory prepayment to be received by the Initial Term Loan Lenders hereunder in a manner disproportionately adverse to the interests of such Class in relation to the Lenders of any other Class of Term Loans, in each case without the written consent of Lenders holding more than 50% of the Initial Term Loans, or (x) in connection with an amendment that addresses solely a re-pricing transaction in which any Class of Term Loans is refinanced with a replacement Class of term loans bearing (or is modified in such a manner such that the resulting term loans bear) a lower Yield (a “</w:t>
      </w:r>
      <w:r>
        <w:rPr>
          <w:rFonts w:ascii="Arial" w:cs="Arial" w:eastAsia="Arial" w:hAnsi="Arial"/>
          <w:sz w:val="19"/>
          <w:szCs w:val="19"/>
          <w:u w:val="single" w:color="auto"/>
          <w:color w:val="auto"/>
        </w:rPr>
        <w:t>Permitted Repricing Amendment</w:t>
      </w:r>
      <w:r>
        <w:rPr>
          <w:rFonts w:ascii="Arial" w:cs="Arial" w:eastAsia="Arial" w:hAnsi="Arial"/>
          <w:sz w:val="19"/>
          <w:szCs w:val="19"/>
          <w:color w:val="auto"/>
        </w:rPr>
        <w:t xml:space="preserve">”), only the consent of the Lenders holding Term Loans subject to such permitted repricing transaction that will continue as Lenders in respect of the repriced tranche of Term Loans or modified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agreement shall directly adversely amend or modify the rights or duties of the Administrative Agent, the Collateral Agent, the Swingline Lender or the Issuing Banks without the prior written consent of the Administrative Agent, the Collateral Agent, the Swingline Lender or the Issuing Banks, as the case may be. In the event an amendment to this Agreement or any other Loan Document is effected without the consent of the Administrative Agent or the Collateral Agent (to the extent permitted hereunder) and to which the Administrative Agent or the Collateral Agent is not a party, the Borrower shall furnish a copy of such amendment to the Administrative Agent. Notwithstanding the foregoing, no Lender consent is required to effect any amendment, modification or supplement to any intercreditor agreement or arrangement permitted under this Agreement or in any document pertaining to any Indebtedness permitted hereby that is permitted to be secured by the Collateral, including any Incremental Term Loan or Incremental Revolving Loan, any Additional Debt, any Other Term Loan, Other Revolving Loan or Other Revolving Commitments, Extended Term Loans, Extended Revolving Loans, or any Term Loan Exchange Notes and Permitted First Priority Replacement Debt or Permitted Second Priority Replacement Debt, for the purpose of adding the holders of such Indebtedness (or their senior representative) as a party thereto and otherwise causing such Indebtedness to be subject thereto, in each case as contemplated by the terms of such intercreditor agreement or arrangement permitted under this Agreement, as applicable, together with any immaterial changes and other modifications,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57" w:name="page258"/>
    <w:bookmarkEnd w:id="257"/>
    <w:p>
      <w:pPr>
        <w:jc w:val="both"/>
        <w:spacing w:after="0" w:line="234" w:lineRule="auto"/>
        <w:rPr>
          <w:sz w:val="20"/>
          <w:szCs w:val="20"/>
          <w:color w:val="auto"/>
        </w:rPr>
      </w:pPr>
      <w:r>
        <w:rPr>
          <w:rFonts w:ascii="Arial" w:cs="Arial" w:eastAsia="Arial" w:hAnsi="Arial"/>
          <w:sz w:val="21"/>
          <w:szCs w:val="21"/>
          <w:color w:val="auto"/>
        </w:rPr>
        <w:t>case, in form and substance reasonably satisfactory to the Collateral Agent (it being understood that junior Liens are not required to be pari passu with other junior Liens, and that Indebtedness secured by junior Liens may be secured by Liens that are pari passu with, or junior in priority to, other Liens that are junior to the Liens securing the Obligations).</w:t>
      </w:r>
    </w:p>
    <w:p>
      <w:pPr>
        <w:spacing w:after="0" w:line="158" w:lineRule="exact"/>
        <w:rPr>
          <w:sz w:val="20"/>
          <w:szCs w:val="20"/>
          <w:color w:val="auto"/>
        </w:rPr>
      </w:pPr>
    </w:p>
    <w:p>
      <w:pPr>
        <w:jc w:val="both"/>
        <w:ind w:firstLine="1304"/>
        <w:spacing w:after="0"/>
        <w:tabs>
          <w:tab w:leader="none" w:pos="1836" w:val="left"/>
        </w:tabs>
        <w:numPr>
          <w:ilvl w:val="0"/>
          <w:numId w:val="280"/>
        </w:numPr>
        <w:rPr>
          <w:rFonts w:ascii="Arial" w:cs="Arial" w:eastAsia="Arial" w:hAnsi="Arial"/>
          <w:sz w:val="19"/>
          <w:szCs w:val="19"/>
          <w:color w:val="auto"/>
        </w:rPr>
      </w:pPr>
      <w:r>
        <w:rPr>
          <w:rFonts w:ascii="Arial" w:cs="Arial" w:eastAsia="Arial" w:hAnsi="Arial"/>
          <w:sz w:val="19"/>
          <w:szCs w:val="19"/>
          <w:color w:val="auto"/>
        </w:rPr>
        <w:t>In connection with any proposed amendment, modification, waiver or termination (a “</w:t>
      </w:r>
      <w:r>
        <w:rPr>
          <w:rFonts w:ascii="Arial" w:cs="Arial" w:eastAsia="Arial" w:hAnsi="Arial"/>
          <w:sz w:val="19"/>
          <w:szCs w:val="19"/>
          <w:u w:val="single" w:color="auto"/>
          <w:color w:val="auto"/>
        </w:rPr>
        <w:t>Proposed Change</w:t>
      </w:r>
      <w:r>
        <w:rPr>
          <w:rFonts w:ascii="Arial" w:cs="Arial" w:eastAsia="Arial" w:hAnsi="Arial"/>
          <w:sz w:val="19"/>
          <w:szCs w:val="19"/>
          <w:color w:val="auto"/>
        </w:rPr>
        <w:t xml:space="preserve">”) requiring the consent of all Lenders or all directly and adversely affected Lenders, if the consent of the Required Lenders (and, to the extent any Proposed Change requires the consent of Lenders holding Loans of any Class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(x)</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the consent of a majority in interest of the outstanding Loans and unused Commitments of such Class) (or, in the case of a consent, waiver or amendment involving directly and adversely affected Lenders, at least 50.1% of such directly and adversely affected Lenders) to such Proposed Change is obtained, but the consent to such Proposed Change of other Lenders whose consent is required is not obtained (any such Lender whose consent is not obtained as described in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being referred to as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then, the Borrower may, at its sole expense and effort, upon notice to such Non-Consenting Lender and the Administrative Agent, (i) require such Non-Consenting Lender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Non-Consenting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if the Non-Consenting Lender is a Lender with Term Loans being required to assign Term Loans under this </w:t>
      </w:r>
      <w:r>
        <w:rPr>
          <w:rFonts w:ascii="Arial" w:cs="Arial" w:eastAsia="Arial" w:hAnsi="Arial"/>
          <w:sz w:val="19"/>
          <w:szCs w:val="19"/>
          <w:u w:val="single" w:color="auto"/>
          <w:color w:val="auto"/>
        </w:rPr>
        <w:t>Section 9.02(c)</w:t>
      </w:r>
      <w:r>
        <w:rPr>
          <w:rFonts w:ascii="Arial" w:cs="Arial" w:eastAsia="Arial" w:hAnsi="Arial"/>
          <w:sz w:val="19"/>
          <w:szCs w:val="19"/>
          <w:color w:val="auto"/>
        </w:rPr>
        <w:t xml:space="preserve"> due solely to its failure to waive, postpone or reduce the prepayment premium set forth in </w:t>
      </w:r>
      <w:r>
        <w:rPr>
          <w:rFonts w:ascii="Arial" w:cs="Arial" w:eastAsia="Arial" w:hAnsi="Arial"/>
          <w:sz w:val="19"/>
          <w:szCs w:val="19"/>
          <w:u w:val="single" w:color="auto"/>
          <w:color w:val="auto"/>
        </w:rPr>
        <w:t>Section 2.11(a)</w:t>
      </w:r>
      <w:r>
        <w:rPr>
          <w:rFonts w:ascii="Arial" w:cs="Arial" w:eastAsia="Arial" w:hAnsi="Arial"/>
          <w:sz w:val="19"/>
          <w:szCs w:val="19"/>
          <w:color w:val="auto"/>
        </w:rPr>
        <w:t xml:space="preserve">, the payment by the assignee of such prepayment premium as if such Term Loans subject to such assignment were subject to a Repricing Transaction, (b) the Borrower or such assignee shall have paid to the Administrative Agent the processing and recordation fee specified in </w:t>
      </w:r>
      <w:r>
        <w:rPr>
          <w:rFonts w:ascii="Arial" w:cs="Arial" w:eastAsia="Arial" w:hAnsi="Arial"/>
          <w:sz w:val="19"/>
          <w:szCs w:val="19"/>
          <w:u w:val="single" w:color="auto"/>
          <w:color w:val="auto"/>
        </w:rPr>
        <w:t>clause (b)(ii)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(c) such assignee shall have consented to the Proposed Change or (ii) terminate the Commitment of such Lender or Issuing Bank, as the case may be, and (1) in the case of a Lender (other than an Issuing Bank), repay all Obligations of the Borrower due and owing to such Lender relating to the Loans and participations held by such Lender as of such termination date and (2) in the case of an Issuing Bank, repay all Obligations of the Borrower owing to such Issuing Bank relating to the Loans and participations held by such Issuing Bank as of such termination date and cancel or backstop on terms satisfactory to such Issuing Bank any Letters of Credit issued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such termination of a Non-Consenting Lender such termination shall be sufficient (together with all other consenting Lenders and terminated Lenders after giving effect hereto) to cause the adoption of the applicable departure, waiver or amendment of the Loan Documents.</w:t>
      </w:r>
    </w:p>
    <w:p>
      <w:pPr>
        <w:spacing w:after="0" w:line="367" w:lineRule="exact"/>
        <w:rPr>
          <w:rFonts w:ascii="Arial" w:cs="Arial" w:eastAsia="Arial" w:hAnsi="Arial"/>
          <w:sz w:val="19"/>
          <w:szCs w:val="19"/>
          <w:color w:val="auto"/>
        </w:rPr>
      </w:pPr>
    </w:p>
    <w:p>
      <w:pPr>
        <w:jc w:val="both"/>
        <w:ind w:firstLine="1304"/>
        <w:spacing w:after="0" w:line="244" w:lineRule="auto"/>
        <w:tabs>
          <w:tab w:leader="none" w:pos="1777" w:val="left"/>
        </w:tabs>
        <w:numPr>
          <w:ilvl w:val="0"/>
          <w:numId w:val="280"/>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or any other Loan Document to the contrary, in connection with </w:t>
      </w:r>
      <w:r>
        <w:rPr>
          <w:rFonts w:ascii="Arial" w:cs="Arial" w:eastAsia="Arial" w:hAnsi="Arial"/>
          <w:sz w:val="19"/>
          <w:szCs w:val="19"/>
          <w:u w:val="single" w:color="auto"/>
          <w:color w:val="auto"/>
        </w:rPr>
        <w:t>Section 2.21</w:t>
      </w:r>
      <w:r>
        <w:rPr>
          <w:rFonts w:ascii="Arial" w:cs="Arial" w:eastAsia="Arial" w:hAnsi="Arial"/>
          <w:sz w:val="19"/>
          <w:szCs w:val="19"/>
          <w:color w:val="auto"/>
        </w:rPr>
        <w:t>, this Agreement may be amended (or amended and restated) solely with the written consent of the Administrative Agent, the Holding Companies, the Borrower and the Lenders providing the relevant Replacement Term Loans (as such term is defined below) to permit the refinancing of all or any portion of any Class of Term Loans outstanding as of the applicable date of determination (the “</w:t>
      </w:r>
      <w:r>
        <w:rPr>
          <w:rFonts w:ascii="Arial" w:cs="Arial" w:eastAsia="Arial" w:hAnsi="Arial"/>
          <w:sz w:val="19"/>
          <w:szCs w:val="19"/>
          <w:u w:val="single" w:color="auto"/>
          <w:color w:val="auto"/>
        </w:rPr>
        <w:t>Refinanced Term Loans</w:t>
      </w:r>
      <w:r>
        <w:rPr>
          <w:rFonts w:ascii="Arial" w:cs="Arial" w:eastAsia="Arial" w:hAnsi="Arial"/>
          <w:sz w:val="19"/>
          <w:szCs w:val="19"/>
          <w:color w:val="auto"/>
        </w:rPr>
        <w:t>”) with a replacement term loan tranche hereunder (the “</w:t>
      </w:r>
      <w:r>
        <w:rPr>
          <w:rFonts w:ascii="Arial" w:cs="Arial" w:eastAsia="Arial" w:hAnsi="Arial"/>
          <w:sz w:val="19"/>
          <w:szCs w:val="19"/>
          <w:u w:val="single" w:color="auto"/>
          <w:color w:val="auto"/>
        </w:rPr>
        <w:t>Replacement Term Loans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aggregate principal amount of such Replacement Term Loans shall not exceed the aggregate principal amount of such Refinanced Term Loans plus premiums, accrued interest, fees and expenses in connection therewith, (ii) the Applicable Margin for such Replacement Term Loans shall not be higher than the Applicable Margin for such Refinanced Term Loans, unless the any such higher Applicable Margin applies after the Term Loan Maturity Date,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58" w:name="page259"/>
    <w:bookmarkEnd w:id="258"/>
    <w:p>
      <w:pPr>
        <w:jc w:val="both"/>
        <w:spacing w:after="0" w:line="244" w:lineRule="auto"/>
        <w:rPr>
          <w:sz w:val="20"/>
          <w:szCs w:val="20"/>
          <w:color w:val="auto"/>
        </w:rPr>
      </w:pPr>
      <w:r>
        <w:rPr>
          <w:rFonts w:ascii="Arial" w:cs="Arial" w:eastAsia="Arial" w:hAnsi="Arial"/>
          <w:sz w:val="19"/>
          <w:szCs w:val="19"/>
          <w:color w:val="auto"/>
        </w:rPr>
        <w:t>the Weighted Average Life to Maturity and final maturity of such Replacement Term Loans shall not be shorter than the Weighted Average Life to Maturity and final maturity of such Refinanced Term Loans at the time of such refinancing (without giving effect to nominal amortization for periods where amortization has been eliminated as a result of a prepayment of the applicable Refinanced Term Loans), (iv) the mandatory prepayment and optional prepayment provisions of the Replacement Term Loans shall not require more than pro rata payments and may permit optional prepayments and mandatory prepayments to be paid in respect of the Term Loans not constituting Refinanced Term Loans, and (v) the covenants, events of default and guarantees shall be not materially more restrictive (taken as a whole) (as determined in good faith by the Borrower) to the Lenders providing such Replacement Term Loans than the covenants, events of default and guarantees applicable to such Refinanced Term Loans, except to the extent necessary to provide for covenants, events of default and guarantees applicable to any period after the maturity date in respect of the Refinanced Term Loans in effect immediately prior to such refinancing.</w:t>
      </w:r>
    </w:p>
    <w:p>
      <w:pPr>
        <w:spacing w:after="0" w:line="155" w:lineRule="exact"/>
        <w:rPr>
          <w:sz w:val="20"/>
          <w:szCs w:val="20"/>
          <w:color w:val="auto"/>
        </w:rPr>
      </w:pPr>
    </w:p>
    <w:p>
      <w:pPr>
        <w:jc w:val="both"/>
        <w:ind w:firstLine="1304"/>
        <w:spacing w:after="0"/>
        <w:tabs>
          <w:tab w:leader="none" w:pos="1797" w:val="left"/>
        </w:tabs>
        <w:numPr>
          <w:ilvl w:val="0"/>
          <w:numId w:val="281"/>
        </w:numPr>
        <w:rPr>
          <w:rFonts w:ascii="Arial" w:cs="Arial" w:eastAsia="Arial" w:hAnsi="Arial"/>
          <w:sz w:val="19"/>
          <w:szCs w:val="19"/>
          <w:color w:val="auto"/>
        </w:rPr>
      </w:pPr>
      <w:r>
        <w:rPr>
          <w:rFonts w:ascii="Arial" w:cs="Arial" w:eastAsia="Arial" w:hAnsi="Arial"/>
          <w:sz w:val="19"/>
          <w:szCs w:val="19"/>
          <w:color w:val="auto"/>
        </w:rPr>
        <w:t xml:space="preserve">The Lenders, the Swingline Lender and the Issuing Banks, and all other Secured Parties hereby irrevocably agree that the Liens granted to the Collateral Agent by the Loan Parties on any Collateral shall, at the sole cost and expense of the Borrower, be automatically released (i) upon the occurrence of the Termination Date of this Agreement, (ii) upon the sale or other disposition of such Collateral (as part of or in connection with any other sale or other disposition permitted hereunder) to any Person other than another Loan Party, in connection with any other sale or disposition resulting in any Collateral becoming Excluded Property, or in connection with the designation of any Restricted Subsidiary as an Unrestricted Subsidiary, in each case, to the extent such sale or other disposition is made in compliance with the terms of this Agreement, (iii) to the extent such Collateral is comprised of property leased to a Loan Party, (iv) if the release of such Lien is approved, authorized or ratified in writing by the Required Lenders (or such other percentage of the Lenders whose consent may be required in accordance with this </w:t>
      </w:r>
      <w:r>
        <w:rPr>
          <w:rFonts w:ascii="Arial" w:cs="Arial" w:eastAsia="Arial" w:hAnsi="Arial"/>
          <w:sz w:val="19"/>
          <w:szCs w:val="19"/>
          <w:u w:val="single" w:color="auto"/>
          <w:color w:val="auto"/>
        </w:rPr>
        <w:t>Section 9.02</w:t>
      </w:r>
      <w:r>
        <w:rPr>
          <w:rFonts w:ascii="Arial" w:cs="Arial" w:eastAsia="Arial" w:hAnsi="Arial"/>
          <w:sz w:val="19"/>
          <w:szCs w:val="19"/>
          <w:color w:val="auto"/>
        </w:rPr>
        <w:t>), (v) to the extent such property constitutes Excluded Property or other assets not required to be Collateral pursuant to the applicable Collateral Document (with respect to Holdings and Foreign Subsidiaries), (vi) to the extent the property constituting such Collateral is owned by any Loan Party, upon the release of such Loan Party from its obligations under the Guaranty (in accordance with the following sentence) to the extent such release of a Loan Party is made in compliance with the terms of this Agreement and (vii) as required to effect any sale or other disposition of Collateral in connection with any exercise of remedies of the Collateral Agent pursuant to the Loan Documents. 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 sale, all of which shall continue to constitute part of the Collateral except to the extent comprised of Excluded Property or other assets not required to be Collateral pursuant to the applicable Collateral Document (with respect to Holdings and Foreign Subsidiaries) or otherwise released in accordance with the provisions of the Loan Documents. Additionally, the Lenders, the Issuing Banks, and all other Secured Parties, hereby irrevocably agree that each Loan Party shall be released from the Guaranty upon consummation of any transaction permitted hereunder resulting in such Subsidiary ceasing to constitute a Restricted Subsidiary. The Lenders, the Issuing Banks, and all other Secured Parties, hereby authorize the Administrative Agent and the Collateral Agent, as applicable, to execute and deliver any instruments, documents, and agreements necessary or desirable to evidence and confirm the release of any Loan Party’s Guarantee under the Guaranty or its Collateral pursuant to the foregoing provisions of this paragraph, all without the further consent or joinder of any Lender, Issuing Bank or other Secured Party.</w:t>
      </w:r>
    </w:p>
    <w:p>
      <w:pPr>
        <w:spacing w:after="0" w:line="369" w:lineRule="exact"/>
        <w:rPr>
          <w:rFonts w:ascii="Arial" w:cs="Arial" w:eastAsia="Arial" w:hAnsi="Arial"/>
          <w:sz w:val="19"/>
          <w:szCs w:val="19"/>
          <w:color w:val="auto"/>
        </w:rPr>
      </w:pPr>
    </w:p>
    <w:p>
      <w:pPr>
        <w:jc w:val="both"/>
        <w:ind w:firstLine="1304"/>
        <w:spacing w:after="0" w:line="223" w:lineRule="auto"/>
        <w:tabs>
          <w:tab w:leader="none" w:pos="1847" w:val="left"/>
        </w:tabs>
        <w:numPr>
          <w:ilvl w:val="0"/>
          <w:numId w:val="281"/>
        </w:numPr>
        <w:rPr>
          <w:rFonts w:ascii="Arial" w:cs="Arial" w:eastAsia="Arial" w:hAnsi="Arial"/>
          <w:sz w:val="22"/>
          <w:szCs w:val="22"/>
          <w:color w:val="auto"/>
        </w:rPr>
      </w:pPr>
      <w:r>
        <w:rPr>
          <w:rFonts w:ascii="Arial" w:cs="Arial" w:eastAsia="Arial" w:hAnsi="Arial"/>
          <w:sz w:val="22"/>
          <w:szCs w:val="22"/>
          <w:color w:val="auto"/>
        </w:rPr>
        <w:t>No Defaulting Lender shall have any right to approve or disapprove any amendment, waiver or consent hereunder (and any amendment, waiver or consent which by its terms requires the consent of all Lenders or each affected Lender may be effected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59" w:name="page260"/>
    <w:bookmarkEnd w:id="259"/>
    <w:p>
      <w:pPr>
        <w:jc w:val="both"/>
        <w:spacing w:after="0" w:line="257" w:lineRule="auto"/>
        <w:rPr>
          <w:sz w:val="20"/>
          <w:szCs w:val="20"/>
          <w:color w:val="auto"/>
        </w:rPr>
      </w:pPr>
      <w:r>
        <w:rPr>
          <w:rFonts w:ascii="Arial" w:cs="Arial" w:eastAsia="Arial" w:hAnsi="Arial"/>
          <w:sz w:val="19"/>
          <w:szCs w:val="19"/>
          <w:color w:val="auto"/>
        </w:rPr>
        <w:t xml:space="preserve">consent of the applicable Lenders other than Defaulting Lenders), except that (x) the Commitment of any Defaulting Lender may not be increased or extended without the consent of such Lender and (y) any waiver, amendment or modification requiring the consent of all Lenders pursuant to </w:t>
      </w:r>
      <w:r>
        <w:rPr>
          <w:rFonts w:ascii="Arial" w:cs="Arial" w:eastAsia="Arial" w:hAnsi="Arial"/>
          <w:sz w:val="19"/>
          <w:szCs w:val="19"/>
          <w:u w:val="single" w:color="auto"/>
          <w:color w:val="auto"/>
        </w:rPr>
        <w:t>Section 9.02(b)(v)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9.02(b)(vi)</w:t>
      </w:r>
      <w:r>
        <w:rPr>
          <w:rFonts w:ascii="Arial" w:cs="Arial" w:eastAsia="Arial" w:hAnsi="Arial"/>
          <w:sz w:val="19"/>
          <w:szCs w:val="19"/>
          <w:color w:val="auto"/>
        </w:rPr>
        <w:t xml:space="preserve"> or each directly and adversely affected Lender pursuant to </w:t>
      </w:r>
      <w:r>
        <w:rPr>
          <w:rFonts w:ascii="Arial" w:cs="Arial" w:eastAsia="Arial" w:hAnsi="Arial"/>
          <w:sz w:val="19"/>
          <w:szCs w:val="19"/>
          <w:u w:val="single" w:color="auto"/>
          <w:color w:val="auto"/>
        </w:rPr>
        <w:t>Section 9.02(b)(ii)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9.02(b)(iii)</w:t>
      </w:r>
      <w:r>
        <w:rPr>
          <w:rFonts w:ascii="Arial" w:cs="Arial" w:eastAsia="Arial" w:hAnsi="Arial"/>
          <w:sz w:val="19"/>
          <w:szCs w:val="19"/>
          <w:color w:val="auto"/>
        </w:rPr>
        <w:t>, shall, in each case, require the consent of such Defaulting Lender.</w:t>
      </w:r>
    </w:p>
    <w:p>
      <w:pPr>
        <w:spacing w:after="0" w:line="144" w:lineRule="exact"/>
        <w:rPr>
          <w:sz w:val="20"/>
          <w:szCs w:val="20"/>
          <w:color w:val="auto"/>
        </w:rPr>
      </w:pPr>
    </w:p>
    <w:p>
      <w:pPr>
        <w:jc w:val="both"/>
        <w:ind w:firstLine="1304"/>
        <w:spacing w:after="0" w:line="246" w:lineRule="auto"/>
        <w:tabs>
          <w:tab w:leader="none" w:pos="1777" w:val="left"/>
        </w:tabs>
        <w:numPr>
          <w:ilvl w:val="1"/>
          <w:numId w:val="282"/>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or any other Loan Document to the contrary, in connection with </w:t>
      </w:r>
      <w:r>
        <w:rPr>
          <w:rFonts w:ascii="Arial" w:cs="Arial" w:eastAsia="Arial" w:hAnsi="Arial"/>
          <w:sz w:val="19"/>
          <w:szCs w:val="19"/>
          <w:u w:val="single" w:color="auto"/>
          <w:color w:val="auto"/>
        </w:rPr>
        <w:t>Section 2.24</w:t>
      </w:r>
      <w:r>
        <w:rPr>
          <w:rFonts w:ascii="Arial" w:cs="Arial" w:eastAsia="Arial" w:hAnsi="Arial"/>
          <w:sz w:val="19"/>
          <w:szCs w:val="19"/>
          <w:color w:val="auto"/>
        </w:rPr>
        <w:t>, this Agreement may be amended (or amended and restated) solely with the written consent of the Required Lenders, the Administrative Agent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Loans and the Revolving Loans and the accrued interest and fees in respect thereof and (b) to include appropriately the Lenders holding such credit facilities in any determination of the Required Lenders. Further, the LC Sublimit may be increased with the consent of the Required Revolving Lenders, each of the Issuing Banks and the Administrative Agent.</w:t>
      </w:r>
    </w:p>
    <w:p>
      <w:pPr>
        <w:spacing w:after="0" w:line="152" w:lineRule="exact"/>
        <w:rPr>
          <w:rFonts w:ascii="Arial" w:cs="Arial" w:eastAsia="Arial" w:hAnsi="Arial"/>
          <w:sz w:val="19"/>
          <w:szCs w:val="19"/>
          <w:color w:val="auto"/>
        </w:rPr>
      </w:pPr>
    </w:p>
    <w:p>
      <w:pPr>
        <w:jc w:val="both"/>
        <w:ind w:firstLine="1304"/>
        <w:spacing w:after="0" w:line="239" w:lineRule="auto"/>
        <w:tabs>
          <w:tab w:leader="none" w:pos="1866" w:val="left"/>
        </w:tabs>
        <w:numPr>
          <w:ilvl w:val="1"/>
          <w:numId w:val="282"/>
        </w:numPr>
        <w:rPr>
          <w:rFonts w:ascii="Arial" w:cs="Arial" w:eastAsia="Arial" w:hAnsi="Arial"/>
          <w:sz w:val="19"/>
          <w:szCs w:val="19"/>
          <w:color w:val="auto"/>
        </w:rPr>
      </w:pPr>
      <w:r>
        <w:rPr>
          <w:rFonts w:ascii="Arial" w:cs="Arial" w:eastAsia="Arial" w:hAnsi="Arial"/>
          <w:sz w:val="19"/>
          <w:szCs w:val="19"/>
          <w:color w:val="auto"/>
        </w:rPr>
        <w:t xml:space="preserve">In connection with the issuance of Replacement Term Loans or any replacement credit facility, then, the Borrower may, at its sole expense and effort, upon notice to any applicable Lender and the Administrative Agent, (i) require such Lender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all its interests, rights and obligations under this Agreement to an assignee that shall assume such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and (b) the Borrower or such assignee shall have paid to the Administrative Agent the processing and recordation fee specified in </w:t>
      </w:r>
      <w:r>
        <w:rPr>
          <w:rFonts w:ascii="Arial" w:cs="Arial" w:eastAsia="Arial" w:hAnsi="Arial"/>
          <w:sz w:val="19"/>
          <w:szCs w:val="19"/>
          <w:u w:val="single" w:color="auto"/>
          <w:color w:val="auto"/>
        </w:rPr>
        <w:t>clause (b)</w:t>
      </w:r>
    </w:p>
    <w:p>
      <w:pPr>
        <w:spacing w:after="0" w:line="5" w:lineRule="exact"/>
        <w:rPr>
          <w:rFonts w:ascii="Arial" w:cs="Arial" w:eastAsia="Arial" w:hAnsi="Arial"/>
          <w:sz w:val="19"/>
          <w:szCs w:val="19"/>
          <w:color w:val="auto"/>
        </w:rPr>
      </w:pPr>
    </w:p>
    <w:p>
      <w:pPr>
        <w:jc w:val="both"/>
        <w:ind w:firstLine="8"/>
        <w:spacing w:after="0" w:line="247" w:lineRule="auto"/>
        <w:tabs>
          <w:tab w:leader="none" w:pos="322" w:val="left"/>
        </w:tabs>
        <w:numPr>
          <w:ilvl w:val="0"/>
          <w:numId w:val="283"/>
        </w:numPr>
        <w:rPr>
          <w:rFonts w:ascii="Arial" w:cs="Arial" w:eastAsia="Arial" w:hAnsi="Arial"/>
          <w:sz w:val="19"/>
          <w:szCs w:val="19"/>
          <w:u w:val="single" w:color="auto"/>
          <w:color w:val="auto"/>
        </w:rPr>
      </w:pPr>
      <w:r>
        <w:rPr>
          <w:rFonts w:ascii="Arial" w:cs="Arial" w:eastAsia="Arial" w:hAnsi="Arial"/>
          <w:sz w:val="19"/>
          <w:szCs w:val="19"/>
          <w:color w:val="auto"/>
        </w:rPr>
        <w:t xml:space="preserve">of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or (ii) terminate the Commitment of such Lender or Issuing Bank, as the case may be, and (1) in the case of a Lender (other than an Issuing Bank), repay all Obligations of the Borrower due and owing to such Lender relating to the Loans and participations held by such Lender as of such termination date and (2) in the case of an Issuing Bank, repay all Obligations of the Borrower owing to such Issuing Bank relating to the Loans and participations held by such Issuing Bank as of such termination date and cancel or backstop on terms satisfactory to such Issuing Bank any Letters of Credit issued by it.</w:t>
      </w:r>
    </w:p>
    <w:p>
      <w:pPr>
        <w:spacing w:after="0" w:line="153" w:lineRule="exact"/>
        <w:rPr>
          <w:rFonts w:ascii="Arial" w:cs="Arial" w:eastAsia="Arial" w:hAnsi="Arial"/>
          <w:sz w:val="19"/>
          <w:szCs w:val="19"/>
          <w:u w:val="single" w:color="auto"/>
          <w:color w:val="auto"/>
        </w:rPr>
      </w:pPr>
    </w:p>
    <w:p>
      <w:pPr>
        <w:jc w:val="both"/>
        <w:ind w:firstLine="1304"/>
        <w:spacing w:after="0" w:line="243" w:lineRule="auto"/>
        <w:tabs>
          <w:tab w:leader="none" w:pos="1768" w:val="left"/>
        </w:tabs>
        <w:numPr>
          <w:ilvl w:val="1"/>
          <w:numId w:val="283"/>
        </w:numPr>
        <w:rPr>
          <w:rFonts w:ascii="Arial" w:cs="Arial" w:eastAsia="Arial" w:hAnsi="Arial"/>
          <w:sz w:val="19"/>
          <w:szCs w:val="19"/>
          <w:color w:val="auto"/>
        </w:rPr>
      </w:pPr>
      <w:r>
        <w:rPr>
          <w:rFonts w:ascii="Arial" w:cs="Arial" w:eastAsia="Arial" w:hAnsi="Arial"/>
          <w:sz w:val="19"/>
          <w:szCs w:val="19"/>
          <w:color w:val="auto"/>
        </w:rPr>
        <w:t xml:space="preserve">Notwithstanding the foregoing, this Agreement and any other Loan Document may be amended solely with the consent of the Administrative Agent and the Borrower without the need to obtain the consent of any other Lender if such amendment is delivered in order to correct or cure (x) ambiguities, errors, omissions or defects, (y) to effect administrative changes of a technical or immaterial nature or (z) incorrect cross-references or similar inaccuracies in this Agreement or the applicable Loan Document. Guarantees, collateral documents, security documents, intercreditor agreements, and related documents executed in connection with this Agreement may be in a form reasonably determined by the Administrative Agent or the Collateral Agent, as applicable, and may be amended, modified, terminated or waived, and consent to any departure therefrom may be given by the Administrative Agent or the Collateral Agent, as applicable, without the consent of any Lender. The Borrower and the Administrative Agent may, without the consent of any other Lender, effect amendments to this Agreement and the other Loan Documents as may be necessary in the reasonable opinion of the Borrower and the Administrative Agent to effect the provisions of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2.24</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60" w:name="page261"/>
    <w:bookmarkEnd w:id="260"/>
    <w:p>
      <w:pPr>
        <w:jc w:val="both"/>
        <w:ind w:firstLine="1304"/>
        <w:spacing w:after="0" w:line="241" w:lineRule="auto"/>
        <w:tabs>
          <w:tab w:leader="none" w:pos="1785" w:val="left"/>
        </w:tabs>
        <w:numPr>
          <w:ilvl w:val="0"/>
          <w:numId w:val="284"/>
        </w:numPr>
        <w:rPr>
          <w:rFonts w:ascii="Arial" w:cs="Arial" w:eastAsia="Arial" w:hAnsi="Arial"/>
          <w:sz w:val="19"/>
          <w:szCs w:val="19"/>
          <w:color w:val="auto"/>
        </w:rPr>
      </w:pPr>
      <w:r>
        <w:rPr>
          <w:rFonts w:ascii="Arial" w:cs="Arial" w:eastAsia="Arial" w:hAnsi="Arial"/>
          <w:sz w:val="19"/>
          <w:szCs w:val="19"/>
          <w:color w:val="auto"/>
        </w:rPr>
        <w:t xml:space="preserve">Subject to the provisos of this paragraph, for purposes of any amendment, modification, waiver or consent (other than pursuant to </w:t>
      </w:r>
      <w:r>
        <w:rPr>
          <w:rFonts w:ascii="Arial" w:cs="Arial" w:eastAsia="Arial" w:hAnsi="Arial"/>
          <w:sz w:val="19"/>
          <w:szCs w:val="19"/>
          <w:u w:val="single" w:color="auto"/>
          <w:color w:val="auto"/>
        </w:rPr>
        <w:t>Sections 9.02(b)(i)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or any amendment, modification, waiver or consent that directly and adversely affects any Affiliated Lender in its capacity as a Lender disproportionately in relation to other affected Lenders) under any Loan Document, any Loans held by an Affiliated Lender (other than any Affiliated Institutional Lender) shall be automatically deemed to be voted in the same proportion as all other Lenders who are not Affiliated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the event that any proceeding under the Bankruptcy Code shall be instituted by or against the Borrower, each Affiliated Lender (other than any Affiliated Institutional Lender) shall acknowledge and agree that they are each “insiders” under Section 101(31) of the Bankruptcy Code and, as such, the claims associated with the Loans and Commitments owned by it shall not be included in determining whether the applicable class of creditors holding such claims has voted to accept a proposed plan for purposes of Section 1129(a)(10) of the Bankruptcy Code; (b) alternatively, to the extent that the foregoing designation is deemed unenforceable for any reason, each Affiliated Lender (other than any Affiliated Institutional Lender) shall vote in such proceedings in the same proportion as the allocation of voting with respect to such matter by those Lenders who are not Affiliated Lenders, except to the extent that any plan of reorganization proposes to treat the Obligations held by such Affiliated Lender in a manner that is less favorable in any material respect to such Affiliated Lender than the proposed treatment of similar Obligations held by Lenders that are not Affiliated Lenders and (c) for purposes of this paragraph, for the avoidance of doubt, Affiliated Lenders shall be deemed to not include Affiliated Institutional Lenders (and the foregoing limitations shall not apply in respect of Affiliated Institutional Lenders).</w:t>
      </w:r>
    </w:p>
    <w:p>
      <w:pPr>
        <w:spacing w:after="0" w:line="377" w:lineRule="exact"/>
        <w:rPr>
          <w:rFonts w:ascii="Arial" w:cs="Arial" w:eastAsia="Arial" w:hAnsi="Arial"/>
          <w:sz w:val="19"/>
          <w:szCs w:val="19"/>
          <w:color w:val="auto"/>
        </w:rPr>
      </w:pPr>
    </w:p>
    <w:p>
      <w:pPr>
        <w:jc w:val="both"/>
        <w:ind w:firstLine="1304"/>
        <w:spacing w:after="0" w:line="223" w:lineRule="auto"/>
        <w:tabs>
          <w:tab w:leader="none" w:pos="177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Notwithstanding anything to the contrary herein, in connection with any amendment, modification, waiver or consent hereunder, in no event shall Affiliated Institutional Lenders exclusively constitute Required Lenders in and of themselves.</w:t>
      </w:r>
    </w:p>
    <w:p>
      <w:pPr>
        <w:spacing w:after="0" w:line="159"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9"/>
          <w:szCs w:val="19"/>
          <w:u w:val="single" w:color="auto"/>
          <w:color w:val="auto"/>
        </w:rPr>
        <w:t>Section 9.03 Expenses; Indemnity; Damage Waiver</w:t>
      </w:r>
      <w:r>
        <w:rPr>
          <w:rFonts w:ascii="Arial" w:cs="Arial" w:eastAsia="Arial" w:hAnsi="Arial"/>
          <w:sz w:val="19"/>
          <w:szCs w:val="19"/>
          <w:color w:val="auto"/>
        </w:rPr>
        <w:t>. (a) The Borrower shall cause to be paid within thirty (30) days after receipt of reasonably detailed documentation therefor, (i) all reasonable and documented out-of-pocket expenses incurred by the Issuing Banks in connection with the issuance, amendment, renewal or extension of any Letter of Credit, (ii) all reasonable and documented out-of-pocket expenses incurred by the Administrative Agent, the Collateral Agent, the Issuing Banks, the Joint Lead Arrangers and the Lenders (and each of their respective Affiliates and controlling persons and other representatives of each of the foregoing and their respective successors (other than Excluded Affiliates)) (but limited, in the case of legal fees and expenses, to the reasonable fees, charges and disbursements of a single counsel for the Administrative Agent, the Collateral Agent, the Issuing Banks, the Joint Lead Arrangers, the Lenders, and other Secured Parties (in addition to, if reasonably necessary, a single local counsel in each relevant jurisdiction, and in the event an actual or perceived conflict of interest arises, one additional primary counsel (plus local counsel in each relevant jurisdiction) to the similarly affected parties (taken as a whole))) in connection with the enforcement or protection of any rights under this Agreement or any other Loan Documents, including rights under this Section, or in connection with the Loans made or Letters of Credit issued hereunder and</w:t>
      </w:r>
    </w:p>
    <w:p>
      <w:pPr>
        <w:spacing w:after="0" w:line="10" w:lineRule="exact"/>
        <w:rPr>
          <w:sz w:val="20"/>
          <w:szCs w:val="20"/>
          <w:color w:val="auto"/>
        </w:rPr>
      </w:pPr>
    </w:p>
    <w:p>
      <w:pPr>
        <w:jc w:val="both"/>
        <w:ind w:firstLine="8"/>
        <w:spacing w:after="0" w:line="245" w:lineRule="auto"/>
        <w:tabs>
          <w:tab w:leader="none" w:pos="42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all reasonable and documented out-of-pocket expenses incurred by the Administrative Agent, the Collateral Agent, the Issuing Banks and the Joint Lead Arrangers, (but limited, in the case of legal fees and expenses, to the reasonable fees, charges and disbursements of a single counsel for the Administrative Agent, the Issuing Banks, and the Joint Lead Arrangers (in addition to a single local counsel in each relevant jurisdiction and, in the event an actual or perceived conflict of interest arises, one additional primary counsel to the similarly affected parties (taken as a whole))) in connection with the syndication, preparation, execution, delivery and administration of the Loan Documents and any amendment, modification or waiver with respect thereto.</w:t>
      </w:r>
    </w:p>
    <w:p>
      <w:pPr>
        <w:spacing w:after="0" w:line="155" w:lineRule="exact"/>
        <w:rPr>
          <w:rFonts w:ascii="Arial" w:cs="Arial" w:eastAsia="Arial" w:hAnsi="Arial"/>
          <w:sz w:val="19"/>
          <w:szCs w:val="19"/>
          <w:color w:val="auto"/>
        </w:rPr>
      </w:pPr>
    </w:p>
    <w:p>
      <w:pPr>
        <w:ind w:firstLine="1304"/>
        <w:spacing w:after="0" w:line="232" w:lineRule="auto"/>
        <w:tabs>
          <w:tab w:leader="none" w:pos="1769" w:val="left"/>
        </w:tabs>
        <w:numPr>
          <w:ilvl w:val="1"/>
          <w:numId w:val="285"/>
        </w:numPr>
        <w:rPr>
          <w:rFonts w:ascii="Arial" w:cs="Arial" w:eastAsia="Arial" w:hAnsi="Arial"/>
          <w:sz w:val="22"/>
          <w:szCs w:val="22"/>
          <w:color w:val="auto"/>
        </w:rPr>
      </w:pPr>
      <w:r>
        <w:rPr>
          <w:rFonts w:ascii="Arial" w:cs="Arial" w:eastAsia="Arial" w:hAnsi="Arial"/>
          <w:sz w:val="22"/>
          <w:szCs w:val="22"/>
          <w:color w:val="auto"/>
        </w:rPr>
        <w:t xml:space="preserve">Without duplication of the expense reimbursement obligations pursuant to </w:t>
      </w:r>
      <w:r>
        <w:rPr>
          <w:rFonts w:ascii="Arial" w:cs="Arial" w:eastAsia="Arial" w:hAnsi="Arial"/>
          <w:sz w:val="22"/>
          <w:szCs w:val="22"/>
          <w:u w:val="single" w:color="auto"/>
          <w:color w:val="auto"/>
        </w:rPr>
        <w:t>paragraph (a)</w:t>
      </w:r>
      <w:r>
        <w:rPr>
          <w:rFonts w:ascii="Arial" w:cs="Arial" w:eastAsia="Arial" w:hAnsi="Arial"/>
          <w:sz w:val="22"/>
          <w:szCs w:val="22"/>
          <w:color w:val="auto"/>
        </w:rPr>
        <w:t xml:space="preserve"> above, the Borrower shall jointly and severally indemnify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61" w:name="page262"/>
    <w:bookmarkEnd w:id="261"/>
    <w:p>
      <w:pPr>
        <w:jc w:val="both"/>
        <w:spacing w:after="0"/>
        <w:rPr>
          <w:sz w:val="20"/>
          <w:szCs w:val="20"/>
          <w:color w:val="auto"/>
        </w:rPr>
      </w:pPr>
      <w:r>
        <w:rPr>
          <w:rFonts w:ascii="Arial" w:cs="Arial" w:eastAsia="Arial" w:hAnsi="Arial"/>
          <w:sz w:val="19"/>
          <w:szCs w:val="19"/>
          <w:color w:val="auto"/>
        </w:rPr>
        <w:t xml:space="preserve">Agent, the Collateral Agent, the other Agents, the Joint Lead Arrangers, the Joint Bookrunners, the Swingline Lender, each of the Issuing Banks, and each Lender (and each of their respective Affiliates and controlling persons and their respective officers, directors, employees, partners, advisors and agents and other representatives of each of the foregoing and their respective successors, each such Person being called an “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hold each Indemnitee harmless from, any and all reasonable and documented out-of-pocket costs, actual losses, disputes, claims, damages, investigations, litigation, proceedings actual liabilities and related expenses, excluding in any event lost profits, but (x) limited, in the case of legal fees and expenses, to the reasonable and documented fees, charges and disbursements of a single counsel for the Indemnitees (in addition to one local counsel in each relevant jurisdiction and, in the event an actual or perceived conflict of interest arises, one additional counsel (plus local counsel in each relevant jurisdiction) to the similarly affected Indemnitees (taken as a whole)) and (y) including those arising from or relating to any actual presence or Release of Hazardous Materials on any property currently or formerly owned or operated by the Borrower or any Subsidiaries or any Environmental Liability related in any way to the Borrower or any Subsidiaries incurred by or asserted against any Indemnitee arising out of, in connection with, or as a result of the execution or delivery of any Loan Document or any other agreement or instrument contemplated thereby, the performance by the parties to the Loan Documents of their respective obligations thereunder or the consummation of the Transactions or any other transactions contemplated thereby, whether or not any such Indemnitee shall be designated as a party or a potential party thereto and whether or not such matter is initiated by any Holding Company, the Borrower or any of their respective Affiliates or shareholders, and any fees or expenses incurred by Indemnitees in enforcing this indemnity (collectively, the “</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Indemnitee will be indemnified (a) for its (or any of its Related Parties) willful misconduct, bad faith or gross negligence (to the extent determined in a final non-appealable order of a court of competent jurisdiction), (b) for its (or any of its Related Parties) material breach of its obligations under the Loan Documents (to the extent determined in a final non-appealable order of a court of competent jurisdiction), (c) for any dispute among Indemnitees that does not involve an act or omission by any Holding Company, the Borrower or any Restricted Subsidiary (other than any claims against an Agent, a Joint Lead Arranger or a Joint Bookrunner in their capacity as such and subject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or (d) any settlement effected without the Borrower’s prior written consent, but if settled with the Borrower’s prior written consent (not to be unreasonably withheld or delayed) or if there is a final judgment against an Indemnitee in any such proceedings, the Borrower will indemnify and hold harmless each Indemnitee from and against any and all actual losses, claims, damages, liabilities and expenses by reason of such settlement or judgment in accordance with this Section.</w:t>
      </w:r>
    </w:p>
    <w:p>
      <w:pPr>
        <w:spacing w:after="0" w:line="367" w:lineRule="exact"/>
        <w:rPr>
          <w:sz w:val="20"/>
          <w:szCs w:val="20"/>
          <w:color w:val="auto"/>
        </w:rPr>
      </w:pPr>
    </w:p>
    <w:p>
      <w:pPr>
        <w:jc w:val="both"/>
        <w:ind w:firstLine="1304"/>
        <w:spacing w:after="0" w:line="242" w:lineRule="auto"/>
        <w:tabs>
          <w:tab w:leader="none" w:pos="1764" w:val="left"/>
        </w:tabs>
        <w:numPr>
          <w:ilvl w:val="0"/>
          <w:numId w:val="286"/>
        </w:numPr>
        <w:rPr>
          <w:rFonts w:ascii="Arial" w:cs="Arial" w:eastAsia="Arial" w:hAnsi="Arial"/>
          <w:sz w:val="19"/>
          <w:szCs w:val="19"/>
          <w:color w:val="auto"/>
        </w:rPr>
      </w:pPr>
      <w:r>
        <w:rPr>
          <w:rFonts w:ascii="Arial" w:cs="Arial" w:eastAsia="Arial" w:hAnsi="Arial"/>
          <w:sz w:val="19"/>
          <w:szCs w:val="19"/>
          <w:color w:val="auto"/>
        </w:rPr>
        <w:t xml:space="preserve">To the extent that the Borrower fails to pay any amount required to be paid by it to the Administrative Agent, the Collateral Agent, the Swingline Lender or the Issuing Banks under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and without limiting the Borrower’s obligation to do so, each Lender severally agrees to pay to the Administrative Agent, the Collateral Agent, the Swingline Lender, or the Issuing Banks, as the case may be, such Lender’s pro rata share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the Collateral Agent, the Swingline Lender or any Issuing Bank in its capacity as such. For purposes hereof, a Lender’s “</w:t>
      </w:r>
      <w:r>
        <w:rPr>
          <w:rFonts w:ascii="Arial" w:cs="Arial" w:eastAsia="Arial" w:hAnsi="Arial"/>
          <w:sz w:val="19"/>
          <w:szCs w:val="19"/>
          <w:u w:val="single" w:color="auto"/>
          <w:color w:val="auto"/>
        </w:rPr>
        <w:t>pro rata share</w:t>
      </w:r>
      <w:r>
        <w:rPr>
          <w:rFonts w:ascii="Arial" w:cs="Arial" w:eastAsia="Arial" w:hAnsi="Arial"/>
          <w:sz w:val="19"/>
          <w:szCs w:val="19"/>
          <w:color w:val="auto"/>
        </w:rPr>
        <w:t>” shall be determined based upon (i) in the case of unpaid amounts owing to the Administrative Agent, its share of the aggregate Revolving Exposures and unused Revolving Commitments at the time, (ii) in the case of unpaid amounts owing to the Administrative Agent, its share of the outstanding Term Loans and unused Term Commitments at the time and (iii) in the case of unpaid amounts owing to any Issuing Bank in respect of any Letter of Credit, its share of the aggregate Revolving Exposure and unused Revolving Commitments at such time. The obligations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62" w:name="page263"/>
    <w:bookmarkEnd w:id="262"/>
    <w:p>
      <w:pPr>
        <w:spacing w:after="0" w:line="232" w:lineRule="auto"/>
        <w:rPr>
          <w:sz w:val="20"/>
          <w:szCs w:val="20"/>
          <w:color w:val="auto"/>
        </w:rPr>
      </w:pPr>
      <w:r>
        <w:rPr>
          <w:rFonts w:ascii="Arial" w:cs="Arial" w:eastAsia="Arial" w:hAnsi="Arial"/>
          <w:sz w:val="22"/>
          <w:szCs w:val="22"/>
          <w:color w:val="auto"/>
        </w:rPr>
        <w:t xml:space="preserve">under this </w:t>
      </w:r>
      <w:r>
        <w:rPr>
          <w:rFonts w:ascii="Arial" w:cs="Arial" w:eastAsia="Arial" w:hAnsi="Arial"/>
          <w:sz w:val="22"/>
          <w:szCs w:val="22"/>
          <w:u w:val="single" w:color="auto"/>
          <w:color w:val="auto"/>
        </w:rPr>
        <w:t>paragraph (c)</w:t>
      </w:r>
      <w:r>
        <w:rPr>
          <w:rFonts w:ascii="Arial" w:cs="Arial" w:eastAsia="Arial" w:hAnsi="Arial"/>
          <w:sz w:val="22"/>
          <w:szCs w:val="22"/>
          <w:color w:val="auto"/>
        </w:rPr>
        <w:t xml:space="preserve"> are subject to the last sentence of </w:t>
      </w:r>
      <w:r>
        <w:rPr>
          <w:rFonts w:ascii="Arial" w:cs="Arial" w:eastAsia="Arial" w:hAnsi="Arial"/>
          <w:sz w:val="22"/>
          <w:szCs w:val="22"/>
          <w:u w:val="single" w:color="auto"/>
          <w:color w:val="auto"/>
        </w:rPr>
        <w:t>Section 2.02(a)</w:t>
      </w:r>
      <w:r>
        <w:rPr>
          <w:rFonts w:ascii="Arial" w:cs="Arial" w:eastAsia="Arial" w:hAnsi="Arial"/>
          <w:sz w:val="22"/>
          <w:szCs w:val="22"/>
          <w:color w:val="auto"/>
        </w:rPr>
        <w:t xml:space="preserve"> (which shall apply </w:t>
      </w:r>
      <w:r>
        <w:rPr>
          <w:rFonts w:ascii="Arial" w:cs="Arial" w:eastAsia="Arial" w:hAnsi="Arial"/>
          <w:sz w:val="22"/>
          <w:szCs w:val="22"/>
          <w:u w:val="single" w:color="auto"/>
          <w:color w:val="auto"/>
        </w:rPr>
        <w:t>mutatis mutandis</w:t>
      </w:r>
      <w:r>
        <w:rPr>
          <w:rFonts w:ascii="Arial" w:cs="Arial" w:eastAsia="Arial" w:hAnsi="Arial"/>
          <w:sz w:val="22"/>
          <w:szCs w:val="22"/>
          <w:color w:val="auto"/>
        </w:rPr>
        <w:t xml:space="preserve"> to the Lenders’ obligations under this </w:t>
      </w:r>
      <w:r>
        <w:rPr>
          <w:rFonts w:ascii="Arial" w:cs="Arial" w:eastAsia="Arial" w:hAnsi="Arial"/>
          <w:sz w:val="22"/>
          <w:szCs w:val="22"/>
          <w:u w:val="single" w:color="auto"/>
          <w:color w:val="auto"/>
        </w:rPr>
        <w:t>paragraph (c)</w:t>
      </w:r>
      <w:r>
        <w:rPr>
          <w:rFonts w:ascii="Arial" w:cs="Arial" w:eastAsia="Arial" w:hAnsi="Arial"/>
          <w:sz w:val="22"/>
          <w:szCs w:val="22"/>
          <w:color w:val="auto"/>
        </w:rPr>
        <w:t>).</w:t>
      </w:r>
    </w:p>
    <w:p>
      <w:pPr>
        <w:spacing w:after="0" w:line="159" w:lineRule="exact"/>
        <w:rPr>
          <w:sz w:val="20"/>
          <w:szCs w:val="20"/>
          <w:color w:val="auto"/>
        </w:rPr>
      </w:pPr>
    </w:p>
    <w:p>
      <w:pPr>
        <w:jc w:val="both"/>
        <w:ind w:firstLine="1304"/>
        <w:spacing w:after="0" w:line="244" w:lineRule="auto"/>
        <w:tabs>
          <w:tab w:leader="none" w:pos="1839" w:val="left"/>
        </w:tabs>
        <w:numPr>
          <w:ilvl w:val="0"/>
          <w:numId w:val="287"/>
        </w:numPr>
        <w:rPr>
          <w:rFonts w:ascii="Arial" w:cs="Arial" w:eastAsia="Arial" w:hAnsi="Arial"/>
          <w:sz w:val="19"/>
          <w:szCs w:val="19"/>
          <w:color w:val="auto"/>
        </w:rPr>
      </w:pPr>
      <w:r>
        <w:rPr>
          <w:rFonts w:ascii="Arial" w:cs="Arial" w:eastAsia="Arial" w:hAnsi="Arial"/>
          <w:sz w:val="19"/>
          <w:szCs w:val="19"/>
          <w:color w:val="auto"/>
        </w:rPr>
        <w:t xml:space="preserve">To the extent permitted by applicable law, none of the Holding Companies, the Borrower, any Agent, any Lender, the Swingline Lender, any Issuing Bank, any other party hereto or any Indemnitee shall assert, and each such Person hereby waives and releases, any claim against any other such Person,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or any agreement or instrument contemplated hereby or referred to herein, the use or proposed used of the proceeds thereof,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in no event limit the Borrower’s indemnification obligations under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w:t>
      </w:r>
    </w:p>
    <w:p>
      <w:pPr>
        <w:spacing w:after="0" w:line="154" w:lineRule="exact"/>
        <w:rPr>
          <w:rFonts w:ascii="Arial" w:cs="Arial" w:eastAsia="Arial" w:hAnsi="Arial"/>
          <w:sz w:val="19"/>
          <w:szCs w:val="19"/>
          <w:color w:val="auto"/>
        </w:rPr>
      </w:pPr>
    </w:p>
    <w:p>
      <w:pPr>
        <w:jc w:val="both"/>
        <w:ind w:firstLine="1304"/>
        <w:spacing w:after="0" w:line="229" w:lineRule="auto"/>
        <w:tabs>
          <w:tab w:leader="none" w:pos="1867" w:val="left"/>
        </w:tabs>
        <w:numPr>
          <w:ilvl w:val="0"/>
          <w:numId w:val="287"/>
        </w:numPr>
        <w:rPr>
          <w:rFonts w:ascii="Arial" w:cs="Arial" w:eastAsia="Arial" w:hAnsi="Arial"/>
          <w:sz w:val="21"/>
          <w:szCs w:val="21"/>
          <w:color w:val="auto"/>
        </w:rPr>
      </w:pPr>
      <w:r>
        <w:rPr>
          <w:rFonts w:ascii="Arial" w:cs="Arial" w:eastAsia="Arial" w:hAnsi="Arial"/>
          <w:sz w:val="21"/>
          <w:szCs w:val="21"/>
          <w:color w:val="auto"/>
        </w:rPr>
        <w:t xml:space="preserve">In case any proceeding is instituted involving any Indemnitee for which indemnification is to be sought hereunder by such Indemnitee, then such Indemnitee will promptly notify the Borrower of the commencement of any proceeding;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failure to do so will not relieve the Borrower from any liability that it may have to such Indemnitee hereunder, except to the extent that the Borrower is materially prejudiced by such failure.</w:t>
      </w:r>
    </w:p>
    <w:p>
      <w:pPr>
        <w:spacing w:after="0" w:line="158" w:lineRule="exact"/>
        <w:rPr>
          <w:rFonts w:ascii="Arial" w:cs="Arial" w:eastAsia="Arial" w:hAnsi="Arial"/>
          <w:sz w:val="21"/>
          <w:szCs w:val="21"/>
          <w:color w:val="auto"/>
        </w:rPr>
      </w:pPr>
    </w:p>
    <w:p>
      <w:pPr>
        <w:jc w:val="both"/>
        <w:ind w:firstLine="1304"/>
        <w:spacing w:after="0" w:line="224" w:lineRule="auto"/>
        <w:tabs>
          <w:tab w:leader="none" w:pos="1739" w:val="left"/>
        </w:tabs>
        <w:numPr>
          <w:ilvl w:val="0"/>
          <w:numId w:val="287"/>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no party hereto or any Indemnitee shall be liable for any damages arising from the use by others of information or other materials obtained through electronic, telecommunications or other information transmission systems (including IntraLinks or SyndTrak Online), in each case, except to the extent any such damages are found in a final non-appealable judgment of a court of competent jurisdiction to have resulted from the gross negligence, bad faith or willful misconduct of, or material breach of this Agreement or the other Loan Documents by, such Indemnitee (or its officers, directors, employees, Related Parties or Affiliates).</w:t>
      </w:r>
    </w:p>
    <w:p>
      <w:pPr>
        <w:spacing w:after="0" w:line="159" w:lineRule="exact"/>
        <w:rPr>
          <w:rFonts w:ascii="Arial" w:cs="Arial" w:eastAsia="Arial" w:hAnsi="Arial"/>
          <w:sz w:val="21"/>
          <w:szCs w:val="21"/>
          <w:color w:val="auto"/>
        </w:rPr>
      </w:pPr>
    </w:p>
    <w:p>
      <w:pPr>
        <w:ind w:firstLine="1304"/>
        <w:spacing w:after="0" w:line="247" w:lineRule="auto"/>
        <w:tabs>
          <w:tab w:leader="none" w:pos="1829" w:val="left"/>
        </w:tabs>
        <w:numPr>
          <w:ilvl w:val="0"/>
          <w:numId w:val="287"/>
        </w:numPr>
        <w:rPr>
          <w:rFonts w:ascii="Arial" w:cs="Arial" w:eastAsia="Arial" w:hAnsi="Arial"/>
          <w:sz w:val="21"/>
          <w:szCs w:val="21"/>
          <w:color w:val="auto"/>
        </w:rPr>
      </w:pPr>
      <w:r>
        <w:rPr>
          <w:rFonts w:ascii="Arial" w:cs="Arial" w:eastAsia="Arial" w:hAnsi="Arial"/>
          <w:sz w:val="21"/>
          <w:szCs w:val="21"/>
          <w:color w:val="auto"/>
        </w:rPr>
        <w:t xml:space="preserve">Except to the extent otherwise expressly provided herein, all amounts due under this </w:t>
      </w:r>
      <w:r>
        <w:rPr>
          <w:rFonts w:ascii="Arial" w:cs="Arial" w:eastAsia="Arial" w:hAnsi="Arial"/>
          <w:sz w:val="21"/>
          <w:szCs w:val="21"/>
          <w:u w:val="single" w:color="auto"/>
          <w:color w:val="auto"/>
        </w:rPr>
        <w:t>Section 9.03</w:t>
      </w:r>
      <w:r>
        <w:rPr>
          <w:rFonts w:ascii="Arial" w:cs="Arial" w:eastAsia="Arial" w:hAnsi="Arial"/>
          <w:sz w:val="21"/>
          <w:szCs w:val="21"/>
          <w:color w:val="auto"/>
        </w:rPr>
        <w:t xml:space="preserve"> shall be payable within thirty (30) days after receipt by the Borrower of reasonably detailed documentation therefor.</w:t>
      </w:r>
    </w:p>
    <w:p>
      <w:pPr>
        <w:spacing w:after="0" w:line="150" w:lineRule="exact"/>
        <w:rPr>
          <w:rFonts w:ascii="Arial" w:cs="Arial" w:eastAsia="Arial" w:hAnsi="Arial"/>
          <w:sz w:val="21"/>
          <w:szCs w:val="21"/>
          <w:color w:val="auto"/>
        </w:rPr>
      </w:pPr>
    </w:p>
    <w:p>
      <w:pPr>
        <w:ind w:firstLine="1304"/>
        <w:spacing w:after="0" w:line="232" w:lineRule="auto"/>
        <w:tabs>
          <w:tab w:leader="none" w:pos="1814" w:val="left"/>
        </w:tabs>
        <w:numPr>
          <w:ilvl w:val="0"/>
          <w:numId w:val="287"/>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 shall not apply to Taxes, except for Taxes which represent costs, losses, claims, etc. with respect to a non-Tax claim.</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9.04</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79" w:lineRule="exact"/>
        <w:rPr>
          <w:sz w:val="20"/>
          <w:szCs w:val="20"/>
          <w:color w:val="auto"/>
        </w:rPr>
      </w:pPr>
    </w:p>
    <w:p>
      <w:pPr>
        <w:jc w:val="both"/>
        <w:ind w:firstLine="1304"/>
        <w:spacing w:after="0" w:line="244" w:lineRule="auto"/>
        <w:tabs>
          <w:tab w:leader="none" w:pos="1755" w:val="left"/>
        </w:tabs>
        <w:numPr>
          <w:ilvl w:val="0"/>
          <w:numId w:val="288"/>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permitted hereby (including any Affiliate of an Issuing Bank that issues any Letter of Credit), except that (i) except as otherwise permitted herein, the Borrower may not assign or otherwise transfer any of its rights or obligations hereunder without the prior written consent of each Lender (and any such attempted assignment or transfer by the Borrower without such consent shall be null and void) and (ii) no Lender may assign or otherwise transfer its rights or obligations hereunder except in accordance with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any attempted assignment or transfer by such Lender otherwise shall be null and void). Nothing in this Agreement, expressed or implied, shall be construed to confer upon any Person (other than the parties hereto, their respective successors and assigns permitted hereby (including any Affiliate of an Issuing Bank that issues any Letter of Credit), Participants (solely to the extent provided in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9.04</w:t>
      </w:r>
      <w:r>
        <w:rPr>
          <w:rFonts w:ascii="Arial" w:cs="Arial" w:eastAsia="Arial" w:hAnsi="Arial"/>
          <w:sz w:val="19"/>
          <w:szCs w:val="19"/>
          <w:color w:val="auto"/>
        </w:rPr>
        <w:t>)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63" w:name="page264"/>
    <w:bookmarkEnd w:id="263"/>
    <w:p>
      <w:pPr>
        <w:spacing w:after="0" w:line="232" w:lineRule="auto"/>
        <w:rPr>
          <w:sz w:val="20"/>
          <w:szCs w:val="20"/>
          <w:color w:val="auto"/>
        </w:rPr>
      </w:pPr>
      <w:r>
        <w:rPr>
          <w:rFonts w:ascii="Arial" w:cs="Arial" w:eastAsia="Arial" w:hAnsi="Arial"/>
          <w:sz w:val="22"/>
          <w:szCs w:val="22"/>
          <w:color w:val="auto"/>
        </w:rPr>
        <w:t>the extent expressly contemplated hereby, the Related Parties of each of the Administrative Agent, the Issuing Banks and the Lenders) any legal or equitable right, remedy or claim under or by reason of this Agreement.</w:t>
      </w:r>
    </w:p>
    <w:p>
      <w:pPr>
        <w:spacing w:after="0" w:line="159" w:lineRule="exact"/>
        <w:rPr>
          <w:sz w:val="20"/>
          <w:szCs w:val="20"/>
          <w:color w:val="auto"/>
        </w:rPr>
      </w:pPr>
    </w:p>
    <w:p>
      <w:pPr>
        <w:jc w:val="both"/>
        <w:ind w:firstLine="1304"/>
        <w:spacing w:after="0" w:line="218" w:lineRule="auto"/>
        <w:tabs>
          <w:tab w:leader="none" w:pos="1836" w:val="left"/>
        </w:tabs>
        <w:numPr>
          <w:ilvl w:val="0"/>
          <w:numId w:val="289"/>
        </w:numPr>
        <w:rPr>
          <w:rFonts w:ascii="Arial" w:cs="Arial" w:eastAsia="Arial" w:hAnsi="Arial"/>
          <w:sz w:val="21"/>
          <w:szCs w:val="21"/>
          <w:color w:val="auto"/>
        </w:rPr>
      </w:pPr>
      <w:r>
        <w:rPr>
          <w:rFonts w:ascii="Arial" w:cs="Arial" w:eastAsia="Arial" w:hAnsi="Arial"/>
          <w:sz w:val="21"/>
          <w:szCs w:val="21"/>
          <w:color w:val="auto"/>
        </w:rPr>
        <w:t xml:space="preserve">(i) Subject to the express conditions set forth in </w:t>
      </w:r>
      <w:r>
        <w:rPr>
          <w:rFonts w:ascii="Arial" w:cs="Arial" w:eastAsia="Arial" w:hAnsi="Arial"/>
          <w:sz w:val="21"/>
          <w:szCs w:val="21"/>
          <w:u w:val="single" w:color="auto"/>
          <w:color w:val="auto"/>
        </w:rPr>
        <w:t>paragraph (b)(ii)</w:t>
      </w:r>
      <w:r>
        <w:rPr>
          <w:rFonts w:ascii="Arial" w:cs="Arial" w:eastAsia="Arial" w:hAnsi="Arial"/>
          <w:sz w:val="21"/>
          <w:szCs w:val="21"/>
          <w:color w:val="auto"/>
        </w:rPr>
        <w:t xml:space="preserve">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conditioned, withheld or delayed) of (A) the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consent of the Borrower shall be required for (x) an assignment of (i) all or any portion of a Revolving Loan or Revolving Commitment to a Revolving Lender and (ii) all of any portion of a Term Loan to a Lender, an Affiliate of a Lender or an Approved Fund (as defined below), or (y) if an Event of Default under </w:t>
      </w:r>
      <w:r>
        <w:rPr>
          <w:rFonts w:ascii="Arial" w:cs="Arial" w:eastAsia="Arial" w:hAnsi="Arial"/>
          <w:sz w:val="21"/>
          <w:szCs w:val="21"/>
          <w:u w:val="single" w:color="auto"/>
          <w:color w:val="auto"/>
        </w:rPr>
        <w:t>Section 7.01(a)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7.01(b)</w:t>
      </w:r>
      <w:r>
        <w:rPr>
          <w:rFonts w:ascii="Arial" w:cs="Arial" w:eastAsia="Arial" w:hAnsi="Arial"/>
          <w:sz w:val="21"/>
          <w:szCs w:val="21"/>
          <w:color w:val="auto"/>
        </w:rPr>
        <w:t xml:space="preserve">, </w:t>
      </w:r>
      <w:r>
        <w:rPr>
          <w:rFonts w:ascii="Arial" w:cs="Arial" w:eastAsia="Arial" w:hAnsi="Arial"/>
          <w:sz w:val="21"/>
          <w:szCs w:val="21"/>
          <w:u w:val="single" w:color="auto"/>
          <w:color w:val="auto"/>
        </w:rPr>
        <w:t>7.01(h)</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7.01(i)</w:t>
      </w:r>
      <w:r>
        <w:rPr>
          <w:rFonts w:ascii="Arial" w:cs="Arial" w:eastAsia="Arial" w:hAnsi="Arial"/>
          <w:sz w:val="21"/>
          <w:szCs w:val="21"/>
          <w:color w:val="auto"/>
        </w:rPr>
        <w:t xml:space="preserve"> has occurred and is continuing, any other assignee,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be deemed to have consented to any such assignment of Term Loans unless the Borrower shall object thereto by written notice to the Administrative Agent within ten (10) Business Days after a Responsible Officer of the Borrower having received written notice thereof, (B)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consent of the Administrative Agent shall be required for an assignment of all or any portion of a Term Loan or Term Commitment to a Lender, an Affiliate of a Lender, any Affiliated Lender or an Approved Fund (or any Holding Company, the Borrower or each other Restricted Subsidiary) or pursuant to </w:t>
      </w:r>
      <w:r>
        <w:rPr>
          <w:rFonts w:ascii="Arial" w:cs="Arial" w:eastAsia="Arial" w:hAnsi="Arial"/>
          <w:sz w:val="21"/>
          <w:szCs w:val="21"/>
          <w:u w:val="single" w:color="auto"/>
          <w:color w:val="auto"/>
        </w:rPr>
        <w:t>Section 2.11(i)</w:t>
      </w:r>
      <w:r>
        <w:rPr>
          <w:rFonts w:ascii="Arial" w:cs="Arial" w:eastAsia="Arial" w:hAnsi="Arial"/>
          <w:sz w:val="21"/>
          <w:szCs w:val="21"/>
          <w:color w:val="auto"/>
        </w:rPr>
        <w:t xml:space="preserve"> and (C) in the case of any assignment of a Revolving Commitment, each of the Issuing Banks and the Swingline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consent of any Issuing Bank or the Swingline Lender shall be required for any assignment of a Term Loan.</w:t>
      </w:r>
    </w:p>
    <w:p>
      <w:pPr>
        <w:spacing w:after="0" w:line="166" w:lineRule="exact"/>
        <w:rPr>
          <w:sz w:val="20"/>
          <w:szCs w:val="20"/>
          <w:color w:val="auto"/>
        </w:rPr>
      </w:pPr>
    </w:p>
    <w:p>
      <w:pPr>
        <w:jc w:val="both"/>
        <w:ind w:left="660" w:firstLine="644"/>
        <w:spacing w:after="0"/>
        <w:tabs>
          <w:tab w:leader="none" w:pos="1880" w:val="left"/>
        </w:tabs>
        <w:numPr>
          <w:ilvl w:val="0"/>
          <w:numId w:val="290"/>
        </w:numPr>
        <w:rPr>
          <w:rFonts w:ascii="Arial" w:cs="Arial" w:eastAsia="Arial" w:hAnsi="Arial"/>
          <w:sz w:val="19"/>
          <w:szCs w:val="19"/>
          <w:color w:val="auto"/>
        </w:rPr>
      </w:pPr>
      <w:r>
        <w:rPr>
          <w:rFonts w:ascii="Arial" w:cs="Arial" w:eastAsia="Arial" w:hAnsi="Arial"/>
          <w:sz w:val="19"/>
          <w:szCs w:val="19"/>
          <w:color w:val="auto"/>
        </w:rPr>
        <w:t xml:space="preserve">Assignments shall be subject to the following additional express conditions: (A) except in the case of an assignment to a Lender, an Affiliate of a Lender, an Approved Fund or to an Affiliated Lender (or any Holding Company, the Borrower or each other Restricted Subsidiary), or pursuant to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an assignment of the entire remaining amount of the assigning Lender’s Commitment or Loans of any Class, the amount of the Commitment or Loans of the assigning Lender subject to each such assignment (determined as of the date the Assignment and Assumption (or Affiliated Lender Assignment and Assumption Agreement) with respect to such assignment is delivered to the Administrative Agent) shall be in an amount of an integral multiple of $1,000,000, in the case of a Term Commitment or Term Loan, or $5,000,000, in the case of a Revolving Loan or Revolving Commitment, unless the Borrower and the Administrative Agent otherwise consent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Borrower shall be required if an Event of Default under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7.01(i)</w:t>
      </w:r>
      <w:r>
        <w:rPr>
          <w:rFonts w:ascii="Arial" w:cs="Arial" w:eastAsia="Arial" w:hAnsi="Arial"/>
          <w:sz w:val="19"/>
          <w:szCs w:val="19"/>
          <w:color w:val="auto"/>
        </w:rPr>
        <w:t xml:space="preserve"> has occurred and is continuing, (B) each partial assignment shall be made as an assignment of a proportionate part of all the assigning Lender’s rights and obligations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not be construed to prohibit assignment of a proportionate part of all the assigning Lender’s rights and obligations in respect of one Class of Commitments or Loans, (C) the parties to each assignment shall (1) execute and deliver to the Administrative Agent an Assignment and Assumption (or Affiliated Lender Assignment and Assumption Agreement), via an electronic settlement system acceptable to the Administrative Agent or (2) if previously agreed with the Administrative Agent, manually execute and deliver to the Administrative Agent an Assignment and Assumption (or Affiliated Lender Assignment and Assumption Agreement), together with a processing and recordation fee of $3,500 (which fee (x) may be waived or reduced in the sole discretion of the Administrative Agent and (y) shall be waived with respect to assignments by GS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assignments made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9.02(c)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9.02(h)</w:t>
      </w:r>
      <w:r>
        <w:rPr>
          <w:rFonts w:ascii="Arial" w:cs="Arial" w:eastAsia="Arial" w:hAnsi="Arial"/>
          <w:sz w:val="19"/>
          <w:szCs w:val="19"/>
          <w:color w:val="auto"/>
        </w:rPr>
        <w:t xml:space="preserve"> shall not require the signature of the assigning Lender to become effective and (D) the assignee, if it shall not be a Lender or Affiliated Lender (or any Holding Company, the Borrower or each other Restricted Subsidiary),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64" w:name="page265"/>
    <w:bookmarkEnd w:id="264"/>
    <w:p>
      <w:pPr>
        <w:jc w:val="both"/>
        <w:ind w:left="660"/>
        <w:spacing w:after="0" w:line="226" w:lineRule="auto"/>
        <w:rPr>
          <w:sz w:val="20"/>
          <w:szCs w:val="20"/>
          <w:color w:val="auto"/>
        </w:rPr>
      </w:pPr>
      <w:r>
        <w:rPr>
          <w:rFonts w:ascii="Arial" w:cs="Arial" w:eastAsia="Arial" w:hAnsi="Arial"/>
          <w:sz w:val="21"/>
          <w:szCs w:val="21"/>
          <w:color w:val="auto"/>
        </w:rPr>
        <w:t xml:space="preserve">deliver to the Administrative Agent an Administrative Questionnaire (in which the assignee designates one or more credit contacts to whom all syndicate-level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 and any tax forms required by </w:t>
      </w:r>
      <w:r>
        <w:rPr>
          <w:rFonts w:ascii="Arial" w:cs="Arial" w:eastAsia="Arial" w:hAnsi="Arial"/>
          <w:sz w:val="21"/>
          <w:szCs w:val="21"/>
          <w:u w:val="single" w:color="auto"/>
          <w:color w:val="auto"/>
        </w:rPr>
        <w:t>Section 2.17(e)</w:t>
      </w:r>
      <w:r>
        <w:rPr>
          <w:rFonts w:ascii="Arial" w:cs="Arial" w:eastAsia="Arial" w:hAnsi="Arial"/>
          <w:sz w:val="21"/>
          <w:szCs w:val="21"/>
          <w:color w:val="auto"/>
        </w:rPr>
        <w: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of this Section, the term “</w:t>
      </w:r>
      <w:r>
        <w:rPr>
          <w:rFonts w:ascii="Arial" w:cs="Arial" w:eastAsia="Arial" w:hAnsi="Arial"/>
          <w:sz w:val="22"/>
          <w:szCs w:val="22"/>
          <w:u w:val="single" w:color="auto"/>
          <w:color w:val="auto"/>
        </w:rPr>
        <w:t>Approved Fund</w:t>
      </w:r>
      <w:r>
        <w:rPr>
          <w:rFonts w:ascii="Arial" w:cs="Arial" w:eastAsia="Arial" w:hAnsi="Arial"/>
          <w:sz w:val="22"/>
          <w:szCs w:val="22"/>
          <w:color w:val="auto"/>
        </w:rPr>
        <w:t>” has the following meaning:</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with respect to any Lender, any Person (other than a natural person) that is engaged in making, purchasing, holding or otherwise investing in commercial loans and similar extensions of credit in the ordinary course of its activities and is administered, advised or managed by (i) such Lender, (ii) an Affiliate of such Lender or (iii) an entity or an Affiliate of an entity that administers, advises or manages such Lender.</w:t>
      </w:r>
    </w:p>
    <w:p>
      <w:pPr>
        <w:spacing w:after="0" w:line="161" w:lineRule="exact"/>
        <w:rPr>
          <w:sz w:val="20"/>
          <w:szCs w:val="20"/>
          <w:color w:val="auto"/>
        </w:rPr>
      </w:pPr>
    </w:p>
    <w:p>
      <w:pPr>
        <w:jc w:val="both"/>
        <w:ind w:left="660" w:firstLine="644"/>
        <w:spacing w:after="0" w:line="219" w:lineRule="auto"/>
        <w:tabs>
          <w:tab w:leader="none" w:pos="1879" w:val="left"/>
        </w:tabs>
        <w:numPr>
          <w:ilvl w:val="0"/>
          <w:numId w:val="291"/>
        </w:numPr>
        <w:rPr>
          <w:rFonts w:ascii="Arial" w:cs="Arial" w:eastAsia="Arial" w:hAnsi="Arial"/>
          <w:sz w:val="21"/>
          <w:szCs w:val="21"/>
          <w:color w:val="auto"/>
        </w:rPr>
      </w:pPr>
      <w:r>
        <w:rPr>
          <w:rFonts w:ascii="Arial" w:cs="Arial" w:eastAsia="Arial" w:hAnsi="Arial"/>
          <w:sz w:val="21"/>
          <w:szCs w:val="21"/>
          <w:color w:val="auto"/>
        </w:rPr>
        <w:t xml:space="preserve">Subject to acceptance and recording thereof pursuant to </w:t>
      </w:r>
      <w:r>
        <w:rPr>
          <w:rFonts w:ascii="Arial" w:cs="Arial" w:eastAsia="Arial" w:hAnsi="Arial"/>
          <w:sz w:val="21"/>
          <w:szCs w:val="21"/>
          <w:u w:val="single" w:color="auto"/>
          <w:color w:val="auto"/>
        </w:rPr>
        <w:t>paragraph (b)(v)</w:t>
      </w:r>
      <w:r>
        <w:rPr>
          <w:rFonts w:ascii="Arial" w:cs="Arial" w:eastAsia="Arial" w:hAnsi="Arial"/>
          <w:sz w:val="21"/>
          <w:szCs w:val="21"/>
          <w:color w:val="auto"/>
        </w:rPr>
        <w:t xml:space="preserve"> of this Section, from and after the effective date specified in each Assignment and Assumption (or Affiliated Lender Assignment and Assumption Agreement), the assignee thereunder shall be a party hereto and, to the extent of the interest assigned by such Assignment and Assumption (or Affiliated Lender Assignment and Assumption Agreement), have the rights and obligations of a Lender under this Agreement, and the assigning Lender thereunder shall, to the extent of the interest assigned by such Assignment and Assumption (or Affiliated Lender Assignment and Assumption Agreement), be released from its obligations under this Agreement (and, in the case of an Assignment and Assumption (or Affiliated Lender Assignment and Assumption Agreement) covering all of the assigning Lender’s rights and obligations under this Agreement, such Lender shall cease to be a party hereto but shall continue to be entitled to the benefits of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w:t>
      </w:r>
      <w:r>
        <w:rPr>
          <w:rFonts w:ascii="Arial" w:cs="Arial" w:eastAsia="Arial" w:hAnsi="Arial"/>
          <w:sz w:val="21"/>
          <w:szCs w:val="21"/>
          <w:u w:val="single" w:color="auto"/>
          <w:color w:val="FF0000"/>
          <w:strike w:val="1"/>
        </w:rPr>
        <w:t>Section 2.16</w:t>
      </w:r>
      <w:r>
        <w:rPr>
          <w:rFonts w:ascii="Arial" w:cs="Arial" w:eastAsia="Arial" w:hAnsi="Arial"/>
          <w:sz w:val="21"/>
          <w:szCs w:val="21"/>
          <w:u w:val="single" w:color="auto"/>
          <w:color w:val="0000FF"/>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0000FF"/>
        </w:rPr>
        <w:t>2.16</w:t>
      </w:r>
      <w:r>
        <w:rPr>
          <w:rFonts w:ascii="Arial" w:cs="Arial" w:eastAsia="Arial" w:hAnsi="Arial"/>
          <w:sz w:val="21"/>
          <w:szCs w:val="21"/>
          <w:color w:val="000000"/>
        </w:rPr>
        <w:t>,</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Section 2.17</w:t>
      </w:r>
      <w:r>
        <w:rPr>
          <w:rFonts w:ascii="Arial" w:cs="Arial" w:eastAsia="Arial" w:hAnsi="Arial"/>
          <w:sz w:val="21"/>
          <w:szCs w:val="21"/>
          <w:color w:val="0000FF"/>
        </w:rPr>
        <w:t xml:space="preserve"> </w:t>
      </w:r>
      <w:r>
        <w:rPr>
          <w:rFonts w:ascii="Arial" w:cs="Arial" w:eastAsia="Arial" w:hAnsi="Arial"/>
          <w:sz w:val="21"/>
          <w:szCs w:val="21"/>
          <w:color w:val="000000"/>
        </w:rPr>
        <w:t>and</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Section 9.03</w:t>
      </w:r>
      <w:r>
        <w:rPr>
          <w:rFonts w:ascii="Arial" w:cs="Arial" w:eastAsia="Arial" w:hAnsi="Arial"/>
          <w:sz w:val="21"/>
          <w:szCs w:val="21"/>
          <w:color w:val="0000FF"/>
        </w:rPr>
        <w:t xml:space="preserve"> </w:t>
      </w:r>
      <w:r>
        <w:rPr>
          <w:rFonts w:ascii="Arial" w:cs="Arial" w:eastAsia="Arial" w:hAnsi="Arial"/>
          <w:sz w:val="21"/>
          <w:szCs w:val="21"/>
          <w:color w:val="000000"/>
        </w:rPr>
        <w:t>and to any fees payable hereunder that have accrued for such Lender’s account but</w:t>
      </w:r>
      <w:r>
        <w:rPr>
          <w:rFonts w:ascii="Arial" w:cs="Arial" w:eastAsia="Arial" w:hAnsi="Arial"/>
          <w:sz w:val="21"/>
          <w:szCs w:val="21"/>
          <w:color w:val="0000FF"/>
        </w:rPr>
        <w:t xml:space="preserve"> </w:t>
      </w:r>
      <w:r>
        <w:rPr>
          <w:rFonts w:ascii="Arial" w:cs="Arial" w:eastAsia="Arial" w:hAnsi="Arial"/>
          <w:sz w:val="21"/>
          <w:szCs w:val="21"/>
          <w:color w:val="000000"/>
        </w:rPr>
        <w:t>have not yet been paid).</w:t>
      </w:r>
    </w:p>
    <w:p>
      <w:pPr>
        <w:spacing w:after="0" w:line="168" w:lineRule="exact"/>
        <w:rPr>
          <w:rFonts w:ascii="Arial" w:cs="Arial" w:eastAsia="Arial" w:hAnsi="Arial"/>
          <w:sz w:val="21"/>
          <w:szCs w:val="21"/>
          <w:color w:val="auto"/>
        </w:rPr>
      </w:pPr>
    </w:p>
    <w:p>
      <w:pPr>
        <w:jc w:val="both"/>
        <w:ind w:left="660" w:firstLine="644"/>
        <w:spacing w:after="0" w:line="219" w:lineRule="auto"/>
        <w:tabs>
          <w:tab w:leader="none" w:pos="1841" w:val="left"/>
        </w:tabs>
        <w:numPr>
          <w:ilvl w:val="0"/>
          <w:numId w:val="291"/>
        </w:numPr>
        <w:rPr>
          <w:rFonts w:ascii="Arial" w:cs="Arial" w:eastAsia="Arial" w:hAnsi="Arial"/>
          <w:sz w:val="21"/>
          <w:szCs w:val="21"/>
          <w:color w:val="auto"/>
        </w:rPr>
      </w:pPr>
      <w:r>
        <w:rPr>
          <w:rFonts w:ascii="Arial" w:cs="Arial" w:eastAsia="Arial" w:hAnsi="Arial"/>
          <w:sz w:val="21"/>
          <w:szCs w:val="21"/>
          <w:color w:val="auto"/>
        </w:rPr>
        <w:t>The Administrative Agent, acting for this purpose as a non-fiduciary agent of the Borrower, shall maintain at one of its offices a copy of each Assignment and Assumption (or Affiliated Lender Assignment and Assumption Agreement) delivered to it and a register for the recordation of the names and addresses of the Lenders, and the Commitment of, and principal and related interest amounts of the Loans and LC Disbursements owing to, each Lender pursuant to the terms hereof from time to time (the “</w:t>
      </w:r>
      <w:r>
        <w:rPr>
          <w:rFonts w:ascii="Arial" w:cs="Arial" w:eastAsia="Arial" w:hAnsi="Arial"/>
          <w:sz w:val="21"/>
          <w:szCs w:val="21"/>
          <w:u w:val="single" w:color="auto"/>
          <w:color w:val="auto"/>
        </w:rPr>
        <w:t>Register</w:t>
      </w:r>
      <w:r>
        <w:rPr>
          <w:rFonts w:ascii="Arial" w:cs="Arial" w:eastAsia="Arial" w:hAnsi="Arial"/>
          <w:sz w:val="21"/>
          <w:szCs w:val="21"/>
          <w:color w:val="auto"/>
        </w:rPr>
        <w:t xml:space="preserve">”). The entries in the Register shall be conclusive absent manifest error, and the Holding Companies,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Banks and, with respect to its own interests only, any Lender, at any reasonable time and from time to time upon reasonable prior notice. This </w:t>
      </w:r>
      <w:r>
        <w:rPr>
          <w:rFonts w:ascii="Arial" w:cs="Arial" w:eastAsia="Arial" w:hAnsi="Arial"/>
          <w:sz w:val="21"/>
          <w:szCs w:val="21"/>
          <w:u w:val="single" w:color="auto"/>
          <w:color w:val="auto"/>
        </w:rPr>
        <w:t>Section 9.04(b)(iv)</w:t>
      </w:r>
      <w:r>
        <w:rPr>
          <w:rFonts w:ascii="Arial" w:cs="Arial" w:eastAsia="Arial" w:hAnsi="Arial"/>
          <w:sz w:val="21"/>
          <w:szCs w:val="21"/>
          <w:color w:val="auto"/>
        </w:rPr>
        <w:t xml:space="preserve"> shall be construed so that the Loans and unreimbursed LC Disbursements are at all times maintained in “registered form” within the meaning of Sections 163(f), 871(h)(2) and 881(c)(2) of the Code.</w:t>
      </w:r>
    </w:p>
    <w:p>
      <w:pPr>
        <w:spacing w:after="0" w:line="163" w:lineRule="exact"/>
        <w:rPr>
          <w:rFonts w:ascii="Arial" w:cs="Arial" w:eastAsia="Arial" w:hAnsi="Arial"/>
          <w:sz w:val="21"/>
          <w:szCs w:val="21"/>
          <w:color w:val="auto"/>
        </w:rPr>
      </w:pPr>
    </w:p>
    <w:p>
      <w:pPr>
        <w:jc w:val="both"/>
        <w:ind w:left="660" w:firstLine="644"/>
        <w:spacing w:after="0" w:line="268" w:lineRule="auto"/>
        <w:tabs>
          <w:tab w:leader="none" w:pos="1886" w:val="left"/>
        </w:tabs>
        <w:numPr>
          <w:ilvl w:val="0"/>
          <w:numId w:val="291"/>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Assumption (or Affiliated Lender Assignment and Assumption Agreement) executed by an assigning Lender and an assignee, the assignee’s completed Administrative Questionnaire and any tax forms required by </w:t>
      </w:r>
      <w:r>
        <w:rPr>
          <w:rFonts w:ascii="Arial" w:cs="Arial" w:eastAsia="Arial" w:hAnsi="Arial"/>
          <w:sz w:val="19"/>
          <w:szCs w:val="19"/>
          <w:u w:val="single" w:color="auto"/>
          <w:color w:val="auto"/>
        </w:rPr>
        <w:t>Section 2.17(e)</w:t>
      </w:r>
      <w:r>
        <w:rPr>
          <w:rFonts w:ascii="Arial" w:cs="Arial" w:eastAsia="Arial" w:hAnsi="Arial"/>
          <w:sz w:val="19"/>
          <w:szCs w:val="19"/>
          <w:color w:val="auto"/>
        </w:rPr>
        <w:t>, as applicable (unless the assignee shall already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65" w:name="page266"/>
    <w:bookmarkEnd w:id="265"/>
    <w:p>
      <w:pPr>
        <w:jc w:val="both"/>
        <w:ind w:left="660"/>
        <w:spacing w:after="0" w:line="252" w:lineRule="auto"/>
        <w:rPr>
          <w:sz w:val="20"/>
          <w:szCs w:val="20"/>
          <w:color w:val="auto"/>
        </w:rPr>
      </w:pPr>
      <w:r>
        <w:rPr>
          <w:rFonts w:ascii="Arial" w:cs="Arial" w:eastAsia="Arial" w:hAnsi="Arial"/>
          <w:sz w:val="19"/>
          <w:szCs w:val="19"/>
          <w:color w:val="auto"/>
        </w:rPr>
        <w:t xml:space="preserve">a Lender hereunder), the processing and recordation fee referred to in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(to the extent required) and any written consent to such assignment required by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the Administrative Agent shall accept such Assignment and Assumption (or Affiliated Lender Assignment and Assumption Agreement) and record the information contained therein in the Register. No assignment shall be effective for purposes of this Agreement unless it has been recorded in the Register as provided in this paragraph.</w:t>
      </w:r>
    </w:p>
    <w:p>
      <w:pPr>
        <w:spacing w:after="0" w:line="149" w:lineRule="exact"/>
        <w:rPr>
          <w:sz w:val="20"/>
          <w:szCs w:val="20"/>
          <w:color w:val="auto"/>
        </w:rPr>
      </w:pPr>
    </w:p>
    <w:p>
      <w:pPr>
        <w:jc w:val="both"/>
        <w:ind w:left="660" w:firstLine="644"/>
        <w:spacing w:after="0" w:line="247" w:lineRule="auto"/>
        <w:tabs>
          <w:tab w:leader="none" w:pos="1868" w:val="left"/>
        </w:tabs>
        <w:numPr>
          <w:ilvl w:val="0"/>
          <w:numId w:val="292"/>
        </w:numPr>
        <w:rPr>
          <w:rFonts w:ascii="Arial" w:cs="Arial" w:eastAsia="Arial" w:hAnsi="Arial"/>
          <w:sz w:val="19"/>
          <w:szCs w:val="19"/>
          <w:color w:val="auto"/>
        </w:rPr>
      </w:pPr>
      <w:r>
        <w:rPr>
          <w:rFonts w:ascii="Arial" w:cs="Arial" w:eastAsia="Arial" w:hAnsi="Arial"/>
          <w:sz w:val="19"/>
          <w:szCs w:val="19"/>
          <w:color w:val="auto"/>
        </w:rPr>
        <w:t>The words “execution,” “signed,” “signature” and words of like import in any Assignment and Assumption or Affiliated Lender Assignment and Assumption Agreement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3" w:lineRule="exact"/>
        <w:rPr>
          <w:rFonts w:ascii="Arial" w:cs="Arial" w:eastAsia="Arial" w:hAnsi="Arial"/>
          <w:sz w:val="19"/>
          <w:szCs w:val="19"/>
          <w:color w:val="auto"/>
        </w:rPr>
      </w:pPr>
    </w:p>
    <w:p>
      <w:pPr>
        <w:jc w:val="both"/>
        <w:ind w:left="660" w:firstLine="644"/>
        <w:spacing w:after="0" w:line="252" w:lineRule="auto"/>
        <w:tabs>
          <w:tab w:leader="none" w:pos="1919" w:val="left"/>
        </w:tabs>
        <w:numPr>
          <w:ilvl w:val="0"/>
          <w:numId w:val="29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but subject in all respects to the last paragraph of this </w:t>
      </w:r>
      <w:r>
        <w:rPr>
          <w:rFonts w:ascii="Arial" w:cs="Arial" w:eastAsia="Arial" w:hAnsi="Arial"/>
          <w:sz w:val="19"/>
          <w:szCs w:val="19"/>
          <w:u w:val="single" w:color="auto"/>
          <w:color w:val="auto"/>
        </w:rPr>
        <w:t>Section 9.04(b)</w:t>
      </w:r>
      <w:r>
        <w:rPr>
          <w:rFonts w:ascii="Arial" w:cs="Arial" w:eastAsia="Arial" w:hAnsi="Arial"/>
          <w:sz w:val="19"/>
          <w:szCs w:val="19"/>
          <w:color w:val="auto"/>
        </w:rPr>
        <w:t xml:space="preserve">, any assignment pursuant to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by a Lender of its Loans or Commitments to any Affiliated Lender or any Holding Company, Borrower or each other Restricted Subsidiary (and, in the case of </w:t>
      </w:r>
      <w:r>
        <w:rPr>
          <w:rFonts w:ascii="Arial" w:cs="Arial" w:eastAsia="Arial" w:hAnsi="Arial"/>
          <w:sz w:val="19"/>
          <w:szCs w:val="19"/>
          <w:u w:val="single" w:color="auto"/>
          <w:color w:val="auto"/>
        </w:rPr>
        <w:t>clause (D)(I)</w:t>
      </w:r>
      <w:r>
        <w:rPr>
          <w:rFonts w:ascii="Arial" w:cs="Arial" w:eastAsia="Arial" w:hAnsi="Arial"/>
          <w:sz w:val="19"/>
          <w:szCs w:val="19"/>
          <w:color w:val="auto"/>
        </w:rPr>
        <w:t xml:space="preserve"> below, to any Affiliated Institutional Lender) (it being understood that with respect to purchases pursuant to </w:t>
      </w:r>
      <w:r>
        <w:rPr>
          <w:rFonts w:ascii="Arial" w:cs="Arial" w:eastAsia="Arial" w:hAnsi="Arial"/>
          <w:sz w:val="19"/>
          <w:szCs w:val="19"/>
          <w:u w:val="single" w:color="auto"/>
          <w:color w:val="auto"/>
        </w:rPr>
        <w:t>Section 2.11(i)</w:t>
      </w:r>
      <w:r>
        <w:rPr>
          <w:rFonts w:ascii="Arial" w:cs="Arial" w:eastAsia="Arial" w:hAnsi="Arial"/>
          <w:sz w:val="19"/>
          <w:szCs w:val="19"/>
          <w:color w:val="auto"/>
        </w:rPr>
        <w:t>, this Section shall not be applicable) shall be subject to the following additional conditions:</w:t>
      </w:r>
    </w:p>
    <w:p>
      <w:pPr>
        <w:spacing w:after="0" w:line="148" w:lineRule="exact"/>
        <w:rPr>
          <w:rFonts w:ascii="Arial" w:cs="Arial" w:eastAsia="Arial" w:hAnsi="Arial"/>
          <w:sz w:val="19"/>
          <w:szCs w:val="19"/>
          <w:color w:val="auto"/>
        </w:rPr>
      </w:pPr>
    </w:p>
    <w:p>
      <w:pPr>
        <w:jc w:val="both"/>
        <w:ind w:left="1300" w:firstLine="652"/>
        <w:spacing w:after="0" w:line="223" w:lineRule="auto"/>
        <w:tabs>
          <w:tab w:leader="none" w:pos="2551" w:val="left"/>
        </w:tabs>
        <w:numPr>
          <w:ilvl w:val="1"/>
          <w:numId w:val="292"/>
        </w:numPr>
        <w:rPr>
          <w:rFonts w:ascii="Arial" w:cs="Arial" w:eastAsia="Arial" w:hAnsi="Arial"/>
          <w:sz w:val="22"/>
          <w:szCs w:val="22"/>
          <w:color w:val="auto"/>
        </w:rPr>
      </w:pPr>
      <w:r>
        <w:rPr>
          <w:rFonts w:ascii="Arial" w:cs="Arial" w:eastAsia="Arial" w:hAnsi="Arial"/>
          <w:sz w:val="22"/>
          <w:szCs w:val="22"/>
          <w:color w:val="auto"/>
        </w:rPr>
        <w:t>the assigning Lender and Affiliated Lender purchasing such Lender’s Loans and/or Commitments shall execute and deliver to the Administrative Agent an Affiliated Lender Assignment and Assumption Agreement;</w:t>
      </w:r>
    </w:p>
    <w:p>
      <w:pPr>
        <w:spacing w:after="0" w:line="158" w:lineRule="exact"/>
        <w:rPr>
          <w:rFonts w:ascii="Arial" w:cs="Arial" w:eastAsia="Arial" w:hAnsi="Arial"/>
          <w:sz w:val="22"/>
          <w:szCs w:val="22"/>
          <w:color w:val="auto"/>
        </w:rPr>
      </w:pPr>
    </w:p>
    <w:p>
      <w:pPr>
        <w:jc w:val="both"/>
        <w:ind w:left="1300" w:firstLine="652"/>
        <w:spacing w:after="0" w:line="218" w:lineRule="auto"/>
        <w:tabs>
          <w:tab w:leader="none" w:pos="2457" w:val="left"/>
        </w:tabs>
        <w:numPr>
          <w:ilvl w:val="1"/>
          <w:numId w:val="292"/>
        </w:numPr>
        <w:rPr>
          <w:rFonts w:ascii="Arial" w:cs="Arial" w:eastAsia="Arial" w:hAnsi="Arial"/>
          <w:sz w:val="22"/>
          <w:szCs w:val="22"/>
          <w:color w:val="auto"/>
        </w:rPr>
      </w:pPr>
      <w:r>
        <w:rPr>
          <w:rFonts w:ascii="Arial" w:cs="Arial" w:eastAsia="Arial" w:hAnsi="Arial"/>
          <w:sz w:val="22"/>
          <w:szCs w:val="22"/>
          <w:color w:val="auto"/>
        </w:rPr>
        <w:t>any Loans or Commitments acquired by any Holding Company, the Borrower or any other Restricted Subsidiary (x) no Default or Event of Default shall have occurred and be continuing at the time of and immediately after giving effect to the acquisition of such Loans and (y) shall be retired and cancelled immediately upon the acquisition thereof;</w:t>
      </w:r>
    </w:p>
    <w:p>
      <w:pPr>
        <w:spacing w:after="0" w:line="160" w:lineRule="exact"/>
        <w:rPr>
          <w:rFonts w:ascii="Arial" w:cs="Arial" w:eastAsia="Arial" w:hAnsi="Arial"/>
          <w:sz w:val="22"/>
          <w:szCs w:val="22"/>
          <w:color w:val="auto"/>
        </w:rPr>
      </w:pPr>
    </w:p>
    <w:p>
      <w:pPr>
        <w:ind w:left="2480" w:hanging="528"/>
        <w:spacing w:after="0"/>
        <w:tabs>
          <w:tab w:leader="none" w:pos="2480" w:val="left"/>
        </w:tabs>
        <w:numPr>
          <w:ilvl w:val="1"/>
          <w:numId w:val="292"/>
        </w:numPr>
        <w:rPr>
          <w:rFonts w:ascii="Arial" w:cs="Arial" w:eastAsia="Arial" w:hAnsi="Arial"/>
          <w:sz w:val="19"/>
          <w:szCs w:val="19"/>
          <w:color w:val="auto"/>
        </w:rPr>
      </w:pPr>
      <w:r>
        <w:rPr>
          <w:rFonts w:ascii="Arial" w:cs="Arial" w:eastAsia="Arial" w:hAnsi="Arial"/>
          <w:sz w:val="19"/>
          <w:szCs w:val="19"/>
          <w:color w:val="auto"/>
        </w:rPr>
        <w:t>each Affiliated Lender hereby agrees that notwithstanding anything to the contrary herein, it may not</w:t>
      </w:r>
    </w:p>
    <w:p>
      <w:pPr>
        <w:spacing w:after="0" w:line="15" w:lineRule="exact"/>
        <w:rPr>
          <w:rFonts w:ascii="Arial" w:cs="Arial" w:eastAsia="Arial" w:hAnsi="Arial"/>
          <w:sz w:val="19"/>
          <w:szCs w:val="19"/>
          <w:color w:val="auto"/>
        </w:rPr>
      </w:pPr>
    </w:p>
    <w:p>
      <w:pPr>
        <w:jc w:val="both"/>
        <w:ind w:left="1300"/>
        <w:spacing w:after="0" w:line="210" w:lineRule="auto"/>
        <w:rPr>
          <w:rFonts w:ascii="Arial" w:cs="Arial" w:eastAsia="Arial" w:hAnsi="Arial"/>
          <w:sz w:val="19"/>
          <w:szCs w:val="19"/>
          <w:color w:val="auto"/>
        </w:rPr>
      </w:pPr>
      <w:r>
        <w:rPr>
          <w:rFonts w:ascii="Arial" w:cs="Arial" w:eastAsia="Arial" w:hAnsi="Arial"/>
          <w:sz w:val="22"/>
          <w:szCs w:val="22"/>
          <w:color w:val="auto"/>
        </w:rPr>
        <w:t>(A) attend (including by telephone) any meeting or discussions (or portion thereof) among any Agent or any Lender to which representatives of the Borrower are not invited or then present, or (B) have access to the Platform or receive any information or material prepared by any Agent or any Lender or any communication by or among any Agent and/or one or more Lenders, except to the extent such information or materials have been made available to the Borrower or its representatives (and in any case, other than the right to receive notices of prepayments and other administrative notices in respect of its Loans required to be delivered to Lenders pursuant hereto);</w:t>
      </w:r>
    </w:p>
    <w:p>
      <w:pPr>
        <w:spacing w:after="0" w:line="160" w:lineRule="exact"/>
        <w:rPr>
          <w:rFonts w:ascii="Arial" w:cs="Arial" w:eastAsia="Arial" w:hAnsi="Arial"/>
          <w:sz w:val="19"/>
          <w:szCs w:val="19"/>
          <w:color w:val="auto"/>
        </w:rPr>
      </w:pPr>
    </w:p>
    <w:p>
      <w:pPr>
        <w:jc w:val="both"/>
        <w:ind w:left="1300" w:firstLine="652"/>
        <w:spacing w:after="0" w:line="218" w:lineRule="auto"/>
        <w:tabs>
          <w:tab w:leader="none" w:pos="2544" w:val="left"/>
        </w:tabs>
        <w:numPr>
          <w:ilvl w:val="1"/>
          <w:numId w:val="292"/>
        </w:numPr>
        <w:rPr>
          <w:rFonts w:ascii="Arial" w:cs="Arial" w:eastAsia="Arial" w:hAnsi="Arial"/>
          <w:sz w:val="22"/>
          <w:szCs w:val="22"/>
          <w:color w:val="auto"/>
        </w:rPr>
      </w:pPr>
      <w:r>
        <w:rPr>
          <w:rFonts w:ascii="Arial" w:cs="Arial" w:eastAsia="Arial" w:hAnsi="Arial"/>
          <w:sz w:val="22"/>
          <w:szCs w:val="22"/>
          <w:color w:val="auto"/>
        </w:rPr>
        <w:t>(I) Revolving Commitments and Revolving Loans may not be assigned to any Affiliated Lenders, any Holding Company, the Borrower or any other Restricted Subsidiary, or Affiliated Institutional Lenders or Persons who will become Affiliated Lenders or Affiliated Institutional Lenders upon completion of the relevant assignment, and no Affiliated Lender, any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66" w:name="page267"/>
    <w:bookmarkEnd w:id="266"/>
    <w:p>
      <w:pPr>
        <w:jc w:val="both"/>
        <w:ind w:left="1300"/>
        <w:spacing w:after="0" w:line="241" w:lineRule="auto"/>
        <w:rPr>
          <w:sz w:val="20"/>
          <w:szCs w:val="20"/>
          <w:color w:val="auto"/>
        </w:rPr>
      </w:pPr>
      <w:r>
        <w:rPr>
          <w:rFonts w:ascii="Arial" w:cs="Arial" w:eastAsia="Arial" w:hAnsi="Arial"/>
          <w:sz w:val="19"/>
          <w:szCs w:val="19"/>
          <w:color w:val="auto"/>
        </w:rPr>
        <w:t xml:space="preserve">Company, the Borrower or any other Restricted Subsidiary or Affiliated Institutional Lenders or Person who will become an Affiliated Lender or an Affiliated Institutional Lender upon completion of the relevant assignment shall be permitted to purchase any Revolving Commitments or Revolving Loans, (II) no proceeds of Revolving Commitments or Revolving Loans may be used by any Affiliated Lender or Person who will become an Affiliated Lender upon completion of the relevant assignment or by any Holding Company, the Borrower or each other Restricted Subsidiary to effect any permitted assignments to it or purchase such commitments or loans, (III) the maximum aggregate principal amount of Term Loans and Commitments held by all Affiliated Lenders at the time of the proposed assignment (after giving effect thereto) may not exceed 25% of the aggregate principal amount of Term Loans then outstanding and (IV) without limiting the foregoing, Affiliated Lenders and Persons who will become Affiliated Lenders upon completion of the relevant assignment may (but are not required to) acquire Term Loans through Auctions conducted pursuant to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as if it were an Auction Party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Term Loans acquired by Affiliated Lenders and Persons who will become Affiliated Lenders upon completion of the relevant assignment through an Auction do not need to be canceled in accordance with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unless contributed to the Borrower in accordance with subsection (E) below);</w:t>
      </w:r>
    </w:p>
    <w:p>
      <w:pPr>
        <w:spacing w:after="0" w:line="168" w:lineRule="exact"/>
        <w:rPr>
          <w:sz w:val="20"/>
          <w:szCs w:val="20"/>
          <w:color w:val="auto"/>
        </w:rPr>
      </w:pPr>
    </w:p>
    <w:p>
      <w:pPr>
        <w:jc w:val="both"/>
        <w:ind w:left="1300" w:firstLine="652"/>
        <w:spacing w:after="0"/>
        <w:tabs>
          <w:tab w:leader="none" w:pos="2646" w:val="left"/>
        </w:tabs>
        <w:numPr>
          <w:ilvl w:val="1"/>
          <w:numId w:val="293"/>
        </w:numPr>
        <w:rPr>
          <w:rFonts w:ascii="Arial" w:cs="Arial" w:eastAsia="Arial" w:hAnsi="Arial"/>
          <w:sz w:val="19"/>
          <w:szCs w:val="19"/>
          <w:color w:val="auto"/>
        </w:rPr>
      </w:pPr>
      <w:r>
        <w:rPr>
          <w:rFonts w:ascii="Arial" w:cs="Arial" w:eastAsia="Arial" w:hAnsi="Arial"/>
          <w:sz w:val="19"/>
          <w:szCs w:val="19"/>
          <w:color w:val="auto"/>
        </w:rPr>
        <w:t xml:space="preserve">any Affiliated Lender may, with the consent of the Borrower and with written notice to the Administrative Agent, contribute any of its Term Loans to Holdings, the Borrower or any of their respective Restricted Subsidiaries and, to the extent agreed with the Borrower, may in return receive loans or Qualified Equity Interests of any Holding Company (to the extent not constituting a Change in Control) or, the extent not prohibited to be issued pursuant to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hereunder, Holdings, the Borrower or any of its Restricted Subsidiaries. Any Term Loans so contributed pursuant to this subsection shall, without further action by any Person, be deemed cancelled for all purposes and no longer outstanding (and may not be resold by the Borrower), for all purposes of this Agreement and all other Loan Documents, including, but not limited to (A) the making of, or the application of, any payments to the Lenders under this Agreement or any other Loan Document, (B) the making of any request, demand, authorization, direction, notice, consent or waiver under this Agreement or any other Loan Document or (C) the determination of Required Lenders, or for any similar or related purpose, under this Agreement or any other Loan Document. In connection with any Term Loans so cancelled pursuant to this subsection, the Administrative Agent is authorized to make appropriate entries in the Register to reflect any such cancellation. Any gains from the cancellation of such Term Loans shall not increase the Available Amount, Consolidated EBITDA or Excess Cash Flow for any purpose hereunder. The cancellations contemplated by this subsection shall be deemed to be voluntary prepayments by the Borrower pursuant to </w:t>
      </w:r>
      <w:r>
        <w:rPr>
          <w:rFonts w:ascii="Arial" w:cs="Arial" w:eastAsia="Arial" w:hAnsi="Arial"/>
          <w:sz w:val="19"/>
          <w:szCs w:val="19"/>
          <w:u w:val="single" w:color="auto"/>
          <w:color w:val="auto"/>
        </w:rPr>
        <w:t>Section 2.11(a)</w:t>
      </w:r>
      <w:r>
        <w:rPr>
          <w:rFonts w:ascii="Arial" w:cs="Arial" w:eastAsia="Arial" w:hAnsi="Arial"/>
          <w:sz w:val="19"/>
          <w:szCs w:val="19"/>
          <w:color w:val="auto"/>
        </w:rPr>
        <w:t>, and the principal amount of any such Term Loans so cancelled shall be applied to the Term Loans of the Lender from whom they were purchased as directed by the Borrower; and</w:t>
      </w:r>
    </w:p>
    <w:p>
      <w:pPr>
        <w:spacing w:after="0" w:line="389" w:lineRule="exact"/>
        <w:rPr>
          <w:rFonts w:ascii="Arial" w:cs="Arial" w:eastAsia="Arial" w:hAnsi="Arial"/>
          <w:sz w:val="19"/>
          <w:szCs w:val="19"/>
          <w:color w:val="auto"/>
        </w:rPr>
      </w:pPr>
    </w:p>
    <w:p>
      <w:pPr>
        <w:jc w:val="both"/>
        <w:ind w:left="1300" w:firstLine="652"/>
        <w:spacing w:after="0" w:line="223" w:lineRule="auto"/>
        <w:tabs>
          <w:tab w:leader="none" w:pos="2429" w:val="left"/>
        </w:tabs>
        <w:numPr>
          <w:ilvl w:val="1"/>
          <w:numId w:val="293"/>
        </w:numPr>
        <w:rPr>
          <w:rFonts w:ascii="Arial" w:cs="Arial" w:eastAsia="Arial" w:hAnsi="Arial"/>
          <w:sz w:val="22"/>
          <w:szCs w:val="22"/>
          <w:color w:val="auto"/>
        </w:rPr>
      </w:pPr>
      <w:r>
        <w:rPr>
          <w:rFonts w:ascii="Arial" w:cs="Arial" w:eastAsia="Arial" w:hAnsi="Arial"/>
          <w:sz w:val="22"/>
          <w:szCs w:val="22"/>
          <w:color w:val="auto"/>
        </w:rPr>
        <w:t>none of the Borrower, any Sponsor nor any of their respective Affiliates shall be required to make any representation that it is not in possession of material nonpublic information with respect to Holdings, the Borrower, any of their respective subsidiaries or their respective securities.</w:t>
      </w:r>
    </w:p>
    <w:p>
      <w:pPr>
        <w:spacing w:after="0" w:line="158" w:lineRule="exact"/>
        <w:rPr>
          <w:rFonts w:ascii="Arial" w:cs="Arial" w:eastAsia="Arial" w:hAnsi="Arial"/>
          <w:sz w:val="22"/>
          <w:szCs w:val="22"/>
          <w:color w:val="auto"/>
        </w:rPr>
      </w:pPr>
    </w:p>
    <w:p>
      <w:pPr>
        <w:ind w:left="660" w:firstLine="644"/>
        <w:spacing w:after="0" w:line="232" w:lineRule="auto"/>
        <w:tabs>
          <w:tab w:leader="none" w:pos="2047" w:val="left"/>
        </w:tabs>
        <w:numPr>
          <w:ilvl w:val="0"/>
          <w:numId w:val="294"/>
        </w:numPr>
        <w:rPr>
          <w:rFonts w:ascii="Arial" w:cs="Arial" w:eastAsia="Arial" w:hAnsi="Arial"/>
          <w:sz w:val="22"/>
          <w:szCs w:val="22"/>
          <w:color w:val="auto"/>
        </w:rPr>
      </w:pPr>
      <w:r>
        <w:rPr>
          <w:rFonts w:ascii="Arial" w:cs="Arial" w:eastAsia="Arial" w:hAnsi="Arial"/>
          <w:sz w:val="22"/>
          <w:szCs w:val="22"/>
          <w:color w:val="auto"/>
        </w:rPr>
        <w:t>Notwithstanding the foregoing, (i) in no event shall the Administrative Agent be obligated to ascertain, monitor or inquire as to whether any Lender is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67" w:name="page268"/>
    <w:bookmarkEnd w:id="267"/>
    <w:p>
      <w:pPr>
        <w:jc w:val="both"/>
        <w:ind w:left="660"/>
        <w:spacing w:after="0" w:line="220" w:lineRule="auto"/>
        <w:rPr>
          <w:sz w:val="20"/>
          <w:szCs w:val="20"/>
          <w:color w:val="auto"/>
        </w:rPr>
      </w:pPr>
      <w:r>
        <w:rPr>
          <w:rFonts w:ascii="Arial" w:cs="Arial" w:eastAsia="Arial" w:hAnsi="Arial"/>
          <w:sz w:val="21"/>
          <w:szCs w:val="21"/>
          <w:color w:val="auto"/>
        </w:rPr>
        <w:t xml:space="preserve">Affiliated Lender nor shall the Administrative Agent be obligated to monitor the aggregate amount of Term Loans held by Affiliated Lenders, (ii) in no event shall any Affiliated Institutional Lender be required to comply with (or otherwise be subject to) the terms of this </w:t>
      </w:r>
      <w:r>
        <w:rPr>
          <w:rFonts w:ascii="Arial" w:cs="Arial" w:eastAsia="Arial" w:hAnsi="Arial"/>
          <w:sz w:val="21"/>
          <w:szCs w:val="21"/>
          <w:u w:val="single" w:color="auto"/>
          <w:color w:val="auto"/>
        </w:rPr>
        <w:t>clause (vii)</w:t>
      </w:r>
      <w:r>
        <w:rPr>
          <w:rFonts w:ascii="Arial" w:cs="Arial" w:eastAsia="Arial" w:hAnsi="Arial"/>
          <w:sz w:val="21"/>
          <w:szCs w:val="21"/>
          <w:color w:val="auto"/>
        </w:rPr>
        <w:t xml:space="preserve"> and (iii) no Affiliated Lender shall be required to make a representation that it is not in possession of material nonpublic information with respect to Holdings, the Borrower, any of their respective Subsidiaries or their respective securities. Each Affiliated Lender (other than any Affiliated Institutional Lenders) agrees to notify the Administrative Agent promptly (and in any event within 10 Business Days) if it acquires any Person who is also a Lender, and each Lender agrees to notify the Administrative Agent promptly (and in any event within 10 Business Days) if it becomes an Affiliated Lender (other than any Affiliated Institutional Lenders). Such notice shall contain the type of information required and be delivered to the same addressee as set forth in an Affiliated Lender Assignment and Assumption Agreement.</w:t>
      </w:r>
    </w:p>
    <w:p>
      <w:pPr>
        <w:spacing w:after="0" w:line="162" w:lineRule="exact"/>
        <w:rPr>
          <w:sz w:val="20"/>
          <w:szCs w:val="20"/>
          <w:color w:val="auto"/>
        </w:rPr>
      </w:pPr>
    </w:p>
    <w:p>
      <w:pPr>
        <w:jc w:val="both"/>
        <w:ind w:firstLine="1304"/>
        <w:spacing w:after="0" w:line="220" w:lineRule="auto"/>
        <w:tabs>
          <w:tab w:leader="none" w:pos="1753" w:val="left"/>
        </w:tabs>
        <w:numPr>
          <w:ilvl w:val="0"/>
          <w:numId w:val="295"/>
        </w:numPr>
        <w:rPr>
          <w:rFonts w:ascii="Arial" w:cs="Arial" w:eastAsia="Arial" w:hAnsi="Arial"/>
          <w:sz w:val="21"/>
          <w:szCs w:val="21"/>
          <w:color w:val="auto"/>
        </w:rPr>
      </w:pPr>
      <w:r>
        <w:rPr>
          <w:rFonts w:ascii="Arial" w:cs="Arial" w:eastAsia="Arial" w:hAnsi="Arial"/>
          <w:sz w:val="21"/>
          <w:szCs w:val="21"/>
          <w:color w:val="auto"/>
        </w:rPr>
        <w:t>Any Lender may, without the consent of the Borrower, the Sponsors, the Administrative Agent, the Swingline Lender or the Issuing Banks, sell participations to any Person (other than a natural person, Holdings and its Subsidiaries, an Affiliated Institutional Lender, any Defaulting Lender, any Excluded Affiliate or any Disqualified Lender to the extent the list of Disqualified Lenders is provided to each Lender upon request in connection with an assignment or participation) (a “</w:t>
      </w:r>
      <w:r>
        <w:rPr>
          <w:rFonts w:ascii="Arial" w:cs="Arial" w:eastAsia="Arial" w:hAnsi="Arial"/>
          <w:sz w:val="21"/>
          <w:szCs w:val="21"/>
          <w:u w:val="single" w:color="auto"/>
          <w:color w:val="auto"/>
        </w:rPr>
        <w:t>Participant</w:t>
      </w:r>
      <w:r>
        <w:rPr>
          <w:rFonts w:ascii="Arial" w:cs="Arial" w:eastAsia="Arial" w:hAnsi="Arial"/>
          <w:sz w:val="21"/>
          <w:szCs w:val="21"/>
          <w:color w:val="auto"/>
        </w:rPr>
        <w:t xml:space="preserve">”) in all or a portion of such Lender’s rights and obligations under this Agreement (including all or a portion of its Commitment and the Loans owing to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such Lender’s obligations under this Agreement shall remain unchanged, (B) such Lender shall remain solely responsible to the other parties hereto for the performance of such obligations, (C) the Borrower, the Administrative Agent, the Issuing Banks and the other Lenders shall continue to deal solely and directly with such Lender in connection with such Lender’s rights and obligations under this Agreement and (D) such Person shall not be entitled to exercise any rights of a Lender under the Loan Documents.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of the first proviso to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that directly or adversely affects such Participant. Subject to the paragraph below, the Borrower agrees that each Participant shall be entitled to the benefits of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(subject to the limitations and requirements of such Sections, including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(it being understood that the documentation required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2.17(e)</w:t>
      </w:r>
      <w:r>
        <w:rPr>
          <w:rFonts w:ascii="Arial" w:cs="Arial" w:eastAsia="Arial" w:hAnsi="Arial"/>
          <w:sz w:val="19"/>
          <w:szCs w:val="19"/>
          <w:color w:val="auto"/>
        </w:rPr>
        <w:t xml:space="preserve"> shall be delivered to the participating Lender) and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to the same extent as if it were a Lender and had acquired its interest by assignment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the obligation to disclose all or a portion of the Participant Register (including the identity of the Participant or any information relating to a Participant’s interest in any Loans or other obligations under any Loan Document) to any Person except to the extent that such disclosure is necessary in connection with a Tax audit or other proceeding to establish that any Loans are in registered form for U.S. federal income tax purposes. The entries in the Participant Register shall be conclusive absent manifest error, and the Borrower and such Lender shall treat each person whose name is recorded in the Participant Register as the owner of such participation for all purposes of this Agreement notwithstanding any notice to the contrary. This Section shall be construed so that the Loan Documents are at all times maintained in “registered form” within the meaning of Sections 163(f), 871(h)(2) and 881(c)(2)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68" w:name="page269"/>
    <w:bookmarkEnd w:id="268"/>
    <w:p>
      <w:pPr>
        <w:jc w:val="both"/>
        <w:spacing w:after="0" w:line="229" w:lineRule="auto"/>
        <w:rPr>
          <w:sz w:val="20"/>
          <w:szCs w:val="20"/>
          <w:color w:val="auto"/>
        </w:rPr>
      </w:pPr>
      <w:r>
        <w:rPr>
          <w:rFonts w:ascii="Arial" w:cs="Arial" w:eastAsia="Arial" w:hAnsi="Arial"/>
          <w:sz w:val="21"/>
          <w:szCs w:val="21"/>
          <w:color w:val="auto"/>
        </w:rPr>
        <w:t xml:space="preserve">A Participant shall not be entitled to receive any greater payment under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than the applicable Lender would have been entitled to receive with respect to the participation sold to such Participant, except to the extent the right to a greater payment results from a Change in Law after the Participant becomes a Participant or the sale of the participation to such Participant is made with the Borrower’s prior written consent.</w:t>
      </w:r>
    </w:p>
    <w:p>
      <w:pPr>
        <w:spacing w:after="0" w:line="158" w:lineRule="exact"/>
        <w:rPr>
          <w:sz w:val="20"/>
          <w:szCs w:val="20"/>
          <w:color w:val="auto"/>
        </w:rPr>
      </w:pPr>
    </w:p>
    <w:p>
      <w:pPr>
        <w:jc w:val="both"/>
        <w:ind w:firstLine="1304"/>
        <w:spacing w:after="0" w:line="247" w:lineRule="auto"/>
        <w:tabs>
          <w:tab w:leader="none" w:pos="1839" w:val="left"/>
        </w:tabs>
        <w:numPr>
          <w:ilvl w:val="0"/>
          <w:numId w:val="296"/>
        </w:numPr>
        <w:rPr>
          <w:rFonts w:ascii="Arial" w:cs="Arial" w:eastAsia="Arial" w:hAnsi="Arial"/>
          <w:sz w:val="19"/>
          <w:szCs w:val="19"/>
          <w:color w:val="auto"/>
        </w:rPr>
      </w:pPr>
      <w:r>
        <w:rPr>
          <w:rFonts w:ascii="Arial" w:cs="Arial" w:eastAsia="Arial" w:hAnsi="Arial"/>
          <w:sz w:val="19"/>
          <w:szCs w:val="19"/>
          <w:color w:val="auto"/>
        </w:rPr>
        <w:t>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including any pledge or assignment to any holders of obligations owed, or securities issued, by such Lender (including to any trustee for, or any other representative of, such holders) (such holders, each a “</w:t>
      </w:r>
      <w:r>
        <w:rPr>
          <w:rFonts w:ascii="Arial" w:cs="Arial" w:eastAsia="Arial" w:hAnsi="Arial"/>
          <w:sz w:val="19"/>
          <w:szCs w:val="19"/>
          <w:u w:val="single" w:color="auto"/>
          <w:color w:val="auto"/>
        </w:rPr>
        <w:t>Lender Financing Source</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of a security interest shall release a Lender from any of its obligations hereunder or substitute any such pledgee or assignee for such Lender as a party hereto.</w:t>
      </w:r>
    </w:p>
    <w:p>
      <w:pPr>
        <w:spacing w:after="0" w:line="153" w:lineRule="exact"/>
        <w:rPr>
          <w:rFonts w:ascii="Arial" w:cs="Arial" w:eastAsia="Arial" w:hAnsi="Arial"/>
          <w:sz w:val="19"/>
          <w:szCs w:val="19"/>
          <w:color w:val="auto"/>
        </w:rPr>
      </w:pPr>
    </w:p>
    <w:p>
      <w:pPr>
        <w:jc w:val="both"/>
        <w:ind w:firstLine="1304"/>
        <w:spacing w:after="0"/>
        <w:tabs>
          <w:tab w:leader="none" w:pos="1768" w:val="left"/>
        </w:tabs>
        <w:numPr>
          <w:ilvl w:val="0"/>
          <w:numId w:val="296"/>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any Lender (a “</w:t>
      </w:r>
      <w:r>
        <w:rPr>
          <w:rFonts w:ascii="Arial" w:cs="Arial" w:eastAsia="Arial" w:hAnsi="Arial"/>
          <w:sz w:val="19"/>
          <w:szCs w:val="19"/>
          <w:u w:val="single" w:color="auto"/>
          <w:color w:val="auto"/>
        </w:rPr>
        <w:t>Granting Lender</w:t>
      </w:r>
      <w:r>
        <w:rPr>
          <w:rFonts w:ascii="Arial" w:cs="Arial" w:eastAsia="Arial" w:hAnsi="Arial"/>
          <w:sz w:val="19"/>
          <w:szCs w:val="19"/>
          <w:color w:val="auto"/>
        </w:rPr>
        <w:t>”) may grant to a special purpose funding vehicle organized and administered by such Granting Lender (an “</w:t>
      </w:r>
      <w:r>
        <w:rPr>
          <w:rFonts w:ascii="Arial" w:cs="Arial" w:eastAsia="Arial" w:hAnsi="Arial"/>
          <w:sz w:val="19"/>
          <w:szCs w:val="19"/>
          <w:u w:val="single" w:color="auto"/>
          <w:color w:val="auto"/>
        </w:rPr>
        <w:t>SPV</w:t>
      </w:r>
      <w:r>
        <w:rPr>
          <w:rFonts w:ascii="Arial" w:cs="Arial" w:eastAsia="Arial" w:hAnsi="Arial"/>
          <w:sz w:val="19"/>
          <w:szCs w:val="19"/>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such party will not institute against, or join any other Person in instituting against, such SPV any bankruptcy, reorganization, arrangement, insolvency or liquidation proceedings under the laws of the United States or any State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Lender designating any SPV hereby agrees to indemnify and hold harmless each other party hereto for any loss, cost, damage or expense arising out of its inability to institute such a proceeding against such SPV during such period of forbearance. In addition, notwithstanding anything to the contrary contained in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Disqualified Lenders to the extent the list of Disqualified Lenders is provided to each Lender upon request in connection with an assignment or participation, providing liquidity or credit support to or for the account of such SPV to support the funding or maintenance of Loans and (ii) subject to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disclose on a confidential basis any non-public information relating to its Loans to any rating agency, commercial paper dealer or provider of any surety, guarantee or credit or liquidity enhancement to such SPV other than any Disqualified Lender. The Borrower agrees that each SPV shall be entitled to the benefits of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(subject to the limitations and requirements of such Sections, including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to the same extent as if it were a Lender and had acquired its interest by assignment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 SPV shall not be entitled to receive any greater payment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than the applicable Granting Lender would have been entitled to receive with respect to the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69" w:name="page270"/>
    <w:bookmarkEnd w:id="269"/>
    <w:p>
      <w:pPr>
        <w:spacing w:after="0" w:line="232" w:lineRule="auto"/>
        <w:rPr>
          <w:sz w:val="20"/>
          <w:szCs w:val="20"/>
          <w:color w:val="auto"/>
        </w:rPr>
      </w:pPr>
      <w:r>
        <w:rPr>
          <w:rFonts w:ascii="Arial" w:cs="Arial" w:eastAsia="Arial" w:hAnsi="Arial"/>
          <w:sz w:val="22"/>
          <w:szCs w:val="22"/>
          <w:color w:val="auto"/>
        </w:rPr>
        <w:t>granted to such SPV, except to the extent the right to a greater payment results from a Change in Law after the date of the grant to such SPV, or the grant to such SPV is made with the Borrower’s prior written consent.</w:t>
      </w:r>
    </w:p>
    <w:p>
      <w:pPr>
        <w:spacing w:after="0" w:line="159" w:lineRule="exact"/>
        <w:rPr>
          <w:sz w:val="20"/>
          <w:szCs w:val="20"/>
          <w:color w:val="auto"/>
        </w:rPr>
      </w:pPr>
    </w:p>
    <w:p>
      <w:pPr>
        <w:jc w:val="both"/>
        <w:ind w:firstLine="1304"/>
        <w:spacing w:after="0" w:line="223" w:lineRule="auto"/>
        <w:tabs>
          <w:tab w:leader="none" w:pos="1814" w:val="left"/>
        </w:tabs>
        <w:numPr>
          <w:ilvl w:val="0"/>
          <w:numId w:val="297"/>
        </w:numPr>
        <w:rPr>
          <w:rFonts w:ascii="Arial" w:cs="Arial" w:eastAsia="Arial" w:hAnsi="Arial"/>
          <w:sz w:val="22"/>
          <w:szCs w:val="22"/>
          <w:color w:val="auto"/>
        </w:rPr>
      </w:pPr>
      <w:r>
        <w:rPr>
          <w:rFonts w:ascii="Arial" w:cs="Arial" w:eastAsia="Arial" w:hAnsi="Arial"/>
          <w:sz w:val="22"/>
          <w:szCs w:val="22"/>
          <w:color w:val="auto"/>
        </w:rPr>
        <w:t xml:space="preserve">No such assignment shall be made (A) to any Defaulting Lender or any of its subsidiaries, or any Person who, upon becoming a Lender hereunder, would constitute any of the foregoing Persons described in this </w:t>
      </w:r>
      <w:r>
        <w:rPr>
          <w:rFonts w:ascii="Arial" w:cs="Arial" w:eastAsia="Arial" w:hAnsi="Arial"/>
          <w:sz w:val="22"/>
          <w:szCs w:val="22"/>
          <w:u w:val="single" w:color="auto"/>
          <w:color w:val="auto"/>
        </w:rPr>
        <w:t>clause (A)</w:t>
      </w:r>
      <w:r>
        <w:rPr>
          <w:rFonts w:ascii="Arial" w:cs="Arial" w:eastAsia="Arial" w:hAnsi="Arial"/>
          <w:sz w:val="22"/>
          <w:szCs w:val="22"/>
          <w:color w:val="auto"/>
        </w:rPr>
        <w:t>, or (B) to a natural person.</w:t>
      </w:r>
    </w:p>
    <w:p>
      <w:pPr>
        <w:spacing w:after="0" w:line="158" w:lineRule="exact"/>
        <w:rPr>
          <w:rFonts w:ascii="Arial" w:cs="Arial" w:eastAsia="Arial" w:hAnsi="Arial"/>
          <w:sz w:val="22"/>
          <w:szCs w:val="22"/>
          <w:color w:val="auto"/>
        </w:rPr>
      </w:pPr>
    </w:p>
    <w:p>
      <w:pPr>
        <w:jc w:val="both"/>
        <w:ind w:firstLine="1304"/>
        <w:spacing w:after="0" w:line="242" w:lineRule="auto"/>
        <w:tabs>
          <w:tab w:leader="none" w:pos="1842" w:val="left"/>
        </w:tabs>
        <w:numPr>
          <w:ilvl w:val="0"/>
          <w:numId w:val="297"/>
        </w:numPr>
        <w:rPr>
          <w:rFonts w:ascii="Arial" w:cs="Arial" w:eastAsia="Arial" w:hAnsi="Arial"/>
          <w:sz w:val="19"/>
          <w:szCs w:val="19"/>
          <w:color w:val="auto"/>
        </w:rPr>
      </w:pPr>
      <w:r>
        <w:rPr>
          <w:rFonts w:ascii="Arial" w:cs="Arial" w:eastAsia="Arial" w:hAnsi="Arial"/>
          <w:sz w:val="19"/>
          <w:szCs w:val="19"/>
          <w:color w:val="auto"/>
        </w:rPr>
        <w:t>In connection with any assignment of rights and obligations of any Defaulting Lender hereunder, no such assignment shall be effective unless and until, in addition to the other express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4" w:lineRule="exact"/>
        <w:rPr>
          <w:rFonts w:ascii="Arial" w:cs="Arial" w:eastAsia="Arial" w:hAnsi="Arial"/>
          <w:sz w:val="19"/>
          <w:szCs w:val="19"/>
          <w:color w:val="auto"/>
        </w:rPr>
      </w:pPr>
    </w:p>
    <w:p>
      <w:pPr>
        <w:jc w:val="both"/>
        <w:ind w:firstLine="1304"/>
        <w:spacing w:after="0" w:line="247" w:lineRule="auto"/>
        <w:tabs>
          <w:tab w:leader="none" w:pos="1841"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Disqualified Lenders</w:t>
      </w:r>
      <w:r>
        <w:rPr>
          <w:rFonts w:ascii="Arial" w:cs="Arial" w:eastAsia="Arial" w:hAnsi="Arial"/>
          <w:sz w:val="19"/>
          <w:szCs w:val="19"/>
          <w:color w:val="auto"/>
        </w:rPr>
        <w:t>. The Administrative Agent shall provide the list of Disqualified Lenders to a Lender upon its request in connection with an assignment or participation. Notwithstanding anything to the contrary herein,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153" w:lineRule="exact"/>
        <w:rPr>
          <w:rFonts w:ascii="Arial" w:cs="Arial" w:eastAsia="Arial" w:hAnsi="Arial"/>
          <w:sz w:val="19"/>
          <w:szCs w:val="19"/>
          <w:color w:val="auto"/>
        </w:rPr>
      </w:pPr>
    </w:p>
    <w:p>
      <w:pPr>
        <w:ind w:left="1720" w:hanging="416"/>
        <w:spacing w:after="0"/>
        <w:tabs>
          <w:tab w:leader="none" w:pos="172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 xml:space="preserve">The Borrower may require any Lender to assign its Loans and Commitments in accordance with </w:t>
      </w:r>
      <w:r>
        <w:rPr>
          <w:rFonts w:ascii="Arial" w:cs="Arial" w:eastAsia="Arial" w:hAnsi="Arial"/>
          <w:sz w:val="19"/>
          <w:szCs w:val="19"/>
          <w:u w:val="single" w:color="auto"/>
          <w:color w:val="auto"/>
        </w:rPr>
        <w:t>Section 2.21</w:t>
      </w:r>
      <w:r>
        <w:rPr>
          <w:rFonts w:ascii="Arial" w:cs="Arial" w:eastAsia="Arial" w:hAnsi="Arial"/>
          <w:sz w:val="19"/>
          <w:szCs w:val="19"/>
          <w:color w:val="auto"/>
        </w:rPr>
        <w:t>.</w:t>
      </w:r>
    </w:p>
    <w:p>
      <w:pPr>
        <w:spacing w:after="0" w:line="21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u w:val="single" w:color="auto"/>
          <w:color w:val="auto"/>
        </w:rPr>
        <w:t>Section 9.05 Survival</w:t>
      </w:r>
      <w:r>
        <w:rPr>
          <w:rFonts w:ascii="Arial" w:cs="Arial" w:eastAsia="Arial" w:hAnsi="Arial"/>
          <w:sz w:val="19"/>
          <w:szCs w:val="19"/>
          <w:color w:val="auto"/>
        </w:rPr>
        <w:t>. All representations and warranties made by the Loan Parties herein and in the other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w:t>
      </w:r>
    </w:p>
    <w:p>
      <w:pPr>
        <w:spacing w:after="0" w:line="152"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u w:val="single" w:color="auto"/>
          <w:color w:val="auto"/>
        </w:rPr>
        <w:t>Section 9.06 Counterparts; Integration</w:t>
      </w:r>
      <w:r>
        <w:rPr>
          <w:rFonts w:ascii="Arial" w:cs="Arial" w:eastAsia="Arial" w:hAnsi="Arial"/>
          <w:sz w:val="21"/>
          <w:szCs w:val="21"/>
          <w:color w:val="auto"/>
        </w:rPr>
        <w:t>. This Agreement may be executed in counterparts (and by different parties hereto on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70" w:name="page271"/>
    <w:bookmarkEnd w:id="270"/>
    <w:p>
      <w:pPr>
        <w:jc w:val="both"/>
        <w:spacing w:after="0" w:line="216" w:lineRule="auto"/>
        <w:rPr>
          <w:sz w:val="20"/>
          <w:szCs w:val="20"/>
          <w:color w:val="auto"/>
        </w:rPr>
      </w:pPr>
      <w:r>
        <w:rPr>
          <w:rFonts w:ascii="Arial" w:cs="Arial" w:eastAsia="Arial" w:hAnsi="Arial"/>
          <w:sz w:val="22"/>
          <w:szCs w:val="22"/>
          <w:color w:val="auto"/>
        </w:rPr>
        <w:t>understandings, oral or written, relating to the subject matter hereof, and there are no promises, undertakings, representations or warranties by the Holding Companies, the Borrower, the Administrative Agent, nor any Lender relative to the subject matter hereof not expressly set forth or referred to herein or in the other Loan Documents. Delivery of an executed counterpart of a signature page of this Agreement by telecopy or electronic transmission (including Adobe pdf file) shall be effective as delivery of a manually executed counterpart of this Agreement.</w:t>
      </w:r>
    </w:p>
    <w:p>
      <w:pPr>
        <w:spacing w:after="0" w:line="158"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u w:val="single" w:color="auto"/>
          <w:color w:val="auto"/>
        </w:rPr>
        <w:t>Section 9.07 Severability</w:t>
      </w:r>
      <w:r>
        <w:rPr>
          <w:rFonts w:ascii="Arial" w:cs="Arial" w:eastAsia="Arial" w:hAnsi="Arial"/>
          <w:sz w:val="19"/>
          <w:szCs w:val="19"/>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w:t>
      </w:r>
      <w:r>
        <w:rPr>
          <w:rFonts w:ascii="Arial" w:cs="Arial" w:eastAsia="Arial" w:hAnsi="Arial"/>
          <w:sz w:val="19"/>
          <w:szCs w:val="19"/>
          <w:u w:val="single" w:color="auto"/>
          <w:color w:val="auto"/>
        </w:rPr>
        <w:t>Section 9.07</w:t>
      </w:r>
      <w:r>
        <w:rPr>
          <w:rFonts w:ascii="Arial" w:cs="Arial" w:eastAsia="Arial" w:hAnsi="Arial"/>
          <w:sz w:val="19"/>
          <w:szCs w:val="19"/>
          <w:color w:val="auto"/>
        </w:rPr>
        <w:t>, if and to the extent that the enforceability of any provisions in this Agreement relating to Defaulting Lenders shall be limited by Debtor Relief Laws, as determined in good faith by the Administrative Agent or the Issuing Banks, as applicable, then such provisions shall be deemed to be in effect only to the extent not so limited.</w:t>
      </w:r>
    </w:p>
    <w:p>
      <w:pPr>
        <w:spacing w:after="0" w:line="154" w:lineRule="exact"/>
        <w:rPr>
          <w:sz w:val="20"/>
          <w:szCs w:val="20"/>
          <w:color w:val="auto"/>
        </w:rPr>
      </w:pPr>
    </w:p>
    <w:p>
      <w:pPr>
        <w:jc w:val="both"/>
        <w:ind w:firstLine="1296"/>
        <w:spacing w:after="0"/>
        <w:rPr>
          <w:sz w:val="20"/>
          <w:szCs w:val="20"/>
          <w:color w:val="auto"/>
        </w:rPr>
      </w:pPr>
      <w:r>
        <w:rPr>
          <w:rFonts w:ascii="Arial" w:cs="Arial" w:eastAsia="Arial" w:hAnsi="Arial"/>
          <w:sz w:val="19"/>
          <w:szCs w:val="19"/>
          <w:u w:val="single" w:color="auto"/>
          <w:color w:val="auto"/>
        </w:rPr>
        <w:t>Section 9.08 Right of Setoff</w:t>
      </w:r>
      <w:r>
        <w:rPr>
          <w:rFonts w:ascii="Arial" w:cs="Arial" w:eastAsia="Arial" w:hAnsi="Arial"/>
          <w:sz w:val="19"/>
          <w:szCs w:val="19"/>
          <w:color w:val="auto"/>
        </w:rPr>
        <w:t xml:space="preserve">. If an Event of Default shall have occurred and be continuing, each Lender and Issuing Bank (and each of their respective Affiliates) is hereby authorized at any time and from time to time, after obtaining the prior written consent of the Administrative Agent and the Required Lenders, to set off and apply any and all deposits (general or special, time or demand, provisional or final, in whatever currency, but not any tax accounts, trust accounts, withholding or payroll accounts) at any time held and other obligations (in whatever currency) at any time owing by such Lender or such Issuing Bank to or for the credit or the account of the Borrower against any and all of the Obligations of the Borrower now or hereafter existing under this Agreement held by such Lender or such Issuing Bank, but only to the extent then due and payable;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(i)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and the Lenders and (ii) the Defaulting Lender shall provide promptly to the Administrative Agent a statement describing in reasonable detail the Obligations owing to such Defaulting Lender as to which it exercised such right of setoff. The rights of each Lender and each of the Issuing Banks under this Section are in addition to other rights and remedies (including other rights of setoff) that such Lender or such Issuing Bank may have. Each Lender and each of the Issuing Banks agree promptly to notify the Borrower and the Administrative Agent of such setoff and application made by such Lender or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any delay in giving such notice shall not affect the validity of any such setoff and application under this </w:t>
      </w:r>
      <w:r>
        <w:rPr>
          <w:rFonts w:ascii="Arial" w:cs="Arial" w:eastAsia="Arial" w:hAnsi="Arial"/>
          <w:sz w:val="19"/>
          <w:szCs w:val="19"/>
          <w:u w:val="single" w:color="auto"/>
          <w:color w:val="auto"/>
        </w:rPr>
        <w:t>Section 9.08</w:t>
      </w:r>
      <w:r>
        <w:rPr>
          <w:rFonts w:ascii="Arial" w:cs="Arial" w:eastAsia="Arial" w:hAnsi="Arial"/>
          <w:sz w:val="19"/>
          <w:szCs w:val="19"/>
          <w:color w:val="auto"/>
        </w:rPr>
        <w:t>. None of any Agent, any Lender or any Issuing Bank shall be under any obligation to marshal any assets in favor of any Loan Party or any other Person or against or in payment of any or all of the Obligations. To the extent that any Loan Party makes a payment or payments to Administrative Agent, Issuing Bank or Lenders (or to Administrative Agent, on behalf of Lenders or Issuing Bank), or any Agent, Issuing Bank or Lender enforces any security interests or exercises any right of setoff, and such payment or payments or the proceeds of such enforcement or setoff or any part thereof are subsequently invalidated, declared to be fraudulent or preferential, set aside and/or required to be repaid to a trustee, receiver or any other party under any Debtor Relief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71" w:name="page272"/>
    <w:bookmarkEnd w:id="271"/>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9.09</w:t>
      </w:r>
      <w:r>
        <w:rPr>
          <w:sz w:val="20"/>
          <w:szCs w:val="20"/>
          <w:color w:val="auto"/>
        </w:rPr>
        <w:tab/>
      </w:r>
      <w:r>
        <w:rPr>
          <w:rFonts w:ascii="Arial" w:cs="Arial" w:eastAsia="Arial" w:hAnsi="Arial"/>
          <w:sz w:val="19"/>
          <w:szCs w:val="19"/>
          <w:u w:val="single" w:color="auto"/>
          <w:color w:val="auto"/>
        </w:rPr>
        <w:t>Governing Law; Jurisdiction; Consent to Service of Process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1" w:lineRule="auto"/>
        <w:tabs>
          <w:tab w:leader="none" w:pos="1818" w:val="left"/>
        </w:tabs>
        <w:numPr>
          <w:ilvl w:val="0"/>
          <w:numId w:val="298"/>
        </w:numPr>
        <w:rPr>
          <w:rFonts w:ascii="Arial" w:cs="Arial" w:eastAsia="Arial" w:hAnsi="Arial"/>
          <w:sz w:val="21"/>
          <w:szCs w:val="21"/>
          <w:color w:val="auto"/>
        </w:rPr>
      </w:pPr>
      <w:r>
        <w:rPr>
          <w:rFonts w:ascii="Arial" w:cs="Arial" w:eastAsia="Arial" w:hAnsi="Arial"/>
          <w:sz w:val="21"/>
          <w:szCs w:val="21"/>
          <w:color w:val="auto"/>
        </w:rPr>
        <w:t xml:space="preserve">This Agreement shall be construed in accordance with and governed by the law of the State of New York, without regard to conflict of laws principles thereof to the extent such principles would cause the application of the law of another state;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the laws of the State of Delaware shall govern in determining (1) the interpretation of a Parent Material Adverse Effect and whether an Parent Material Adverse Effect shall have occurred, (2) the accuracy of any Specified Recapitalization Agreement Representation and whether as a result of any inaccuracy thereof the Borrower or any Affiliate thereof has the right (without regard to any notice requirement) to terminate its obligations under the Recapitalization Agreement and (3) whether the Closing Date Recapitalization has been consummated in accordance with the terms of the Recapitalization Agreement (in each case, without regard to the laws of any other jurisdiction that might be applied because of the conflicts of laws principles of the State of Delaware).</w:t>
      </w:r>
    </w:p>
    <w:p>
      <w:pPr>
        <w:spacing w:after="0" w:line="158" w:lineRule="exact"/>
        <w:rPr>
          <w:rFonts w:ascii="Arial" w:cs="Arial" w:eastAsia="Arial" w:hAnsi="Arial"/>
          <w:sz w:val="21"/>
          <w:szCs w:val="21"/>
          <w:color w:val="auto"/>
        </w:rPr>
      </w:pPr>
    </w:p>
    <w:p>
      <w:pPr>
        <w:jc w:val="both"/>
        <w:ind w:firstLine="1304"/>
        <w:spacing w:after="0" w:line="242" w:lineRule="auto"/>
        <w:tabs>
          <w:tab w:leader="none" w:pos="1813" w:val="left"/>
        </w:tabs>
        <w:numPr>
          <w:ilvl w:val="0"/>
          <w:numId w:val="298"/>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(other than with respect to any Security Document to the extent expressly provided otherwise therein),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(other than with respect to any Security Document to the extent expressly provided otherwise therein). Each of the parties hereto agrees that a final judgment in any such action or proceeding shall be conclusive and may be enforced in other jurisdictions by suit on the judgment or in any other manner provided by law. Notwithstanding the foregoing, nothing in any Loan Document shall affect any right that the Administrative Agent, the Collateral Agent or any Lender may otherwise have to bring any action or proceeding relating to any Loan Document against the Holding Companies, the Borrower or their respective property in the courts of any jurisdiction.</w:t>
      </w:r>
    </w:p>
    <w:p>
      <w:pPr>
        <w:spacing w:after="0" w:line="164" w:lineRule="exact"/>
        <w:rPr>
          <w:rFonts w:ascii="Arial" w:cs="Arial" w:eastAsia="Arial" w:hAnsi="Arial"/>
          <w:sz w:val="19"/>
          <w:szCs w:val="19"/>
          <w:color w:val="auto"/>
        </w:rPr>
      </w:pPr>
    </w:p>
    <w:p>
      <w:pPr>
        <w:jc w:val="both"/>
        <w:ind w:firstLine="1304"/>
        <w:spacing w:after="0" w:line="216" w:lineRule="auto"/>
        <w:tabs>
          <w:tab w:leader="none" w:pos="1782" w:val="left"/>
        </w:tabs>
        <w:numPr>
          <w:ilvl w:val="0"/>
          <w:numId w:val="298"/>
        </w:numPr>
        <w:rPr>
          <w:rFonts w:ascii="Arial" w:cs="Arial" w:eastAsia="Arial" w:hAnsi="Arial"/>
          <w:sz w:val="22"/>
          <w:szCs w:val="22"/>
          <w:color w:val="auto"/>
        </w:rPr>
      </w:pPr>
      <w:r>
        <w:rPr>
          <w:rFonts w:ascii="Arial" w:cs="Arial" w:eastAsia="Arial" w:hAnsi="Arial"/>
          <w:sz w:val="22"/>
          <w:szCs w:val="22"/>
          <w:color w:val="auto"/>
        </w:rPr>
        <w:t xml:space="preserve">Each of the parties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9.09</w:t>
      </w:r>
      <w:r>
        <w:rPr>
          <w:rFonts w:ascii="Arial" w:cs="Arial" w:eastAsia="Arial" w:hAnsi="Arial"/>
          <w:sz w:val="22"/>
          <w:szCs w:val="22"/>
          <w:color w:val="auto"/>
        </w:rPr>
        <w:t>. Each of the parties hereto hereby irrevocably waives, to the fullest extent permitted by law, the defense of an inconvenient forum to the maintenance of such action or proceeding in any such court.</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77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 xml:space="preserve">Each party to this Agreement irrevocably consents to service of process in the manner provided for notices in </w:t>
      </w:r>
      <w:r>
        <w:rPr>
          <w:rFonts w:ascii="Arial" w:cs="Arial" w:eastAsia="Arial" w:hAnsi="Arial"/>
          <w:sz w:val="22"/>
          <w:szCs w:val="22"/>
          <w:u w:val="single" w:color="auto"/>
          <w:color w:val="auto"/>
        </w:rPr>
        <w:t>Section 9.01</w:t>
      </w:r>
      <w:r>
        <w:rPr>
          <w:rFonts w:ascii="Arial" w:cs="Arial" w:eastAsia="Arial" w:hAnsi="Arial"/>
          <w:sz w:val="22"/>
          <w:szCs w:val="22"/>
          <w:color w:val="auto"/>
        </w:rPr>
        <w:t>. Nothing in any Loan Document will affect the right of any party to this Agreement to serve process in any other manner permitted by law.</w:t>
      </w:r>
    </w:p>
    <w:p>
      <w:pPr>
        <w:spacing w:after="0" w:line="159"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22"/>
          <w:szCs w:val="22"/>
          <w:u w:val="single" w:color="auto"/>
          <w:color w:val="auto"/>
        </w:rPr>
        <w:t>Section 9.10 WAIVER OF JURY TRIAL</w:t>
      </w:r>
      <w:r>
        <w:rPr>
          <w:rFonts w:ascii="Arial" w:cs="Arial" w:eastAsia="Arial" w:hAnsi="Arial"/>
          <w:sz w:val="22"/>
          <w:szCs w:val="22"/>
          <w:color w:val="auto"/>
        </w:rPr>
        <w:t>. 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72" w:name="page273"/>
    <w:bookmarkEnd w:id="272"/>
    <w:p>
      <w:pPr>
        <w:jc w:val="both"/>
        <w:spacing w:after="0" w:line="232" w:lineRule="auto"/>
        <w:rPr>
          <w:sz w:val="20"/>
          <w:szCs w:val="20"/>
          <w:color w:val="auto"/>
        </w:rPr>
      </w:pPr>
      <w:r>
        <w:rPr>
          <w:rFonts w:ascii="Arial" w:cs="Arial" w:eastAsia="Arial" w:hAnsi="Arial"/>
          <w:sz w:val="22"/>
          <w:szCs w:val="22"/>
          <w:color w:val="auto"/>
        </w:rPr>
        <w:t xml:space="preserve">BEEN INDUCED TO ENTER INTO THIS AGREEMENT BY, AMONG OTHER THINGS, THE MUTUAL WAIVERS AND CERTIFICATIONS IN THIS </w:t>
      </w:r>
      <w:r>
        <w:rPr>
          <w:rFonts w:ascii="Arial" w:cs="Arial" w:eastAsia="Arial" w:hAnsi="Arial"/>
          <w:sz w:val="22"/>
          <w:szCs w:val="22"/>
          <w:u w:val="single" w:color="auto"/>
          <w:color w:val="auto"/>
        </w:rPr>
        <w:t>SECTION 9.10</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auto"/>
        </w:rPr>
        <w:t>Section 9.11 Headings</w:t>
      </w:r>
      <w:r>
        <w:rPr>
          <w:rFonts w:ascii="Arial" w:cs="Arial" w:eastAsia="Arial" w:hAnsi="Arial"/>
          <w:sz w:val="22"/>
          <w:szCs w:val="22"/>
          <w:color w:val="auto"/>
        </w:rPr>
        <w:t xml:space="preserve"> . Article and Section headings and the Table of Contents used herein are for convenience of reference only, are not part of this Agreement and shall not affect the construction of, or be taken into consideration in interpreting, this Agreement.</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u w:val="single" w:color="auto"/>
          <w:color w:val="auto"/>
        </w:rPr>
        <w:t>Section 9.12 Confidentiality</w:t>
      </w:r>
      <w:r>
        <w:rPr>
          <w:rFonts w:ascii="Arial" w:cs="Arial" w:eastAsia="Arial" w:hAnsi="Arial"/>
          <w:sz w:val="19"/>
          <w:szCs w:val="19"/>
          <w:color w:val="auto"/>
        </w:rPr>
        <w:t>. Each of the Administrative Agent, the other Agents, the Issuing Banks and the Lenders agrees to maintain the confidentiality of the Information (as defined below), except that Information may be disclosed</w:t>
      </w:r>
    </w:p>
    <w:p>
      <w:pPr>
        <w:jc w:val="both"/>
        <w:ind w:firstLine="8"/>
        <w:spacing w:after="0" w:line="237" w:lineRule="auto"/>
        <w:tabs>
          <w:tab w:leader="none" w:pos="295" w:val="left"/>
        </w:tabs>
        <w:numPr>
          <w:ilvl w:val="0"/>
          <w:numId w:val="299"/>
        </w:numPr>
        <w:rPr>
          <w:rFonts w:ascii="Arial" w:cs="Arial" w:eastAsia="Arial" w:hAnsi="Arial"/>
          <w:sz w:val="19"/>
          <w:szCs w:val="19"/>
          <w:color w:val="auto"/>
        </w:rPr>
      </w:pPr>
      <w:r>
        <w:rPr>
          <w:rFonts w:ascii="Arial" w:cs="Arial" w:eastAsia="Arial" w:hAnsi="Arial"/>
          <w:sz w:val="19"/>
          <w:szCs w:val="19"/>
          <w:color w:val="auto"/>
        </w:rPr>
        <w:t xml:space="preserve">to its and its Affiliates’ directors, trustees, officers, employees and agents, including accountants, legal counsel, other advisors, and any numbering, administration or settlement service providers on a “need to know” basis (it being understood that the Persons to whom such disclosure is made will be informed of the confidential nature of such Information and instructed to keep such Information confidential,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relevant Lender shall be responsible for such compliance and non-compliance),</w:t>
      </w:r>
    </w:p>
    <w:p>
      <w:pPr>
        <w:jc w:val="both"/>
        <w:ind w:firstLine="8"/>
        <w:spacing w:after="0"/>
        <w:tabs>
          <w:tab w:leader="none" w:pos="334" w:val="left"/>
        </w:tabs>
        <w:numPr>
          <w:ilvl w:val="0"/>
          <w:numId w:val="299"/>
        </w:numPr>
        <w:rPr>
          <w:rFonts w:ascii="Arial" w:cs="Arial" w:eastAsia="Arial" w:hAnsi="Arial"/>
          <w:sz w:val="19"/>
          <w:szCs w:val="19"/>
          <w:color w:val="auto"/>
        </w:rPr>
      </w:pPr>
      <w:r>
        <w:rPr>
          <w:rFonts w:ascii="Arial" w:cs="Arial" w:eastAsia="Arial" w:hAnsi="Arial"/>
          <w:sz w:val="19"/>
          <w:szCs w:val="19"/>
          <w:color w:val="auto"/>
        </w:rPr>
        <w:t xml:space="preserve">to the extent requested by any regulatory authority (including any self-regulatory authority), (c) to the extent required by applicable laws or regulations or by any subpoena or similar legal process,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notice shall have been given to the Borrower, to the extent practicable and permitted by applicable laws or regulations other than with respect to ordinary course filings, (d) to any other party to this Agreement, (e) in connection with the exercise of any remedies hereunder or any suit, action or proceeding relating to any Loan Document or the enforcement of rights thereunder, (f) subject to an agreement containing provisions substantially the same as those of this Section, to (i) any assignee of or Participant in, or any prospective assignee of or Participant in, any of its rights or obligations under this Agreement, in each case, except to any Excluded Affiliate or Disqualified Lender to the extent that a list thereof is made available to the Lenders upon request, or (ii) any actual or prospective Lender Counterparty to any Secured Swap Agreement relating to any Loan Party and its obligations under the Loan Documents, in each case, except to any Excluded Affiliate or Disqualified Lender to the extent that a list thereof is made available to the Lenders upon request, (g) with the written consent of the Borrower, (h) to the extent such Information (1) becomes publicly available other than as a result of a breach of this Section or (2) becomes available to the Administrative Agent, any other Agent, an Issuing Bank or any Lender on a nonconfidential basis from a source other than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source is not actually known (after due inquiry) by such disclosing party or other confidentiality obligations owed to the Borrower or its Affiliates, to be bound by an agreement containing provisions substantially the same as those contained in this confidentiality provision), (i) on a confidential basis to (x) any rating agency in connection with rating the Borrower or the facilities hereunder or (y) the CUSIP Service Bureau, Clearpar or Loanserv or any similar agency in connection with the issuance and monitoring of CUSIP numbers, settlement of assignments or other general administrative functions with respect to the facilities or (j) to any Lender Financing Source (it being understood that such Lender Financing Source to whom such disclosure is made will be informed of the confidential nature of such Information and instructed to keep such Information confidential,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applicable Lender shall be responsible for such compliance and non-compliance or (k) to industry trade organizations where such information with respect to the Credit Facilities is customarily included in league table measurements). For the purposes of this Section the term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means all information received from or on behalf of the Borrower relating to Holdings, the Borrower or any of their respective Subsidiaries or any of their respective businesses, other than any such information that is available to the Administrative Agent, any other Agent, any Issuing Bank or any Lender on a nonconfidential basis prior to disclosure by the Borrower. Any Person required to maintain the confidentiality of Information as provided in this </w:t>
      </w:r>
      <w:r>
        <w:rPr>
          <w:rFonts w:ascii="Arial" w:cs="Arial" w:eastAsia="Arial" w:hAnsi="Arial"/>
          <w:sz w:val="19"/>
          <w:szCs w:val="19"/>
          <w:u w:val="single" w:color="auto"/>
          <w:color w:val="auto"/>
        </w:rPr>
        <w:t>Section 9.12</w:t>
      </w:r>
      <w:r>
        <w:rPr>
          <w:rFonts w:ascii="Arial" w:cs="Arial" w:eastAsia="Arial" w:hAnsi="Arial"/>
          <w:sz w:val="19"/>
          <w:szCs w:val="19"/>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73" w:name="page274"/>
    <w:bookmarkEnd w:id="273"/>
    <w:p>
      <w:pPr>
        <w:jc w:val="both"/>
        <w:ind w:firstLine="1296"/>
        <w:spacing w:after="0" w:line="216" w:lineRule="auto"/>
        <w:rPr>
          <w:sz w:val="20"/>
          <w:szCs w:val="20"/>
          <w:color w:val="auto"/>
        </w:rPr>
      </w:pPr>
      <w:r>
        <w:rPr>
          <w:rFonts w:ascii="Arial" w:cs="Arial" w:eastAsia="Arial" w:hAnsi="Arial"/>
          <w:sz w:val="22"/>
          <w:szCs w:val="22"/>
          <w:color w:val="auto"/>
        </w:rPr>
        <w:t>Each Lender acknowledges that Information furnished to it pursuant to this Agreement may include material non-public information concerning the Loan Parties and their respective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58"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Loan Parties and their respective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5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u w:val="single" w:color="auto"/>
          <w:color w:val="auto"/>
        </w:rPr>
        <w:t>Section 9.13 Interest Rate Limitation</w:t>
      </w:r>
      <w:r>
        <w:rPr>
          <w:rFonts w:ascii="Arial" w:cs="Arial" w:eastAsia="Arial" w:hAnsi="Arial"/>
          <w:sz w:val="19"/>
          <w:szCs w:val="19"/>
          <w:color w:val="auto"/>
        </w:rPr>
        <w:t>. Notwithstanding anything herein to the contrary, if at any time the interest rate applicable to any Loan or participation in any LC Disbursement, together with all fees, charges and other amounts that are treated as interest on such Loan or LC Disbursement or participation therein under applicable law (collectively, the “</w:t>
      </w:r>
      <w:r>
        <w:rPr>
          <w:rFonts w:ascii="Arial" w:cs="Arial" w:eastAsia="Arial" w:hAnsi="Arial"/>
          <w:sz w:val="19"/>
          <w:szCs w:val="19"/>
          <w:u w:val="single" w:color="auto"/>
          <w:color w:val="auto"/>
        </w:rPr>
        <w:t>Charges</w:t>
      </w:r>
      <w:r>
        <w:rPr>
          <w:rFonts w:ascii="Arial" w:cs="Arial" w:eastAsia="Arial" w:hAnsi="Arial"/>
          <w:sz w:val="19"/>
          <w:szCs w:val="19"/>
          <w:color w:val="auto"/>
        </w:rPr>
        <w:t xml:space="preserve"> ”),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xml:space="preserve">”) that may be contracted for, charged, taken, received or reserved by the Lender holding such Loan or LC Disbursement or participation therein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or LC Disbursement or participation therein but were not payable as a result of the operation of this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shall be cumulated and the interest and Charges payable to such Lender in respect of other Loans or LC Disbursement or participation therein or periods shall be increased (but not above the Maximum Rate therefor) until such cumulated amount, together with interest thereon at the NYFRB to the date of repayment, shall have been received by such Lender.</w:t>
      </w:r>
    </w:p>
    <w:p>
      <w:pPr>
        <w:spacing w:after="0" w:line="159"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u w:val="single" w:color="auto"/>
          <w:color w:val="auto"/>
        </w:rPr>
        <w:t>Section 9.14 USA Patriot Act</w:t>
      </w:r>
      <w:r>
        <w:rPr>
          <w:rFonts w:ascii="Arial" w:cs="Arial" w:eastAsia="Arial" w:hAnsi="Arial"/>
          <w:sz w:val="21"/>
          <w:szCs w:val="21"/>
          <w:color w:val="auto"/>
        </w:rPr>
        <w:t>. Each Lender and each of the Issuing Banks that is subject to the Patriot Act (as hereinafter defined) and the Administrative Agent (for itself and not on behalf of any Lender) hereby notifies the Loan Parties that pursuant to the requirements of the USA Patriot Act (Title III of Pub. L. 107-56 (signed into law October 26, 2001)) (the “</w:t>
      </w:r>
      <w:r>
        <w:rPr>
          <w:rFonts w:ascii="Arial" w:cs="Arial" w:eastAsia="Arial" w:hAnsi="Arial"/>
          <w:sz w:val="21"/>
          <w:szCs w:val="21"/>
          <w:u w:val="single" w:color="auto"/>
          <w:color w:val="auto"/>
        </w:rPr>
        <w:t>Patriot Act</w:t>
      </w:r>
      <w:r>
        <w:rPr>
          <w:rFonts w:ascii="Arial" w:cs="Arial" w:eastAsia="Arial" w:hAnsi="Arial"/>
          <w:sz w:val="21"/>
          <w:szCs w:val="21"/>
          <w:color w:val="auto"/>
        </w:rPr>
        <w:t>”), it is required to obtain, verify and record information that identifies the Loan Parties, which information includes the name and address of the Loan Parties and other information that will allow such Lender, such Issuing Bank or the Administrative Agent, as applicable, to identify the Loan Parties in accordance with the Patriot Act.</w:t>
      </w:r>
    </w:p>
    <w:p>
      <w:pPr>
        <w:spacing w:after="0" w:line="16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u w:val="single" w:color="auto"/>
          <w:color w:val="auto"/>
        </w:rPr>
        <w:t>Section 9.15 Direct Website Communication</w:t>
      </w:r>
      <w:r>
        <w:rPr>
          <w:rFonts w:ascii="Arial" w:cs="Arial" w:eastAsia="Arial" w:hAnsi="Arial"/>
          <w:sz w:val="19"/>
          <w:szCs w:val="19"/>
          <w:color w:val="auto"/>
        </w:rPr>
        <w:t>. The Borrower may, at its option, provide to the Administrative Agent any information, documents and other materials that it is obligated to furnish to the Administrative Agent pursuant to the Loan Documents, including all notices, requests, financial statements, financial and other reports, certificates and other information materials (all such communications being referred to herein collectively as “</w:t>
      </w:r>
      <w:r>
        <w:rPr>
          <w:rFonts w:ascii="Arial" w:cs="Arial" w:eastAsia="Arial" w:hAnsi="Arial"/>
          <w:sz w:val="19"/>
          <w:szCs w:val="19"/>
          <w:u w:val="single" w:color="auto"/>
          <w:color w:val="auto"/>
        </w:rPr>
        <w:t>Communications</w:t>
      </w:r>
      <w:r>
        <w:rPr>
          <w:rFonts w:ascii="Arial" w:cs="Arial" w:eastAsia="Arial" w:hAnsi="Arial"/>
          <w:sz w:val="19"/>
          <w:szCs w:val="19"/>
          <w:color w:val="auto"/>
        </w:rPr>
        <w:t xml:space="preserve">”), by (i) posting such documents, or providing a link thereto, on the Borrower’s website, (ii) such documents being posted on the Borrower’s behalf on an Internet or Intranet website, if any, to which the Administrative Agent has access (whether a commercial third-party website or a website sponsored by the Administrative Agent) or (iii) by transmitting the Communications in an electronic/soft medium to the Administrative Agent at an email address provided by the Administrative Agent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promptly following written request by the Administrative Agent, the Borrower shall continue to deliver paper copies of such documents to the Administrative Agent for further distribution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74" w:name="page275"/>
    <w:bookmarkEnd w:id="274"/>
    <w:p>
      <w:pPr>
        <w:jc w:val="both"/>
        <w:spacing w:after="0" w:line="224" w:lineRule="auto"/>
        <w:rPr>
          <w:sz w:val="20"/>
          <w:szCs w:val="20"/>
          <w:color w:val="auto"/>
        </w:rPr>
      </w:pPr>
      <w:r>
        <w:rPr>
          <w:rFonts w:ascii="Arial" w:cs="Arial" w:eastAsia="Arial" w:hAnsi="Arial"/>
          <w:sz w:val="21"/>
          <w:szCs w:val="21"/>
          <w:color w:val="auto"/>
        </w:rPr>
        <w:t xml:space="preserve">Lender until a written request to cease delivering paper copies is given by the Administrative Agent and (ii) the Borrower shall notify (which may be by facsimile or electronic mail) the Administrative Agent of the posting of any such documents. Each Lender shall be solely responsible for timely accessing posted documents or requesting delivery of paper copies of such documents from the Administrative Agent and maintaining its copies of such documents. Nothing in this </w:t>
      </w:r>
      <w:r>
        <w:rPr>
          <w:rFonts w:ascii="Arial" w:cs="Arial" w:eastAsia="Arial" w:hAnsi="Arial"/>
          <w:sz w:val="21"/>
          <w:szCs w:val="21"/>
          <w:u w:val="single" w:color="auto"/>
          <w:color w:val="auto"/>
        </w:rPr>
        <w:t>Section 9.15</w:t>
      </w:r>
      <w:r>
        <w:rPr>
          <w:rFonts w:ascii="Arial" w:cs="Arial" w:eastAsia="Arial" w:hAnsi="Arial"/>
          <w:sz w:val="21"/>
          <w:szCs w:val="21"/>
          <w:color w:val="auto"/>
        </w:rPr>
        <w:t xml:space="preserve"> shall prejudice the right of the Borrower, the Administrative Agent, any other Agent or any Lender to give any notice or other communication pursuant to any Loan Document in any other manner specified in such Loan Document.</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 xml:space="preserve">The Administrative Agent agrees that the receipt of the Communications by the Administrative Agent at its e-mail address in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shall constitute effective delivery of the Communications to the Administrative Agent for purposes of the Loan Documents. Each Lender agrees that notice to it (as provided in the next sentence) specifying that the Communications have been posted to the Platform shall constitute effective delivery of the Communications to such Lender for purposes of the Loan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notification that such notice or communication is available and identifying the website address therefor.</w:t>
      </w:r>
    </w:p>
    <w:p>
      <w:pPr>
        <w:spacing w:after="0" w:line="168"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Each of the Borrower, the Administrative Agent and each of the Issuing Banks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and each of the Issuing Banks.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w:t>
      </w:r>
    </w:p>
    <w:p>
      <w:pPr>
        <w:spacing w:after="0" w:line="16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9.16</w:t>
      </w:r>
      <w:r>
        <w:rPr>
          <w:sz w:val="20"/>
          <w:szCs w:val="20"/>
          <w:color w:val="auto"/>
        </w:rPr>
        <w:tab/>
      </w:r>
      <w:r>
        <w:rPr>
          <w:rFonts w:ascii="Arial" w:cs="Arial" w:eastAsia="Arial" w:hAnsi="Arial"/>
          <w:sz w:val="19"/>
          <w:szCs w:val="19"/>
          <w:u w:val="single" w:color="auto"/>
          <w:color w:val="auto"/>
        </w:rPr>
        <w:t>Intercreditor Agreement Governs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4" w:lineRule="auto"/>
        <w:tabs>
          <w:tab w:leader="none" w:pos="1822" w:val="left"/>
        </w:tabs>
        <w:numPr>
          <w:ilvl w:val="0"/>
          <w:numId w:val="300"/>
        </w:numPr>
        <w:rPr>
          <w:rFonts w:ascii="Arial" w:cs="Arial" w:eastAsia="Arial" w:hAnsi="Arial"/>
          <w:sz w:val="19"/>
          <w:szCs w:val="19"/>
          <w:color w:val="auto"/>
        </w:rPr>
      </w:pPr>
      <w:r>
        <w:rPr>
          <w:rFonts w:ascii="Arial" w:cs="Arial" w:eastAsia="Arial" w:hAnsi="Arial"/>
          <w:sz w:val="19"/>
          <w:szCs w:val="19"/>
          <w:color w:val="auto"/>
        </w:rPr>
        <w:t>Each Lender and Agent (a) hereby agrees that it will be bound by and will take no actions contrary to the provisions of any intercreditor agreement entered into pursuant to the terms hereof, including, without limitation, the Second Lien Intercreditor Agreement, (b) hereby authorizes and instructs the Collateral Agent to enter into the Second Lien Intercreditor Agreement and any other intercreditor agreement entered into pursuant to the terms hereof and to subject the Liens securing the Secured Obligations to the provisions thereof and (c) hereby authorizes and instructs the Collateral Agent to enter into any intercreditor agreement that includes, or to amend any than existing intercreditor agreement to provide for, the terms described in the definition of the terms “Additional Debt,” “Permitted First Priority Replacement Debt”, “Permitted Second Priority Replacement Debt” or “First Lien Senior Secured Note”, as applicable, or as otherwise provided for by the terms of this Agreement, including any Pari Passu Intercreditor Agreement or Second Lien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75" w:name="page276"/>
    <w:bookmarkEnd w:id="275"/>
    <w:p>
      <w:pPr>
        <w:jc w:val="both"/>
        <w:ind w:firstLine="1304"/>
        <w:spacing w:after="0" w:line="246" w:lineRule="auto"/>
        <w:tabs>
          <w:tab w:leader="none" w:pos="1832" w:val="left"/>
        </w:tabs>
        <w:numPr>
          <w:ilvl w:val="0"/>
          <w:numId w:val="301"/>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or in any other Loan Document: (a) the Liens granted to the Collateral Agent in favor of the Secured Parties pursuant to the Loan Documents and the exercise of any right related to any Collateral shall be subject, in each case, to the terms of the Second Lien Intercreditor Agreement, (b) in the event of any conflict between the express terms and provisions of this Agreement or any other Loan Document, on the one hand, and of the Second Lien Intercreditor Agreement, on the other hand, the terms and provisions of the Second Lien Intercreditor Agreement shall control, and (c) each Lender and, by its acceptance of the benefit of the Security Documents, each other Loan Party, authorizes the Administrative Agent and/or the Collateral Agent to execute the Second Lien Intercreditor Agreement on behalf of such Lender, and such Lender agrees to be bound by the terms thereof.</w:t>
      </w:r>
    </w:p>
    <w:p>
      <w:pPr>
        <w:spacing w:after="0" w:line="15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u w:val="single" w:color="auto"/>
          <w:color w:val="auto"/>
        </w:rPr>
        <w:t>Section 9.17 Judgment Currency</w:t>
      </w:r>
      <w:r>
        <w:rPr>
          <w:rFonts w:ascii="Arial" w:cs="Arial" w:eastAsia="Arial" w:hAnsi="Arial"/>
          <w:sz w:val="19"/>
          <w:szCs w:val="19"/>
          <w:color w:val="auto"/>
        </w:rPr>
        <w:t>. If, for the purposes of obtaining judgment in any court, it is necessary to convert a sum due hereunder or under any other Loan Document in one currency into another currency, the rate of exchange used shall be that at which in accordance with the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other than that in which such sum is denominated in accordance with the applicable provisions of this Agreement (the “</w:t>
      </w:r>
      <w:r>
        <w:rPr>
          <w:rFonts w:ascii="Arial" w:cs="Arial" w:eastAsia="Arial" w:hAnsi="Arial"/>
          <w:sz w:val="19"/>
          <w:szCs w:val="19"/>
          <w:u w:val="single" w:color="auto"/>
          <w:color w:val="auto"/>
        </w:rPr>
        <w:t>Agreement Currency</w:t>
      </w:r>
      <w:r>
        <w:rPr>
          <w:rFonts w:ascii="Arial" w:cs="Arial" w:eastAsia="Arial" w:hAnsi="Arial"/>
          <w:sz w:val="19"/>
          <w:szCs w:val="19"/>
          <w:color w:val="auto"/>
        </w:rPr>
        <w:t>”), be discharged only to the extent that on the Business Day following receipt by the Administrative Agent or the relevant Lender of any sum adjudged to be so due in the Judgment Currency, the Administrative Agent or the relevant Lender may in accordance with the normal banking procedures purchase the Agreement Currency with the Judgment Currency. If the amount of the Agreement Currency so purchased is less than the sum originally due to the Administrative Agent or such Lender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or such Lender in such currency, the Administrative Agent or such Lender agrees to return the amount of any excess to the Borrower (or to any other Person who may be entitled thereto under applicable law).</w:t>
      </w:r>
    </w:p>
    <w:p>
      <w:pPr>
        <w:spacing w:after="0" w:line="381"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Section 9.18 No Advisory or Fiduciary Responsibility. 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the other Agents, the Joint Lead Arrangers and the Joint Bookrunners and the making of the Loans and Commitments by the Lenders are arm’s-length commercial transactions between the Borrower and its respective Affiliates, on the one hand, and the Administrative Agent, the other Agents, the Lenders and the Joint Lead Arrangers and the Joint Bookrunners, on the other hand, (B) the Borrower has consulted its own legal, accounting, regulatory and tax advisors to the extent it has deemed appropriate, and (C) the Borrower is capable of evaluating, and understands and accepts, the terms, risks and express conditions of the transactions contemplated hereby and by the other Loan Documents; (ii) (A) the Administrative Agent, each other Agent, each Joint Lead Arranger, each Joint Bookrunner and each Lender is and has been acting solely as a principal and, except as expressly agreed in writing by the relevant parties, has not been, is not, and will not be acting as an advisor, agent or fiduciary for the Borrower or any of its respective Affiliates, or any other Person and (B) none of the Administrative Agent, any other Agent, any Joint Lead Arranger, any Joint Bookrunner, or any Lender has any obligation to the Borrower or any of their Affiliates with respect to the transactions contemplated hereby except those obligations expressly set forth herein and in the other Loan Documents; and (iii)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-1946910</wp:posOffset>
            </wp:positionV>
            <wp:extent cx="33115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331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76" w:name="page277"/>
    <w:bookmarkEnd w:id="276"/>
    <w:p>
      <w:pPr>
        <w:jc w:val="both"/>
        <w:spacing w:after="0" w:line="247" w:lineRule="auto"/>
        <w:rPr>
          <w:sz w:val="20"/>
          <w:szCs w:val="20"/>
          <w:color w:val="auto"/>
        </w:rPr>
      </w:pPr>
      <w:r>
        <w:rPr>
          <w:rFonts w:ascii="Arial" w:cs="Arial" w:eastAsia="Arial" w:hAnsi="Arial"/>
          <w:sz w:val="19"/>
          <w:szCs w:val="19"/>
          <w:color w:val="auto"/>
        </w:rPr>
        <w:t>Administrative Agent, the other Agents, the Joint Lead Arrangers, the Joint Bookrunners, the Lenders, and the respective Affiliates of each of the foregoing may be engaged in a broad range of transactions that involve interests that differ from those of the Borrower and its Affiliates, and none of the Administrative Agent, any other Agent, any Joint Lead Arrangers, any Joint Bookrunner or any Lender has any obligation to disclose any of such interests to the Borrower or any of its Affiliates. To the fullest extent permitted by law, the Borrower hereby agrees not to assert any claims that it may have against the Administrative Agent, the other Agents, the Joint Lead Arrangers, the Joint Bookrunners or the Lenders with respect to any alleged breach of agency or fiduciary duty in connection with any aspect of any transaction contemplated hereby.</w:t>
      </w:r>
    </w:p>
    <w:p>
      <w:pPr>
        <w:spacing w:after="0" w:line="15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u w:val="single" w:color="auto"/>
          <w:color w:val="auto"/>
        </w:rPr>
        <w:t>Section 9.19 Acknowledgement and Consent to Bail-In of EEA Financial Institutions</w:t>
      </w:r>
      <w:r>
        <w:rPr>
          <w:rFonts w:ascii="Arial" w:cs="Arial" w:eastAsia="Arial" w:hAnsi="Arial"/>
          <w:sz w:val="19"/>
          <w:szCs w:val="19"/>
          <w:color w:val="auto"/>
        </w:rPr>
        <w:t>. Notwithstanding anything to the contrary in any Loan Document or in any other agreement, arrangement or understanding among any such parties, each party hereto acknowledges that any liability of any Lender or Issuing Bank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49" w:lineRule="exact"/>
        <w:rPr>
          <w:sz w:val="20"/>
          <w:szCs w:val="20"/>
          <w:color w:val="auto"/>
        </w:rPr>
      </w:pPr>
    </w:p>
    <w:p>
      <w:pPr>
        <w:ind w:firstLine="1304"/>
        <w:spacing w:after="0" w:line="298" w:lineRule="auto"/>
        <w:tabs>
          <w:tab w:leader="none" w:pos="1849" w:val="left"/>
        </w:tabs>
        <w:numPr>
          <w:ilvl w:val="0"/>
          <w:numId w:val="302"/>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Lender or Issuing Bank that is an EEA Financial Institution; and</w:t>
      </w:r>
    </w:p>
    <w:p>
      <w:pPr>
        <w:spacing w:after="0" w:line="105" w:lineRule="exact"/>
        <w:rPr>
          <w:rFonts w:ascii="Arial" w:cs="Arial" w:eastAsia="Arial" w:hAnsi="Arial"/>
          <w:sz w:val="19"/>
          <w:szCs w:val="19"/>
          <w:color w:val="auto"/>
        </w:rPr>
      </w:pPr>
    </w:p>
    <w:p>
      <w:pPr>
        <w:ind w:left="1780" w:hanging="476"/>
        <w:spacing w:after="0"/>
        <w:tabs>
          <w:tab w:leader="none" w:pos="178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179" w:lineRule="exact"/>
        <w:rPr>
          <w:sz w:val="20"/>
          <w:szCs w:val="20"/>
          <w:color w:val="auto"/>
        </w:rPr>
      </w:pPr>
    </w:p>
    <w:p>
      <w:pPr>
        <w:ind w:left="1720" w:hanging="416"/>
        <w:spacing w:after="0"/>
        <w:tabs>
          <w:tab w:leader="none" w:pos="172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179" w:lineRule="exact"/>
        <w:rPr>
          <w:rFonts w:ascii="Arial" w:cs="Arial" w:eastAsia="Arial" w:hAnsi="Arial"/>
          <w:sz w:val="22"/>
          <w:szCs w:val="22"/>
          <w:color w:val="auto"/>
        </w:rPr>
      </w:pPr>
    </w:p>
    <w:p>
      <w:pPr>
        <w:jc w:val="both"/>
        <w:ind w:left="660" w:firstLine="644"/>
        <w:spacing w:after="0" w:line="218" w:lineRule="auto"/>
        <w:tabs>
          <w:tab w:leader="none" w:pos="1816" w:val="left"/>
        </w:tabs>
        <w:numPr>
          <w:ilvl w:val="0"/>
          <w:numId w:val="303"/>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0" w:lineRule="exact"/>
        <w:rPr>
          <w:rFonts w:ascii="Arial" w:cs="Arial" w:eastAsia="Arial" w:hAnsi="Arial"/>
          <w:sz w:val="22"/>
          <w:szCs w:val="22"/>
          <w:color w:val="auto"/>
        </w:rPr>
      </w:pPr>
    </w:p>
    <w:p>
      <w:pPr>
        <w:ind w:left="660" w:firstLine="644"/>
        <w:spacing w:after="0" w:line="232" w:lineRule="auto"/>
        <w:tabs>
          <w:tab w:leader="none" w:pos="1868" w:val="left"/>
        </w:tabs>
        <w:numPr>
          <w:ilvl w:val="0"/>
          <w:numId w:val="303"/>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#91301181v32</w:t>
      </w:r>
    </w:p>
    <w:p>
      <w:pPr>
        <w:sectPr>
          <w:pgSz w:w="11900" w:h="16838" w:orient="portrait"/>
          <w:cols w:equalWidth="0" w:num="1">
            <w:col w:w="11240"/>
          </w:cols>
          <w:pgMar w:left="320" w:top="1401" w:right="339" w:bottom="1440" w:gutter="0" w:footer="0" w:header="0"/>
        </w:sectPr>
      </w:pPr>
    </w:p>
    <w:bookmarkStart w:id="277" w:name="page278"/>
    <w:bookmarkEnd w:id="277"/>
    <w:p>
      <w:pPr>
        <w:spacing w:after="0"/>
        <w:rPr>
          <w:sz w:val="20"/>
          <w:szCs w:val="20"/>
          <w:color w:val="auto"/>
        </w:rPr>
      </w:pPr>
      <w:r>
        <w:rPr>
          <w:rFonts w:ascii="Arial" w:cs="Arial" w:eastAsia="Arial" w:hAnsi="Arial"/>
          <w:sz w:val="20"/>
          <w:szCs w:val="20"/>
          <w:b w:val="1"/>
          <w:bCs w:val="1"/>
          <w:u w:val="single" w:color="auto"/>
          <w:color w:val="auto"/>
        </w:rPr>
        <w:t>EXHIBIT B</w:t>
      </w:r>
      <w:r>
        <w:rPr>
          <w:rFonts w:ascii="Arial" w:cs="Arial" w:eastAsia="Arial" w:hAnsi="Arial"/>
          <w:sz w:val="20"/>
          <w:szCs w:val="20"/>
          <w:b w:val="1"/>
          <w:bCs w:val="1"/>
          <w:color w:val="auto"/>
        </w:rPr>
        <w:t xml:space="preserve">: </w:t>
      </w:r>
      <w:r>
        <w:rPr>
          <w:rFonts w:ascii="Arial" w:cs="Arial" w:eastAsia="Arial" w:hAnsi="Arial"/>
          <w:sz w:val="20"/>
          <w:szCs w:val="20"/>
          <w:color w:val="auto"/>
        </w:rPr>
        <w:t>FORM OF BORROWING REQUEST</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EXHIBIT C</w:t>
      </w:r>
      <w:r>
        <w:rPr>
          <w:rFonts w:ascii="Arial" w:cs="Arial" w:eastAsia="Arial" w:hAnsi="Arial"/>
          <w:sz w:val="19"/>
          <w:szCs w:val="19"/>
          <w:b w:val="1"/>
          <w:bCs w:val="1"/>
          <w:color w:val="auto"/>
        </w:rPr>
        <w:t xml:space="preserve">: </w:t>
      </w:r>
      <w:r>
        <w:rPr>
          <w:rFonts w:ascii="Arial" w:cs="Arial" w:eastAsia="Arial" w:hAnsi="Arial"/>
          <w:sz w:val="19"/>
          <w:szCs w:val="19"/>
          <w:color w:val="auto"/>
        </w:rPr>
        <w:t>FORM OF INTEREST ELECTION REQUEST</w:t>
      </w:r>
    </w:p>
    <w:p>
      <w:pPr>
        <w:sectPr>
          <w:pgSz w:w="11900" w:h="16838" w:orient="portrait"/>
          <w:cols w:equalWidth="0" w:num="1">
            <w:col w:w="10139"/>
          </w:cols>
          <w:pgMar w:left="320" w:top="1399" w:right="1440" w:bottom="1440" w:gutter="0" w:footer="0" w:header="0"/>
        </w:sectPr>
      </w:pPr>
    </w:p>
    <w:bookmarkStart w:id="278" w:name="page279"/>
    <w:bookmarkEnd w:id="278"/>
    <w:p>
      <w:pPr>
        <w:jc w:val="right"/>
        <w:spacing w:after="0"/>
        <w:rPr>
          <w:sz w:val="20"/>
          <w:szCs w:val="20"/>
          <w:color w:val="auto"/>
        </w:rPr>
      </w:pPr>
      <w:r>
        <w:rPr>
          <w:rFonts w:ascii="Arial" w:cs="Arial" w:eastAsia="Arial" w:hAnsi="Arial"/>
          <w:sz w:val="22"/>
          <w:szCs w:val="22"/>
          <w:b w:val="1"/>
          <w:bCs w:val="1"/>
          <w:i w:val="1"/>
          <w:iCs w:val="1"/>
          <w:color w:val="auto"/>
        </w:rPr>
        <w:t>Exhibit 10.6</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Executed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FOURTH AMENDMENT TO FIRST LIEN CREDIT AGREEMENT</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THIS FOURTH AMENDMENT TO FIRST LIEN CREDIT AGREEMENT</w:t>
      </w:r>
      <w:r>
        <w:rPr>
          <w:rFonts w:ascii="Arial" w:cs="Arial" w:eastAsia="Arial" w:hAnsi="Arial"/>
          <w:sz w:val="20"/>
          <w:szCs w:val="20"/>
          <w:color w:val="auto"/>
        </w:rPr>
        <w:t>,  dated  as  of  July  7,  2023  (this</w:t>
      </w:r>
    </w:p>
    <w:p>
      <w:pPr>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w:t>
      </w:r>
      <w:r>
        <w:rPr>
          <w:rFonts w:ascii="Arial" w:cs="Arial" w:eastAsia="Arial" w:hAnsi="Arial"/>
          <w:sz w:val="19"/>
          <w:szCs w:val="19"/>
          <w:color w:val="auto"/>
        </w:rPr>
        <w:t>”), by and among GOODRX,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and BARCLAYS BANK PLC (“</w:t>
      </w:r>
      <w:r>
        <w:rPr>
          <w:rFonts w:ascii="Arial" w:cs="Arial" w:eastAsia="Arial" w:hAnsi="Arial"/>
          <w:sz w:val="19"/>
          <w:szCs w:val="19"/>
          <w:u w:val="single" w:color="auto"/>
          <w:color w:val="auto"/>
        </w:rPr>
        <w:t>Barclays</w:t>
      </w:r>
      <w:r>
        <w:rPr>
          <w:rFonts w:ascii="Arial" w:cs="Arial" w:eastAsia="Arial" w:hAnsi="Arial"/>
          <w:sz w:val="19"/>
          <w:szCs w:val="19"/>
          <w:color w:val="auto"/>
        </w:rPr>
        <w:t>”), as</w:t>
      </w:r>
    </w:p>
    <w:p>
      <w:pPr>
        <w:jc w:val="both"/>
        <w:spacing w:after="0" w:line="226" w:lineRule="auto"/>
        <w:rPr>
          <w:sz w:val="20"/>
          <w:szCs w:val="20"/>
          <w:color w:val="auto"/>
        </w:rPr>
      </w:pPr>
      <w:r>
        <w:rPr>
          <w:rFonts w:ascii="Arial" w:cs="Arial" w:eastAsia="Arial" w:hAnsi="Arial"/>
          <w:sz w:val="18"/>
          <w:szCs w:val="18"/>
          <w:color w:val="auto"/>
        </w:rPr>
        <w:t>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amends that certain First Lien Credit Agreement, dated as of October 12, 2018 (as amended by that certain First Incremental Credit Facility Amendment to First Lien Credit Agreement, dated as of November 1,</w:t>
      </w:r>
    </w:p>
    <w:p>
      <w:pPr>
        <w:spacing w:after="0" w:line="236" w:lineRule="auto"/>
        <w:rPr>
          <w:sz w:val="20"/>
          <w:szCs w:val="20"/>
          <w:color w:val="auto"/>
        </w:rPr>
      </w:pPr>
      <w:r>
        <w:rPr>
          <w:rFonts w:ascii="Arial" w:cs="Arial" w:eastAsia="Arial" w:hAnsi="Arial"/>
          <w:sz w:val="18"/>
          <w:szCs w:val="18"/>
          <w:color w:val="auto"/>
        </w:rPr>
        <w:t>2019, that certain Second Incremental Credit Facility Amendment to First Lien Credit Agreement, dated as of May 12, 2020, that certain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Third Amendment to First Lien Credit Agreement, dated as of June 29, 2023, and as further amended, restated, amended and restated, supplemented or otherwise modified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the Borrower, Holdings, the Guarantors</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party thereto, the Lenders party thereto and the Administrative Agent and the Collateral Agent. Capitalized terms used herein without definition shall have the same meanings herein as set forth in the Credit Agreement after giving effect to this Amendment.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and in accordance with</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2.14</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Credit Agreement, on the terms and subject to the</w:t>
      </w:r>
    </w:p>
    <w:p>
      <w:pPr>
        <w:spacing w:after="0" w:line="220" w:lineRule="auto"/>
        <w:rPr>
          <w:sz w:val="20"/>
          <w:szCs w:val="20"/>
          <w:color w:val="auto"/>
        </w:rPr>
      </w:pPr>
      <w:r>
        <w:rPr>
          <w:rFonts w:ascii="Arial" w:cs="Arial" w:eastAsia="Arial" w:hAnsi="Arial"/>
          <w:sz w:val="20"/>
          <w:szCs w:val="20"/>
          <w:color w:val="auto"/>
        </w:rPr>
        <w:t xml:space="preserve">conditions set forth herein, the parties hereto have agreed to amend the Credit Agreement in the manner set forth in </w:t>
      </w:r>
      <w:r>
        <w:rPr>
          <w:rFonts w:ascii="Arial" w:cs="Arial" w:eastAsia="Arial" w:hAnsi="Arial"/>
          <w:sz w:val="20"/>
          <w:szCs w:val="20"/>
          <w:u w:val="single" w:color="auto"/>
          <w:color w:val="auto"/>
        </w:rPr>
        <w:t>Section I</w:t>
      </w:r>
      <w:r>
        <w:rPr>
          <w:rFonts w:ascii="Arial" w:cs="Arial" w:eastAsia="Arial" w:hAnsi="Arial"/>
          <w:sz w:val="20"/>
          <w:szCs w:val="20"/>
          <w:color w:val="auto"/>
        </w:rPr>
        <w:t xml:space="preserve"> of this Amendment (the Credit Agreement as so amended, the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w:t>
      </w:r>
    </w:p>
    <w:p>
      <w:pPr>
        <w:spacing w:after="0" w:line="164" w:lineRule="exact"/>
        <w:rPr>
          <w:sz w:val="20"/>
          <w:szCs w:val="20"/>
          <w:color w:val="auto"/>
        </w:rPr>
      </w:pPr>
    </w:p>
    <w:p>
      <w:pPr>
        <w:ind w:right="80" w:firstLine="1296"/>
        <w:spacing w:after="0" w:line="23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 accordance with Section 2.14 of the Existing Credit Agreement, the Administrative Agent has posted a copy</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Amendment to the Lenders on June 29, 2023; and</w:t>
      </w:r>
    </w:p>
    <w:p>
      <w:pPr>
        <w:spacing w:after="0" w:line="163" w:lineRule="exact"/>
        <w:rPr>
          <w:sz w:val="20"/>
          <w:szCs w:val="20"/>
          <w:color w:val="auto"/>
        </w:rPr>
      </w:pPr>
    </w:p>
    <w:p>
      <w:pPr>
        <w:ind w:firstLine="1296"/>
        <w:spacing w:after="0" w:line="23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as of 5:00 pm (New York City time) on the date hereof (the “</w:t>
      </w:r>
      <w:r>
        <w:rPr>
          <w:rFonts w:ascii="Arial" w:cs="Arial" w:eastAsia="Arial" w:hAnsi="Arial"/>
          <w:sz w:val="20"/>
          <w:szCs w:val="20"/>
          <w:b w:val="1"/>
          <w:bCs w:val="1"/>
          <w:color w:val="auto"/>
        </w:rPr>
        <w:t>Objection Deadline</w:t>
      </w:r>
      <w:r>
        <w:rPr>
          <w:rFonts w:ascii="Arial" w:cs="Arial" w:eastAsia="Arial" w:hAnsi="Arial"/>
          <w:sz w:val="20"/>
          <w:szCs w:val="20"/>
          <w:color w:val="auto"/>
        </w:rPr>
        <w:t>”), the Administrative Agent</w:t>
      </w:r>
      <w:r>
        <w:rPr>
          <w:rFonts w:ascii="Arial" w:cs="Arial" w:eastAsia="Arial" w:hAnsi="Arial"/>
          <w:sz w:val="20"/>
          <w:szCs w:val="20"/>
          <w:b w:val="1"/>
          <w:bCs w:val="1"/>
          <w:color w:val="auto"/>
        </w:rPr>
        <w:t xml:space="preserve"> </w:t>
      </w:r>
      <w:r>
        <w:rPr>
          <w:rFonts w:ascii="Arial" w:cs="Arial" w:eastAsia="Arial" w:hAnsi="Arial"/>
          <w:sz w:val="20"/>
          <w:szCs w:val="20"/>
          <w:color w:val="auto"/>
        </w:rPr>
        <w:t>has not received, written notice of objection to this Amendment from Required Lenders.</w:t>
      </w:r>
    </w:p>
    <w:p>
      <w:pPr>
        <w:spacing w:after="0" w:line="149" w:lineRule="exact"/>
        <w:rPr>
          <w:sz w:val="20"/>
          <w:szCs w:val="20"/>
          <w:color w:val="auto"/>
        </w:rPr>
      </w:pPr>
    </w:p>
    <w:p>
      <w:pPr>
        <w:ind w:firstLine="1296"/>
        <w:spacing w:after="0" w:line="239"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agreements, provisions and covenants herein contained,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agree as follows:</w:t>
      </w:r>
    </w:p>
    <w:p>
      <w:pPr>
        <w:spacing w:after="0" w:line="16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Section I.</w:t>
      </w:r>
      <w:r>
        <w:rPr>
          <w:sz w:val="20"/>
          <w:szCs w:val="20"/>
          <w:color w:val="auto"/>
        </w:rPr>
        <w:tab/>
      </w:r>
      <w:r>
        <w:rPr>
          <w:rFonts w:ascii="Arial" w:cs="Arial" w:eastAsia="Arial" w:hAnsi="Arial"/>
          <w:sz w:val="16"/>
          <w:szCs w:val="16"/>
          <w:b w:val="1"/>
          <w:bCs w:val="1"/>
          <w:u w:val="single" w:color="auto"/>
          <w:color w:val="auto"/>
        </w:rPr>
        <w:t>Amendments to the Credit Agreement.</w:t>
      </w:r>
    </w:p>
    <w:p>
      <w:pPr>
        <w:spacing w:after="0" w:line="181" w:lineRule="exact"/>
        <w:rPr>
          <w:sz w:val="20"/>
          <w:szCs w:val="20"/>
          <w:color w:val="auto"/>
        </w:rPr>
      </w:pPr>
    </w:p>
    <w:p>
      <w:pPr>
        <w:ind w:left="1300" w:hanging="1058"/>
        <w:spacing w:after="0" w:line="223" w:lineRule="auto"/>
        <w:tabs>
          <w:tab w:leader="none" w:pos="609" w:val="left"/>
        </w:tabs>
        <w:numPr>
          <w:ilvl w:val="0"/>
          <w:numId w:val="304"/>
        </w:numPr>
        <w:rPr>
          <w:rFonts w:ascii="Arial" w:cs="Arial" w:eastAsia="Arial" w:hAnsi="Arial"/>
          <w:sz w:val="19"/>
          <w:szCs w:val="19"/>
          <w:color w:val="auto"/>
        </w:rPr>
      </w:pPr>
      <w:r>
        <w:rPr>
          <w:rFonts w:ascii="Arial" w:cs="Arial" w:eastAsia="Arial" w:hAnsi="Arial"/>
          <w:sz w:val="19"/>
          <w:szCs w:val="19"/>
          <w:color w:val="auto"/>
        </w:rPr>
        <w:t xml:space="preserve">The Borrower and the Administrative Agent agree that, on the Effective Date, the Credit Agreement is hereby amended to delete the stricken text (indicated textually in the same manner as the following example: </w:t>
      </w:r>
      <w:r>
        <w:rPr>
          <w:rFonts w:ascii="Arial" w:cs="Arial" w:eastAsia="Arial" w:hAnsi="Arial"/>
          <w:sz w:val="19"/>
          <w:szCs w:val="19"/>
          <w:color w:val="FF0000"/>
          <w:strike w:val="1"/>
        </w:rPr>
        <w:t>stricken text</w:t>
      </w:r>
      <w:r>
        <w:rPr>
          <w:rFonts w:ascii="Arial" w:cs="Arial" w:eastAsia="Arial" w:hAnsi="Arial"/>
          <w:sz w:val="19"/>
          <w:szCs w:val="19"/>
          <w:color w:val="auto"/>
        </w:rPr>
        <w:t xml:space="preserve">) and to add the double-underlined text (indicated textually in the same manner as the following example: </w:t>
      </w:r>
      <w:r>
        <w:rPr>
          <w:rFonts w:ascii="Arial" w:cs="Arial" w:eastAsia="Arial" w:hAnsi="Arial"/>
          <w:sz w:val="19"/>
          <w:szCs w:val="19"/>
          <w:u w:val="single" w:color="auto"/>
          <w:color w:val="0000FF"/>
        </w:rPr>
        <w:t>double-underlined text</w:t>
      </w:r>
      <w:r>
        <w:rPr>
          <w:rFonts w:ascii="Arial" w:cs="Arial" w:eastAsia="Arial" w:hAnsi="Arial"/>
          <w:sz w:val="19"/>
          <w:szCs w:val="19"/>
          <w:color w:val="auto"/>
        </w:rPr>
        <w:t xml:space="preserve">) as set forth in the pages of the Amended Credit Agreement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w:t>
      </w:r>
      <w:r>
        <w:rPr>
          <w:rFonts w:ascii="Arial" w:cs="Arial" w:eastAsia="Arial" w:hAnsi="Arial"/>
          <w:sz w:val="19"/>
          <w:szCs w:val="19"/>
          <w:i w:val="1"/>
          <w:iCs w:val="1"/>
          <w:color w:val="auto"/>
        </w:rPr>
        <w:t>provided</w:t>
      </w:r>
      <w:r>
        <w:rPr>
          <w:rFonts w:ascii="Arial" w:cs="Arial" w:eastAsia="Arial" w:hAnsi="Arial"/>
          <w:sz w:val="19"/>
          <w:szCs w:val="19"/>
          <w:color w:val="auto"/>
        </w:rPr>
        <w:t>, that notwithstanding the foregoing, (x) all outstanding Term Loans that are Eurocurrency Loans (as defined in the Credit Agreement) immediately prior to the effectiveness of this Amendment (the “</w:t>
      </w:r>
      <w:r>
        <w:rPr>
          <w:rFonts w:ascii="Arial" w:cs="Arial" w:eastAsia="Arial" w:hAnsi="Arial"/>
          <w:sz w:val="19"/>
          <w:szCs w:val="19"/>
          <w:u w:val="single" w:color="auto"/>
          <w:color w:val="auto"/>
        </w:rPr>
        <w:t>Existing LIBOR Loans</w:t>
      </w:r>
      <w:r>
        <w:rPr>
          <w:rFonts w:ascii="Arial" w:cs="Arial" w:eastAsia="Arial" w:hAnsi="Arial"/>
          <w:sz w:val="19"/>
          <w:szCs w:val="19"/>
          <w:color w:val="auto"/>
        </w:rPr>
        <w:t>”), shall continue to bear interest based on the Eurocurrency Rate (as defined in the Credit Agreement) until the last day of each Interest Period applicable to such Loans and thereafter, all Interest Periods for such Loans shall be selected in accordance with the Credit Agreement as amended by this Amendment and (y) the terms of the Credit Agreement in respect of the calculation, payment and administration of the Existing LIBOR Loans shall remain in effect from and after the effectiveness of this Amendment, in each case, solely for purposes of making, and the administration of, interest payments on the Existing LIBOR Loans until the last day of each Interest Period applicable to such Loans;</w:t>
      </w:r>
    </w:p>
    <w:p>
      <w:pPr>
        <w:spacing w:after="0" w:line="155" w:lineRule="exact"/>
        <w:rPr>
          <w:rFonts w:ascii="Arial" w:cs="Arial" w:eastAsia="Arial" w:hAnsi="Arial"/>
          <w:sz w:val="19"/>
          <w:szCs w:val="19"/>
          <w:color w:val="auto"/>
        </w:rPr>
      </w:pPr>
    </w:p>
    <w:p>
      <w:pPr>
        <w:ind w:left="1300" w:hanging="1067"/>
        <w:spacing w:after="0" w:line="236" w:lineRule="auto"/>
        <w:tabs>
          <w:tab w:leader="none" w:pos="658" w:val="left"/>
        </w:tabs>
        <w:numPr>
          <w:ilvl w:val="0"/>
          <w:numId w:val="304"/>
        </w:numPr>
        <w:rPr>
          <w:rFonts w:ascii="Arial" w:cs="Arial" w:eastAsia="Arial" w:hAnsi="Arial"/>
          <w:sz w:val="20"/>
          <w:szCs w:val="20"/>
          <w:color w:val="auto"/>
        </w:rPr>
      </w:pPr>
      <w:r>
        <w:rPr>
          <w:rFonts w:ascii="Arial" w:cs="Arial" w:eastAsia="Arial" w:hAnsi="Arial"/>
          <w:sz w:val="20"/>
          <w:szCs w:val="20"/>
          <w:color w:val="auto"/>
        </w:rPr>
        <w:t>Exhibit A to the Credit Agreement is hereby amended and restated in the form of the Form of Borrowing Request attached hereto as Exhibit B;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#97013613v2</w:t>
      </w:r>
    </w:p>
    <w:p>
      <w:pPr>
        <w:sectPr>
          <w:pgSz w:w="11900" w:h="16838" w:orient="portrait"/>
          <w:cols w:equalWidth="0" w:num="1">
            <w:col w:w="11240"/>
          </w:cols>
          <w:pgMar w:left="320" w:top="104" w:right="339" w:bottom="1440" w:gutter="0" w:footer="0" w:header="0"/>
        </w:sectPr>
      </w:pPr>
    </w:p>
    <w:bookmarkStart w:id="279" w:name="page280"/>
    <w:bookmarkEnd w:id="279"/>
    <w:p>
      <w:pPr>
        <w:spacing w:after="0" w:line="87" w:lineRule="exact"/>
        <w:rPr>
          <w:sz w:val="20"/>
          <w:szCs w:val="20"/>
          <w:color w:val="auto"/>
        </w:rPr>
      </w:pPr>
    </w:p>
    <w:p>
      <w:pPr>
        <w:ind w:left="1300" w:hanging="1024"/>
        <w:spacing w:after="0" w:line="229" w:lineRule="auto"/>
        <w:tabs>
          <w:tab w:leader="none" w:pos="743" w:val="left"/>
        </w:tabs>
        <w:numPr>
          <w:ilvl w:val="0"/>
          <w:numId w:val="305"/>
        </w:numPr>
        <w:rPr>
          <w:rFonts w:ascii="Arial" w:cs="Arial" w:eastAsia="Arial" w:hAnsi="Arial"/>
          <w:sz w:val="20"/>
          <w:szCs w:val="20"/>
          <w:color w:val="auto"/>
        </w:rPr>
      </w:pPr>
      <w:r>
        <w:rPr>
          <w:rFonts w:ascii="Arial" w:cs="Arial" w:eastAsia="Arial" w:hAnsi="Arial"/>
          <w:sz w:val="20"/>
          <w:szCs w:val="20"/>
          <w:color w:val="auto"/>
        </w:rPr>
        <w:t>Exhibit B to the Credit Agreement is hereby amended and restated in the form of the Form of Interest Election Request attached hereto as Exhibit C;</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 that the Schedules and Exhibits to the Credit Agreement shall remain in effect without any amendment or other</w:t>
      </w:r>
      <w:r>
        <w:rPr>
          <w:rFonts w:ascii="Arial" w:cs="Arial" w:eastAsia="Arial" w:hAnsi="Arial"/>
          <w:sz w:val="20"/>
          <w:szCs w:val="20"/>
          <w:i w:val="1"/>
          <w:iCs w:val="1"/>
          <w:color w:val="auto"/>
        </w:rPr>
        <w:t xml:space="preserve"> </w:t>
      </w:r>
      <w:r>
        <w:rPr>
          <w:rFonts w:ascii="Arial" w:cs="Arial" w:eastAsia="Arial" w:hAnsi="Arial"/>
          <w:sz w:val="20"/>
          <w:szCs w:val="20"/>
          <w:color w:val="auto"/>
        </w:rPr>
        <w:t>modification thereto.</w:t>
      </w:r>
    </w:p>
    <w:p>
      <w:pPr>
        <w:spacing w:after="0" w:line="149"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Section II.</w:t>
      </w:r>
      <w:r>
        <w:rPr>
          <w:sz w:val="20"/>
          <w:szCs w:val="20"/>
          <w:color w:val="auto"/>
        </w:rPr>
        <w:tab/>
      </w:r>
      <w:r>
        <w:rPr>
          <w:rFonts w:ascii="Arial" w:cs="Arial" w:eastAsia="Arial" w:hAnsi="Arial"/>
          <w:sz w:val="16"/>
          <w:szCs w:val="16"/>
          <w:b w:val="1"/>
          <w:bCs w:val="1"/>
          <w:u w:val="single" w:color="auto"/>
          <w:color w:val="auto"/>
        </w:rPr>
        <w:t>Conditions Precedent</w:t>
      </w:r>
      <w:r>
        <w:rPr>
          <w:rFonts w:ascii="Arial" w:cs="Arial" w:eastAsia="Arial" w:hAnsi="Arial"/>
          <w:sz w:val="16"/>
          <w:szCs w:val="16"/>
          <w:color w:val="auto"/>
        </w:rPr>
        <w:t>.</w:t>
      </w:r>
    </w:p>
    <w:p>
      <w:pPr>
        <w:spacing w:after="0" w:line="195" w:lineRule="exact"/>
        <w:rPr>
          <w:sz w:val="20"/>
          <w:szCs w:val="20"/>
          <w:color w:val="auto"/>
        </w:rPr>
      </w:pPr>
    </w:p>
    <w:p>
      <w:pPr>
        <w:ind w:firstLine="205"/>
        <w:spacing w:after="0" w:line="236" w:lineRule="auto"/>
        <w:rPr>
          <w:sz w:val="20"/>
          <w:szCs w:val="20"/>
          <w:color w:val="auto"/>
        </w:rPr>
      </w:pPr>
      <w:r>
        <w:rPr>
          <w:rFonts w:ascii="Arial" w:cs="Arial" w:eastAsia="Arial" w:hAnsi="Arial"/>
          <w:sz w:val="20"/>
          <w:szCs w:val="20"/>
          <w:color w:val="auto"/>
        </w:rPr>
        <w:t>The effectiveness of this Amendment is subject to the satisfaction or waiver of the following conditions (the date on which such conditions are satisfied or waived,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55" w:lineRule="exact"/>
        <w:rPr>
          <w:sz w:val="20"/>
          <w:szCs w:val="20"/>
          <w:color w:val="auto"/>
        </w:rPr>
      </w:pPr>
    </w:p>
    <w:p>
      <w:pPr>
        <w:ind w:left="1000" w:hanging="344"/>
        <w:spacing w:after="0"/>
        <w:tabs>
          <w:tab w:leader="none" w:pos="1000" w:val="left"/>
        </w:tabs>
        <w:numPr>
          <w:ilvl w:val="0"/>
          <w:numId w:val="306"/>
        </w:numPr>
        <w:rPr>
          <w:rFonts w:ascii="Arial" w:cs="Arial" w:eastAsia="Arial" w:hAnsi="Arial"/>
          <w:sz w:val="20"/>
          <w:szCs w:val="20"/>
          <w:color w:val="auto"/>
        </w:rPr>
      </w:pPr>
      <w:r>
        <w:rPr>
          <w:rFonts w:ascii="Arial" w:cs="Arial" w:eastAsia="Arial" w:hAnsi="Arial"/>
          <w:sz w:val="20"/>
          <w:szCs w:val="20"/>
          <w:color w:val="auto"/>
        </w:rPr>
        <w:t>This Amendment shall have been duly executed by each of the Borrower and the Administrative Agent; and</w:t>
      </w:r>
    </w:p>
    <w:p>
      <w:pPr>
        <w:spacing w:after="0" w:line="188" w:lineRule="exact"/>
        <w:rPr>
          <w:rFonts w:ascii="Arial" w:cs="Arial" w:eastAsia="Arial" w:hAnsi="Arial"/>
          <w:sz w:val="20"/>
          <w:szCs w:val="20"/>
          <w:color w:val="auto"/>
        </w:rPr>
      </w:pPr>
    </w:p>
    <w:p>
      <w:pPr>
        <w:ind w:left="1300" w:right="480" w:hanging="644"/>
        <w:spacing w:after="0" w:line="236" w:lineRule="auto"/>
        <w:tabs>
          <w:tab w:leader="none" w:pos="998" w:val="left"/>
        </w:tabs>
        <w:numPr>
          <w:ilvl w:val="0"/>
          <w:numId w:val="306"/>
        </w:numPr>
        <w:rPr>
          <w:rFonts w:ascii="Arial" w:cs="Arial" w:eastAsia="Arial" w:hAnsi="Arial"/>
          <w:sz w:val="20"/>
          <w:szCs w:val="20"/>
          <w:color w:val="auto"/>
        </w:rPr>
      </w:pPr>
      <w:r>
        <w:rPr>
          <w:rFonts w:ascii="Arial" w:cs="Arial" w:eastAsia="Arial" w:hAnsi="Arial"/>
          <w:sz w:val="20"/>
          <w:szCs w:val="20"/>
          <w:color w:val="auto"/>
        </w:rPr>
        <w:t>The Administrative Agent has not received, by the Objection Deadline, written notice of objection to this Amendment from Lenders collectively constituting the Required Lenders.</w:t>
      </w:r>
    </w:p>
    <w:p>
      <w:pPr>
        <w:spacing w:after="0" w:line="149"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Section III.</w:t>
      </w:r>
      <w:r>
        <w:rPr>
          <w:sz w:val="20"/>
          <w:szCs w:val="20"/>
          <w:color w:val="auto"/>
        </w:rPr>
        <w:tab/>
      </w:r>
      <w:r>
        <w:rPr>
          <w:rFonts w:ascii="Arial" w:cs="Arial" w:eastAsia="Arial" w:hAnsi="Arial"/>
          <w:sz w:val="16"/>
          <w:szCs w:val="16"/>
          <w:b w:val="1"/>
          <w:bCs w:val="1"/>
          <w:u w:val="single" w:color="auto"/>
          <w:color w:val="auto"/>
        </w:rPr>
        <w:t>Miscellaneous.</w:t>
      </w:r>
    </w:p>
    <w:p>
      <w:pPr>
        <w:spacing w:after="0" w:line="189" w:lineRule="exact"/>
        <w:rPr>
          <w:sz w:val="20"/>
          <w:szCs w:val="20"/>
          <w:color w:val="auto"/>
        </w:rPr>
      </w:pPr>
    </w:p>
    <w:p>
      <w:pPr>
        <w:ind w:left="1300" w:right="120" w:hanging="644"/>
        <w:spacing w:after="0" w:line="225" w:lineRule="auto"/>
        <w:tabs>
          <w:tab w:leader="none" w:pos="987" w:val="left"/>
        </w:tabs>
        <w:numPr>
          <w:ilvl w:val="0"/>
          <w:numId w:val="307"/>
        </w:numPr>
        <w:rPr>
          <w:rFonts w:ascii="Arial" w:cs="Arial" w:eastAsia="Arial" w:hAnsi="Arial"/>
          <w:sz w:val="20"/>
          <w:szCs w:val="20"/>
          <w:color w:val="auto"/>
        </w:rPr>
      </w:pPr>
      <w:r>
        <w:rPr>
          <w:rFonts w:ascii="Arial" w:cs="Arial" w:eastAsia="Arial" w:hAnsi="Arial"/>
          <w:sz w:val="20"/>
          <w:szCs w:val="20"/>
          <w:b w:val="1"/>
          <w:bCs w:val="1"/>
          <w:color w:val="auto"/>
        </w:rPr>
        <w:t>Representations and Warranties</w:t>
      </w:r>
      <w:r>
        <w:rPr>
          <w:rFonts w:ascii="Arial" w:cs="Arial" w:eastAsia="Arial" w:hAnsi="Arial"/>
          <w:sz w:val="20"/>
          <w:szCs w:val="20"/>
          <w:color w:val="auto"/>
        </w:rPr>
        <w:t>. On and as of the Effective Date, (i) the Borrower has the organizational or constitutional</w:t>
      </w:r>
      <w:r>
        <w:rPr>
          <w:rFonts w:ascii="Arial" w:cs="Arial" w:eastAsia="Arial" w:hAnsi="Arial"/>
          <w:sz w:val="20"/>
          <w:szCs w:val="20"/>
          <w:b w:val="1"/>
          <w:bCs w:val="1"/>
          <w:color w:val="auto"/>
        </w:rPr>
        <w:t xml:space="preserve"> </w:t>
      </w:r>
      <w:r>
        <w:rPr>
          <w:rFonts w:ascii="Arial" w:cs="Arial" w:eastAsia="Arial" w:hAnsi="Arial"/>
          <w:sz w:val="20"/>
          <w:szCs w:val="20"/>
          <w:color w:val="auto"/>
        </w:rPr>
        <w:t>power and authority to execute, deliver and perform its obligations under this Amendment and (ii) the Amendment has been duly authorized by all other necessary organizational action by the Borrower.</w:t>
      </w:r>
    </w:p>
    <w:p>
      <w:pPr>
        <w:spacing w:after="0" w:line="163" w:lineRule="exact"/>
        <w:rPr>
          <w:rFonts w:ascii="Arial" w:cs="Arial" w:eastAsia="Arial" w:hAnsi="Arial"/>
          <w:sz w:val="20"/>
          <w:szCs w:val="20"/>
          <w:color w:val="auto"/>
        </w:rPr>
      </w:pPr>
    </w:p>
    <w:p>
      <w:pPr>
        <w:ind w:left="1300" w:right="20" w:hanging="644"/>
        <w:spacing w:after="0" w:line="234" w:lineRule="auto"/>
        <w:tabs>
          <w:tab w:leader="none" w:pos="998"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Effect of Amendment</w:t>
      </w:r>
      <w:r>
        <w:rPr>
          <w:rFonts w:ascii="Arial" w:cs="Arial" w:eastAsia="Arial" w:hAnsi="Arial"/>
          <w:sz w:val="18"/>
          <w:szCs w:val="18"/>
          <w:color w:val="auto"/>
        </w:rPr>
        <w:t>. By its execution of this Amendment, each of the parties hereto acknowledges and agrees that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set forth herein, this Amendment (i) shall not by implication or otherwise limit, impair, constitute a waiver of or otherwise affect the rights and remedies of the Lenders, the Administrative Agent or the Collateral Agent,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The parties hereto acknowledge and agree that the amendment of the Credit Agreement pursuant to this Amendment and all other Loan Documents amended and/or executed and delivered in connection herewith shall not constitute a novation of the Credit Agreement or any other Loan Document as in effect prior to the Effective Date. This Amendment shall constitute a Loan Document for purposes of the Credit Agreement and the Amended Credit Agreement, and from and after the Effective Date, all references to the Credit Agreement in any Loan Document and all references in the Credit Agreement to “this Agreement”, “hereunder”, “hereof” or words of like import referring to the Credit Agreement shall, unless expressly provided otherwise, refer to the Amended Credit Agreement.</w:t>
      </w:r>
    </w:p>
    <w:p>
      <w:pPr>
        <w:spacing w:after="0" w:line="170" w:lineRule="exact"/>
        <w:rPr>
          <w:rFonts w:ascii="Arial" w:cs="Arial" w:eastAsia="Arial" w:hAnsi="Arial"/>
          <w:sz w:val="18"/>
          <w:szCs w:val="18"/>
          <w:color w:val="auto"/>
        </w:rPr>
      </w:pPr>
    </w:p>
    <w:p>
      <w:pPr>
        <w:ind w:left="1300" w:right="220" w:hanging="644"/>
        <w:spacing w:after="0" w:line="248" w:lineRule="auto"/>
        <w:tabs>
          <w:tab w:leader="none" w:pos="987"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Amendment, the Amended Credit Agreement and the other Loan Documents represent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Holdings, the Borrower, the other Loan Parties, the Agents and the Lenders with respect to the subject matter hereof and thereof, and there are no promises, undertakings, representations or warranties by the Agents or any Lender relative to the subject matter hereof not expressly set forth or referred to herein or in the other Loan Documents.</w:t>
      </w:r>
    </w:p>
    <w:p>
      <w:pPr>
        <w:spacing w:after="0" w:line="143" w:lineRule="exact"/>
        <w:rPr>
          <w:rFonts w:ascii="Arial" w:cs="Arial" w:eastAsia="Arial" w:hAnsi="Arial"/>
          <w:sz w:val="18"/>
          <w:szCs w:val="18"/>
          <w:color w:val="auto"/>
        </w:rPr>
      </w:pPr>
    </w:p>
    <w:p>
      <w:pPr>
        <w:ind w:left="1300" w:right="80" w:hanging="644"/>
        <w:spacing w:after="0" w:line="220" w:lineRule="auto"/>
        <w:tabs>
          <w:tab w:leader="none" w:pos="998" w:val="left"/>
        </w:tabs>
        <w:numPr>
          <w:ilvl w:val="0"/>
          <w:numId w:val="307"/>
        </w:numPr>
        <w:rPr>
          <w:rFonts w:ascii="Arial" w:cs="Arial" w:eastAsia="Arial" w:hAnsi="Arial"/>
          <w:sz w:val="20"/>
          <w:szCs w:val="20"/>
          <w:color w:val="auto"/>
        </w:rPr>
      </w:pPr>
      <w:r>
        <w:rPr>
          <w:rFonts w:ascii="Arial" w:cs="Arial" w:eastAsia="Arial" w:hAnsi="Arial"/>
          <w:sz w:val="20"/>
          <w:szCs w:val="20"/>
          <w:b w:val="1"/>
          <w:bCs w:val="1"/>
          <w:color w:val="auto"/>
        </w:rPr>
        <w:t>Governing Law; Jurisdiction; Consent to Service of Process; Waiver of Jury Trial</w:t>
      </w:r>
      <w:r>
        <w:rPr>
          <w:rFonts w:ascii="Arial" w:cs="Arial" w:eastAsia="Arial" w:hAnsi="Arial"/>
          <w:sz w:val="20"/>
          <w:szCs w:val="20"/>
          <w:color w:val="auto"/>
        </w:rPr>
        <w:t>. THIS AMENDMENT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IN ACCORDANCE WITH AND GOVERNED BY THE LAW OF THE STATE OF NEW YORK, WITHOUT REGARD TO CONFLICT OF LAWS PRINCIPLES THEREOF TO THE EXTENT SUCH PRINCIPLES WOULD CAUSE THE APPLICATION OF THE LAW OF ANOTHER STATE</w:t>
      </w:r>
      <w:r>
        <w:rPr>
          <w:rFonts w:ascii="Arial" w:cs="Arial" w:eastAsia="Arial" w:hAnsi="Arial"/>
          <w:sz w:val="21"/>
          <w:szCs w:val="21"/>
          <w:color w:val="auto"/>
        </w:rPr>
        <w:t>.</w:t>
      </w:r>
      <w:r>
        <w:rPr>
          <w:rFonts w:ascii="Arial" w:cs="Arial" w:eastAsia="Arial" w:hAnsi="Arial"/>
          <w:sz w:val="20"/>
          <w:szCs w:val="20"/>
          <w:color w:val="auto"/>
        </w:rPr>
        <w:t xml:space="preserve"> The provisions set forth in Sections 9.09(b) through (d) (</w:t>
      </w:r>
      <w:r>
        <w:rPr>
          <w:rFonts w:ascii="Arial" w:cs="Arial" w:eastAsia="Arial" w:hAnsi="Arial"/>
          <w:sz w:val="20"/>
          <w:szCs w:val="20"/>
          <w:i w:val="1"/>
          <w:iCs w:val="1"/>
          <w:color w:val="auto"/>
        </w:rPr>
        <w:t>Jurisdiction;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3"/>
          <w:szCs w:val="13"/>
          <w:color w:val="auto"/>
        </w:rPr>
        <w:t>#97013613v2</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87" w:lineRule="exact"/>
        <w:rPr>
          <w:sz w:val="20"/>
          <w:szCs w:val="20"/>
          <w:color w:val="auto"/>
        </w:rPr>
      </w:pPr>
    </w:p>
    <w:p>
      <w:pPr>
        <w:ind w:left="1300" w:right="560"/>
        <w:spacing w:after="0" w:line="229" w:lineRule="auto"/>
        <w:rPr>
          <w:sz w:val="20"/>
          <w:szCs w:val="20"/>
          <w:color w:val="auto"/>
        </w:rPr>
      </w:pPr>
      <w:r>
        <w:rPr>
          <w:rFonts w:ascii="Arial" w:cs="Arial" w:eastAsia="Arial" w:hAnsi="Arial"/>
          <w:sz w:val="20"/>
          <w:szCs w:val="20"/>
          <w:i w:val="1"/>
          <w:iCs w:val="1"/>
          <w:color w:val="auto"/>
        </w:rPr>
        <w:t>to Service of Process</w:t>
      </w:r>
      <w:r>
        <w:rPr>
          <w:rFonts w:ascii="Arial" w:cs="Arial" w:eastAsia="Arial" w:hAnsi="Arial"/>
          <w:sz w:val="20"/>
          <w:szCs w:val="20"/>
          <w:color w:val="auto"/>
        </w:rPr>
        <w:t>) and 9.10 (</w:t>
      </w:r>
      <w:r>
        <w:rPr>
          <w:rFonts w:ascii="Arial" w:cs="Arial" w:eastAsia="Arial" w:hAnsi="Arial"/>
          <w:sz w:val="20"/>
          <w:szCs w:val="20"/>
          <w:i w:val="1"/>
          <w:iCs w:val="1"/>
          <w:color w:val="auto"/>
        </w:rPr>
        <w:t>Waiver of Jury Trial</w:t>
      </w:r>
      <w:r>
        <w:rPr>
          <w:rFonts w:ascii="Arial" w:cs="Arial" w:eastAsia="Arial" w:hAnsi="Arial"/>
          <w:sz w:val="20"/>
          <w:szCs w:val="20"/>
          <w:color w:val="auto"/>
        </w:rPr>
        <w:t>) of the Credit Agreement are hereby incorporated herein,</w:t>
      </w:r>
      <w:r>
        <w:rPr>
          <w:rFonts w:ascii="Arial" w:cs="Arial" w:eastAsia="Arial" w:hAnsi="Arial"/>
          <w:sz w:val="20"/>
          <w:szCs w:val="20"/>
          <w:i w:val="1"/>
          <w:iCs w:val="1"/>
          <w:color w:val="auto"/>
        </w:rPr>
        <w:t xml:space="preserve"> mutatis mutandis</w:t>
      </w:r>
      <w:r>
        <w:rPr>
          <w:rFonts w:ascii="Arial" w:cs="Arial" w:eastAsia="Arial" w:hAnsi="Arial"/>
          <w:sz w:val="20"/>
          <w:szCs w:val="20"/>
          <w:color w:val="auto"/>
        </w:rPr>
        <w:t>.</w:t>
      </w:r>
    </w:p>
    <w:p>
      <w:pPr>
        <w:spacing w:after="0" w:line="163" w:lineRule="exact"/>
        <w:rPr>
          <w:sz w:val="20"/>
          <w:szCs w:val="20"/>
          <w:color w:val="auto"/>
        </w:rPr>
      </w:pPr>
    </w:p>
    <w:p>
      <w:pPr>
        <w:ind w:left="1300" w:right="20" w:hanging="644"/>
        <w:spacing w:after="0" w:line="221" w:lineRule="auto"/>
        <w:tabs>
          <w:tab w:leader="none" w:pos="987" w:val="left"/>
        </w:tabs>
        <w:numPr>
          <w:ilvl w:val="0"/>
          <w:numId w:val="308"/>
        </w:numPr>
        <w:rPr>
          <w:rFonts w:ascii="Arial" w:cs="Arial" w:eastAsia="Arial" w:hAnsi="Arial"/>
          <w:sz w:val="20"/>
          <w:szCs w:val="20"/>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Any provision of this Amendment which is prohibited or unenforceable in any jurisdiction shall, as to such</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5" w:lineRule="exact"/>
        <w:rPr>
          <w:rFonts w:ascii="Arial" w:cs="Arial" w:eastAsia="Arial" w:hAnsi="Arial"/>
          <w:sz w:val="20"/>
          <w:szCs w:val="20"/>
          <w:color w:val="auto"/>
        </w:rPr>
      </w:pPr>
    </w:p>
    <w:p>
      <w:pPr>
        <w:ind w:left="1300" w:hanging="644"/>
        <w:spacing w:after="0" w:line="233" w:lineRule="auto"/>
        <w:tabs>
          <w:tab w:leader="none" w:pos="965" w:val="left"/>
        </w:tabs>
        <w:numPr>
          <w:ilvl w:val="0"/>
          <w:numId w:val="308"/>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and by different parties hereto on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when so executed and delivered shall be deemed to be an original, but all of which when taken together shall constitute a single instrument. Delivery of an executed counterpart of a signature page of this Amendment by facsimile or other customary means of electronic transmission (e.g., “.pdf”) shall be as effective as delivery of a manually executed counterpart hereof. The words “execution,” “execute”, “signed,” “signature,” and words of like import in or related to any document to be signed in connection with this Amendment and the transactions contemplated hereby (including without limitation amendments, waivers and consents) shall be deemed to include electronic signatures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of the parties hereto represents and warrants to the other parties hereto that it has the corporate capacity and authority to execute the Amendment through electronic means and there are no restrictions for doing so in that party’s constitutive documents.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3"/>
          <w:szCs w:val="13"/>
          <w:color w:val="auto"/>
        </w:rPr>
        <w:t>#97013613v2</w:t>
      </w:r>
    </w:p>
    <w:p>
      <w:pPr>
        <w:sectPr>
          <w:pgSz w:w="11900" w:h="16838" w:orient="portrait"/>
          <w:cols w:equalWidth="0" w:num="1">
            <w:col w:w="11220"/>
          </w:cols>
          <w:pgMar w:left="320" w:top="1440" w:right="359" w:bottom="1440" w:gutter="0" w:footer="0" w:header="0"/>
        </w:sectPr>
      </w:pPr>
    </w:p>
    <w:bookmarkStart w:id="281" w:name="page282"/>
    <w:bookmarkEnd w:id="281"/>
    <w:p>
      <w:pPr>
        <w:ind w:firstLine="648"/>
        <w:spacing w:after="0" w:line="239"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undersigned has caused its duly authorized officer to execute and deliver this Amendment as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date first set forth above.</w:t>
      </w:r>
    </w:p>
    <w:p>
      <w:pPr>
        <w:spacing w:after="0" w:line="144"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BARCLAYS BANK PLC</w:t>
      </w:r>
      <w:r>
        <w:rPr>
          <w:rFonts w:ascii="Arial" w:cs="Arial" w:eastAsia="Arial" w:hAnsi="Arial"/>
          <w:sz w:val="20"/>
          <w:szCs w:val="20"/>
          <w:color w:val="auto"/>
        </w:rPr>
        <w:t>,</w:t>
      </w:r>
    </w:p>
    <w:p>
      <w:pPr>
        <w:ind w:left="324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/s/ Jeremy Hazan___________________________</w:t>
      </w:r>
    </w:p>
    <w:p>
      <w:pPr>
        <w:ind w:left="3240"/>
        <w:spacing w:after="0" w:line="211" w:lineRule="auto"/>
        <w:rPr>
          <w:sz w:val="20"/>
          <w:szCs w:val="20"/>
          <w:color w:val="auto"/>
        </w:rPr>
      </w:pPr>
      <w:r>
        <w:rPr>
          <w:rFonts w:ascii="Arial" w:cs="Arial" w:eastAsia="Arial" w:hAnsi="Arial"/>
          <w:sz w:val="20"/>
          <w:szCs w:val="20"/>
          <w:color w:val="auto"/>
        </w:rPr>
        <w:t>Name: Jeremy Hazan</w:t>
      </w:r>
    </w:p>
    <w:p>
      <w:pPr>
        <w:ind w:left="324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Fourth Amendment to First Lien Credit Agreement</w:t>
      </w:r>
      <w:r>
        <w:rPr>
          <w:rFonts w:ascii="Arial" w:cs="Arial" w:eastAsia="Arial" w:hAnsi="Arial"/>
          <w:sz w:val="22"/>
          <w:szCs w:val="22"/>
          <w:color w:val="auto"/>
        </w:rPr>
        <w:t>]</w:t>
      </w:r>
    </w:p>
    <w:p>
      <w:pPr>
        <w:spacing w:after="0"/>
        <w:rPr>
          <w:sz w:val="20"/>
          <w:szCs w:val="20"/>
          <w:color w:val="auto"/>
        </w:rPr>
      </w:pPr>
      <w:r>
        <w:rPr>
          <w:rFonts w:ascii="Arial" w:cs="Arial" w:eastAsia="Arial" w:hAnsi="Arial"/>
          <w:sz w:val="13"/>
          <w:szCs w:val="13"/>
          <w:color w:val="auto"/>
        </w:rPr>
        <w:t>#97013613v2</w:t>
      </w:r>
    </w:p>
    <w:p>
      <w:pPr>
        <w:sectPr>
          <w:pgSz w:w="11900" w:h="16838" w:orient="portrait"/>
          <w:cols w:equalWidth="0" w:num="1">
            <w:col w:w="11240"/>
          </w:cols>
          <w:pgMar w:left="320" w:top="1399" w:right="339" w:bottom="1440" w:gutter="0" w:footer="0" w:header="0"/>
        </w:sectPr>
      </w:pPr>
    </w:p>
    <w:bookmarkStart w:id="282" w:name="page283"/>
    <w:bookmarkEnd w:id="282"/>
    <w:p>
      <w:pPr>
        <w:spacing w:after="0" w:line="203" w:lineRule="exact"/>
        <w:rPr>
          <w:sz w:val="20"/>
          <w:szCs w:val="20"/>
          <w:color w:val="auto"/>
        </w:rPr>
      </w:pPr>
    </w:p>
    <w:p>
      <w:pPr>
        <w:ind w:left="390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GOODRX, INC.</w:t>
      </w:r>
      <w:r>
        <w:rPr>
          <w:rFonts w:ascii="Arial" w:cs="Arial" w:eastAsia="Arial" w:hAnsi="Arial"/>
          <w:sz w:val="20"/>
          <w:szCs w:val="20"/>
          <w:color w:val="auto"/>
        </w:rPr>
        <w:t>,</w:t>
      </w:r>
    </w:p>
    <w:p>
      <w:pPr>
        <w:ind w:left="39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/s/ Karsten Voermann__________________</w:t>
      </w:r>
    </w:p>
    <w:p>
      <w:pPr>
        <w:ind w:left="3900"/>
        <w:spacing w:after="0" w:line="213" w:lineRule="auto"/>
        <w:rPr>
          <w:sz w:val="20"/>
          <w:szCs w:val="20"/>
          <w:color w:val="auto"/>
        </w:rPr>
      </w:pPr>
      <w:r>
        <w:rPr>
          <w:rFonts w:ascii="Arial" w:cs="Arial" w:eastAsia="Arial" w:hAnsi="Arial"/>
          <w:sz w:val="20"/>
          <w:szCs w:val="20"/>
          <w:color w:val="auto"/>
        </w:rPr>
        <w:t>Name: Karsten Voermann</w:t>
      </w:r>
    </w:p>
    <w:p>
      <w:pPr>
        <w:ind w:left="390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ind w:right="14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Fourth Amendment to First Lien Credit Agreement</w:t>
      </w:r>
      <w:r>
        <w:rPr>
          <w:rFonts w:ascii="Arial" w:cs="Arial" w:eastAsia="Arial" w:hAnsi="Arial"/>
          <w:sz w:val="22"/>
          <w:szCs w:val="22"/>
          <w:color w:val="auto"/>
        </w:rPr>
        <w:t>]</w:t>
      </w:r>
    </w:p>
    <w:p>
      <w:pPr>
        <w:spacing w:after="0"/>
        <w:rPr>
          <w:sz w:val="20"/>
          <w:szCs w:val="20"/>
          <w:color w:val="auto"/>
        </w:rPr>
      </w:pPr>
      <w:r>
        <w:rPr>
          <w:rFonts w:ascii="Arial" w:cs="Arial" w:eastAsia="Arial" w:hAnsi="Arial"/>
          <w:sz w:val="13"/>
          <w:szCs w:val="13"/>
          <w:color w:val="auto"/>
        </w:rPr>
        <w:t>#97013613v2</w:t>
      </w:r>
    </w:p>
    <w:p>
      <w:pPr>
        <w:sectPr>
          <w:pgSz w:w="11900" w:h="16838" w:orient="portrait"/>
          <w:cols w:equalWidth="0" w:num="1">
            <w:col w:w="10139"/>
          </w:cols>
          <w:pgMar w:left="320" w:top="1440" w:right="1440" w:bottom="1440" w:gutter="0" w:footer="0" w:header="0"/>
        </w:sectPr>
      </w:pPr>
    </w:p>
    <w:bookmarkStart w:id="283" w:name="page284"/>
    <w:bookmarkEnd w:id="283"/>
    <w:p>
      <w:pPr>
        <w:jc w:val="center"/>
        <w:ind w:right="-1100"/>
        <w:spacing w:after="0"/>
        <w:rPr>
          <w:sz w:val="20"/>
          <w:szCs w:val="20"/>
          <w:color w:val="auto"/>
        </w:rPr>
      </w:pPr>
      <w:r>
        <w:rPr>
          <w:rFonts w:ascii="Arial" w:cs="Arial" w:eastAsia="Arial" w:hAnsi="Arial"/>
          <w:sz w:val="20"/>
          <w:szCs w:val="20"/>
          <w:b w:val="1"/>
          <w:bCs w:val="1"/>
          <w:u w:val="single" w:color="auto"/>
          <w:color w:val="auto"/>
        </w:rPr>
        <w:t>EXHIBIT A</w:t>
      </w:r>
    </w:p>
    <w:p>
      <w:pPr>
        <w:spacing w:after="0" w:line="195"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AMENDED CREDIT AGREEMENT</w:t>
      </w:r>
    </w:p>
    <w:p>
      <w:pPr>
        <w:spacing w:after="0" w:line="187"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See attached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#97013613v2</w:t>
      </w:r>
    </w:p>
    <w:p>
      <w:pPr>
        <w:sectPr>
          <w:pgSz w:w="11900" w:h="16838" w:orient="portrait"/>
          <w:cols w:equalWidth="0" w:num="1">
            <w:col w:w="10139"/>
          </w:cols>
          <w:pgMar w:left="320" w:top="1399" w:right="1440" w:bottom="1440" w:gutter="0" w:footer="0" w:header="0"/>
        </w:sectPr>
      </w:pPr>
    </w:p>
    <w:bookmarkStart w:id="284" w:name="page285"/>
    <w:bookmarkEnd w:id="284"/>
    <w:p>
      <w:pPr>
        <w:jc w:val="right"/>
        <w:spacing w:after="0"/>
        <w:rPr>
          <w:sz w:val="20"/>
          <w:szCs w:val="20"/>
          <w:color w:val="auto"/>
        </w:rPr>
      </w:pPr>
      <w:r>
        <w:rPr>
          <w:rFonts w:ascii="Arial" w:cs="Arial" w:eastAsia="Arial" w:hAnsi="Arial"/>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714375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740410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FIRST LIEN CREDIT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October 12, 2018,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6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GOODRX, INC.,</w:t>
      </w:r>
    </w:p>
    <w:p>
      <w:pPr>
        <w:ind w:left="4920"/>
        <w:spacing w:after="0"/>
        <w:rPr>
          <w:sz w:val="20"/>
          <w:szCs w:val="20"/>
          <w:color w:val="auto"/>
        </w:rPr>
      </w:pPr>
      <w:r>
        <w:rPr>
          <w:rFonts w:ascii="Arial" w:cs="Arial" w:eastAsia="Arial" w:hAnsi="Arial"/>
          <w:sz w:val="22"/>
          <w:szCs w:val="22"/>
          <w:color w:val="auto"/>
        </w:rPr>
        <w:t>as the Borrower,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GOODRX INTERMEDIATE HOLDINGS, LLC,</w:t>
      </w:r>
    </w:p>
    <w:p>
      <w:pPr>
        <w:jc w:val="center"/>
        <w:spacing w:after="0"/>
        <w:rPr>
          <w:sz w:val="20"/>
          <w:szCs w:val="20"/>
          <w:color w:val="auto"/>
        </w:rPr>
      </w:pPr>
      <w:r>
        <w:rPr>
          <w:rFonts w:ascii="Arial" w:cs="Arial" w:eastAsia="Arial" w:hAnsi="Arial"/>
          <w:sz w:val="22"/>
          <w:szCs w:val="22"/>
          <w:color w:val="auto"/>
        </w:rPr>
        <w:t>as Holdings,</w:t>
      </w:r>
    </w:p>
    <w:p>
      <w:pPr>
        <w:spacing w:after="0" w:line="18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The Lenders Party Hereto,</w:t>
      </w:r>
    </w:p>
    <w:p>
      <w:pPr>
        <w:spacing w:after="0" w:line="179"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and</w:t>
      </w:r>
    </w:p>
    <w:p>
      <w:pPr>
        <w:spacing w:after="0" w:line="160"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BARCLAYS BANK PLC,</w:t>
      </w:r>
    </w:p>
    <w:p>
      <w:pPr>
        <w:jc w:val="center"/>
        <w:spacing w:after="0"/>
        <w:rPr>
          <w:sz w:val="20"/>
          <w:szCs w:val="20"/>
          <w:color w:val="auto"/>
        </w:rPr>
      </w:pPr>
      <w:r>
        <w:rPr>
          <w:rFonts w:ascii="Arial" w:cs="Arial" w:eastAsia="Arial" w:hAnsi="Arial"/>
          <w:sz w:val="22"/>
          <w:szCs w:val="22"/>
          <w:color w:val="auto"/>
        </w:rPr>
        <w:t>as Administrative Agent and Collateral Agent</w:t>
      </w:r>
    </w:p>
    <w:p>
      <w:pPr>
        <w:spacing w:after="0" w:line="182"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_____________________________</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GOLDMAN SACHS BANK USA</w:t>
      </w:r>
    </w:p>
    <w:p>
      <w:pPr>
        <w:jc w:val="center"/>
        <w:spacing w:after="0" w:line="204" w:lineRule="auto"/>
        <w:rPr>
          <w:sz w:val="20"/>
          <w:szCs w:val="20"/>
          <w:color w:val="auto"/>
        </w:rPr>
      </w:pPr>
      <w:r>
        <w:rPr>
          <w:rFonts w:ascii="Arial" w:cs="Arial" w:eastAsia="Arial" w:hAnsi="Arial"/>
          <w:sz w:val="22"/>
          <w:szCs w:val="22"/>
          <w:color w:val="auto"/>
        </w:rPr>
        <w:t>BARCLAYS BANK PLC</w:t>
      </w:r>
    </w:p>
    <w:p>
      <w:pPr>
        <w:jc w:val="center"/>
        <w:spacing w:after="0" w:line="205" w:lineRule="auto"/>
        <w:rPr>
          <w:sz w:val="20"/>
          <w:szCs w:val="20"/>
          <w:color w:val="auto"/>
        </w:rPr>
      </w:pPr>
      <w:r>
        <w:rPr>
          <w:rFonts w:ascii="Arial" w:cs="Arial" w:eastAsia="Arial" w:hAnsi="Arial"/>
          <w:sz w:val="22"/>
          <w:szCs w:val="22"/>
          <w:color w:val="auto"/>
        </w:rPr>
        <w:t>MERRILL LYNCH, PIERCE, FENNER &amp; SMITH INCORPORATED</w:t>
      </w:r>
    </w:p>
    <w:p>
      <w:pPr>
        <w:jc w:val="center"/>
        <w:spacing w:after="0" w:line="205" w:lineRule="auto"/>
        <w:rPr>
          <w:sz w:val="20"/>
          <w:szCs w:val="20"/>
          <w:color w:val="auto"/>
        </w:rPr>
      </w:pPr>
      <w:r>
        <w:rPr>
          <w:rFonts w:ascii="Arial" w:cs="Arial" w:eastAsia="Arial" w:hAnsi="Arial"/>
          <w:sz w:val="22"/>
          <w:szCs w:val="22"/>
          <w:color w:val="auto"/>
        </w:rPr>
        <w:t>CITIZENS BANK, N.A.</w:t>
      </w:r>
    </w:p>
    <w:p>
      <w:pPr>
        <w:jc w:val="center"/>
        <w:spacing w:after="0" w:line="205" w:lineRule="auto"/>
        <w:rPr>
          <w:sz w:val="20"/>
          <w:szCs w:val="20"/>
          <w:color w:val="auto"/>
        </w:rPr>
      </w:pPr>
      <w:r>
        <w:rPr>
          <w:rFonts w:ascii="Arial" w:cs="Arial" w:eastAsia="Arial" w:hAnsi="Arial"/>
          <w:sz w:val="22"/>
          <w:szCs w:val="22"/>
          <w:color w:val="auto"/>
        </w:rPr>
        <w:t>CREDIT SUISSE LOAN FUNDING LLC</w:t>
      </w:r>
    </w:p>
    <w:p>
      <w:pPr>
        <w:jc w:val="center"/>
        <w:spacing w:after="0" w:line="205" w:lineRule="auto"/>
        <w:rPr>
          <w:sz w:val="20"/>
          <w:szCs w:val="20"/>
          <w:color w:val="auto"/>
        </w:rPr>
      </w:pPr>
      <w:r>
        <w:rPr>
          <w:rFonts w:ascii="Arial" w:cs="Arial" w:eastAsia="Arial" w:hAnsi="Arial"/>
          <w:sz w:val="22"/>
          <w:szCs w:val="22"/>
          <w:color w:val="auto"/>
        </w:rPr>
        <w:t>KKR CAPITAL MARKETS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SUNTRUST ROBINSON HUMPHREY,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Joint Lead Arrangers and Joint Lead Bookrunners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by</w:t>
      </w:r>
    </w:p>
    <w:p>
      <w:pPr>
        <w:spacing w:after="0" w:line="179" w:lineRule="exact"/>
        <w:rPr>
          <w:sz w:val="20"/>
          <w:szCs w:val="20"/>
          <w:color w:val="auto"/>
        </w:rPr>
      </w:pPr>
    </w:p>
    <w:p>
      <w:pPr>
        <w:jc w:val="center"/>
        <w:spacing w:after="0" w:line="218" w:lineRule="auto"/>
        <w:rPr>
          <w:sz w:val="20"/>
          <w:szCs w:val="20"/>
          <w:color w:val="auto"/>
        </w:rPr>
      </w:pPr>
      <w:r>
        <w:rPr>
          <w:rFonts w:ascii="Arial" w:cs="Arial" w:eastAsia="Arial" w:hAnsi="Arial"/>
          <w:sz w:val="22"/>
          <w:szCs w:val="22"/>
          <w:color w:val="auto"/>
        </w:rPr>
        <w:t xml:space="preserve">the First Incremental Credit Facility Amendment to First Lien Credit Agreement, dated as of November 1, 2019, the Second Incremental Credit Facility Amendment to First Lien Credit Agreement, dated as of May 12, 2020 </w:t>
      </w:r>
      <w:r>
        <w:rPr>
          <w:rFonts w:ascii="Arial" w:cs="Arial" w:eastAsia="Arial" w:hAnsi="Arial"/>
          <w:sz w:val="22"/>
          <w:szCs w:val="22"/>
          <w:color w:val="FF0000"/>
        </w:rPr>
        <w:t>and</w:t>
      </w:r>
      <w:r>
        <w:rPr>
          <w:rFonts w:ascii="Arial" w:cs="Arial" w:eastAsia="Arial" w:hAnsi="Arial"/>
          <w:sz w:val="22"/>
          <w:szCs w:val="22"/>
          <w:u w:val="single" w:color="auto"/>
          <w:color w:val="0000FF"/>
        </w:rPr>
        <w:t>,</w:t>
      </w:r>
      <w:r>
        <w:rPr>
          <w:rFonts w:ascii="Arial" w:cs="Arial" w:eastAsia="Arial" w:hAnsi="Arial"/>
          <w:sz w:val="22"/>
          <w:szCs w:val="22"/>
          <w:color w:val="auto"/>
        </w:rPr>
        <w:t xml:space="preserve"> the Third Amendment to First Lien Credit Agreement, dated as of June 29, 2023 </w:t>
      </w:r>
      <w:r>
        <w:rPr>
          <w:rFonts w:ascii="Arial" w:cs="Arial" w:eastAsia="Arial" w:hAnsi="Arial"/>
          <w:sz w:val="22"/>
          <w:szCs w:val="22"/>
          <w:color w:val="0000FF"/>
        </w:rPr>
        <w:t>and the Fourth Amendment to First Lien Credit Agreement, dated as of</w:t>
      </w:r>
      <w:r>
        <w:rPr>
          <w:rFonts w:ascii="Arial" w:cs="Arial" w:eastAsia="Arial" w:hAnsi="Arial"/>
          <w:sz w:val="22"/>
          <w:szCs w:val="22"/>
          <w:color w:val="auto"/>
        </w:rPr>
        <w:t xml:space="preserve"> </w:t>
      </w:r>
      <w:r>
        <w:rPr>
          <w:rFonts w:ascii="Arial" w:cs="Arial" w:eastAsia="Arial" w:hAnsi="Arial"/>
          <w:sz w:val="22"/>
          <w:szCs w:val="22"/>
          <w:u w:val="single" w:color="auto"/>
          <w:color w:val="0000FF"/>
        </w:rPr>
        <w:t>July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-354965</wp:posOffset>
            </wp:positionV>
            <wp:extent cx="23241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232410" cy="889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-166370</wp:posOffset>
            </wp:positionV>
            <wp:extent cx="39274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3927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08" w:right="33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53"/>
        </w:trPr>
        <w:tc>
          <w:tcPr>
            <w:tcW w:w="18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940" w:type="dxa"/>
            <w:vAlign w:val="bottom"/>
            <w:gridSpan w:val="4"/>
          </w:tcPr>
          <w:p>
            <w:pPr>
              <w:ind w:left="180"/>
              <w:spacing w:after="0"/>
              <w:rPr>
                <w:sz w:val="20"/>
                <w:szCs w:val="20"/>
                <w:color w:val="auto"/>
              </w:rPr>
            </w:pPr>
            <w:r>
              <w:rPr>
                <w:rFonts w:ascii="Arial" w:cs="Arial" w:eastAsia="Arial" w:hAnsi="Arial"/>
                <w:sz w:val="22"/>
                <w:szCs w:val="22"/>
                <w:b w:val="1"/>
                <w:bCs w:val="1"/>
                <w:color w:val="auto"/>
              </w:rPr>
              <w:t>TABLE OF CONTENTS</w:t>
            </w:r>
          </w:p>
        </w:tc>
        <w:tc>
          <w:tcPr>
            <w:tcW w:w="0" w:type="dxa"/>
            <w:vAlign w:val="bottom"/>
          </w:tcPr>
          <w:p>
            <w:pPr>
              <w:spacing w:after="0"/>
              <w:rPr>
                <w:sz w:val="1"/>
                <w:szCs w:val="1"/>
                <w:color w:val="auto"/>
              </w:rPr>
            </w:pPr>
          </w:p>
        </w:tc>
      </w:tr>
      <w:tr>
        <w:trPr>
          <w:trHeight w:val="412"/>
        </w:trPr>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79"/>
              </w:rPr>
              <w:t>Page</w:t>
            </w:r>
          </w:p>
        </w:tc>
        <w:tc>
          <w:tcPr>
            <w:tcW w:w="0" w:type="dxa"/>
            <w:vAlign w:val="bottom"/>
          </w:tcPr>
          <w:p>
            <w:pPr>
              <w:spacing w:after="0"/>
              <w:rPr>
                <w:sz w:val="1"/>
                <w:szCs w:val="1"/>
                <w:color w:val="auto"/>
              </w:rPr>
            </w:pPr>
          </w:p>
        </w:tc>
      </w:tr>
      <w:tr>
        <w:trPr>
          <w:trHeight w:val="404"/>
        </w:trPr>
        <w:tc>
          <w:tcPr>
            <w:tcW w:w="3260" w:type="dxa"/>
            <w:vAlign w:val="bottom"/>
            <w:gridSpan w:val="2"/>
          </w:tcPr>
          <w:p>
            <w:pPr>
              <w:spacing w:after="0"/>
              <w:rPr>
                <w:sz w:val="20"/>
                <w:szCs w:val="20"/>
                <w:color w:val="auto"/>
              </w:rPr>
            </w:pPr>
            <w:r>
              <w:rPr>
                <w:rFonts w:ascii="Arial" w:cs="Arial" w:eastAsia="Arial" w:hAnsi="Arial"/>
                <w:sz w:val="22"/>
                <w:szCs w:val="22"/>
                <w:b w:val="1"/>
                <w:bCs w:val="1"/>
                <w:color w:val="auto"/>
              </w:rPr>
              <w:t>ARTICLE I Definitions  1</w:t>
            </w: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1</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1.01</w:t>
            </w:r>
          </w:p>
        </w:tc>
        <w:tc>
          <w:tcPr>
            <w:tcW w:w="1440" w:type="dxa"/>
            <w:vAlign w:val="bottom"/>
          </w:tcPr>
          <w:p>
            <w:pPr>
              <w:ind w:left="100"/>
              <w:spacing w:after="0" w:line="243" w:lineRule="exact"/>
              <w:rPr>
                <w:sz w:val="20"/>
                <w:szCs w:val="20"/>
                <w:color w:val="auto"/>
              </w:rPr>
            </w:pPr>
            <w:r>
              <w:rPr>
                <w:rFonts w:ascii="Arial" w:cs="Arial" w:eastAsia="Arial" w:hAnsi="Arial"/>
                <w:sz w:val="22"/>
                <w:szCs w:val="22"/>
                <w:color w:val="auto"/>
                <w:w w:val="91"/>
              </w:rPr>
              <w:t>Defined Terms</w:t>
            </w:r>
          </w:p>
        </w:tc>
        <w:tc>
          <w:tcPr>
            <w:tcW w:w="30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660"/>
              <w:spacing w:after="0" w:line="229" w:lineRule="exact"/>
              <w:rPr>
                <w:sz w:val="20"/>
                <w:szCs w:val="20"/>
                <w:color w:val="auto"/>
              </w:rPr>
            </w:pPr>
            <w:r>
              <w:rPr>
                <w:rFonts w:ascii="Arial" w:cs="Arial" w:eastAsia="Arial" w:hAnsi="Arial"/>
                <w:sz w:val="22"/>
                <w:szCs w:val="22"/>
                <w:color w:val="auto"/>
                <w:w w:val="93"/>
              </w:rPr>
              <w:t>Section 1.02</w:t>
            </w:r>
          </w:p>
        </w:tc>
        <w:tc>
          <w:tcPr>
            <w:tcW w:w="9420" w:type="dxa"/>
            <w:vAlign w:val="bottom"/>
            <w:gridSpan w:val="7"/>
          </w:tcPr>
          <w:p>
            <w:pPr>
              <w:ind w:left="100"/>
              <w:spacing w:after="0" w:line="229" w:lineRule="exact"/>
              <w:rPr>
                <w:sz w:val="20"/>
                <w:szCs w:val="20"/>
                <w:color w:val="auto"/>
              </w:rPr>
            </w:pPr>
            <w:r>
              <w:rPr>
                <w:rFonts w:ascii="Arial" w:cs="Arial" w:eastAsia="Arial" w:hAnsi="Arial"/>
                <w:sz w:val="22"/>
                <w:szCs w:val="22"/>
                <w:color w:val="auto"/>
              </w:rPr>
              <w:t>Classification of Loans and Borrowings  79</w:t>
            </w:r>
          </w:p>
        </w:tc>
        <w:tc>
          <w:tcPr>
            <w:tcW w:w="0" w:type="dxa"/>
            <w:vAlign w:val="bottom"/>
          </w:tcPr>
          <w:p>
            <w:pPr>
              <w:spacing w:after="0"/>
              <w:rPr>
                <w:sz w:val="1"/>
                <w:szCs w:val="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1.03</w:t>
            </w:r>
          </w:p>
        </w:tc>
        <w:tc>
          <w:tcPr>
            <w:tcW w:w="1740" w:type="dxa"/>
            <w:vAlign w:val="bottom"/>
            <w:gridSpan w:val="2"/>
          </w:tcPr>
          <w:p>
            <w:pPr>
              <w:ind w:left="100"/>
              <w:spacing w:after="0" w:line="243" w:lineRule="exact"/>
              <w:rPr>
                <w:sz w:val="20"/>
                <w:szCs w:val="20"/>
                <w:color w:val="auto"/>
              </w:rPr>
            </w:pPr>
            <w:r>
              <w:rPr>
                <w:rFonts w:ascii="Arial" w:cs="Arial" w:eastAsia="Arial" w:hAnsi="Arial"/>
                <w:sz w:val="22"/>
                <w:szCs w:val="22"/>
                <w:color w:val="auto"/>
                <w:w w:val="99"/>
              </w:rPr>
              <w:t>Terms Generally</w:t>
            </w:r>
          </w:p>
        </w:tc>
        <w:tc>
          <w:tcPr>
            <w:tcW w:w="740" w:type="dxa"/>
            <w:vAlign w:val="bottom"/>
          </w:tcPr>
          <w:p>
            <w:pPr>
              <w:jc w:val="right"/>
              <w:ind w:right="412"/>
              <w:spacing w:after="0" w:line="243" w:lineRule="exact"/>
              <w:rPr>
                <w:sz w:val="20"/>
                <w:szCs w:val="20"/>
                <w:color w:val="auto"/>
              </w:rPr>
            </w:pPr>
            <w:r>
              <w:rPr>
                <w:rFonts w:ascii="Arial" w:cs="Arial" w:eastAsia="Arial" w:hAnsi="Arial"/>
                <w:sz w:val="22"/>
                <w:szCs w:val="22"/>
                <w:color w:val="auto"/>
                <w:w w:val="81"/>
              </w:rPr>
              <w:t>79</w:t>
            </w:r>
          </w:p>
        </w:tc>
        <w:tc>
          <w:tcPr>
            <w:tcW w:w="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1.04</w:t>
            </w:r>
          </w:p>
        </w:tc>
        <w:tc>
          <w:tcPr>
            <w:tcW w:w="248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4"/>
              </w:rPr>
              <w:t>Accounting Terms; GAAP</w:t>
            </w:r>
          </w:p>
        </w:tc>
        <w:tc>
          <w:tcPr>
            <w:tcW w:w="2480" w:type="dxa"/>
            <w:vAlign w:val="bottom"/>
            <w:gridSpan w:val="2"/>
          </w:tcPr>
          <w:p>
            <w:pPr>
              <w:jc w:val="right"/>
              <w:ind w:right="2140"/>
              <w:spacing w:after="0" w:line="243" w:lineRule="exact"/>
              <w:rPr>
                <w:sz w:val="20"/>
                <w:szCs w:val="20"/>
                <w:color w:val="auto"/>
              </w:rPr>
            </w:pPr>
            <w:r>
              <w:rPr>
                <w:rFonts w:ascii="Arial" w:cs="Arial" w:eastAsia="Arial" w:hAnsi="Arial"/>
                <w:sz w:val="22"/>
                <w:szCs w:val="22"/>
                <w:color w:val="auto"/>
              </w:rPr>
              <w:t>80</w:t>
            </w: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20" w:type="dxa"/>
            <w:vAlign w:val="bottom"/>
          </w:tcPr>
          <w:p>
            <w:pPr>
              <w:ind w:left="660"/>
              <w:spacing w:after="0" w:line="229" w:lineRule="exact"/>
              <w:rPr>
                <w:sz w:val="20"/>
                <w:szCs w:val="20"/>
                <w:color w:val="auto"/>
              </w:rPr>
            </w:pPr>
            <w:r>
              <w:rPr>
                <w:rFonts w:ascii="Arial" w:cs="Arial" w:eastAsia="Arial" w:hAnsi="Arial"/>
                <w:sz w:val="22"/>
                <w:szCs w:val="22"/>
                <w:color w:val="auto"/>
                <w:w w:val="93"/>
              </w:rPr>
              <w:t>Section 1.05</w:t>
            </w:r>
          </w:p>
        </w:tc>
        <w:tc>
          <w:tcPr>
            <w:tcW w:w="9420" w:type="dxa"/>
            <w:vAlign w:val="bottom"/>
            <w:gridSpan w:val="7"/>
          </w:tcPr>
          <w:p>
            <w:pPr>
              <w:ind w:left="100"/>
              <w:spacing w:after="0" w:line="229" w:lineRule="exact"/>
              <w:rPr>
                <w:sz w:val="20"/>
                <w:szCs w:val="20"/>
                <w:color w:val="auto"/>
              </w:rPr>
            </w:pPr>
            <w:r>
              <w:rPr>
                <w:rFonts w:ascii="Arial" w:cs="Arial" w:eastAsia="Arial" w:hAnsi="Arial"/>
                <w:sz w:val="22"/>
                <w:szCs w:val="22"/>
                <w:color w:val="auto"/>
              </w:rPr>
              <w:t>Pro Forma Calculations; Unrestricted Cash  80</w:t>
            </w:r>
          </w:p>
        </w:tc>
        <w:tc>
          <w:tcPr>
            <w:tcW w:w="0" w:type="dxa"/>
            <w:vAlign w:val="bottom"/>
          </w:tcPr>
          <w:p>
            <w:pPr>
              <w:spacing w:after="0"/>
              <w:rPr>
                <w:sz w:val="1"/>
                <w:szCs w:val="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1.06</w:t>
            </w:r>
          </w:p>
        </w:tc>
        <w:tc>
          <w:tcPr>
            <w:tcW w:w="248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7"/>
              </w:rPr>
              <w:t>Currency Translation  81</w:t>
            </w:r>
          </w:p>
        </w:tc>
        <w:tc>
          <w:tcPr>
            <w:tcW w:w="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1.07</w:t>
            </w:r>
          </w:p>
        </w:tc>
        <w:tc>
          <w:tcPr>
            <w:tcW w:w="1440" w:type="dxa"/>
            <w:vAlign w:val="bottom"/>
          </w:tcPr>
          <w:p>
            <w:pPr>
              <w:ind w:left="100"/>
              <w:spacing w:after="0" w:line="243" w:lineRule="exact"/>
              <w:rPr>
                <w:sz w:val="20"/>
                <w:szCs w:val="20"/>
                <w:color w:val="auto"/>
              </w:rPr>
            </w:pPr>
            <w:r>
              <w:rPr>
                <w:rFonts w:ascii="Arial" w:cs="Arial" w:eastAsia="Arial" w:hAnsi="Arial"/>
                <w:sz w:val="22"/>
                <w:szCs w:val="22"/>
                <w:color w:val="auto"/>
              </w:rPr>
              <w:t>Rounding  82</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660"/>
              <w:spacing w:after="0" w:line="229" w:lineRule="exact"/>
              <w:rPr>
                <w:sz w:val="20"/>
                <w:szCs w:val="20"/>
                <w:color w:val="auto"/>
              </w:rPr>
            </w:pPr>
            <w:r>
              <w:rPr>
                <w:rFonts w:ascii="Arial" w:cs="Arial" w:eastAsia="Arial" w:hAnsi="Arial"/>
                <w:sz w:val="22"/>
                <w:szCs w:val="22"/>
                <w:color w:val="auto"/>
                <w:w w:val="93"/>
              </w:rPr>
              <w:t>Section 1.08</w:t>
            </w:r>
          </w:p>
        </w:tc>
        <w:tc>
          <w:tcPr>
            <w:tcW w:w="9420" w:type="dxa"/>
            <w:vAlign w:val="bottom"/>
            <w:gridSpan w:val="7"/>
          </w:tcPr>
          <w:p>
            <w:pPr>
              <w:ind w:left="100"/>
              <w:spacing w:after="0" w:line="229" w:lineRule="exact"/>
              <w:rPr>
                <w:sz w:val="20"/>
                <w:szCs w:val="20"/>
                <w:color w:val="auto"/>
              </w:rPr>
            </w:pPr>
            <w:r>
              <w:rPr>
                <w:rFonts w:ascii="Arial" w:cs="Arial" w:eastAsia="Arial" w:hAnsi="Arial"/>
                <w:sz w:val="22"/>
                <w:szCs w:val="22"/>
                <w:color w:val="auto"/>
              </w:rPr>
              <w:t>Timing of Payment or Performance  82</w:t>
            </w:r>
          </w:p>
        </w:tc>
        <w:tc>
          <w:tcPr>
            <w:tcW w:w="0" w:type="dxa"/>
            <w:vAlign w:val="bottom"/>
          </w:tcPr>
          <w:p>
            <w:pPr>
              <w:spacing w:after="0"/>
              <w:rPr>
                <w:sz w:val="1"/>
                <w:szCs w:val="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1.09</w:t>
            </w:r>
          </w:p>
        </w:tc>
        <w:tc>
          <w:tcPr>
            <w:tcW w:w="248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8"/>
              </w:rPr>
              <w:t>Letter of Credit Amounts</w:t>
            </w:r>
          </w:p>
        </w:tc>
        <w:tc>
          <w:tcPr>
            <w:tcW w:w="2480" w:type="dxa"/>
            <w:vAlign w:val="bottom"/>
            <w:gridSpan w:val="2"/>
          </w:tcPr>
          <w:p>
            <w:pPr>
              <w:jc w:val="right"/>
              <w:ind w:right="2260"/>
              <w:spacing w:after="0" w:line="243" w:lineRule="exact"/>
              <w:rPr>
                <w:sz w:val="20"/>
                <w:szCs w:val="20"/>
                <w:color w:val="auto"/>
              </w:rPr>
            </w:pPr>
            <w:r>
              <w:rPr>
                <w:rFonts w:ascii="Arial" w:cs="Arial" w:eastAsia="Arial" w:hAnsi="Arial"/>
                <w:sz w:val="22"/>
                <w:szCs w:val="22"/>
                <w:color w:val="auto"/>
                <w:w w:val="81"/>
              </w:rPr>
              <w:t>82</w:t>
            </w: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1.10</w:t>
            </w:r>
          </w:p>
        </w:tc>
        <w:tc>
          <w:tcPr>
            <w:tcW w:w="1440" w:type="dxa"/>
            <w:vAlign w:val="bottom"/>
          </w:tcPr>
          <w:p>
            <w:pPr>
              <w:ind w:left="100"/>
              <w:spacing w:after="0" w:line="243" w:lineRule="exact"/>
              <w:rPr>
                <w:sz w:val="20"/>
                <w:szCs w:val="20"/>
                <w:color w:val="auto"/>
              </w:rPr>
            </w:pPr>
            <w:r>
              <w:rPr>
                <w:rFonts w:ascii="Arial" w:cs="Arial" w:eastAsia="Arial" w:hAnsi="Arial"/>
                <w:sz w:val="22"/>
                <w:szCs w:val="22"/>
                <w:color w:val="auto"/>
              </w:rPr>
              <w:t>Certifications</w:t>
            </w:r>
          </w:p>
        </w:tc>
        <w:tc>
          <w:tcPr>
            <w:tcW w:w="300" w:type="dxa"/>
            <w:vAlign w:val="bottom"/>
          </w:tcPr>
          <w:p>
            <w:pPr>
              <w:jc w:val="right"/>
              <w:spacing w:after="0" w:line="243" w:lineRule="exact"/>
              <w:rPr>
                <w:sz w:val="20"/>
                <w:szCs w:val="20"/>
                <w:color w:val="auto"/>
              </w:rPr>
            </w:pPr>
            <w:r>
              <w:rPr>
                <w:rFonts w:ascii="Arial" w:cs="Arial" w:eastAsia="Arial" w:hAnsi="Arial"/>
                <w:sz w:val="22"/>
                <w:szCs w:val="22"/>
                <w:color w:val="auto"/>
                <w:w w:val="97"/>
              </w:rPr>
              <w:t>82</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20" w:type="dxa"/>
            <w:vAlign w:val="bottom"/>
          </w:tcPr>
          <w:p>
            <w:pPr>
              <w:ind w:left="660"/>
              <w:spacing w:after="0" w:line="229" w:lineRule="exact"/>
              <w:rPr>
                <w:sz w:val="20"/>
                <w:szCs w:val="20"/>
                <w:color w:val="auto"/>
              </w:rPr>
            </w:pPr>
            <w:r>
              <w:rPr>
                <w:rFonts w:ascii="Arial" w:cs="Arial" w:eastAsia="Arial" w:hAnsi="Arial"/>
                <w:sz w:val="22"/>
                <w:szCs w:val="22"/>
                <w:color w:val="auto"/>
                <w:w w:val="93"/>
              </w:rPr>
              <w:t>Section 1.11</w:t>
            </w:r>
          </w:p>
        </w:tc>
        <w:tc>
          <w:tcPr>
            <w:tcW w:w="2480" w:type="dxa"/>
            <w:vAlign w:val="bottom"/>
            <w:gridSpan w:val="3"/>
          </w:tcPr>
          <w:p>
            <w:pPr>
              <w:ind w:left="80"/>
              <w:spacing w:after="0" w:line="229" w:lineRule="exact"/>
              <w:rPr>
                <w:sz w:val="20"/>
                <w:szCs w:val="20"/>
                <w:color w:val="auto"/>
              </w:rPr>
            </w:pPr>
            <w:r>
              <w:rPr>
                <w:rFonts w:ascii="Arial" w:cs="Arial" w:eastAsia="Arial" w:hAnsi="Arial"/>
                <w:sz w:val="22"/>
                <w:szCs w:val="22"/>
                <w:color w:val="auto"/>
                <w:w w:val="93"/>
              </w:rPr>
              <w:t>Compliance with Article VI</w:t>
            </w:r>
          </w:p>
        </w:tc>
        <w:tc>
          <w:tcPr>
            <w:tcW w:w="2480" w:type="dxa"/>
            <w:vAlign w:val="bottom"/>
            <w:gridSpan w:val="2"/>
          </w:tcPr>
          <w:p>
            <w:pPr>
              <w:jc w:val="right"/>
              <w:ind w:right="2040"/>
              <w:spacing w:after="0" w:line="229" w:lineRule="exact"/>
              <w:rPr>
                <w:sz w:val="20"/>
                <w:szCs w:val="20"/>
                <w:color w:val="auto"/>
              </w:rPr>
            </w:pPr>
            <w:r>
              <w:rPr>
                <w:rFonts w:ascii="Arial" w:cs="Arial" w:eastAsia="Arial" w:hAnsi="Arial"/>
                <w:sz w:val="22"/>
                <w:szCs w:val="22"/>
                <w:color w:val="auto"/>
              </w:rPr>
              <w:t>82</w:t>
            </w: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1.12</w:t>
            </w:r>
          </w:p>
        </w:tc>
        <w:tc>
          <w:tcPr>
            <w:tcW w:w="9420" w:type="dxa"/>
            <w:vAlign w:val="bottom"/>
            <w:gridSpan w:val="7"/>
          </w:tcPr>
          <w:p>
            <w:pPr>
              <w:ind w:left="100"/>
              <w:spacing w:after="0" w:line="243" w:lineRule="exact"/>
              <w:rPr>
                <w:sz w:val="20"/>
                <w:szCs w:val="20"/>
                <w:color w:val="auto"/>
              </w:rPr>
            </w:pPr>
            <w:r>
              <w:rPr>
                <w:rFonts w:ascii="Arial" w:cs="Arial" w:eastAsia="Arial" w:hAnsi="Arial"/>
                <w:sz w:val="22"/>
                <w:szCs w:val="22"/>
                <w:color w:val="auto"/>
              </w:rPr>
              <w:t>Limited Condition Acquisition  83</w:t>
            </w:r>
          </w:p>
        </w:tc>
        <w:tc>
          <w:tcPr>
            <w:tcW w:w="0" w:type="dxa"/>
            <w:vAlign w:val="bottom"/>
          </w:tcPr>
          <w:p>
            <w:pPr>
              <w:spacing w:after="0"/>
              <w:rPr>
                <w:sz w:val="1"/>
                <w:szCs w:val="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1.13</w:t>
            </w:r>
          </w:p>
        </w:tc>
        <w:tc>
          <w:tcPr>
            <w:tcW w:w="1740" w:type="dxa"/>
            <w:vAlign w:val="bottom"/>
            <w:gridSpan w:val="2"/>
          </w:tcPr>
          <w:p>
            <w:pPr>
              <w:ind w:left="100"/>
              <w:spacing w:after="0" w:line="243" w:lineRule="exact"/>
              <w:rPr>
                <w:sz w:val="20"/>
                <w:szCs w:val="20"/>
                <w:color w:val="auto"/>
              </w:rPr>
            </w:pPr>
            <w:r>
              <w:rPr>
                <w:rFonts w:ascii="Arial" w:cs="Arial" w:eastAsia="Arial" w:hAnsi="Arial"/>
                <w:sz w:val="22"/>
                <w:szCs w:val="22"/>
                <w:color w:val="auto"/>
                <w:w w:val="86"/>
              </w:rPr>
              <w:t>Cashless Rollovers</w:t>
            </w:r>
          </w:p>
        </w:tc>
        <w:tc>
          <w:tcPr>
            <w:tcW w:w="74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83</w:t>
            </w:r>
          </w:p>
        </w:tc>
        <w:tc>
          <w:tcPr>
            <w:tcW w:w="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20" w:type="dxa"/>
            <w:vAlign w:val="bottom"/>
          </w:tcPr>
          <w:p>
            <w:pPr>
              <w:ind w:left="660"/>
              <w:spacing w:after="0"/>
              <w:rPr>
                <w:sz w:val="20"/>
                <w:szCs w:val="20"/>
                <w:color w:val="auto"/>
              </w:rPr>
            </w:pPr>
            <w:r>
              <w:rPr>
                <w:rFonts w:ascii="Arial" w:cs="Arial" w:eastAsia="Arial" w:hAnsi="Arial"/>
                <w:sz w:val="22"/>
                <w:szCs w:val="22"/>
                <w:color w:val="auto"/>
                <w:w w:val="93"/>
              </w:rPr>
              <w:t>Section 1.14</w:t>
            </w:r>
          </w:p>
        </w:tc>
        <w:tc>
          <w:tcPr>
            <w:tcW w:w="1740" w:type="dxa"/>
            <w:vAlign w:val="bottom"/>
            <w:gridSpan w:val="2"/>
          </w:tcPr>
          <w:p>
            <w:pPr>
              <w:ind w:left="100"/>
              <w:spacing w:after="0"/>
              <w:rPr>
                <w:sz w:val="20"/>
                <w:szCs w:val="20"/>
                <w:color w:val="auto"/>
              </w:rPr>
            </w:pPr>
            <w:r>
              <w:rPr>
                <w:rFonts w:ascii="Arial" w:cs="Arial" w:eastAsia="Arial" w:hAnsi="Arial"/>
                <w:sz w:val="22"/>
                <w:szCs w:val="22"/>
                <w:color w:val="auto"/>
              </w:rPr>
              <w:t>Division of LLCs</w:t>
            </w:r>
          </w:p>
        </w:tc>
        <w:tc>
          <w:tcPr>
            <w:tcW w:w="740" w:type="dxa"/>
            <w:vAlign w:val="bottom"/>
          </w:tcPr>
          <w:p>
            <w:pPr>
              <w:jc w:val="right"/>
              <w:ind w:right="312"/>
              <w:spacing w:after="0"/>
              <w:rPr>
                <w:sz w:val="20"/>
                <w:szCs w:val="20"/>
                <w:color w:val="auto"/>
              </w:rPr>
            </w:pPr>
            <w:r>
              <w:rPr>
                <w:rFonts w:ascii="Arial" w:cs="Arial" w:eastAsia="Arial" w:hAnsi="Arial"/>
                <w:sz w:val="22"/>
                <w:szCs w:val="22"/>
                <w:color w:val="auto"/>
              </w:rPr>
              <w:t>83</w:t>
            </w:r>
          </w:p>
        </w:tc>
        <w:tc>
          <w:tcPr>
            <w:tcW w:w="1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60" w:type="dxa"/>
            <w:vAlign w:val="bottom"/>
            <w:gridSpan w:val="2"/>
          </w:tcPr>
          <w:p>
            <w:pPr>
              <w:jc w:val="center"/>
              <w:ind w:right="92"/>
              <w:spacing w:after="0"/>
              <w:rPr>
                <w:sz w:val="20"/>
                <w:szCs w:val="20"/>
                <w:color w:val="auto"/>
              </w:rPr>
            </w:pPr>
            <w:r>
              <w:rPr>
                <w:rFonts w:ascii="Arial" w:cs="Arial" w:eastAsia="Arial" w:hAnsi="Arial"/>
                <w:sz w:val="22"/>
                <w:szCs w:val="22"/>
                <w:b w:val="1"/>
                <w:bCs w:val="1"/>
                <w:color w:val="auto"/>
                <w:w w:val="97"/>
              </w:rPr>
              <w:t>ARTICLE II The Credits</w:t>
            </w:r>
          </w:p>
        </w:tc>
        <w:tc>
          <w:tcPr>
            <w:tcW w:w="780" w:type="dxa"/>
            <w:vAlign w:val="bottom"/>
          </w:tcPr>
          <w:p>
            <w:pPr>
              <w:jc w:val="right"/>
              <w:ind w:right="452"/>
              <w:spacing w:after="0"/>
              <w:rPr>
                <w:sz w:val="20"/>
                <w:szCs w:val="20"/>
                <w:color w:val="auto"/>
              </w:rPr>
            </w:pPr>
            <w:r>
              <w:rPr>
                <w:rFonts w:ascii="Arial" w:cs="Arial" w:eastAsia="Arial" w:hAnsi="Arial"/>
                <w:sz w:val="22"/>
                <w:szCs w:val="22"/>
                <w:b w:val="1"/>
                <w:bCs w:val="1"/>
                <w:color w:val="auto"/>
                <w:w w:val="81"/>
              </w:rPr>
              <w:t>84</w:t>
            </w:r>
          </w:p>
        </w:tc>
        <w:tc>
          <w:tcPr>
            <w:tcW w:w="240" w:type="dxa"/>
            <w:vAlign w:val="bottom"/>
            <w:vMerge w:val="restart"/>
          </w:tcPr>
          <w:p>
            <w:pPr>
              <w:jc w:val="right"/>
              <w:spacing w:after="0"/>
              <w:rPr>
                <w:sz w:val="20"/>
                <w:szCs w:val="20"/>
                <w:color w:val="auto"/>
              </w:rPr>
            </w:pPr>
            <w:r>
              <w:rPr>
                <w:rFonts w:ascii="Arial" w:cs="Arial" w:eastAsia="Arial" w:hAnsi="Arial"/>
                <w:sz w:val="22"/>
                <w:szCs w:val="22"/>
                <w:color w:val="auto"/>
                <w:w w:val="89"/>
              </w:rPr>
              <w:t>84</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2.01</w:t>
            </w:r>
          </w:p>
        </w:tc>
        <w:tc>
          <w:tcPr>
            <w:tcW w:w="152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Commitments</w:t>
            </w:r>
          </w:p>
        </w:tc>
        <w:tc>
          <w:tcPr>
            <w:tcW w:w="24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2.02</w:t>
            </w:r>
          </w:p>
        </w:tc>
        <w:tc>
          <w:tcPr>
            <w:tcW w:w="2140" w:type="dxa"/>
            <w:vAlign w:val="bottom"/>
            <w:gridSpan w:val="4"/>
          </w:tcPr>
          <w:p>
            <w:pPr>
              <w:ind w:left="100"/>
              <w:spacing w:after="0" w:line="243" w:lineRule="exact"/>
              <w:rPr>
                <w:sz w:val="20"/>
                <w:szCs w:val="20"/>
                <w:color w:val="auto"/>
              </w:rPr>
            </w:pPr>
            <w:r>
              <w:rPr>
                <w:rFonts w:ascii="Arial" w:cs="Arial" w:eastAsia="Arial" w:hAnsi="Arial"/>
                <w:sz w:val="22"/>
                <w:szCs w:val="22"/>
                <w:color w:val="auto"/>
                <w:w w:val="92"/>
              </w:rPr>
              <w:t>Loans and Borrowings</w:t>
            </w:r>
          </w:p>
        </w:tc>
        <w:tc>
          <w:tcPr>
            <w:tcW w:w="4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84</w:t>
            </w: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2.03</w:t>
            </w:r>
          </w:p>
        </w:tc>
        <w:tc>
          <w:tcPr>
            <w:tcW w:w="2420" w:type="dxa"/>
            <w:vAlign w:val="bottom"/>
            <w:gridSpan w:val="5"/>
          </w:tcPr>
          <w:p>
            <w:pPr>
              <w:ind w:left="100"/>
              <w:spacing w:after="0" w:line="229" w:lineRule="exact"/>
              <w:rPr>
                <w:sz w:val="20"/>
                <w:szCs w:val="20"/>
                <w:color w:val="auto"/>
              </w:rPr>
            </w:pPr>
            <w:r>
              <w:rPr>
                <w:rFonts w:ascii="Arial" w:cs="Arial" w:eastAsia="Arial" w:hAnsi="Arial"/>
                <w:sz w:val="22"/>
                <w:szCs w:val="22"/>
                <w:color w:val="auto"/>
                <w:w w:val="95"/>
              </w:rPr>
              <w:t>Requests for Borrowings</w:t>
            </w:r>
          </w:p>
        </w:tc>
        <w:tc>
          <w:tcPr>
            <w:tcW w:w="3420" w:type="dxa"/>
            <w:vAlign w:val="bottom"/>
            <w:gridSpan w:val="2"/>
          </w:tcPr>
          <w:p>
            <w:pPr>
              <w:jc w:val="right"/>
              <w:ind w:right="3052"/>
              <w:spacing w:after="0" w:line="229" w:lineRule="exact"/>
              <w:rPr>
                <w:sz w:val="20"/>
                <w:szCs w:val="20"/>
                <w:color w:val="auto"/>
              </w:rPr>
            </w:pPr>
            <w:r>
              <w:rPr>
                <w:rFonts w:ascii="Arial" w:cs="Arial" w:eastAsia="Arial" w:hAnsi="Arial"/>
                <w:sz w:val="22"/>
                <w:szCs w:val="22"/>
                <w:color w:val="auto"/>
                <w:w w:val="97"/>
              </w:rPr>
              <w:t>85</w:t>
            </w: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2.04</w:t>
            </w: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Swingline Loans</w:t>
            </w:r>
          </w:p>
        </w:tc>
        <w:tc>
          <w:tcPr>
            <w:tcW w:w="380" w:type="dxa"/>
            <w:vAlign w:val="bottom"/>
          </w:tcPr>
          <w:p>
            <w:pPr>
              <w:jc w:val="right"/>
              <w:ind w:right="52"/>
              <w:spacing w:after="0" w:line="243" w:lineRule="exact"/>
              <w:rPr>
                <w:sz w:val="20"/>
                <w:szCs w:val="20"/>
                <w:color w:val="auto"/>
              </w:rPr>
            </w:pPr>
            <w:r>
              <w:rPr>
                <w:rFonts w:ascii="Arial" w:cs="Arial" w:eastAsia="Arial" w:hAnsi="Arial"/>
                <w:sz w:val="22"/>
                <w:szCs w:val="22"/>
                <w:color w:val="auto"/>
                <w:w w:val="81"/>
              </w:rPr>
              <w:t>86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2.05</w:t>
            </w:r>
          </w:p>
        </w:tc>
        <w:tc>
          <w:tcPr>
            <w:tcW w:w="1520" w:type="dxa"/>
            <w:vAlign w:val="bottom"/>
            <w:gridSpan w:val="2"/>
          </w:tcPr>
          <w:p>
            <w:pPr>
              <w:ind w:left="100"/>
              <w:spacing w:after="0" w:line="229" w:lineRule="exact"/>
              <w:rPr>
                <w:sz w:val="20"/>
                <w:szCs w:val="20"/>
                <w:color w:val="auto"/>
              </w:rPr>
            </w:pPr>
            <w:r>
              <w:rPr>
                <w:rFonts w:ascii="Arial" w:cs="Arial" w:eastAsia="Arial" w:hAnsi="Arial"/>
                <w:sz w:val="22"/>
                <w:szCs w:val="22"/>
                <w:color w:val="auto"/>
                <w:w w:val="89"/>
              </w:rPr>
              <w:t>Letters of Credit</w:t>
            </w:r>
          </w:p>
        </w:tc>
        <w:tc>
          <w:tcPr>
            <w:tcW w:w="620" w:type="dxa"/>
            <w:vAlign w:val="bottom"/>
            <w:gridSpan w:val="2"/>
          </w:tcPr>
          <w:p>
            <w:pPr>
              <w:jc w:val="right"/>
              <w:ind w:right="72"/>
              <w:spacing w:after="0" w:line="229" w:lineRule="exact"/>
              <w:rPr>
                <w:sz w:val="20"/>
                <w:szCs w:val="20"/>
                <w:color w:val="auto"/>
              </w:rPr>
            </w:pPr>
            <w:r>
              <w:rPr>
                <w:rFonts w:ascii="Arial" w:cs="Arial" w:eastAsia="Arial" w:hAnsi="Arial"/>
                <w:sz w:val="22"/>
                <w:szCs w:val="22"/>
                <w:color w:val="auto"/>
              </w:rPr>
              <w:t>87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2.06</w:t>
            </w:r>
          </w:p>
        </w:tc>
        <w:tc>
          <w:tcPr>
            <w:tcW w:w="2140" w:type="dxa"/>
            <w:vAlign w:val="bottom"/>
            <w:gridSpan w:val="4"/>
          </w:tcPr>
          <w:p>
            <w:pPr>
              <w:ind w:left="100"/>
              <w:spacing w:after="0" w:line="243" w:lineRule="exact"/>
              <w:rPr>
                <w:sz w:val="20"/>
                <w:szCs w:val="20"/>
                <w:color w:val="auto"/>
              </w:rPr>
            </w:pPr>
            <w:r>
              <w:rPr>
                <w:rFonts w:ascii="Arial" w:cs="Arial" w:eastAsia="Arial" w:hAnsi="Arial"/>
                <w:sz w:val="22"/>
                <w:szCs w:val="22"/>
                <w:color w:val="auto"/>
                <w:w w:val="91"/>
              </w:rPr>
              <w:t>Funding of Borrowings</w:t>
            </w:r>
          </w:p>
        </w:tc>
        <w:tc>
          <w:tcPr>
            <w:tcW w:w="4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93</w:t>
            </w: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2.07</w:t>
            </w: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7"/>
              </w:rPr>
              <w:t>Interest Elections</w:t>
            </w: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2.08</w:t>
            </w:r>
          </w:p>
        </w:tc>
        <w:tc>
          <w:tcPr>
            <w:tcW w:w="5840" w:type="dxa"/>
            <w:vAlign w:val="bottom"/>
            <w:gridSpan w:val="7"/>
          </w:tcPr>
          <w:p>
            <w:pPr>
              <w:ind w:left="100"/>
              <w:spacing w:after="0" w:line="229" w:lineRule="exact"/>
              <w:rPr>
                <w:sz w:val="20"/>
                <w:szCs w:val="20"/>
                <w:color w:val="auto"/>
              </w:rPr>
            </w:pPr>
            <w:r>
              <w:rPr>
                <w:rFonts w:ascii="Arial" w:cs="Arial" w:eastAsia="Arial" w:hAnsi="Arial"/>
                <w:sz w:val="22"/>
                <w:szCs w:val="22"/>
                <w:color w:val="auto"/>
              </w:rPr>
              <w:t>Termination and Reduction of Commitments  95</w:t>
            </w: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2.09</w:t>
            </w:r>
          </w:p>
        </w:tc>
        <w:tc>
          <w:tcPr>
            <w:tcW w:w="5840" w:type="dxa"/>
            <w:vAlign w:val="bottom"/>
            <w:gridSpan w:val="7"/>
          </w:tcPr>
          <w:p>
            <w:pPr>
              <w:ind w:left="100"/>
              <w:spacing w:after="0" w:line="243" w:lineRule="exact"/>
              <w:rPr>
                <w:sz w:val="20"/>
                <w:szCs w:val="20"/>
                <w:color w:val="auto"/>
              </w:rPr>
            </w:pPr>
            <w:r>
              <w:rPr>
                <w:rFonts w:ascii="Arial" w:cs="Arial" w:eastAsia="Arial" w:hAnsi="Arial"/>
                <w:sz w:val="22"/>
                <w:szCs w:val="22"/>
                <w:color w:val="auto"/>
              </w:rPr>
              <w:t>Repayment of Loans; Evidence of Debt  96</w:t>
            </w: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2.10</w:t>
            </w:r>
          </w:p>
        </w:tc>
        <w:tc>
          <w:tcPr>
            <w:tcW w:w="2560" w:type="dxa"/>
            <w:vAlign w:val="bottom"/>
            <w:gridSpan w:val="6"/>
          </w:tcPr>
          <w:p>
            <w:pPr>
              <w:ind w:left="100"/>
              <w:spacing w:after="0" w:line="243" w:lineRule="exact"/>
              <w:rPr>
                <w:sz w:val="20"/>
                <w:szCs w:val="20"/>
                <w:color w:val="auto"/>
              </w:rPr>
            </w:pPr>
            <w:r>
              <w:rPr>
                <w:rFonts w:ascii="Arial" w:cs="Arial" w:eastAsia="Arial" w:hAnsi="Arial"/>
                <w:sz w:val="22"/>
                <w:szCs w:val="22"/>
                <w:color w:val="auto"/>
                <w:w w:val="90"/>
              </w:rPr>
              <w:t>Amortization of Term Loans</w:t>
            </w:r>
          </w:p>
        </w:tc>
        <w:tc>
          <w:tcPr>
            <w:tcW w:w="3280" w:type="dxa"/>
            <w:vAlign w:val="bottom"/>
          </w:tcPr>
          <w:p>
            <w:pPr>
              <w:jc w:val="right"/>
              <w:ind w:right="2732"/>
              <w:spacing w:after="0" w:line="243" w:lineRule="exact"/>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230"/>
        </w:trPr>
        <w:tc>
          <w:tcPr>
            <w:tcW w:w="1820" w:type="dxa"/>
            <w:vAlign w:val="bottom"/>
          </w:tcPr>
          <w:p>
            <w:pPr>
              <w:jc w:val="center"/>
              <w:ind w:left="452"/>
              <w:spacing w:after="0" w:line="229" w:lineRule="exact"/>
              <w:rPr>
                <w:sz w:val="20"/>
                <w:szCs w:val="20"/>
                <w:color w:val="auto"/>
              </w:rPr>
            </w:pPr>
            <w:r>
              <w:rPr>
                <w:rFonts w:ascii="Arial" w:cs="Arial" w:eastAsia="Arial" w:hAnsi="Arial"/>
                <w:sz w:val="22"/>
                <w:szCs w:val="22"/>
                <w:color w:val="auto"/>
                <w:w w:val="86"/>
              </w:rPr>
              <w:t>Section 2.11</w:t>
            </w:r>
          </w:p>
        </w:tc>
        <w:tc>
          <w:tcPr>
            <w:tcW w:w="2140" w:type="dxa"/>
            <w:vAlign w:val="bottom"/>
            <w:gridSpan w:val="4"/>
          </w:tcPr>
          <w:p>
            <w:pPr>
              <w:ind w:left="80"/>
              <w:spacing w:after="0" w:line="229" w:lineRule="exact"/>
              <w:rPr>
                <w:sz w:val="20"/>
                <w:szCs w:val="20"/>
                <w:color w:val="auto"/>
              </w:rPr>
            </w:pPr>
            <w:r>
              <w:rPr>
                <w:rFonts w:ascii="Arial" w:cs="Arial" w:eastAsia="Arial" w:hAnsi="Arial"/>
                <w:sz w:val="22"/>
                <w:szCs w:val="22"/>
                <w:color w:val="auto"/>
                <w:w w:val="97"/>
              </w:rPr>
              <w:t>Prepayment of Loans</w:t>
            </w:r>
          </w:p>
        </w:tc>
        <w:tc>
          <w:tcPr>
            <w:tcW w:w="280" w:type="dxa"/>
            <w:vAlign w:val="bottom"/>
          </w:tcPr>
          <w:p>
            <w:pPr>
              <w:jc w:val="right"/>
              <w:spacing w:after="0" w:line="229" w:lineRule="exact"/>
              <w:rPr>
                <w:sz w:val="20"/>
                <w:szCs w:val="20"/>
                <w:color w:val="auto"/>
              </w:rPr>
            </w:pPr>
            <w:r>
              <w:rPr>
                <w:rFonts w:ascii="Arial" w:cs="Arial" w:eastAsia="Arial" w:hAnsi="Arial"/>
                <w:sz w:val="22"/>
                <w:szCs w:val="22"/>
                <w:color w:val="auto"/>
                <w:w w:val="81"/>
              </w:rPr>
              <w:t>97</w:t>
            </w: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2.12</w:t>
            </w:r>
          </w:p>
        </w:tc>
        <w:tc>
          <w:tcPr>
            <w:tcW w:w="152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Fees  102</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2.13</w:t>
            </w:r>
          </w:p>
        </w:tc>
        <w:tc>
          <w:tcPr>
            <w:tcW w:w="740" w:type="dxa"/>
            <w:vAlign w:val="bottom"/>
          </w:tcPr>
          <w:p>
            <w:pPr>
              <w:ind w:left="100"/>
              <w:spacing w:after="0" w:line="243" w:lineRule="exact"/>
              <w:rPr>
                <w:sz w:val="20"/>
                <w:szCs w:val="20"/>
                <w:color w:val="auto"/>
              </w:rPr>
            </w:pPr>
            <w:r>
              <w:rPr>
                <w:rFonts w:ascii="Arial" w:cs="Arial" w:eastAsia="Arial" w:hAnsi="Arial"/>
                <w:sz w:val="22"/>
                <w:szCs w:val="22"/>
                <w:color w:val="auto"/>
                <w:w w:val="84"/>
              </w:rPr>
              <w:t>Interest</w:t>
            </w:r>
          </w:p>
        </w:tc>
        <w:tc>
          <w:tcPr>
            <w:tcW w:w="78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103</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2.14</w:t>
            </w:r>
          </w:p>
        </w:tc>
        <w:tc>
          <w:tcPr>
            <w:tcW w:w="2420" w:type="dxa"/>
            <w:vAlign w:val="bottom"/>
            <w:gridSpan w:val="5"/>
          </w:tcPr>
          <w:p>
            <w:pPr>
              <w:ind w:left="100"/>
              <w:spacing w:after="0" w:line="229" w:lineRule="exact"/>
              <w:rPr>
                <w:sz w:val="20"/>
                <w:szCs w:val="20"/>
                <w:color w:val="auto"/>
              </w:rPr>
            </w:pPr>
            <w:r>
              <w:rPr>
                <w:rFonts w:ascii="Arial" w:cs="Arial" w:eastAsia="Arial" w:hAnsi="Arial"/>
                <w:sz w:val="22"/>
                <w:szCs w:val="22"/>
                <w:color w:val="auto"/>
                <w:w w:val="94"/>
              </w:rPr>
              <w:t>Alternate Rate of Interest</w:t>
            </w:r>
          </w:p>
        </w:tc>
        <w:tc>
          <w:tcPr>
            <w:tcW w:w="3420" w:type="dxa"/>
            <w:vAlign w:val="bottom"/>
            <w:gridSpan w:val="2"/>
          </w:tcPr>
          <w:p>
            <w:pPr>
              <w:jc w:val="right"/>
              <w:ind w:right="2912"/>
              <w:spacing w:after="0" w:line="229" w:lineRule="exact"/>
              <w:rPr>
                <w:sz w:val="20"/>
                <w:szCs w:val="20"/>
                <w:color w:val="auto"/>
              </w:rPr>
            </w:pPr>
            <w:r>
              <w:rPr>
                <w:rFonts w:ascii="Arial" w:cs="Arial" w:eastAsia="Arial" w:hAnsi="Arial"/>
                <w:sz w:val="22"/>
                <w:szCs w:val="22"/>
                <w:color w:val="auto"/>
              </w:rPr>
              <w:t>104</w:t>
            </w: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2.15</w:t>
            </w:r>
          </w:p>
        </w:tc>
        <w:tc>
          <w:tcPr>
            <w:tcW w:w="2420" w:type="dxa"/>
            <w:vAlign w:val="bottom"/>
            <w:gridSpan w:val="5"/>
          </w:tcPr>
          <w:p>
            <w:pPr>
              <w:ind w:left="100"/>
              <w:spacing w:after="0" w:line="243" w:lineRule="exact"/>
              <w:rPr>
                <w:sz w:val="20"/>
                <w:szCs w:val="20"/>
                <w:color w:val="auto"/>
              </w:rPr>
            </w:pPr>
            <w:r>
              <w:rPr>
                <w:rFonts w:ascii="Arial" w:cs="Arial" w:eastAsia="Arial" w:hAnsi="Arial"/>
                <w:sz w:val="22"/>
                <w:szCs w:val="22"/>
                <w:color w:val="auto"/>
                <w:w w:val="91"/>
              </w:rPr>
              <w:t>Increased Costs; Illegality</w:t>
            </w:r>
          </w:p>
        </w:tc>
        <w:tc>
          <w:tcPr>
            <w:tcW w:w="14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2.16</w:t>
            </w:r>
          </w:p>
        </w:tc>
        <w:tc>
          <w:tcPr>
            <w:tcW w:w="2420" w:type="dxa"/>
            <w:vAlign w:val="bottom"/>
            <w:gridSpan w:val="5"/>
          </w:tcPr>
          <w:p>
            <w:pPr>
              <w:ind w:left="100"/>
              <w:spacing w:after="0" w:line="243" w:lineRule="exact"/>
              <w:rPr>
                <w:sz w:val="20"/>
                <w:szCs w:val="20"/>
                <w:color w:val="auto"/>
              </w:rPr>
            </w:pPr>
            <w:r>
              <w:rPr>
                <w:rFonts w:ascii="Arial" w:cs="Arial" w:eastAsia="Arial" w:hAnsi="Arial"/>
                <w:sz w:val="22"/>
                <w:szCs w:val="22"/>
                <w:color w:val="auto"/>
                <w:w w:val="93"/>
              </w:rPr>
              <w:t>Break Funding Payments</w:t>
            </w:r>
          </w:p>
        </w:tc>
        <w:tc>
          <w:tcPr>
            <w:tcW w:w="3420" w:type="dxa"/>
            <w:vAlign w:val="bottom"/>
            <w:gridSpan w:val="2"/>
          </w:tcPr>
          <w:p>
            <w:pPr>
              <w:jc w:val="right"/>
              <w:ind w:right="2912"/>
              <w:spacing w:after="0" w:line="243" w:lineRule="exact"/>
              <w:rPr>
                <w:sz w:val="20"/>
                <w:szCs w:val="20"/>
                <w:color w:val="auto"/>
              </w:rPr>
            </w:pPr>
            <w:r>
              <w:rPr>
                <w:rFonts w:ascii="Arial" w:cs="Arial" w:eastAsia="Arial" w:hAnsi="Arial"/>
                <w:sz w:val="22"/>
                <w:szCs w:val="22"/>
                <w:color w:val="auto"/>
              </w:rPr>
              <w:t>107</w:t>
            </w:r>
          </w:p>
        </w:tc>
        <w:tc>
          <w:tcPr>
            <w:tcW w:w="0" w:type="dxa"/>
            <w:vAlign w:val="bottom"/>
          </w:tcPr>
          <w:p>
            <w:pPr>
              <w:spacing w:after="0"/>
              <w:rPr>
                <w:sz w:val="1"/>
                <w:szCs w:val="1"/>
                <w:color w:val="auto"/>
              </w:rPr>
            </w:pPr>
          </w:p>
        </w:tc>
      </w:tr>
      <w:tr>
        <w:trPr>
          <w:trHeight w:val="230"/>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2.17</w:t>
            </w:r>
          </w:p>
        </w:tc>
        <w:tc>
          <w:tcPr>
            <w:tcW w:w="740" w:type="dxa"/>
            <w:vAlign w:val="bottom"/>
          </w:tcPr>
          <w:p>
            <w:pPr>
              <w:ind w:left="100"/>
              <w:spacing w:after="0" w:line="229" w:lineRule="exact"/>
              <w:rPr>
                <w:sz w:val="20"/>
                <w:szCs w:val="20"/>
                <w:color w:val="auto"/>
              </w:rPr>
            </w:pPr>
            <w:r>
              <w:rPr>
                <w:rFonts w:ascii="Arial" w:cs="Arial" w:eastAsia="Arial" w:hAnsi="Arial"/>
                <w:sz w:val="22"/>
                <w:szCs w:val="22"/>
                <w:color w:val="auto"/>
              </w:rPr>
              <w:t>Taxes</w:t>
            </w:r>
          </w:p>
        </w:tc>
        <w:tc>
          <w:tcPr>
            <w:tcW w:w="780" w:type="dxa"/>
            <w:vAlign w:val="bottom"/>
          </w:tcPr>
          <w:p>
            <w:pPr>
              <w:jc w:val="right"/>
              <w:ind w:right="272"/>
              <w:spacing w:after="0" w:line="229" w:lineRule="exact"/>
              <w:rPr>
                <w:sz w:val="20"/>
                <w:szCs w:val="20"/>
                <w:color w:val="auto"/>
              </w:rPr>
            </w:pPr>
            <w:r>
              <w:rPr>
                <w:rFonts w:ascii="Arial" w:cs="Arial" w:eastAsia="Arial" w:hAnsi="Arial"/>
                <w:sz w:val="22"/>
                <w:szCs w:val="22"/>
                <w:color w:val="auto"/>
              </w:rPr>
              <w:t>108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2.18</w:t>
            </w:r>
          </w:p>
        </w:tc>
        <w:tc>
          <w:tcPr>
            <w:tcW w:w="5840" w:type="dxa"/>
            <w:vAlign w:val="bottom"/>
            <w:gridSpan w:val="7"/>
          </w:tcPr>
          <w:p>
            <w:pPr>
              <w:ind w:left="100"/>
              <w:spacing w:after="0" w:line="243" w:lineRule="exact"/>
              <w:rPr>
                <w:sz w:val="20"/>
                <w:szCs w:val="20"/>
                <w:color w:val="auto"/>
              </w:rPr>
            </w:pPr>
            <w:r>
              <w:rPr>
                <w:rFonts w:ascii="Arial" w:cs="Arial" w:eastAsia="Arial" w:hAnsi="Arial"/>
                <w:sz w:val="22"/>
                <w:szCs w:val="22"/>
                <w:color w:val="auto"/>
                <w:w w:val="89"/>
              </w:rPr>
              <w:t>Payments Generally; Pro Rata Treatment; Sharing of Setoffs  110</w:t>
            </w: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2.19</w:t>
            </w:r>
          </w:p>
        </w:tc>
        <w:tc>
          <w:tcPr>
            <w:tcW w:w="5840" w:type="dxa"/>
            <w:vAlign w:val="bottom"/>
            <w:gridSpan w:val="7"/>
          </w:tcPr>
          <w:p>
            <w:pPr>
              <w:ind w:left="100"/>
              <w:spacing w:after="0" w:line="243" w:lineRule="exact"/>
              <w:rPr>
                <w:sz w:val="20"/>
                <w:szCs w:val="20"/>
                <w:color w:val="auto"/>
              </w:rPr>
            </w:pPr>
            <w:r>
              <w:rPr>
                <w:rFonts w:ascii="Arial" w:cs="Arial" w:eastAsia="Arial" w:hAnsi="Arial"/>
                <w:sz w:val="22"/>
                <w:szCs w:val="22"/>
                <w:color w:val="auto"/>
              </w:rPr>
              <w:t>Mitigation Obligations; Replacement of Lender  112</w:t>
            </w:r>
          </w:p>
        </w:tc>
        <w:tc>
          <w:tcPr>
            <w:tcW w:w="0" w:type="dxa"/>
            <w:vAlign w:val="bottom"/>
          </w:tcPr>
          <w:p>
            <w:pPr>
              <w:spacing w:after="0"/>
              <w:rPr>
                <w:sz w:val="1"/>
                <w:szCs w:val="1"/>
                <w:color w:val="auto"/>
              </w:rPr>
            </w:pPr>
          </w:p>
        </w:tc>
      </w:tr>
      <w:tr>
        <w:trPr>
          <w:trHeight w:val="229"/>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2.20</w:t>
            </w:r>
          </w:p>
        </w:tc>
        <w:tc>
          <w:tcPr>
            <w:tcW w:w="1760" w:type="dxa"/>
            <w:vAlign w:val="bottom"/>
            <w:gridSpan w:val="3"/>
          </w:tcPr>
          <w:p>
            <w:pPr>
              <w:ind w:left="100"/>
              <w:spacing w:after="0" w:line="229" w:lineRule="exact"/>
              <w:rPr>
                <w:sz w:val="20"/>
                <w:szCs w:val="20"/>
                <w:color w:val="auto"/>
              </w:rPr>
            </w:pPr>
            <w:r>
              <w:rPr>
                <w:rFonts w:ascii="Arial" w:cs="Arial" w:eastAsia="Arial" w:hAnsi="Arial"/>
                <w:sz w:val="22"/>
                <w:szCs w:val="22"/>
                <w:color w:val="auto"/>
                <w:w w:val="90"/>
              </w:rPr>
              <w:t>Incremental Loans</w:t>
            </w:r>
          </w:p>
        </w:tc>
        <w:tc>
          <w:tcPr>
            <w:tcW w:w="660" w:type="dxa"/>
            <w:vAlign w:val="bottom"/>
            <w:gridSpan w:val="2"/>
          </w:tcPr>
          <w:p>
            <w:pPr>
              <w:jc w:val="right"/>
              <w:ind w:right="72"/>
              <w:spacing w:after="0" w:line="229" w:lineRule="exact"/>
              <w:rPr>
                <w:sz w:val="20"/>
                <w:szCs w:val="20"/>
                <w:color w:val="auto"/>
              </w:rPr>
            </w:pPr>
            <w:r>
              <w:rPr>
                <w:rFonts w:ascii="Arial" w:cs="Arial" w:eastAsia="Arial" w:hAnsi="Arial"/>
                <w:sz w:val="22"/>
                <w:szCs w:val="22"/>
                <w:color w:val="auto"/>
              </w:rPr>
              <w:t>113</w:t>
            </w: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2.21</w:t>
            </w:r>
          </w:p>
        </w:tc>
        <w:tc>
          <w:tcPr>
            <w:tcW w:w="2420" w:type="dxa"/>
            <w:vAlign w:val="bottom"/>
            <w:gridSpan w:val="5"/>
          </w:tcPr>
          <w:p>
            <w:pPr>
              <w:ind w:left="100"/>
              <w:spacing w:after="0" w:line="243" w:lineRule="exact"/>
              <w:rPr>
                <w:sz w:val="20"/>
                <w:szCs w:val="20"/>
                <w:color w:val="auto"/>
              </w:rPr>
            </w:pPr>
            <w:r>
              <w:rPr>
                <w:rFonts w:ascii="Arial" w:cs="Arial" w:eastAsia="Arial" w:hAnsi="Arial"/>
                <w:sz w:val="22"/>
                <w:szCs w:val="22"/>
                <w:color w:val="auto"/>
                <w:w w:val="91"/>
              </w:rPr>
              <w:t>Refinancing Amendments</w:t>
            </w:r>
          </w:p>
        </w:tc>
        <w:tc>
          <w:tcPr>
            <w:tcW w:w="342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2.22</w:t>
            </w:r>
          </w:p>
        </w:tc>
        <w:tc>
          <w:tcPr>
            <w:tcW w:w="176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88"/>
              </w:rPr>
              <w:t>Defaulting Lenders</w:t>
            </w:r>
          </w:p>
        </w:tc>
        <w:tc>
          <w:tcPr>
            <w:tcW w:w="660" w:type="dxa"/>
            <w:vAlign w:val="bottom"/>
            <w:gridSpan w:val="2"/>
          </w:tcPr>
          <w:p>
            <w:pPr>
              <w:jc w:val="right"/>
              <w:ind w:right="12"/>
              <w:spacing w:after="0" w:line="243" w:lineRule="exact"/>
              <w:rPr>
                <w:sz w:val="20"/>
                <w:szCs w:val="20"/>
                <w:color w:val="auto"/>
              </w:rPr>
            </w:pPr>
            <w:r>
              <w:rPr>
                <w:rFonts w:ascii="Arial" w:cs="Arial" w:eastAsia="Arial" w:hAnsi="Arial"/>
                <w:sz w:val="22"/>
                <w:szCs w:val="22"/>
                <w:color w:val="auto"/>
              </w:rPr>
              <w:t>118</w:t>
            </w:r>
          </w:p>
        </w:tc>
        <w:tc>
          <w:tcPr>
            <w:tcW w:w="1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2.23</w:t>
            </w:r>
          </w:p>
        </w:tc>
        <w:tc>
          <w:tcPr>
            <w:tcW w:w="1520" w:type="dxa"/>
            <w:vAlign w:val="bottom"/>
            <w:gridSpan w:val="2"/>
          </w:tcPr>
          <w:p>
            <w:pPr>
              <w:ind w:left="100"/>
              <w:spacing w:after="0" w:line="229" w:lineRule="exact"/>
              <w:rPr>
                <w:sz w:val="20"/>
                <w:szCs w:val="20"/>
                <w:color w:val="auto"/>
              </w:rPr>
            </w:pPr>
            <w:r>
              <w:rPr>
                <w:rFonts w:ascii="Arial" w:cs="Arial" w:eastAsia="Arial" w:hAnsi="Arial"/>
                <w:sz w:val="22"/>
                <w:szCs w:val="22"/>
                <w:color w:val="auto"/>
                <w:w w:val="93"/>
              </w:rPr>
              <w:t>Cash Collateral</w:t>
            </w:r>
          </w:p>
        </w:tc>
        <w:tc>
          <w:tcPr>
            <w:tcW w:w="620" w:type="dxa"/>
            <w:vAlign w:val="bottom"/>
            <w:gridSpan w:val="2"/>
          </w:tcPr>
          <w:p>
            <w:pPr>
              <w:jc w:val="right"/>
              <w:ind w:right="52"/>
              <w:spacing w:after="0" w:line="229" w:lineRule="exact"/>
              <w:rPr>
                <w:sz w:val="20"/>
                <w:szCs w:val="20"/>
                <w:color w:val="auto"/>
              </w:rPr>
            </w:pPr>
            <w:r>
              <w:rPr>
                <w:rFonts w:ascii="Arial" w:cs="Arial" w:eastAsia="Arial" w:hAnsi="Arial"/>
                <w:sz w:val="22"/>
                <w:szCs w:val="22"/>
                <w:color w:val="auto"/>
              </w:rPr>
              <w:t>120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2.24</w:t>
            </w:r>
          </w:p>
        </w:tc>
        <w:tc>
          <w:tcPr>
            <w:tcW w:w="5840" w:type="dxa"/>
            <w:vAlign w:val="bottom"/>
            <w:gridSpan w:val="7"/>
          </w:tcPr>
          <w:p>
            <w:pPr>
              <w:ind w:left="100"/>
              <w:spacing w:after="0" w:line="243" w:lineRule="exact"/>
              <w:rPr>
                <w:sz w:val="20"/>
                <w:szCs w:val="20"/>
                <w:color w:val="auto"/>
              </w:rPr>
            </w:pPr>
            <w:r>
              <w:rPr>
                <w:rFonts w:ascii="Arial" w:cs="Arial" w:eastAsia="Arial" w:hAnsi="Arial"/>
                <w:sz w:val="22"/>
                <w:szCs w:val="22"/>
                <w:color w:val="auto"/>
                <w:w w:val="96"/>
              </w:rPr>
              <w:t>Extensions of Term Loans and Revolving Commitments  121</w:t>
            </w:r>
          </w:p>
        </w:tc>
        <w:tc>
          <w:tcPr>
            <w:tcW w:w="0" w:type="dxa"/>
            <w:vAlign w:val="bottom"/>
          </w:tcPr>
          <w:p>
            <w:pPr>
              <w:spacing w:after="0"/>
              <w:rPr>
                <w:sz w:val="1"/>
                <w:szCs w:val="1"/>
                <w:color w:val="auto"/>
              </w:rPr>
            </w:pPr>
          </w:p>
        </w:tc>
      </w:tr>
      <w:tr>
        <w:trPr>
          <w:trHeight w:val="274"/>
        </w:trPr>
        <w:tc>
          <w:tcPr>
            <w:tcW w:w="1820" w:type="dxa"/>
            <w:vAlign w:val="bottom"/>
          </w:tcPr>
          <w:p>
            <w:pPr>
              <w:jc w:val="center"/>
              <w:ind w:left="472"/>
              <w:spacing w:after="0"/>
              <w:rPr>
                <w:sz w:val="20"/>
                <w:szCs w:val="20"/>
                <w:color w:val="auto"/>
              </w:rPr>
            </w:pPr>
            <w:r>
              <w:rPr>
                <w:rFonts w:ascii="Arial" w:cs="Arial" w:eastAsia="Arial" w:hAnsi="Arial"/>
                <w:sz w:val="22"/>
                <w:szCs w:val="22"/>
                <w:color w:val="auto"/>
                <w:w w:val="88"/>
              </w:rPr>
              <w:t>Section 2.25</w:t>
            </w:r>
          </w:p>
        </w:tc>
        <w:tc>
          <w:tcPr>
            <w:tcW w:w="2560" w:type="dxa"/>
            <w:vAlign w:val="bottom"/>
            <w:gridSpan w:val="6"/>
          </w:tcPr>
          <w:p>
            <w:pPr>
              <w:ind w:left="100"/>
              <w:spacing w:after="0"/>
              <w:rPr>
                <w:sz w:val="20"/>
                <w:szCs w:val="20"/>
                <w:color w:val="auto"/>
              </w:rPr>
            </w:pPr>
            <w:r>
              <w:rPr>
                <w:rFonts w:ascii="Arial" w:cs="Arial" w:eastAsia="Arial" w:hAnsi="Arial"/>
                <w:sz w:val="22"/>
                <w:szCs w:val="22"/>
                <w:color w:val="auto"/>
                <w:w w:val="89"/>
              </w:rPr>
              <w:t>Term Loan Exchange Notes</w:t>
            </w:r>
          </w:p>
        </w:tc>
        <w:tc>
          <w:tcPr>
            <w:tcW w:w="3280" w:type="dxa"/>
            <w:vAlign w:val="bottom"/>
          </w:tcPr>
          <w:p>
            <w:pPr>
              <w:jc w:val="right"/>
              <w:ind w:right="2692"/>
              <w:spacing w:after="0"/>
              <w:rPr>
                <w:sz w:val="20"/>
                <w:szCs w:val="20"/>
                <w:color w:val="auto"/>
              </w:rPr>
            </w:pPr>
            <w:r>
              <w:rPr>
                <w:rFonts w:ascii="Arial" w:cs="Arial" w:eastAsia="Arial" w:hAnsi="Arial"/>
                <w:sz w:val="22"/>
                <w:szCs w:val="22"/>
                <w:color w:val="auto"/>
              </w:rPr>
              <w:t>124</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4520" w:val="left"/>
        </w:tabs>
        <w:rPr>
          <w:sz w:val="20"/>
          <w:szCs w:val="20"/>
          <w:color w:val="auto"/>
        </w:rPr>
      </w:pPr>
      <w:r>
        <w:rPr>
          <w:rFonts w:ascii="Arial" w:cs="Arial" w:eastAsia="Arial" w:hAnsi="Arial"/>
          <w:sz w:val="22"/>
          <w:szCs w:val="22"/>
          <w:b w:val="1"/>
          <w:bCs w:val="1"/>
          <w:color w:val="auto"/>
        </w:rPr>
        <w:t>ARTICLE III Representations and Warranties</w:t>
      </w:r>
      <w:r>
        <w:rPr>
          <w:sz w:val="20"/>
          <w:szCs w:val="20"/>
          <w:color w:val="auto"/>
        </w:rPr>
        <w:tab/>
      </w:r>
      <w:r>
        <w:rPr>
          <w:rFonts w:ascii="Arial" w:cs="Arial" w:eastAsia="Arial" w:hAnsi="Arial"/>
          <w:sz w:val="19"/>
          <w:szCs w:val="19"/>
          <w:b w:val="1"/>
          <w:bCs w:val="1"/>
          <w:color w:val="auto"/>
        </w:rPr>
        <w:t>127</w:t>
      </w:r>
    </w:p>
    <w:p>
      <w:pPr>
        <w:ind w:left="660"/>
        <w:spacing w:after="0"/>
        <w:tabs>
          <w:tab w:leader="none" w:pos="1900" w:val="left"/>
          <w:tab w:leader="none" w:pos="3980" w:val="left"/>
        </w:tabs>
        <w:rPr>
          <w:sz w:val="20"/>
          <w:szCs w:val="20"/>
          <w:color w:val="auto"/>
        </w:rPr>
      </w:pPr>
      <w:r>
        <w:rPr>
          <w:rFonts w:ascii="Arial" w:cs="Arial" w:eastAsia="Arial" w:hAnsi="Arial"/>
          <w:sz w:val="22"/>
          <w:szCs w:val="22"/>
          <w:color w:val="auto"/>
        </w:rPr>
        <w:t>Section 3.01</w:t>
        <w:tab/>
        <w:t>Organization; Powers</w:t>
      </w:r>
      <w:r>
        <w:rPr>
          <w:sz w:val="20"/>
          <w:szCs w:val="20"/>
          <w:color w:val="auto"/>
        </w:rPr>
        <w:tab/>
      </w:r>
      <w:r>
        <w:rPr>
          <w:rFonts w:ascii="Arial" w:cs="Arial" w:eastAsia="Arial" w:hAnsi="Arial"/>
          <w:sz w:val="19"/>
          <w:szCs w:val="19"/>
          <w:color w:val="auto"/>
        </w:rPr>
        <w:t>127</w:t>
      </w:r>
    </w:p>
    <w:p>
      <w:pPr>
        <w:ind w:left="660"/>
        <w:spacing w:after="0"/>
        <w:tabs>
          <w:tab w:leader="none" w:pos="1900" w:val="left"/>
          <w:tab w:leader="none" w:pos="4660" w:val="left"/>
        </w:tabs>
        <w:rPr>
          <w:sz w:val="20"/>
          <w:szCs w:val="20"/>
          <w:color w:val="auto"/>
        </w:rPr>
      </w:pPr>
      <w:r>
        <w:rPr>
          <w:rFonts w:ascii="Arial" w:cs="Arial" w:eastAsia="Arial" w:hAnsi="Arial"/>
          <w:sz w:val="22"/>
          <w:szCs w:val="22"/>
          <w:color w:val="auto"/>
        </w:rPr>
        <w:t>Section 3.02</w:t>
        <w:tab/>
        <w:t>Authorization; Enforceability</w:t>
      </w:r>
      <w:r>
        <w:rPr>
          <w:sz w:val="20"/>
          <w:szCs w:val="20"/>
          <w:color w:val="auto"/>
        </w:rPr>
        <w:tab/>
      </w:r>
      <w:r>
        <w:rPr>
          <w:rFonts w:ascii="Arial" w:cs="Arial" w:eastAsia="Arial" w:hAnsi="Arial"/>
          <w:sz w:val="19"/>
          <w:szCs w:val="19"/>
          <w:color w:val="auto"/>
        </w:rPr>
        <w:t>127</w:t>
      </w:r>
    </w:p>
    <w:p>
      <w:pPr>
        <w:ind w:left="660"/>
        <w:spacing w:after="0"/>
        <w:tabs>
          <w:tab w:leader="none" w:pos="1900" w:val="left"/>
          <w:tab w:leader="none" w:pos="4240" w:val="left"/>
        </w:tabs>
        <w:rPr>
          <w:sz w:val="20"/>
          <w:szCs w:val="20"/>
          <w:color w:val="auto"/>
        </w:rPr>
      </w:pPr>
      <w:r>
        <w:rPr>
          <w:rFonts w:ascii="Arial" w:cs="Arial" w:eastAsia="Arial" w:hAnsi="Arial"/>
          <w:sz w:val="22"/>
          <w:szCs w:val="22"/>
          <w:color w:val="auto"/>
        </w:rPr>
        <w:t>Section 3.03</w:t>
        <w:tab/>
        <w:t>Approvals; No Conflicts</w:t>
      </w:r>
      <w:r>
        <w:rPr>
          <w:sz w:val="20"/>
          <w:szCs w:val="20"/>
          <w:color w:val="auto"/>
        </w:rPr>
        <w:tab/>
      </w:r>
      <w:r>
        <w:rPr>
          <w:rFonts w:ascii="Arial" w:cs="Arial" w:eastAsia="Arial" w:hAnsi="Arial"/>
          <w:sz w:val="19"/>
          <w:szCs w:val="19"/>
          <w:color w:val="auto"/>
        </w:rPr>
        <w:t>127</w:t>
      </w:r>
    </w:p>
    <w:p>
      <w:pPr>
        <w:ind w:left="660"/>
        <w:spacing w:after="0"/>
        <w:tabs>
          <w:tab w:leader="none" w:pos="1900" w:val="left"/>
          <w:tab w:leader="none" w:pos="6480" w:val="left"/>
        </w:tabs>
        <w:rPr>
          <w:sz w:val="20"/>
          <w:szCs w:val="20"/>
          <w:color w:val="auto"/>
        </w:rPr>
      </w:pPr>
      <w:r>
        <w:rPr>
          <w:rFonts w:ascii="Arial" w:cs="Arial" w:eastAsia="Arial" w:hAnsi="Arial"/>
          <w:sz w:val="22"/>
          <w:szCs w:val="22"/>
          <w:color w:val="auto"/>
        </w:rPr>
        <w:t>Section 3.04</w:t>
        <w:tab/>
        <w:t>Financial Condition; No Material Adverse Change</w:t>
      </w:r>
      <w:r>
        <w:rPr>
          <w:sz w:val="20"/>
          <w:szCs w:val="20"/>
          <w:color w:val="auto"/>
        </w:rPr>
        <w:tab/>
      </w:r>
      <w:r>
        <w:rPr>
          <w:rFonts w:ascii="Arial" w:cs="Arial" w:eastAsia="Arial" w:hAnsi="Arial"/>
          <w:sz w:val="19"/>
          <w:szCs w:val="19"/>
          <w:color w:val="auto"/>
        </w:rPr>
        <w:t>128</w:t>
      </w:r>
    </w:p>
    <w:p>
      <w:pPr>
        <w:spacing w:after="0" w:line="1" w:lineRule="exact"/>
        <w:rPr>
          <w:sz w:val="20"/>
          <w:szCs w:val="20"/>
          <w:color w:val="auto"/>
        </w:rPr>
      </w:pPr>
    </w:p>
    <w:p>
      <w:pPr>
        <w:ind w:left="660"/>
        <w:spacing w:after="0"/>
        <w:tabs>
          <w:tab w:leader="none" w:pos="1900" w:val="left"/>
          <w:tab w:leader="none" w:pos="2980" w:val="left"/>
        </w:tabs>
        <w:rPr>
          <w:sz w:val="20"/>
          <w:szCs w:val="20"/>
          <w:color w:val="auto"/>
        </w:rPr>
      </w:pPr>
      <w:r>
        <w:rPr>
          <w:rFonts w:ascii="Arial" w:cs="Arial" w:eastAsia="Arial" w:hAnsi="Arial"/>
          <w:sz w:val="22"/>
          <w:szCs w:val="22"/>
          <w:color w:val="auto"/>
        </w:rPr>
        <w:t>Section 3.05</w:t>
        <w:tab/>
        <w:t>Properties</w:t>
      </w:r>
      <w:r>
        <w:rPr>
          <w:sz w:val="20"/>
          <w:szCs w:val="20"/>
          <w:color w:val="auto"/>
        </w:rPr>
        <w:tab/>
      </w:r>
      <w:r>
        <w:rPr>
          <w:rFonts w:ascii="Arial" w:cs="Arial" w:eastAsia="Arial" w:hAnsi="Arial"/>
          <w:sz w:val="19"/>
          <w:szCs w:val="19"/>
          <w:color w:val="auto"/>
        </w:rPr>
        <w:t>128</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40"/>
          </w:cols>
          <w:pgMar w:left="320" w:top="1372" w:right="339" w:bottom="1035"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0"/>
          <w:szCs w:val="10"/>
          <w:u w:val="single" w:color="auto"/>
          <w:color w:val="0000FF"/>
        </w:rPr>
        <w:t>#97036997v3</w:t>
      </w:r>
    </w:p>
    <w:p>
      <w:pPr>
        <w:sectPr>
          <w:pgSz w:w="11900" w:h="16838" w:orient="portrait"/>
          <w:cols w:equalWidth="0" w:num="1">
            <w:col w:w="11240"/>
          </w:cols>
          <w:pgMar w:left="320" w:top="1372" w:right="339" w:bottom="1035" w:gutter="0" w:footer="0" w:header="0"/>
          <w:type w:val="continuous"/>
        </w:sectPr>
      </w:pPr>
    </w:p>
    <w:bookmarkStart w:id="286" w:name="page287"/>
    <w:bookmarkEnd w:id="286"/>
    <w:tbl>
      <w:tblPr>
        <w:tblLayout w:type="fixed"/>
        <w:tblInd w:w="0" w:type="dxa"/>
        <w:tblCellMar>
          <w:top w:w="0" w:type="dxa"/>
          <w:left w:w="0" w:type="dxa"/>
          <w:bottom w:w="0" w:type="dxa"/>
          <w:right w:w="0" w:type="dxa"/>
        </w:tblCellMar>
      </w:tblPr>
      <w:tr>
        <w:trPr>
          <w:trHeight w:val="253"/>
        </w:trPr>
        <w:tc>
          <w:tcPr>
            <w:tcW w:w="1820" w:type="dxa"/>
            <w:vAlign w:val="bottom"/>
          </w:tcPr>
          <w:p>
            <w:pPr>
              <w:jc w:val="center"/>
              <w:ind w:left="472"/>
              <w:spacing w:after="0"/>
              <w:rPr>
                <w:sz w:val="20"/>
                <w:szCs w:val="20"/>
                <w:color w:val="auto"/>
              </w:rPr>
            </w:pPr>
            <w:r>
              <w:rPr>
                <w:rFonts w:ascii="Arial" w:cs="Arial" w:eastAsia="Arial" w:hAnsi="Arial"/>
                <w:sz w:val="22"/>
                <w:szCs w:val="22"/>
                <w:color w:val="auto"/>
                <w:w w:val="88"/>
              </w:rPr>
              <w:t>Section 3.06</w:t>
            </w:r>
          </w:p>
        </w:tc>
        <w:tc>
          <w:tcPr>
            <w:tcW w:w="3380" w:type="dxa"/>
            <w:vAlign w:val="bottom"/>
            <w:gridSpan w:val="10"/>
          </w:tcPr>
          <w:p>
            <w:pPr>
              <w:ind w:left="100"/>
              <w:spacing w:after="0"/>
              <w:rPr>
                <w:sz w:val="20"/>
                <w:szCs w:val="20"/>
                <w:color w:val="auto"/>
              </w:rPr>
            </w:pPr>
            <w:r>
              <w:rPr>
                <w:rFonts w:ascii="Arial" w:cs="Arial" w:eastAsia="Arial" w:hAnsi="Arial"/>
                <w:sz w:val="22"/>
                <w:szCs w:val="22"/>
                <w:color w:val="auto"/>
                <w:w w:val="91"/>
              </w:rPr>
              <w:t>Litigation and Environmental Matters</w:t>
            </w:r>
          </w:p>
        </w:tc>
        <w:tc>
          <w:tcPr>
            <w:tcW w:w="2840" w:type="dxa"/>
            <w:vAlign w:val="bottom"/>
          </w:tcPr>
          <w:p>
            <w:pPr>
              <w:jc w:val="right"/>
              <w:ind w:right="2212"/>
              <w:spacing w:after="0"/>
              <w:rPr>
                <w:sz w:val="20"/>
                <w:szCs w:val="20"/>
                <w:color w:val="auto"/>
              </w:rPr>
            </w:pPr>
            <w:r>
              <w:rPr>
                <w:rFonts w:ascii="Arial" w:cs="Arial" w:eastAsia="Arial" w:hAnsi="Arial"/>
                <w:sz w:val="22"/>
                <w:szCs w:val="22"/>
                <w:color w:val="auto"/>
              </w:rPr>
              <w:t>129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3.07</w:t>
            </w:r>
          </w:p>
        </w:tc>
        <w:tc>
          <w:tcPr>
            <w:tcW w:w="2220" w:type="dxa"/>
            <w:vAlign w:val="bottom"/>
            <w:gridSpan w:val="7"/>
          </w:tcPr>
          <w:p>
            <w:pPr>
              <w:ind w:left="100"/>
              <w:spacing w:after="0" w:line="229" w:lineRule="exact"/>
              <w:rPr>
                <w:sz w:val="20"/>
                <w:szCs w:val="20"/>
                <w:color w:val="auto"/>
              </w:rPr>
            </w:pPr>
            <w:r>
              <w:rPr>
                <w:rFonts w:ascii="Arial" w:cs="Arial" w:eastAsia="Arial" w:hAnsi="Arial"/>
                <w:sz w:val="22"/>
                <w:szCs w:val="22"/>
                <w:color w:val="auto"/>
                <w:w w:val="95"/>
              </w:rPr>
              <w:t>Compliance with Laws</w:t>
            </w:r>
          </w:p>
        </w:tc>
        <w:tc>
          <w:tcPr>
            <w:tcW w:w="46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129</w:t>
            </w:r>
          </w:p>
        </w:tc>
        <w:tc>
          <w:tcPr>
            <w:tcW w:w="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3.08</w:t>
            </w:r>
          </w:p>
        </w:tc>
        <w:tc>
          <w:tcPr>
            <w:tcW w:w="2540" w:type="dxa"/>
            <w:vAlign w:val="bottom"/>
            <w:gridSpan w:val="8"/>
          </w:tcPr>
          <w:p>
            <w:pPr>
              <w:ind w:left="100"/>
              <w:spacing w:after="0" w:line="243" w:lineRule="exact"/>
              <w:rPr>
                <w:sz w:val="20"/>
                <w:szCs w:val="20"/>
                <w:color w:val="auto"/>
              </w:rPr>
            </w:pPr>
            <w:r>
              <w:rPr>
                <w:rFonts w:ascii="Arial" w:cs="Arial" w:eastAsia="Arial" w:hAnsi="Arial"/>
                <w:sz w:val="22"/>
                <w:szCs w:val="22"/>
                <w:color w:val="auto"/>
                <w:w w:val="87"/>
              </w:rPr>
              <w:t>Investment Company Status</w:t>
            </w:r>
          </w:p>
        </w:tc>
        <w:tc>
          <w:tcPr>
            <w:tcW w:w="140" w:type="dxa"/>
            <w:vAlign w:val="bottom"/>
          </w:tcPr>
          <w:p>
            <w:pPr>
              <w:spacing w:after="0"/>
              <w:rPr>
                <w:sz w:val="21"/>
                <w:szCs w:val="21"/>
                <w:color w:val="auto"/>
              </w:rPr>
            </w:pPr>
          </w:p>
        </w:tc>
        <w:tc>
          <w:tcPr>
            <w:tcW w:w="7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129</w:t>
            </w: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3.09</w:t>
            </w:r>
          </w:p>
        </w:tc>
        <w:tc>
          <w:tcPr>
            <w:tcW w:w="720" w:type="dxa"/>
            <w:vAlign w:val="bottom"/>
          </w:tcPr>
          <w:p>
            <w:pPr>
              <w:ind w:left="100"/>
              <w:spacing w:after="0" w:line="243" w:lineRule="exact"/>
              <w:rPr>
                <w:sz w:val="20"/>
                <w:szCs w:val="20"/>
                <w:color w:val="auto"/>
              </w:rPr>
            </w:pPr>
            <w:r>
              <w:rPr>
                <w:rFonts w:ascii="Arial" w:cs="Arial" w:eastAsia="Arial" w:hAnsi="Arial"/>
                <w:sz w:val="22"/>
                <w:szCs w:val="22"/>
                <w:color w:val="auto"/>
              </w:rPr>
              <w:t>Taxes</w:t>
            </w:r>
          </w:p>
        </w:tc>
        <w:tc>
          <w:tcPr>
            <w:tcW w:w="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129</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3.10</w:t>
            </w:r>
          </w:p>
        </w:tc>
        <w:tc>
          <w:tcPr>
            <w:tcW w:w="720" w:type="dxa"/>
            <w:vAlign w:val="bottom"/>
          </w:tcPr>
          <w:p>
            <w:pPr>
              <w:ind w:left="100"/>
              <w:spacing w:after="0" w:line="229" w:lineRule="exact"/>
              <w:rPr>
                <w:sz w:val="20"/>
                <w:szCs w:val="20"/>
                <w:color w:val="auto"/>
              </w:rPr>
            </w:pPr>
            <w:r>
              <w:rPr>
                <w:rFonts w:ascii="Arial" w:cs="Arial" w:eastAsia="Arial" w:hAnsi="Arial"/>
                <w:sz w:val="22"/>
                <w:szCs w:val="22"/>
                <w:color w:val="auto"/>
                <w:w w:val="90"/>
              </w:rPr>
              <w:t>ERISA</w:t>
            </w:r>
          </w:p>
        </w:tc>
        <w:tc>
          <w:tcPr>
            <w:tcW w:w="800" w:type="dxa"/>
            <w:vAlign w:val="bottom"/>
            <w:gridSpan w:val="3"/>
          </w:tcPr>
          <w:p>
            <w:pPr>
              <w:jc w:val="right"/>
              <w:ind w:right="152"/>
              <w:spacing w:after="0" w:line="229" w:lineRule="exact"/>
              <w:rPr>
                <w:sz w:val="20"/>
                <w:szCs w:val="20"/>
                <w:color w:val="auto"/>
              </w:rPr>
            </w:pPr>
            <w:r>
              <w:rPr>
                <w:rFonts w:ascii="Arial" w:cs="Arial" w:eastAsia="Arial" w:hAnsi="Arial"/>
                <w:sz w:val="22"/>
                <w:szCs w:val="22"/>
                <w:color w:val="auto"/>
              </w:rPr>
              <w:t>129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52"/>
              <w:spacing w:after="0" w:line="243" w:lineRule="exact"/>
              <w:rPr>
                <w:sz w:val="20"/>
                <w:szCs w:val="20"/>
                <w:color w:val="auto"/>
              </w:rPr>
            </w:pPr>
            <w:r>
              <w:rPr>
                <w:rFonts w:ascii="Arial" w:cs="Arial" w:eastAsia="Arial" w:hAnsi="Arial"/>
                <w:sz w:val="22"/>
                <w:szCs w:val="22"/>
                <w:color w:val="auto"/>
                <w:w w:val="86"/>
              </w:rPr>
              <w:t>Section 3.11</w:t>
            </w:r>
          </w:p>
        </w:tc>
        <w:tc>
          <w:tcPr>
            <w:tcW w:w="110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7"/>
              </w:rPr>
              <w:t>Disclosure</w:t>
            </w:r>
          </w:p>
        </w:tc>
        <w:tc>
          <w:tcPr>
            <w:tcW w:w="120" w:type="dxa"/>
            <w:vAlign w:val="bottom"/>
          </w:tcPr>
          <w:p>
            <w:pPr>
              <w:spacing w:after="0"/>
              <w:rPr>
                <w:sz w:val="21"/>
                <w:szCs w:val="21"/>
                <w:color w:val="auto"/>
              </w:rPr>
            </w:pPr>
          </w:p>
        </w:tc>
        <w:tc>
          <w:tcPr>
            <w:tcW w:w="48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w w:val="87"/>
              </w:rPr>
              <w:t>130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3.12</w:t>
            </w:r>
          </w:p>
        </w:tc>
        <w:tc>
          <w:tcPr>
            <w:tcW w:w="1520" w:type="dxa"/>
            <w:vAlign w:val="bottom"/>
            <w:gridSpan w:val="4"/>
          </w:tcPr>
          <w:p>
            <w:pPr>
              <w:ind w:left="100"/>
              <w:spacing w:after="0" w:line="243" w:lineRule="exact"/>
              <w:rPr>
                <w:sz w:val="20"/>
                <w:szCs w:val="20"/>
                <w:color w:val="auto"/>
              </w:rPr>
            </w:pPr>
            <w:r>
              <w:rPr>
                <w:rFonts w:ascii="Arial" w:cs="Arial" w:eastAsia="Arial" w:hAnsi="Arial"/>
                <w:sz w:val="22"/>
                <w:szCs w:val="22"/>
                <w:color w:val="auto"/>
              </w:rPr>
              <w:t>Labor Matters</w:t>
            </w:r>
          </w:p>
        </w:tc>
        <w:tc>
          <w:tcPr>
            <w:tcW w:w="36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87"/>
              </w:rPr>
              <w:t>130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3.13</w:t>
            </w:r>
          </w:p>
        </w:tc>
        <w:tc>
          <w:tcPr>
            <w:tcW w:w="2680" w:type="dxa"/>
            <w:vAlign w:val="bottom"/>
            <w:gridSpan w:val="9"/>
          </w:tcPr>
          <w:p>
            <w:pPr>
              <w:ind w:left="100"/>
              <w:spacing w:after="0" w:line="229" w:lineRule="exact"/>
              <w:rPr>
                <w:sz w:val="20"/>
                <w:szCs w:val="20"/>
                <w:color w:val="auto"/>
              </w:rPr>
            </w:pPr>
            <w:r>
              <w:rPr>
                <w:rFonts w:ascii="Arial" w:cs="Arial" w:eastAsia="Arial" w:hAnsi="Arial"/>
                <w:sz w:val="22"/>
                <w:szCs w:val="22"/>
                <w:color w:val="auto"/>
                <w:w w:val="90"/>
              </w:rPr>
              <w:t>Capitalization of Subsidiaries</w:t>
            </w:r>
          </w:p>
        </w:tc>
        <w:tc>
          <w:tcPr>
            <w:tcW w:w="700" w:type="dxa"/>
            <w:vAlign w:val="bottom"/>
          </w:tcPr>
          <w:p>
            <w:pPr>
              <w:jc w:val="right"/>
              <w:ind w:right="72"/>
              <w:spacing w:after="0" w:line="229" w:lineRule="exact"/>
              <w:rPr>
                <w:sz w:val="20"/>
                <w:szCs w:val="20"/>
                <w:color w:val="auto"/>
              </w:rPr>
            </w:pPr>
            <w:r>
              <w:rPr>
                <w:rFonts w:ascii="Arial" w:cs="Arial" w:eastAsia="Arial" w:hAnsi="Arial"/>
                <w:sz w:val="22"/>
                <w:szCs w:val="22"/>
                <w:color w:val="auto"/>
              </w:rPr>
              <w:t>130</w:t>
            </w:r>
          </w:p>
        </w:tc>
        <w:tc>
          <w:tcPr>
            <w:tcW w:w="2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3.14</w:t>
            </w:r>
          </w:p>
        </w:tc>
        <w:tc>
          <w:tcPr>
            <w:tcW w:w="110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Solvency</w:t>
            </w:r>
          </w:p>
        </w:tc>
        <w:tc>
          <w:tcPr>
            <w:tcW w:w="42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87"/>
              </w:rPr>
              <w:t>130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3.15</w:t>
            </w:r>
          </w:p>
        </w:tc>
        <w:tc>
          <w:tcPr>
            <w:tcW w:w="2680" w:type="dxa"/>
            <w:vAlign w:val="bottom"/>
            <w:gridSpan w:val="9"/>
          </w:tcPr>
          <w:p>
            <w:pPr>
              <w:ind w:left="100"/>
              <w:spacing w:after="0" w:line="243" w:lineRule="exact"/>
              <w:rPr>
                <w:sz w:val="20"/>
                <w:szCs w:val="20"/>
                <w:color w:val="auto"/>
              </w:rPr>
            </w:pPr>
            <w:r>
              <w:rPr>
                <w:rFonts w:ascii="Arial" w:cs="Arial" w:eastAsia="Arial" w:hAnsi="Arial"/>
                <w:sz w:val="22"/>
                <w:szCs w:val="22"/>
                <w:color w:val="auto"/>
                <w:w w:val="89"/>
              </w:rPr>
              <w:t>Federal Reserve Regulations</w:t>
            </w:r>
          </w:p>
        </w:tc>
        <w:tc>
          <w:tcPr>
            <w:tcW w:w="70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130</w:t>
            </w: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3.16</w:t>
            </w:r>
          </w:p>
        </w:tc>
        <w:tc>
          <w:tcPr>
            <w:tcW w:w="3380" w:type="dxa"/>
            <w:vAlign w:val="bottom"/>
            <w:gridSpan w:val="10"/>
          </w:tcPr>
          <w:p>
            <w:pPr>
              <w:ind w:left="100"/>
              <w:spacing w:after="0" w:line="229" w:lineRule="exact"/>
              <w:rPr>
                <w:sz w:val="20"/>
                <w:szCs w:val="20"/>
                <w:color w:val="auto"/>
              </w:rPr>
            </w:pPr>
            <w:r>
              <w:rPr>
                <w:rFonts w:ascii="Arial" w:cs="Arial" w:eastAsia="Arial" w:hAnsi="Arial"/>
                <w:sz w:val="22"/>
                <w:szCs w:val="22"/>
                <w:color w:val="auto"/>
                <w:w w:val="93"/>
              </w:rPr>
              <w:t>Senior Indebtedness; Subordination</w:t>
            </w:r>
          </w:p>
        </w:tc>
        <w:tc>
          <w:tcPr>
            <w:tcW w:w="2840" w:type="dxa"/>
            <w:vAlign w:val="bottom"/>
          </w:tcPr>
          <w:p>
            <w:pPr>
              <w:jc w:val="right"/>
              <w:ind w:right="2392"/>
              <w:spacing w:after="0" w:line="229" w:lineRule="exact"/>
              <w:rPr>
                <w:sz w:val="20"/>
                <w:szCs w:val="20"/>
                <w:color w:val="auto"/>
              </w:rPr>
            </w:pPr>
            <w:r>
              <w:rPr>
                <w:rFonts w:ascii="Arial" w:cs="Arial" w:eastAsia="Arial" w:hAnsi="Arial"/>
                <w:sz w:val="22"/>
                <w:szCs w:val="22"/>
                <w:color w:val="auto"/>
                <w:w w:val="87"/>
              </w:rPr>
              <w:t>131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3.17</w:t>
            </w:r>
          </w:p>
        </w:tc>
        <w:tc>
          <w:tcPr>
            <w:tcW w:w="1520" w:type="dxa"/>
            <w:vAlign w:val="bottom"/>
            <w:gridSpan w:val="4"/>
          </w:tcPr>
          <w:p>
            <w:pPr>
              <w:ind w:left="100"/>
              <w:spacing w:after="0" w:line="243" w:lineRule="exact"/>
              <w:rPr>
                <w:sz w:val="20"/>
                <w:szCs w:val="20"/>
                <w:color w:val="auto"/>
              </w:rPr>
            </w:pPr>
            <w:r>
              <w:rPr>
                <w:rFonts w:ascii="Arial" w:cs="Arial" w:eastAsia="Arial" w:hAnsi="Arial"/>
                <w:sz w:val="22"/>
                <w:szCs w:val="22"/>
                <w:color w:val="auto"/>
                <w:w w:val="86"/>
              </w:rPr>
              <w:t>Use of Proceeds</w:t>
            </w:r>
          </w:p>
        </w:tc>
        <w:tc>
          <w:tcPr>
            <w:tcW w:w="180" w:type="dxa"/>
            <w:vAlign w:val="bottom"/>
          </w:tcPr>
          <w:p>
            <w:pPr>
              <w:spacing w:after="0"/>
              <w:rPr>
                <w:sz w:val="21"/>
                <w:szCs w:val="21"/>
                <w:color w:val="auto"/>
              </w:rPr>
            </w:pPr>
          </w:p>
        </w:tc>
        <w:tc>
          <w:tcPr>
            <w:tcW w:w="520" w:type="dxa"/>
            <w:vAlign w:val="bottom"/>
            <w:gridSpan w:val="2"/>
          </w:tcPr>
          <w:p>
            <w:pPr>
              <w:jc w:val="right"/>
              <w:ind w:right="72"/>
              <w:spacing w:after="0" w:line="243" w:lineRule="exact"/>
              <w:rPr>
                <w:sz w:val="20"/>
                <w:szCs w:val="20"/>
                <w:color w:val="auto"/>
              </w:rPr>
            </w:pPr>
            <w:r>
              <w:rPr>
                <w:rFonts w:ascii="Arial" w:cs="Arial" w:eastAsia="Arial" w:hAnsi="Arial"/>
                <w:sz w:val="22"/>
                <w:szCs w:val="22"/>
                <w:color w:val="auto"/>
                <w:w w:val="87"/>
              </w:rPr>
              <w:t>131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3.18</w:t>
            </w:r>
          </w:p>
        </w:tc>
        <w:tc>
          <w:tcPr>
            <w:tcW w:w="1880" w:type="dxa"/>
            <w:vAlign w:val="bottom"/>
            <w:gridSpan w:val="6"/>
          </w:tcPr>
          <w:p>
            <w:pPr>
              <w:ind w:left="100"/>
              <w:spacing w:after="0" w:line="243" w:lineRule="exact"/>
              <w:rPr>
                <w:sz w:val="20"/>
                <w:szCs w:val="20"/>
                <w:color w:val="auto"/>
              </w:rPr>
            </w:pPr>
            <w:r>
              <w:rPr>
                <w:rFonts w:ascii="Arial" w:cs="Arial" w:eastAsia="Arial" w:hAnsi="Arial"/>
                <w:sz w:val="22"/>
                <w:szCs w:val="22"/>
                <w:color w:val="auto"/>
                <w:w w:val="89"/>
              </w:rPr>
              <w:t>Security Documents</w:t>
            </w:r>
          </w:p>
        </w:tc>
        <w:tc>
          <w:tcPr>
            <w:tcW w:w="66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131</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20" w:type="dxa"/>
            <w:vAlign w:val="bottom"/>
          </w:tcPr>
          <w:p>
            <w:pPr>
              <w:jc w:val="center"/>
              <w:ind w:left="472"/>
              <w:spacing w:after="0"/>
              <w:rPr>
                <w:sz w:val="20"/>
                <w:szCs w:val="20"/>
                <w:color w:val="auto"/>
              </w:rPr>
            </w:pPr>
            <w:r>
              <w:rPr>
                <w:rFonts w:ascii="Arial" w:cs="Arial" w:eastAsia="Arial" w:hAnsi="Arial"/>
                <w:sz w:val="22"/>
                <w:szCs w:val="22"/>
                <w:color w:val="auto"/>
                <w:w w:val="88"/>
              </w:rPr>
              <w:t>Section 3.19</w:t>
            </w:r>
          </w:p>
        </w:tc>
        <w:tc>
          <w:tcPr>
            <w:tcW w:w="2540" w:type="dxa"/>
            <w:vAlign w:val="bottom"/>
            <w:gridSpan w:val="8"/>
          </w:tcPr>
          <w:p>
            <w:pPr>
              <w:ind w:left="100"/>
              <w:spacing w:after="0"/>
              <w:rPr>
                <w:sz w:val="20"/>
                <w:szCs w:val="20"/>
                <w:color w:val="auto"/>
              </w:rPr>
            </w:pPr>
            <w:r>
              <w:rPr>
                <w:rFonts w:ascii="Arial" w:cs="Arial" w:eastAsia="Arial" w:hAnsi="Arial"/>
                <w:sz w:val="22"/>
                <w:szCs w:val="22"/>
                <w:color w:val="auto"/>
                <w:w w:val="98"/>
              </w:rPr>
              <w:t>OFAC; FCPA; Patriot Act</w:t>
            </w:r>
          </w:p>
        </w:tc>
        <w:tc>
          <w:tcPr>
            <w:tcW w:w="840" w:type="dxa"/>
            <w:vAlign w:val="bottom"/>
            <w:gridSpan w:val="2"/>
          </w:tcPr>
          <w:p>
            <w:pPr>
              <w:jc w:val="right"/>
              <w:ind w:right="392"/>
              <w:spacing w:after="0"/>
              <w:rPr>
                <w:sz w:val="20"/>
                <w:szCs w:val="20"/>
                <w:color w:val="auto"/>
              </w:rPr>
            </w:pPr>
            <w:r>
              <w:rPr>
                <w:rFonts w:ascii="Arial" w:cs="Arial" w:eastAsia="Arial" w:hAnsi="Arial"/>
                <w:sz w:val="22"/>
                <w:szCs w:val="22"/>
                <w:color w:val="auto"/>
                <w:w w:val="87"/>
              </w:rPr>
              <w:t>131</w:t>
            </w:r>
          </w:p>
        </w:tc>
        <w:tc>
          <w:tcPr>
            <w:tcW w:w="2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7"/>
        </w:trPr>
        <w:tc>
          <w:tcPr>
            <w:tcW w:w="2540" w:type="dxa"/>
            <w:vAlign w:val="bottom"/>
            <w:gridSpan w:val="2"/>
          </w:tcPr>
          <w:p>
            <w:pPr>
              <w:jc w:val="center"/>
              <w:ind w:right="92"/>
              <w:spacing w:after="0"/>
              <w:rPr>
                <w:sz w:val="20"/>
                <w:szCs w:val="20"/>
                <w:color w:val="auto"/>
              </w:rPr>
            </w:pPr>
            <w:r>
              <w:rPr>
                <w:rFonts w:ascii="Arial" w:cs="Arial" w:eastAsia="Arial" w:hAnsi="Arial"/>
                <w:sz w:val="22"/>
                <w:szCs w:val="22"/>
                <w:b w:val="1"/>
                <w:bCs w:val="1"/>
                <w:color w:val="auto"/>
                <w:w w:val="96"/>
              </w:rPr>
              <w:t>ARTICLE IV Conditions</w:t>
            </w:r>
          </w:p>
        </w:tc>
        <w:tc>
          <w:tcPr>
            <w:tcW w:w="380" w:type="dxa"/>
            <w:vAlign w:val="bottom"/>
          </w:tcPr>
          <w:p>
            <w:pPr>
              <w:jc w:val="right"/>
              <w:spacing w:after="0"/>
              <w:rPr>
                <w:sz w:val="20"/>
                <w:szCs w:val="20"/>
                <w:color w:val="auto"/>
              </w:rPr>
            </w:pPr>
            <w:r>
              <w:rPr>
                <w:rFonts w:ascii="Arial" w:cs="Arial" w:eastAsia="Arial" w:hAnsi="Arial"/>
                <w:sz w:val="22"/>
                <w:szCs w:val="22"/>
                <w:b w:val="1"/>
                <w:bCs w:val="1"/>
                <w:color w:val="auto"/>
                <w:w w:val="87"/>
              </w:rPr>
              <w:t>132</w:t>
            </w:r>
          </w:p>
        </w:tc>
        <w:tc>
          <w:tcPr>
            <w:tcW w:w="120" w:type="dxa"/>
            <w:vAlign w:val="bottom"/>
          </w:tcPr>
          <w:p>
            <w:pPr>
              <w:spacing w:after="0"/>
              <w:rPr>
                <w:sz w:val="24"/>
                <w:szCs w:val="24"/>
                <w:color w:val="auto"/>
              </w:rPr>
            </w:pPr>
          </w:p>
        </w:tc>
        <w:tc>
          <w:tcPr>
            <w:tcW w:w="660" w:type="dxa"/>
            <w:vAlign w:val="bottom"/>
            <w:gridSpan w:val="3"/>
            <w:vMerge w:val="restart"/>
          </w:tcPr>
          <w:p>
            <w:pPr>
              <w:jc w:val="right"/>
              <w:ind w:right="12"/>
              <w:spacing w:after="0"/>
              <w:rPr>
                <w:sz w:val="20"/>
                <w:szCs w:val="20"/>
                <w:color w:val="auto"/>
              </w:rPr>
            </w:pPr>
            <w:r>
              <w:rPr>
                <w:rFonts w:ascii="Arial" w:cs="Arial" w:eastAsia="Arial" w:hAnsi="Arial"/>
                <w:sz w:val="22"/>
                <w:szCs w:val="22"/>
                <w:color w:val="auto"/>
              </w:rPr>
              <w:t>132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4.01</w:t>
            </w:r>
          </w:p>
        </w:tc>
        <w:tc>
          <w:tcPr>
            <w:tcW w:w="122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87"/>
              </w:rPr>
              <w:t>Closing Date</w:t>
            </w:r>
          </w:p>
        </w:tc>
        <w:tc>
          <w:tcPr>
            <w:tcW w:w="66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20" w:type="dxa"/>
            <w:vAlign w:val="bottom"/>
          </w:tcPr>
          <w:p>
            <w:pPr>
              <w:jc w:val="center"/>
              <w:ind w:left="472"/>
              <w:spacing w:after="0"/>
              <w:rPr>
                <w:sz w:val="20"/>
                <w:szCs w:val="20"/>
                <w:color w:val="auto"/>
              </w:rPr>
            </w:pPr>
            <w:r>
              <w:rPr>
                <w:rFonts w:ascii="Arial" w:cs="Arial" w:eastAsia="Arial" w:hAnsi="Arial"/>
                <w:sz w:val="22"/>
                <w:szCs w:val="22"/>
                <w:color w:val="auto"/>
                <w:w w:val="88"/>
              </w:rPr>
              <w:t>Section 4.02</w:t>
            </w:r>
          </w:p>
        </w:tc>
        <w:tc>
          <w:tcPr>
            <w:tcW w:w="1700" w:type="dxa"/>
            <w:vAlign w:val="bottom"/>
            <w:gridSpan w:val="5"/>
          </w:tcPr>
          <w:p>
            <w:pPr>
              <w:ind w:left="100"/>
              <w:spacing w:after="0"/>
              <w:rPr>
                <w:sz w:val="20"/>
                <w:szCs w:val="20"/>
                <w:color w:val="auto"/>
              </w:rPr>
            </w:pPr>
            <w:r>
              <w:rPr>
                <w:rFonts w:ascii="Arial" w:cs="Arial" w:eastAsia="Arial" w:hAnsi="Arial"/>
                <w:sz w:val="22"/>
                <w:szCs w:val="22"/>
                <w:color w:val="auto"/>
                <w:w w:val="89"/>
              </w:rPr>
              <w:t>Each Credit Event</w:t>
            </w:r>
          </w:p>
        </w:tc>
        <w:tc>
          <w:tcPr>
            <w:tcW w:w="1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22"/>
                <w:szCs w:val="22"/>
                <w:color w:val="auto"/>
                <w:w w:val="87"/>
              </w:rPr>
              <w:t>135</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1"/>
        </w:trPr>
        <w:tc>
          <w:tcPr>
            <w:tcW w:w="3340" w:type="dxa"/>
            <w:vAlign w:val="bottom"/>
            <w:gridSpan w:val="5"/>
          </w:tcPr>
          <w:p>
            <w:pPr>
              <w:spacing w:after="0"/>
              <w:rPr>
                <w:sz w:val="20"/>
                <w:szCs w:val="20"/>
                <w:color w:val="auto"/>
              </w:rPr>
            </w:pPr>
            <w:r>
              <w:rPr>
                <w:rFonts w:ascii="Arial" w:cs="Arial" w:eastAsia="Arial" w:hAnsi="Arial"/>
                <w:sz w:val="22"/>
                <w:szCs w:val="22"/>
                <w:b w:val="1"/>
                <w:bCs w:val="1"/>
                <w:color w:val="auto"/>
                <w:w w:val="93"/>
              </w:rPr>
              <w:t>ARTICLE V Affirmative Covenants</w:t>
            </w:r>
          </w:p>
        </w:tc>
        <w:tc>
          <w:tcPr>
            <w:tcW w:w="180" w:type="dxa"/>
            <w:vAlign w:val="bottom"/>
          </w:tcPr>
          <w:p>
            <w:pPr>
              <w:spacing w:after="0"/>
              <w:rPr>
                <w:sz w:val="24"/>
                <w:szCs w:val="24"/>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22"/>
                <w:szCs w:val="22"/>
                <w:b w:val="1"/>
                <w:bCs w:val="1"/>
                <w:color w:val="auto"/>
                <w:w w:val="92"/>
              </w:rPr>
              <w:t>135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5.01</w:t>
            </w:r>
          </w:p>
        </w:tc>
        <w:tc>
          <w:tcPr>
            <w:tcW w:w="6220" w:type="dxa"/>
            <w:vAlign w:val="bottom"/>
            <w:gridSpan w:val="11"/>
          </w:tcPr>
          <w:p>
            <w:pPr>
              <w:ind w:left="100"/>
              <w:spacing w:after="0" w:line="229" w:lineRule="exact"/>
              <w:rPr>
                <w:sz w:val="20"/>
                <w:szCs w:val="20"/>
                <w:color w:val="auto"/>
              </w:rPr>
            </w:pPr>
            <w:r>
              <w:rPr>
                <w:rFonts w:ascii="Arial" w:cs="Arial" w:eastAsia="Arial" w:hAnsi="Arial"/>
                <w:sz w:val="22"/>
                <w:szCs w:val="22"/>
                <w:color w:val="auto"/>
              </w:rPr>
              <w:t>Financial Statements and Other Information  135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5.02</w:t>
            </w:r>
          </w:p>
        </w:tc>
        <w:tc>
          <w:tcPr>
            <w:tcW w:w="2540" w:type="dxa"/>
            <w:vAlign w:val="bottom"/>
            <w:gridSpan w:val="8"/>
          </w:tcPr>
          <w:p>
            <w:pPr>
              <w:ind w:left="100"/>
              <w:spacing w:after="0" w:line="243" w:lineRule="exact"/>
              <w:rPr>
                <w:sz w:val="20"/>
                <w:szCs w:val="20"/>
                <w:color w:val="auto"/>
              </w:rPr>
            </w:pPr>
            <w:r>
              <w:rPr>
                <w:rFonts w:ascii="Arial" w:cs="Arial" w:eastAsia="Arial" w:hAnsi="Arial"/>
                <w:sz w:val="22"/>
                <w:szCs w:val="22"/>
                <w:color w:val="auto"/>
                <w:w w:val="94"/>
              </w:rPr>
              <w:t>Notices of Material Events</w:t>
            </w:r>
          </w:p>
        </w:tc>
        <w:tc>
          <w:tcPr>
            <w:tcW w:w="840" w:type="dxa"/>
            <w:vAlign w:val="bottom"/>
            <w:gridSpan w:val="2"/>
          </w:tcPr>
          <w:p>
            <w:pPr>
              <w:jc w:val="right"/>
              <w:ind w:right="312"/>
              <w:spacing w:after="0" w:line="243" w:lineRule="exact"/>
              <w:rPr>
                <w:sz w:val="20"/>
                <w:szCs w:val="20"/>
                <w:color w:val="auto"/>
              </w:rPr>
            </w:pPr>
            <w:r>
              <w:rPr>
                <w:rFonts w:ascii="Arial" w:cs="Arial" w:eastAsia="Arial" w:hAnsi="Arial"/>
                <w:sz w:val="22"/>
                <w:szCs w:val="22"/>
                <w:color w:val="auto"/>
              </w:rPr>
              <w:t>139</w:t>
            </w: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5.03</w:t>
            </w:r>
          </w:p>
        </w:tc>
        <w:tc>
          <w:tcPr>
            <w:tcW w:w="3380" w:type="dxa"/>
            <w:vAlign w:val="bottom"/>
            <w:gridSpan w:val="10"/>
          </w:tcPr>
          <w:p>
            <w:pPr>
              <w:ind w:left="100"/>
              <w:spacing w:after="0" w:line="229" w:lineRule="exact"/>
              <w:rPr>
                <w:sz w:val="20"/>
                <w:szCs w:val="20"/>
                <w:color w:val="auto"/>
              </w:rPr>
            </w:pPr>
            <w:r>
              <w:rPr>
                <w:rFonts w:ascii="Arial" w:cs="Arial" w:eastAsia="Arial" w:hAnsi="Arial"/>
                <w:sz w:val="22"/>
                <w:szCs w:val="22"/>
                <w:color w:val="auto"/>
                <w:w w:val="90"/>
              </w:rPr>
              <w:t>Existence; Conduct of Business  139</w:t>
            </w:r>
          </w:p>
        </w:tc>
        <w:tc>
          <w:tcPr>
            <w:tcW w:w="2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5.04</w:t>
            </w:r>
          </w:p>
        </w:tc>
        <w:tc>
          <w:tcPr>
            <w:tcW w:w="1700" w:type="dxa"/>
            <w:vAlign w:val="bottom"/>
            <w:gridSpan w:val="5"/>
          </w:tcPr>
          <w:p>
            <w:pPr>
              <w:ind w:left="100"/>
              <w:spacing w:after="0" w:line="243" w:lineRule="exact"/>
              <w:rPr>
                <w:sz w:val="20"/>
                <w:szCs w:val="20"/>
                <w:color w:val="auto"/>
              </w:rPr>
            </w:pPr>
            <w:r>
              <w:rPr>
                <w:rFonts w:ascii="Arial" w:cs="Arial" w:eastAsia="Arial" w:hAnsi="Arial"/>
                <w:sz w:val="22"/>
                <w:szCs w:val="22"/>
                <w:color w:val="auto"/>
                <w:w w:val="89"/>
              </w:rPr>
              <w:t>Payment of Taxes</w:t>
            </w:r>
          </w:p>
        </w:tc>
        <w:tc>
          <w:tcPr>
            <w:tcW w:w="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140</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5.05</w:t>
            </w:r>
          </w:p>
        </w:tc>
        <w:tc>
          <w:tcPr>
            <w:tcW w:w="2540" w:type="dxa"/>
            <w:vAlign w:val="bottom"/>
            <w:gridSpan w:val="8"/>
          </w:tcPr>
          <w:p>
            <w:pPr>
              <w:ind w:left="100"/>
              <w:spacing w:after="0" w:line="243" w:lineRule="exact"/>
              <w:rPr>
                <w:sz w:val="20"/>
                <w:szCs w:val="20"/>
                <w:color w:val="auto"/>
              </w:rPr>
            </w:pPr>
            <w:r>
              <w:rPr>
                <w:rFonts w:ascii="Arial" w:cs="Arial" w:eastAsia="Arial" w:hAnsi="Arial"/>
                <w:sz w:val="22"/>
                <w:szCs w:val="22"/>
                <w:color w:val="auto"/>
                <w:w w:val="94"/>
              </w:rPr>
              <w:t>Maintenance of Properties</w:t>
            </w:r>
          </w:p>
        </w:tc>
        <w:tc>
          <w:tcPr>
            <w:tcW w:w="840" w:type="dxa"/>
            <w:vAlign w:val="bottom"/>
            <w:gridSpan w:val="2"/>
          </w:tcPr>
          <w:p>
            <w:pPr>
              <w:jc w:val="right"/>
              <w:ind w:right="352"/>
              <w:spacing w:after="0" w:line="243" w:lineRule="exact"/>
              <w:rPr>
                <w:sz w:val="20"/>
                <w:szCs w:val="20"/>
                <w:color w:val="auto"/>
              </w:rPr>
            </w:pPr>
            <w:r>
              <w:rPr>
                <w:rFonts w:ascii="Arial" w:cs="Arial" w:eastAsia="Arial" w:hAnsi="Arial"/>
                <w:sz w:val="22"/>
                <w:szCs w:val="22"/>
                <w:color w:val="auto"/>
                <w:w w:val="97"/>
              </w:rPr>
              <w:t>140</w:t>
            </w: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5.06</w:t>
            </w:r>
          </w:p>
        </w:tc>
        <w:tc>
          <w:tcPr>
            <w:tcW w:w="1100" w:type="dxa"/>
            <w:vAlign w:val="bottom"/>
            <w:gridSpan w:val="2"/>
          </w:tcPr>
          <w:p>
            <w:pPr>
              <w:ind w:left="100"/>
              <w:spacing w:after="0" w:line="229" w:lineRule="exact"/>
              <w:rPr>
                <w:sz w:val="20"/>
                <w:szCs w:val="20"/>
                <w:color w:val="auto"/>
              </w:rPr>
            </w:pPr>
            <w:r>
              <w:rPr>
                <w:rFonts w:ascii="Arial" w:cs="Arial" w:eastAsia="Arial" w:hAnsi="Arial"/>
                <w:sz w:val="22"/>
                <w:szCs w:val="22"/>
                <w:color w:val="auto"/>
              </w:rPr>
              <w:t>Insurance</w:t>
            </w:r>
          </w:p>
        </w:tc>
        <w:tc>
          <w:tcPr>
            <w:tcW w:w="420" w:type="dxa"/>
            <w:vAlign w:val="bottom"/>
            <w:gridSpan w:val="2"/>
          </w:tcPr>
          <w:p>
            <w:pPr>
              <w:jc w:val="right"/>
              <w:spacing w:after="0" w:line="229" w:lineRule="exact"/>
              <w:rPr>
                <w:sz w:val="20"/>
                <w:szCs w:val="20"/>
                <w:color w:val="auto"/>
              </w:rPr>
            </w:pPr>
            <w:r>
              <w:rPr>
                <w:rFonts w:ascii="Arial" w:cs="Arial" w:eastAsia="Arial" w:hAnsi="Arial"/>
                <w:sz w:val="22"/>
                <w:szCs w:val="22"/>
                <w:color w:val="auto"/>
                <w:w w:val="97"/>
              </w:rPr>
              <w:t>140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5.07</w:t>
            </w:r>
          </w:p>
        </w:tc>
        <w:tc>
          <w:tcPr>
            <w:tcW w:w="6220" w:type="dxa"/>
            <w:vAlign w:val="bottom"/>
            <w:gridSpan w:val="11"/>
          </w:tcPr>
          <w:p>
            <w:pPr>
              <w:ind w:left="100"/>
              <w:spacing w:after="0" w:line="243" w:lineRule="exact"/>
              <w:rPr>
                <w:sz w:val="20"/>
                <w:szCs w:val="20"/>
                <w:color w:val="auto"/>
              </w:rPr>
            </w:pPr>
            <w:r>
              <w:rPr>
                <w:rFonts w:ascii="Arial" w:cs="Arial" w:eastAsia="Arial" w:hAnsi="Arial"/>
                <w:sz w:val="22"/>
                <w:szCs w:val="22"/>
                <w:color w:val="auto"/>
              </w:rPr>
              <w:t>Books and Records; Inspection and Audit Rights  140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5.08</w:t>
            </w:r>
          </w:p>
        </w:tc>
        <w:tc>
          <w:tcPr>
            <w:tcW w:w="2220" w:type="dxa"/>
            <w:vAlign w:val="bottom"/>
            <w:gridSpan w:val="7"/>
          </w:tcPr>
          <w:p>
            <w:pPr>
              <w:ind w:left="100"/>
              <w:spacing w:after="0" w:line="243" w:lineRule="exact"/>
              <w:rPr>
                <w:sz w:val="20"/>
                <w:szCs w:val="20"/>
                <w:color w:val="auto"/>
              </w:rPr>
            </w:pPr>
            <w:r>
              <w:rPr>
                <w:rFonts w:ascii="Arial" w:cs="Arial" w:eastAsia="Arial" w:hAnsi="Arial"/>
                <w:sz w:val="22"/>
                <w:szCs w:val="22"/>
                <w:color w:val="auto"/>
                <w:w w:val="95"/>
              </w:rPr>
              <w:t>Compliance with Laws</w:t>
            </w:r>
          </w:p>
        </w:tc>
        <w:tc>
          <w:tcPr>
            <w:tcW w:w="4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141</w:t>
            </w: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5.09</w:t>
            </w:r>
          </w:p>
        </w:tc>
        <w:tc>
          <w:tcPr>
            <w:tcW w:w="1520" w:type="dxa"/>
            <w:vAlign w:val="bottom"/>
            <w:gridSpan w:val="4"/>
          </w:tcPr>
          <w:p>
            <w:pPr>
              <w:ind w:left="100"/>
              <w:spacing w:after="0" w:line="229" w:lineRule="exact"/>
              <w:rPr>
                <w:sz w:val="20"/>
                <w:szCs w:val="20"/>
                <w:color w:val="auto"/>
              </w:rPr>
            </w:pPr>
            <w:r>
              <w:rPr>
                <w:rFonts w:ascii="Arial" w:cs="Arial" w:eastAsia="Arial" w:hAnsi="Arial"/>
                <w:sz w:val="22"/>
                <w:szCs w:val="22"/>
                <w:color w:val="auto"/>
                <w:w w:val="86"/>
              </w:rPr>
              <w:t>Use of Proceeds</w:t>
            </w:r>
          </w:p>
        </w:tc>
        <w:tc>
          <w:tcPr>
            <w:tcW w:w="180" w:type="dxa"/>
            <w:vAlign w:val="bottom"/>
          </w:tcPr>
          <w:p>
            <w:pPr>
              <w:spacing w:after="0"/>
              <w:rPr>
                <w:sz w:val="19"/>
                <w:szCs w:val="19"/>
                <w:color w:val="auto"/>
              </w:rPr>
            </w:pPr>
          </w:p>
        </w:tc>
        <w:tc>
          <w:tcPr>
            <w:tcW w:w="520" w:type="dxa"/>
            <w:vAlign w:val="bottom"/>
            <w:gridSpan w:val="2"/>
          </w:tcPr>
          <w:p>
            <w:pPr>
              <w:jc w:val="right"/>
              <w:ind w:right="72"/>
              <w:spacing w:after="0" w:line="229" w:lineRule="exact"/>
              <w:rPr>
                <w:sz w:val="20"/>
                <w:szCs w:val="20"/>
                <w:color w:val="auto"/>
              </w:rPr>
            </w:pPr>
            <w:r>
              <w:rPr>
                <w:rFonts w:ascii="Arial" w:cs="Arial" w:eastAsia="Arial" w:hAnsi="Arial"/>
                <w:sz w:val="22"/>
                <w:szCs w:val="22"/>
                <w:color w:val="auto"/>
                <w:w w:val="87"/>
              </w:rPr>
              <w:t>141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5.10</w:t>
            </w:r>
          </w:p>
        </w:tc>
        <w:tc>
          <w:tcPr>
            <w:tcW w:w="6220" w:type="dxa"/>
            <w:vAlign w:val="bottom"/>
            <w:gridSpan w:val="11"/>
          </w:tcPr>
          <w:p>
            <w:pPr>
              <w:ind w:left="100"/>
              <w:spacing w:after="0" w:line="243" w:lineRule="exact"/>
              <w:rPr>
                <w:sz w:val="20"/>
                <w:szCs w:val="20"/>
                <w:color w:val="auto"/>
              </w:rPr>
            </w:pPr>
            <w:r>
              <w:rPr>
                <w:rFonts w:ascii="Arial" w:cs="Arial" w:eastAsia="Arial" w:hAnsi="Arial"/>
                <w:sz w:val="22"/>
                <w:szCs w:val="22"/>
                <w:color w:val="auto"/>
                <w:w w:val="89"/>
              </w:rPr>
              <w:t>Execution of Guaranty and Security Documents after the Closing Date</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142</w:t>
            </w:r>
          </w:p>
        </w:tc>
        <w:tc>
          <w:tcPr>
            <w:tcW w:w="0" w:type="dxa"/>
            <w:vAlign w:val="bottom"/>
          </w:tcPr>
          <w:p>
            <w:pPr>
              <w:spacing w:after="0"/>
              <w:rPr>
                <w:sz w:val="1"/>
                <w:szCs w:val="1"/>
                <w:color w:val="auto"/>
              </w:rPr>
            </w:pPr>
          </w:p>
        </w:tc>
      </w:tr>
      <w:tr>
        <w:trPr>
          <w:trHeight w:val="243"/>
        </w:trPr>
        <w:tc>
          <w:tcPr>
            <w:tcW w:w="1820" w:type="dxa"/>
            <w:vAlign w:val="bottom"/>
          </w:tcPr>
          <w:p>
            <w:pPr>
              <w:jc w:val="center"/>
              <w:ind w:left="452"/>
              <w:spacing w:after="0" w:line="243" w:lineRule="exact"/>
              <w:rPr>
                <w:sz w:val="20"/>
                <w:szCs w:val="20"/>
                <w:color w:val="auto"/>
              </w:rPr>
            </w:pPr>
            <w:r>
              <w:rPr>
                <w:rFonts w:ascii="Arial" w:cs="Arial" w:eastAsia="Arial" w:hAnsi="Arial"/>
                <w:sz w:val="22"/>
                <w:szCs w:val="22"/>
                <w:color w:val="auto"/>
                <w:w w:val="86"/>
              </w:rPr>
              <w:t>Section 5.11</w:t>
            </w:r>
          </w:p>
        </w:tc>
        <w:tc>
          <w:tcPr>
            <w:tcW w:w="1880" w:type="dxa"/>
            <w:vAlign w:val="bottom"/>
            <w:gridSpan w:val="6"/>
          </w:tcPr>
          <w:p>
            <w:pPr>
              <w:ind w:left="80"/>
              <w:spacing w:after="0" w:line="243" w:lineRule="exact"/>
              <w:rPr>
                <w:sz w:val="20"/>
                <w:szCs w:val="20"/>
                <w:color w:val="auto"/>
              </w:rPr>
            </w:pPr>
            <w:r>
              <w:rPr>
                <w:rFonts w:ascii="Arial" w:cs="Arial" w:eastAsia="Arial" w:hAnsi="Arial"/>
                <w:sz w:val="22"/>
                <w:szCs w:val="22"/>
                <w:color w:val="auto"/>
                <w:w w:val="92"/>
              </w:rPr>
              <w:t>Further Assurances</w:t>
            </w:r>
          </w:p>
        </w:tc>
        <w:tc>
          <w:tcPr>
            <w:tcW w:w="660" w:type="dxa"/>
            <w:vAlign w:val="bottom"/>
            <w:gridSpan w:val="2"/>
          </w:tcPr>
          <w:p>
            <w:pPr>
              <w:jc w:val="right"/>
              <w:ind w:right="152"/>
              <w:spacing w:after="0" w:line="243" w:lineRule="exact"/>
              <w:rPr>
                <w:sz w:val="20"/>
                <w:szCs w:val="20"/>
                <w:color w:val="auto"/>
              </w:rPr>
            </w:pPr>
            <w:r>
              <w:rPr>
                <w:rFonts w:ascii="Arial" w:cs="Arial" w:eastAsia="Arial" w:hAnsi="Arial"/>
                <w:sz w:val="22"/>
                <w:szCs w:val="22"/>
                <w:color w:val="auto"/>
              </w:rPr>
              <w:t>144</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5.12</w:t>
            </w:r>
          </w:p>
        </w:tc>
        <w:tc>
          <w:tcPr>
            <w:tcW w:w="2540" w:type="dxa"/>
            <w:vAlign w:val="bottom"/>
            <w:gridSpan w:val="8"/>
          </w:tcPr>
          <w:p>
            <w:pPr>
              <w:ind w:left="100"/>
              <w:spacing w:after="0" w:line="229" w:lineRule="exact"/>
              <w:rPr>
                <w:sz w:val="20"/>
                <w:szCs w:val="20"/>
                <w:color w:val="auto"/>
              </w:rPr>
            </w:pPr>
            <w:r>
              <w:rPr>
                <w:rFonts w:ascii="Arial" w:cs="Arial" w:eastAsia="Arial" w:hAnsi="Arial"/>
                <w:sz w:val="22"/>
                <w:szCs w:val="22"/>
                <w:color w:val="auto"/>
                <w:w w:val="90"/>
              </w:rPr>
              <w:t>Designation of Subsidiaries</w:t>
            </w:r>
          </w:p>
        </w:tc>
        <w:tc>
          <w:tcPr>
            <w:tcW w:w="140" w:type="dxa"/>
            <w:vAlign w:val="bottom"/>
          </w:tcPr>
          <w:p>
            <w:pPr>
              <w:spacing w:after="0"/>
              <w:rPr>
                <w:sz w:val="19"/>
                <w:szCs w:val="19"/>
                <w:color w:val="auto"/>
              </w:rPr>
            </w:pPr>
          </w:p>
        </w:tc>
        <w:tc>
          <w:tcPr>
            <w:tcW w:w="700" w:type="dxa"/>
            <w:vAlign w:val="bottom"/>
          </w:tcPr>
          <w:p>
            <w:pPr>
              <w:jc w:val="right"/>
              <w:ind w:right="252"/>
              <w:spacing w:after="0" w:line="229" w:lineRule="exact"/>
              <w:rPr>
                <w:sz w:val="20"/>
                <w:szCs w:val="20"/>
                <w:color w:val="auto"/>
              </w:rPr>
            </w:pPr>
            <w:r>
              <w:rPr>
                <w:rFonts w:ascii="Arial" w:cs="Arial" w:eastAsia="Arial" w:hAnsi="Arial"/>
                <w:sz w:val="22"/>
                <w:szCs w:val="22"/>
                <w:color w:val="auto"/>
                <w:w w:val="87"/>
              </w:rPr>
              <w:t>145</w:t>
            </w:r>
          </w:p>
        </w:tc>
        <w:tc>
          <w:tcPr>
            <w:tcW w:w="2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5.13</w:t>
            </w:r>
          </w:p>
        </w:tc>
        <w:tc>
          <w:tcPr>
            <w:tcW w:w="122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89"/>
              </w:rPr>
              <w:t>Lender Calls</w:t>
            </w:r>
          </w:p>
        </w:tc>
        <w:tc>
          <w:tcPr>
            <w:tcW w:w="660" w:type="dxa"/>
            <w:vAlign w:val="bottom"/>
            <w:gridSpan w:val="3"/>
          </w:tcPr>
          <w:p>
            <w:pPr>
              <w:jc w:val="right"/>
              <w:ind w:right="32"/>
              <w:spacing w:after="0" w:line="243" w:lineRule="exact"/>
              <w:rPr>
                <w:sz w:val="20"/>
                <w:szCs w:val="20"/>
                <w:color w:val="auto"/>
              </w:rPr>
            </w:pPr>
            <w:r>
              <w:rPr>
                <w:rFonts w:ascii="Arial" w:cs="Arial" w:eastAsia="Arial" w:hAnsi="Arial"/>
                <w:sz w:val="22"/>
                <w:szCs w:val="22"/>
                <w:color w:val="auto"/>
              </w:rPr>
              <w:t>146</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5.14</w:t>
            </w:r>
          </w:p>
        </w:tc>
        <w:tc>
          <w:tcPr>
            <w:tcW w:w="2220" w:type="dxa"/>
            <w:vAlign w:val="bottom"/>
            <w:gridSpan w:val="7"/>
          </w:tcPr>
          <w:p>
            <w:pPr>
              <w:ind w:left="100"/>
              <w:spacing w:after="0" w:line="243" w:lineRule="exact"/>
              <w:rPr>
                <w:sz w:val="20"/>
                <w:szCs w:val="20"/>
                <w:color w:val="auto"/>
              </w:rPr>
            </w:pPr>
            <w:r>
              <w:rPr>
                <w:rFonts w:ascii="Arial" w:cs="Arial" w:eastAsia="Arial" w:hAnsi="Arial"/>
                <w:sz w:val="22"/>
                <w:szCs w:val="22"/>
                <w:color w:val="auto"/>
                <w:w w:val="88"/>
              </w:rPr>
              <w:t>Post-Closing Covenants</w:t>
            </w:r>
          </w:p>
        </w:tc>
        <w:tc>
          <w:tcPr>
            <w:tcW w:w="1160" w:type="dxa"/>
            <w:vAlign w:val="bottom"/>
            <w:gridSpan w:val="3"/>
          </w:tcPr>
          <w:p>
            <w:pPr>
              <w:jc w:val="right"/>
              <w:ind w:right="552"/>
              <w:spacing w:after="0" w:line="243" w:lineRule="exact"/>
              <w:rPr>
                <w:sz w:val="20"/>
                <w:szCs w:val="20"/>
                <w:color w:val="auto"/>
              </w:rPr>
            </w:pPr>
            <w:r>
              <w:rPr>
                <w:rFonts w:ascii="Arial" w:cs="Arial" w:eastAsia="Arial" w:hAnsi="Arial"/>
                <w:sz w:val="22"/>
                <w:szCs w:val="22"/>
                <w:color w:val="auto"/>
              </w:rPr>
              <w:t>146</w:t>
            </w: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20" w:type="dxa"/>
            <w:vAlign w:val="bottom"/>
          </w:tcPr>
          <w:p>
            <w:pPr>
              <w:jc w:val="center"/>
              <w:ind w:left="472"/>
              <w:spacing w:after="0"/>
              <w:rPr>
                <w:sz w:val="20"/>
                <w:szCs w:val="20"/>
                <w:color w:val="auto"/>
              </w:rPr>
            </w:pPr>
            <w:r>
              <w:rPr>
                <w:rFonts w:ascii="Arial" w:cs="Arial" w:eastAsia="Arial" w:hAnsi="Arial"/>
                <w:sz w:val="22"/>
                <w:szCs w:val="22"/>
                <w:color w:val="auto"/>
                <w:w w:val="88"/>
              </w:rPr>
              <w:t>Section 5.15</w:t>
            </w:r>
          </w:p>
        </w:tc>
        <w:tc>
          <w:tcPr>
            <w:tcW w:w="6220" w:type="dxa"/>
            <w:vAlign w:val="bottom"/>
            <w:gridSpan w:val="11"/>
          </w:tcPr>
          <w:p>
            <w:pPr>
              <w:ind w:left="100"/>
              <w:spacing w:after="0"/>
              <w:rPr>
                <w:sz w:val="20"/>
                <w:szCs w:val="20"/>
                <w:color w:val="auto"/>
              </w:rPr>
            </w:pPr>
            <w:r>
              <w:rPr>
                <w:rFonts w:ascii="Arial" w:cs="Arial" w:eastAsia="Arial" w:hAnsi="Arial"/>
                <w:sz w:val="22"/>
                <w:szCs w:val="22"/>
                <w:color w:val="auto"/>
                <w:w w:val="94"/>
              </w:rPr>
              <w:t>Sanctions; Anti-Corruption Laws and Anti-Money Laundering Laws</w:t>
            </w:r>
          </w:p>
        </w:tc>
        <w:tc>
          <w:tcPr>
            <w:tcW w:w="520" w:type="dxa"/>
            <w:vAlign w:val="bottom"/>
          </w:tcPr>
          <w:p>
            <w:pPr>
              <w:jc w:val="right"/>
              <w:ind w:right="72"/>
              <w:spacing w:after="0"/>
              <w:rPr>
                <w:sz w:val="20"/>
                <w:szCs w:val="20"/>
                <w:color w:val="auto"/>
              </w:rPr>
            </w:pPr>
            <w:r>
              <w:rPr>
                <w:rFonts w:ascii="Arial" w:cs="Arial" w:eastAsia="Arial" w:hAnsi="Arial"/>
                <w:sz w:val="22"/>
                <w:szCs w:val="22"/>
                <w:color w:val="auto"/>
                <w:w w:val="87"/>
              </w:rPr>
              <w:t>146</w:t>
            </w:r>
          </w:p>
        </w:tc>
        <w:tc>
          <w:tcPr>
            <w:tcW w:w="0" w:type="dxa"/>
            <w:vAlign w:val="bottom"/>
          </w:tcPr>
          <w:p>
            <w:pPr>
              <w:spacing w:after="0"/>
              <w:rPr>
                <w:sz w:val="1"/>
                <w:szCs w:val="1"/>
                <w:color w:val="auto"/>
              </w:rPr>
            </w:pPr>
          </w:p>
        </w:tc>
      </w:tr>
      <w:tr>
        <w:trPr>
          <w:trHeight w:val="387"/>
        </w:trPr>
        <w:tc>
          <w:tcPr>
            <w:tcW w:w="3340" w:type="dxa"/>
            <w:vAlign w:val="bottom"/>
            <w:gridSpan w:val="5"/>
          </w:tcPr>
          <w:p>
            <w:pPr>
              <w:spacing w:after="0"/>
              <w:rPr>
                <w:sz w:val="20"/>
                <w:szCs w:val="20"/>
                <w:color w:val="auto"/>
              </w:rPr>
            </w:pPr>
            <w:r>
              <w:rPr>
                <w:rFonts w:ascii="Arial" w:cs="Arial" w:eastAsia="Arial" w:hAnsi="Arial"/>
                <w:sz w:val="22"/>
                <w:szCs w:val="22"/>
                <w:b w:val="1"/>
                <w:bCs w:val="1"/>
                <w:color w:val="auto"/>
                <w:w w:val="98"/>
              </w:rPr>
              <w:t>ARTICLE VI Negative Covenants</w:t>
            </w:r>
          </w:p>
        </w:tc>
        <w:tc>
          <w:tcPr>
            <w:tcW w:w="360" w:type="dxa"/>
            <w:vAlign w:val="bottom"/>
            <w:gridSpan w:val="2"/>
          </w:tcPr>
          <w:p>
            <w:pPr>
              <w:jc w:val="right"/>
              <w:spacing w:after="0"/>
              <w:rPr>
                <w:sz w:val="20"/>
                <w:szCs w:val="20"/>
                <w:color w:val="auto"/>
              </w:rPr>
            </w:pPr>
            <w:r>
              <w:rPr>
                <w:rFonts w:ascii="Arial" w:cs="Arial" w:eastAsia="Arial" w:hAnsi="Arial"/>
                <w:sz w:val="22"/>
                <w:szCs w:val="22"/>
                <w:b w:val="1"/>
                <w:bCs w:val="1"/>
                <w:color w:val="auto"/>
                <w:w w:val="92"/>
              </w:rPr>
              <w:t>146</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6.01</w:t>
            </w:r>
          </w:p>
        </w:tc>
        <w:tc>
          <w:tcPr>
            <w:tcW w:w="6220" w:type="dxa"/>
            <w:vAlign w:val="bottom"/>
            <w:gridSpan w:val="11"/>
          </w:tcPr>
          <w:p>
            <w:pPr>
              <w:ind w:left="100"/>
              <w:spacing w:after="0" w:line="243" w:lineRule="exact"/>
              <w:rPr>
                <w:sz w:val="20"/>
                <w:szCs w:val="20"/>
                <w:color w:val="auto"/>
              </w:rPr>
            </w:pPr>
            <w:r>
              <w:rPr>
                <w:rFonts w:ascii="Arial" w:cs="Arial" w:eastAsia="Arial" w:hAnsi="Arial"/>
                <w:sz w:val="22"/>
                <w:szCs w:val="22"/>
                <w:color w:val="auto"/>
              </w:rPr>
              <w:t>Indebtedness; Certain Equity Securities  147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6.02</w:t>
            </w:r>
          </w:p>
        </w:tc>
        <w:tc>
          <w:tcPr>
            <w:tcW w:w="720" w:type="dxa"/>
            <w:vAlign w:val="bottom"/>
          </w:tcPr>
          <w:p>
            <w:pPr>
              <w:ind w:left="100"/>
              <w:spacing w:after="0" w:line="243" w:lineRule="exact"/>
              <w:rPr>
                <w:sz w:val="20"/>
                <w:szCs w:val="20"/>
                <w:color w:val="auto"/>
              </w:rPr>
            </w:pPr>
            <w:r>
              <w:rPr>
                <w:rFonts w:ascii="Arial" w:cs="Arial" w:eastAsia="Arial" w:hAnsi="Arial"/>
                <w:sz w:val="22"/>
                <w:szCs w:val="22"/>
                <w:color w:val="auto"/>
              </w:rPr>
              <w:t>Liens</w:t>
            </w:r>
          </w:p>
        </w:tc>
        <w:tc>
          <w:tcPr>
            <w:tcW w:w="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151</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6.03</w:t>
            </w:r>
          </w:p>
        </w:tc>
        <w:tc>
          <w:tcPr>
            <w:tcW w:w="2220" w:type="dxa"/>
            <w:vAlign w:val="bottom"/>
            <w:gridSpan w:val="7"/>
          </w:tcPr>
          <w:p>
            <w:pPr>
              <w:ind w:left="100"/>
              <w:spacing w:after="0" w:line="229" w:lineRule="exact"/>
              <w:rPr>
                <w:sz w:val="20"/>
                <w:szCs w:val="20"/>
                <w:color w:val="auto"/>
              </w:rPr>
            </w:pPr>
            <w:r>
              <w:rPr>
                <w:rFonts w:ascii="Arial" w:cs="Arial" w:eastAsia="Arial" w:hAnsi="Arial"/>
                <w:sz w:val="22"/>
                <w:szCs w:val="22"/>
                <w:color w:val="auto"/>
                <w:w w:val="94"/>
              </w:rPr>
              <w:t>Fundamental Changes</w:t>
            </w:r>
          </w:p>
        </w:tc>
        <w:tc>
          <w:tcPr>
            <w:tcW w:w="460" w:type="dxa"/>
            <w:vAlign w:val="bottom"/>
            <w:gridSpan w:val="2"/>
          </w:tcPr>
          <w:p>
            <w:pPr>
              <w:jc w:val="right"/>
              <w:ind w:right="12"/>
              <w:spacing w:after="0" w:line="229" w:lineRule="exact"/>
              <w:rPr>
                <w:sz w:val="20"/>
                <w:szCs w:val="20"/>
                <w:color w:val="auto"/>
              </w:rPr>
            </w:pPr>
            <w:r>
              <w:rPr>
                <w:rFonts w:ascii="Arial" w:cs="Arial" w:eastAsia="Arial" w:hAnsi="Arial"/>
                <w:sz w:val="22"/>
                <w:szCs w:val="22"/>
                <w:color w:val="auto"/>
                <w:w w:val="87"/>
              </w:rPr>
              <w:t>155</w:t>
            </w:r>
          </w:p>
        </w:tc>
        <w:tc>
          <w:tcPr>
            <w:tcW w:w="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6.04</w:t>
            </w:r>
          </w:p>
        </w:tc>
        <w:tc>
          <w:tcPr>
            <w:tcW w:w="122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2"/>
              </w:rPr>
              <w:t>Investments</w:t>
            </w:r>
          </w:p>
        </w:tc>
        <w:tc>
          <w:tcPr>
            <w:tcW w:w="4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6.05</w:t>
            </w:r>
          </w:p>
        </w:tc>
        <w:tc>
          <w:tcPr>
            <w:tcW w:w="1100" w:type="dxa"/>
            <w:vAlign w:val="bottom"/>
            <w:gridSpan w:val="2"/>
          </w:tcPr>
          <w:p>
            <w:pPr>
              <w:ind w:left="100"/>
              <w:spacing w:after="0" w:line="243" w:lineRule="exact"/>
              <w:rPr>
                <w:sz w:val="20"/>
                <w:szCs w:val="20"/>
                <w:color w:val="auto"/>
              </w:rPr>
            </w:pPr>
            <w:r>
              <w:rPr>
                <w:rFonts w:ascii="Arial" w:cs="Arial" w:eastAsia="Arial" w:hAnsi="Arial"/>
                <w:sz w:val="22"/>
                <w:szCs w:val="22"/>
                <w:color w:val="auto"/>
                <w:w w:val="84"/>
              </w:rPr>
              <w:t>Asset Sales</w:t>
            </w:r>
          </w:p>
        </w:tc>
        <w:tc>
          <w:tcPr>
            <w:tcW w:w="120" w:type="dxa"/>
            <w:vAlign w:val="bottom"/>
          </w:tcPr>
          <w:p>
            <w:pPr>
              <w:spacing w:after="0"/>
              <w:rPr>
                <w:sz w:val="21"/>
                <w:szCs w:val="21"/>
                <w:color w:val="auto"/>
              </w:rPr>
            </w:pPr>
          </w:p>
        </w:tc>
        <w:tc>
          <w:tcPr>
            <w:tcW w:w="4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6.06</w:t>
            </w:r>
          </w:p>
        </w:tc>
        <w:tc>
          <w:tcPr>
            <w:tcW w:w="6220" w:type="dxa"/>
            <w:vAlign w:val="bottom"/>
            <w:gridSpan w:val="11"/>
          </w:tcPr>
          <w:p>
            <w:pPr>
              <w:ind w:left="100"/>
              <w:spacing w:after="0" w:line="229" w:lineRule="exact"/>
              <w:rPr>
                <w:sz w:val="20"/>
                <w:szCs w:val="20"/>
                <w:color w:val="auto"/>
              </w:rPr>
            </w:pPr>
            <w:r>
              <w:rPr>
                <w:rFonts w:ascii="Arial" w:cs="Arial" w:eastAsia="Arial" w:hAnsi="Arial"/>
                <w:sz w:val="22"/>
                <w:szCs w:val="22"/>
                <w:color w:val="auto"/>
              </w:rPr>
              <w:t>Restricted Payments; Certain Payments of Indebtedness  164</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6.07</w:t>
            </w:r>
          </w:p>
        </w:tc>
        <w:tc>
          <w:tcPr>
            <w:tcW w:w="2540" w:type="dxa"/>
            <w:vAlign w:val="bottom"/>
            <w:gridSpan w:val="8"/>
          </w:tcPr>
          <w:p>
            <w:pPr>
              <w:ind w:left="100"/>
              <w:spacing w:after="0" w:line="243" w:lineRule="exact"/>
              <w:rPr>
                <w:sz w:val="20"/>
                <w:szCs w:val="20"/>
                <w:color w:val="auto"/>
              </w:rPr>
            </w:pPr>
            <w:r>
              <w:rPr>
                <w:rFonts w:ascii="Arial" w:cs="Arial" w:eastAsia="Arial" w:hAnsi="Arial"/>
                <w:sz w:val="22"/>
                <w:szCs w:val="22"/>
                <w:color w:val="auto"/>
                <w:w w:val="92"/>
              </w:rPr>
              <w:t>Transactions with Affiliates</w:t>
            </w:r>
          </w:p>
        </w:tc>
        <w:tc>
          <w:tcPr>
            <w:tcW w:w="140" w:type="dxa"/>
            <w:vAlign w:val="bottom"/>
          </w:tcPr>
          <w:p>
            <w:pPr>
              <w:spacing w:after="0"/>
              <w:rPr>
                <w:sz w:val="21"/>
                <w:szCs w:val="21"/>
                <w:color w:val="auto"/>
              </w:rPr>
            </w:pPr>
          </w:p>
        </w:tc>
        <w:tc>
          <w:tcPr>
            <w:tcW w:w="700" w:type="dxa"/>
            <w:vAlign w:val="bottom"/>
          </w:tcPr>
          <w:p>
            <w:pPr>
              <w:jc w:val="right"/>
              <w:ind w:right="252"/>
              <w:spacing w:after="0" w:line="243" w:lineRule="exact"/>
              <w:rPr>
                <w:sz w:val="20"/>
                <w:szCs w:val="20"/>
                <w:color w:val="auto"/>
              </w:rPr>
            </w:pPr>
            <w:r>
              <w:rPr>
                <w:rFonts w:ascii="Arial" w:cs="Arial" w:eastAsia="Arial" w:hAnsi="Arial"/>
                <w:sz w:val="22"/>
                <w:szCs w:val="22"/>
                <w:color w:val="auto"/>
                <w:w w:val="87"/>
              </w:rPr>
              <w:t>169</w:t>
            </w: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6.08</w:t>
            </w:r>
          </w:p>
        </w:tc>
        <w:tc>
          <w:tcPr>
            <w:tcW w:w="2220" w:type="dxa"/>
            <w:vAlign w:val="bottom"/>
            <w:gridSpan w:val="7"/>
          </w:tcPr>
          <w:p>
            <w:pPr>
              <w:ind w:left="100"/>
              <w:spacing w:after="0" w:line="243" w:lineRule="exact"/>
              <w:rPr>
                <w:sz w:val="20"/>
                <w:szCs w:val="20"/>
                <w:color w:val="auto"/>
              </w:rPr>
            </w:pPr>
            <w:r>
              <w:rPr>
                <w:rFonts w:ascii="Arial" w:cs="Arial" w:eastAsia="Arial" w:hAnsi="Arial"/>
                <w:sz w:val="22"/>
                <w:szCs w:val="22"/>
                <w:color w:val="auto"/>
                <w:w w:val="92"/>
              </w:rPr>
              <w:t>Restrictive Agreements</w:t>
            </w:r>
          </w:p>
        </w:tc>
        <w:tc>
          <w:tcPr>
            <w:tcW w:w="4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171</w:t>
            </w: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6.09</w:t>
            </w:r>
          </w:p>
        </w:tc>
        <w:tc>
          <w:tcPr>
            <w:tcW w:w="3380" w:type="dxa"/>
            <w:vAlign w:val="bottom"/>
            <w:gridSpan w:val="10"/>
          </w:tcPr>
          <w:p>
            <w:pPr>
              <w:ind w:left="100"/>
              <w:spacing w:after="0" w:line="229" w:lineRule="exact"/>
              <w:rPr>
                <w:sz w:val="20"/>
                <w:szCs w:val="20"/>
                <w:color w:val="auto"/>
              </w:rPr>
            </w:pPr>
            <w:r>
              <w:rPr>
                <w:rFonts w:ascii="Arial" w:cs="Arial" w:eastAsia="Arial" w:hAnsi="Arial"/>
                <w:sz w:val="22"/>
                <w:szCs w:val="22"/>
                <w:color w:val="auto"/>
                <w:w w:val="94"/>
              </w:rPr>
              <w:t>Amendment of Material Documents</w:t>
            </w:r>
          </w:p>
        </w:tc>
        <w:tc>
          <w:tcPr>
            <w:tcW w:w="2840" w:type="dxa"/>
            <w:vAlign w:val="bottom"/>
          </w:tcPr>
          <w:p>
            <w:pPr>
              <w:jc w:val="right"/>
              <w:ind w:right="2352"/>
              <w:spacing w:after="0" w:line="229" w:lineRule="exact"/>
              <w:rPr>
                <w:sz w:val="20"/>
                <w:szCs w:val="20"/>
                <w:color w:val="auto"/>
              </w:rPr>
            </w:pPr>
            <w:r>
              <w:rPr>
                <w:rFonts w:ascii="Arial" w:cs="Arial" w:eastAsia="Arial" w:hAnsi="Arial"/>
                <w:sz w:val="22"/>
                <w:szCs w:val="22"/>
                <w:color w:val="auto"/>
                <w:w w:val="97"/>
              </w:rPr>
              <w:t>172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6.10</w:t>
            </w:r>
          </w:p>
        </w:tc>
        <w:tc>
          <w:tcPr>
            <w:tcW w:w="2680" w:type="dxa"/>
            <w:vAlign w:val="bottom"/>
            <w:gridSpan w:val="9"/>
          </w:tcPr>
          <w:p>
            <w:pPr>
              <w:ind w:left="100"/>
              <w:spacing w:after="0" w:line="243" w:lineRule="exact"/>
              <w:rPr>
                <w:sz w:val="20"/>
                <w:szCs w:val="20"/>
                <w:color w:val="auto"/>
              </w:rPr>
            </w:pPr>
            <w:r>
              <w:rPr>
                <w:rFonts w:ascii="Arial" w:cs="Arial" w:eastAsia="Arial" w:hAnsi="Arial"/>
                <w:sz w:val="22"/>
                <w:szCs w:val="22"/>
                <w:color w:val="auto"/>
                <w:w w:val="87"/>
              </w:rPr>
              <w:t>Change in Nature of Business</w:t>
            </w:r>
          </w:p>
        </w:tc>
        <w:tc>
          <w:tcPr>
            <w:tcW w:w="700" w:type="dxa"/>
            <w:vAlign w:val="bottom"/>
          </w:tcPr>
          <w:p>
            <w:pPr>
              <w:jc w:val="right"/>
              <w:ind w:right="52"/>
              <w:spacing w:after="0" w:line="243" w:lineRule="exact"/>
              <w:rPr>
                <w:sz w:val="20"/>
                <w:szCs w:val="20"/>
                <w:color w:val="auto"/>
              </w:rPr>
            </w:pPr>
            <w:r>
              <w:rPr>
                <w:rFonts w:ascii="Arial" w:cs="Arial" w:eastAsia="Arial" w:hAnsi="Arial"/>
                <w:sz w:val="22"/>
                <w:szCs w:val="22"/>
                <w:color w:val="auto"/>
              </w:rPr>
              <w:t>172</w:t>
            </w: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52"/>
              <w:spacing w:after="0" w:line="243" w:lineRule="exact"/>
              <w:rPr>
                <w:sz w:val="20"/>
                <w:szCs w:val="20"/>
                <w:color w:val="auto"/>
              </w:rPr>
            </w:pPr>
            <w:r>
              <w:rPr>
                <w:rFonts w:ascii="Arial" w:cs="Arial" w:eastAsia="Arial" w:hAnsi="Arial"/>
                <w:sz w:val="22"/>
                <w:szCs w:val="22"/>
                <w:color w:val="auto"/>
                <w:w w:val="86"/>
              </w:rPr>
              <w:t>Section 6.11</w:t>
            </w:r>
          </w:p>
        </w:tc>
        <w:tc>
          <w:tcPr>
            <w:tcW w:w="2680" w:type="dxa"/>
            <w:vAlign w:val="bottom"/>
            <w:gridSpan w:val="9"/>
          </w:tcPr>
          <w:p>
            <w:pPr>
              <w:ind w:left="80"/>
              <w:spacing w:after="0" w:line="243" w:lineRule="exact"/>
              <w:rPr>
                <w:sz w:val="20"/>
                <w:szCs w:val="20"/>
                <w:color w:val="auto"/>
              </w:rPr>
            </w:pPr>
            <w:r>
              <w:rPr>
                <w:rFonts w:ascii="Arial" w:cs="Arial" w:eastAsia="Arial" w:hAnsi="Arial"/>
                <w:sz w:val="22"/>
                <w:szCs w:val="22"/>
                <w:color w:val="auto"/>
                <w:w w:val="90"/>
              </w:rPr>
              <w:t>First Lien Net Leverage Ratio</w:t>
            </w:r>
          </w:p>
        </w:tc>
        <w:tc>
          <w:tcPr>
            <w:tcW w:w="700" w:type="dxa"/>
            <w:vAlign w:val="bottom"/>
          </w:tcPr>
          <w:p>
            <w:pPr>
              <w:jc w:val="right"/>
              <w:ind w:right="52"/>
              <w:spacing w:after="0" w:line="243" w:lineRule="exact"/>
              <w:rPr>
                <w:sz w:val="20"/>
                <w:szCs w:val="20"/>
                <w:color w:val="auto"/>
              </w:rPr>
            </w:pPr>
            <w:r>
              <w:rPr>
                <w:rFonts w:ascii="Arial" w:cs="Arial" w:eastAsia="Arial" w:hAnsi="Arial"/>
                <w:sz w:val="22"/>
                <w:szCs w:val="22"/>
                <w:color w:val="auto"/>
              </w:rPr>
              <w:t>173</w:t>
            </w: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jc w:val="center"/>
              <w:ind w:left="472"/>
              <w:spacing w:after="0" w:line="229" w:lineRule="exact"/>
              <w:rPr>
                <w:sz w:val="20"/>
                <w:szCs w:val="20"/>
                <w:color w:val="auto"/>
              </w:rPr>
            </w:pPr>
            <w:r>
              <w:rPr>
                <w:rFonts w:ascii="Arial" w:cs="Arial" w:eastAsia="Arial" w:hAnsi="Arial"/>
                <w:sz w:val="22"/>
                <w:szCs w:val="22"/>
                <w:color w:val="auto"/>
                <w:w w:val="88"/>
              </w:rPr>
              <w:t>Section 6.12</w:t>
            </w:r>
          </w:p>
        </w:tc>
        <w:tc>
          <w:tcPr>
            <w:tcW w:w="1100" w:type="dxa"/>
            <w:vAlign w:val="bottom"/>
            <w:gridSpan w:val="2"/>
          </w:tcPr>
          <w:p>
            <w:pPr>
              <w:ind w:left="100"/>
              <w:spacing w:after="0" w:line="229" w:lineRule="exact"/>
              <w:rPr>
                <w:sz w:val="20"/>
                <w:szCs w:val="20"/>
                <w:color w:val="auto"/>
              </w:rPr>
            </w:pPr>
            <w:r>
              <w:rPr>
                <w:rFonts w:ascii="Arial" w:cs="Arial" w:eastAsia="Arial" w:hAnsi="Arial"/>
                <w:sz w:val="22"/>
                <w:szCs w:val="22"/>
                <w:color w:val="auto"/>
                <w:w w:val="92"/>
              </w:rPr>
              <w:t>[Reserved]</w:t>
            </w:r>
          </w:p>
        </w:tc>
        <w:tc>
          <w:tcPr>
            <w:tcW w:w="120" w:type="dxa"/>
            <w:vAlign w:val="bottom"/>
          </w:tcPr>
          <w:p>
            <w:pPr>
              <w:spacing w:after="0"/>
              <w:rPr>
                <w:sz w:val="19"/>
                <w:szCs w:val="19"/>
                <w:color w:val="auto"/>
              </w:rPr>
            </w:pPr>
          </w:p>
        </w:tc>
        <w:tc>
          <w:tcPr>
            <w:tcW w:w="480" w:type="dxa"/>
            <w:vAlign w:val="bottom"/>
            <w:gridSpan w:val="2"/>
          </w:tcPr>
          <w:p>
            <w:pPr>
              <w:jc w:val="right"/>
              <w:ind w:right="12"/>
              <w:spacing w:after="0" w:line="229" w:lineRule="exact"/>
              <w:rPr>
                <w:sz w:val="20"/>
                <w:szCs w:val="20"/>
                <w:color w:val="auto"/>
              </w:rPr>
            </w:pPr>
            <w:r>
              <w:rPr>
                <w:rFonts w:ascii="Arial" w:cs="Arial" w:eastAsia="Arial" w:hAnsi="Arial"/>
                <w:sz w:val="22"/>
                <w:szCs w:val="22"/>
                <w:color w:val="auto"/>
                <w:w w:val="92"/>
              </w:rPr>
              <w:t>173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8"/>
              </w:rPr>
              <w:t>Section 6.13</w:t>
            </w:r>
          </w:p>
        </w:tc>
        <w:tc>
          <w:tcPr>
            <w:tcW w:w="2220" w:type="dxa"/>
            <w:vAlign w:val="bottom"/>
            <w:gridSpan w:val="7"/>
          </w:tcPr>
          <w:p>
            <w:pPr>
              <w:ind w:left="100"/>
              <w:spacing w:after="0" w:line="243" w:lineRule="exact"/>
              <w:rPr>
                <w:sz w:val="20"/>
                <w:szCs w:val="20"/>
                <w:color w:val="auto"/>
              </w:rPr>
            </w:pPr>
            <w:r>
              <w:rPr>
                <w:rFonts w:ascii="Arial" w:cs="Arial" w:eastAsia="Arial" w:hAnsi="Arial"/>
                <w:sz w:val="22"/>
                <w:szCs w:val="22"/>
                <w:color w:val="auto"/>
                <w:w w:val="92"/>
              </w:rPr>
              <w:t>Changes in Fiscal Year</w:t>
            </w:r>
          </w:p>
        </w:tc>
        <w:tc>
          <w:tcPr>
            <w:tcW w:w="4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173</w:t>
            </w: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820" w:type="dxa"/>
            <w:vAlign w:val="bottom"/>
          </w:tcPr>
          <w:p>
            <w:pPr>
              <w:jc w:val="center"/>
              <w:ind w:left="472"/>
              <w:spacing w:after="0"/>
              <w:rPr>
                <w:sz w:val="20"/>
                <w:szCs w:val="20"/>
                <w:color w:val="auto"/>
              </w:rPr>
            </w:pPr>
            <w:r>
              <w:rPr>
                <w:rFonts w:ascii="Arial" w:cs="Arial" w:eastAsia="Arial" w:hAnsi="Arial"/>
                <w:sz w:val="22"/>
                <w:szCs w:val="22"/>
                <w:color w:val="auto"/>
                <w:w w:val="88"/>
              </w:rPr>
              <w:t>Section 6.14</w:t>
            </w:r>
          </w:p>
        </w:tc>
        <w:tc>
          <w:tcPr>
            <w:tcW w:w="1100" w:type="dxa"/>
            <w:vAlign w:val="bottom"/>
            <w:gridSpan w:val="2"/>
          </w:tcPr>
          <w:p>
            <w:pPr>
              <w:ind w:left="100"/>
              <w:spacing w:after="0"/>
              <w:rPr>
                <w:sz w:val="20"/>
                <w:szCs w:val="20"/>
                <w:color w:val="auto"/>
              </w:rPr>
            </w:pPr>
            <w:r>
              <w:rPr>
                <w:rFonts w:ascii="Arial" w:cs="Arial" w:eastAsia="Arial" w:hAnsi="Arial"/>
                <w:sz w:val="22"/>
                <w:szCs w:val="22"/>
                <w:color w:val="auto"/>
              </w:rPr>
              <w:t>Holdings</w:t>
            </w:r>
          </w:p>
        </w:tc>
        <w:tc>
          <w:tcPr>
            <w:tcW w:w="420" w:type="dxa"/>
            <w:vAlign w:val="bottom"/>
            <w:gridSpan w:val="2"/>
          </w:tcPr>
          <w:p>
            <w:pPr>
              <w:jc w:val="right"/>
              <w:spacing w:after="0"/>
              <w:rPr>
                <w:sz w:val="20"/>
                <w:szCs w:val="20"/>
                <w:color w:val="auto"/>
              </w:rPr>
            </w:pPr>
            <w:r>
              <w:rPr>
                <w:rFonts w:ascii="Arial" w:cs="Arial" w:eastAsia="Arial" w:hAnsi="Arial"/>
                <w:sz w:val="22"/>
                <w:szCs w:val="22"/>
                <w:color w:val="auto"/>
                <w:w w:val="81"/>
              </w:rPr>
              <w:t>173</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39"/>
          </w:cols>
          <w:pgMar w:left="320" w:top="139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0"/>
          <w:szCs w:val="10"/>
          <w:u w:val="single" w:color="auto"/>
          <w:color w:val="0000FF"/>
        </w:rPr>
        <w:t>#97036997v3</w:t>
      </w:r>
    </w:p>
    <w:p>
      <w:pPr>
        <w:sectPr>
          <w:pgSz w:w="11900" w:h="16838" w:orient="portrait"/>
          <w:cols w:equalWidth="0" w:num="1">
            <w:col w:w="10139"/>
          </w:cols>
          <w:pgMar w:left="320" w:top="1391" w:right="1440" w:bottom="1440" w:gutter="0" w:footer="0" w:header="0"/>
          <w:type w:val="continuous"/>
        </w:sectPr>
      </w:pPr>
    </w:p>
    <w:bookmarkStart w:id="287" w:name="page288"/>
    <w:bookmarkEnd w:id="287"/>
    <w:p>
      <w:pPr>
        <w:spacing w:after="0" w:line="158" w:lineRule="exact"/>
        <w:rPr>
          <w:sz w:val="20"/>
          <w:szCs w:val="20"/>
          <w:color w:val="auto"/>
        </w:rPr>
      </w:pPr>
    </w:p>
    <w:p>
      <w:pPr>
        <w:spacing w:after="0"/>
        <w:tabs>
          <w:tab w:leader="none" w:pos="3200" w:val="left"/>
        </w:tabs>
        <w:rPr>
          <w:sz w:val="20"/>
          <w:szCs w:val="20"/>
          <w:color w:val="auto"/>
        </w:rPr>
      </w:pPr>
      <w:r>
        <w:rPr>
          <w:rFonts w:ascii="Arial" w:cs="Arial" w:eastAsia="Arial" w:hAnsi="Arial"/>
          <w:sz w:val="22"/>
          <w:szCs w:val="22"/>
          <w:b w:val="1"/>
          <w:bCs w:val="1"/>
          <w:color w:val="auto"/>
        </w:rPr>
        <w:t>ARTICLE VII Events of Default</w:t>
      </w:r>
      <w:r>
        <w:rPr>
          <w:sz w:val="20"/>
          <w:szCs w:val="20"/>
          <w:color w:val="auto"/>
        </w:rPr>
        <w:tab/>
      </w:r>
      <w:r>
        <w:rPr>
          <w:rFonts w:ascii="Arial" w:cs="Arial" w:eastAsia="Arial" w:hAnsi="Arial"/>
          <w:sz w:val="19"/>
          <w:szCs w:val="19"/>
          <w:b w:val="1"/>
          <w:bCs w:val="1"/>
          <w:color w:val="auto"/>
        </w:rPr>
        <w:t>174</w:t>
      </w:r>
    </w:p>
    <w:p>
      <w:pPr>
        <w:ind w:left="660"/>
        <w:spacing w:after="0"/>
        <w:tabs>
          <w:tab w:leader="none" w:pos="1900" w:val="left"/>
          <w:tab w:leader="none" w:pos="3640" w:val="left"/>
        </w:tabs>
        <w:rPr>
          <w:sz w:val="20"/>
          <w:szCs w:val="20"/>
          <w:color w:val="auto"/>
        </w:rPr>
      </w:pPr>
      <w:r>
        <w:rPr>
          <w:rFonts w:ascii="Arial" w:cs="Arial" w:eastAsia="Arial" w:hAnsi="Arial"/>
          <w:sz w:val="22"/>
          <w:szCs w:val="22"/>
          <w:color w:val="auto"/>
        </w:rPr>
        <w:t>Section 7.01</w:t>
        <w:tab/>
        <w:t>Events of Default</w:t>
      </w:r>
      <w:r>
        <w:rPr>
          <w:sz w:val="20"/>
          <w:szCs w:val="20"/>
          <w:color w:val="auto"/>
        </w:rPr>
        <w:tab/>
      </w:r>
      <w:r>
        <w:rPr>
          <w:rFonts w:ascii="Arial" w:cs="Arial" w:eastAsia="Arial" w:hAnsi="Arial"/>
          <w:sz w:val="19"/>
          <w:szCs w:val="19"/>
          <w:color w:val="auto"/>
        </w:rPr>
        <w:t>174</w:t>
      </w:r>
    </w:p>
    <w:p>
      <w:pPr>
        <w:ind w:left="660"/>
        <w:spacing w:after="0"/>
        <w:tabs>
          <w:tab w:leader="none" w:pos="1900" w:val="left"/>
          <w:tab w:leader="none" w:pos="3060" w:val="left"/>
        </w:tabs>
        <w:rPr>
          <w:sz w:val="20"/>
          <w:szCs w:val="20"/>
          <w:color w:val="auto"/>
        </w:rPr>
      </w:pPr>
      <w:r>
        <w:rPr>
          <w:rFonts w:ascii="Arial" w:cs="Arial" w:eastAsia="Arial" w:hAnsi="Arial"/>
          <w:sz w:val="22"/>
          <w:szCs w:val="22"/>
          <w:color w:val="auto"/>
        </w:rPr>
        <w:t>Section 7.02</w:t>
        <w:tab/>
        <w:t>[Reserved]</w:t>
      </w:r>
      <w:r>
        <w:rPr>
          <w:sz w:val="20"/>
          <w:szCs w:val="20"/>
          <w:color w:val="auto"/>
        </w:rPr>
        <w:tab/>
      </w:r>
      <w:r>
        <w:rPr>
          <w:rFonts w:ascii="Arial" w:cs="Arial" w:eastAsia="Arial" w:hAnsi="Arial"/>
          <w:sz w:val="19"/>
          <w:szCs w:val="19"/>
          <w:color w:val="auto"/>
        </w:rPr>
        <w:t>178</w:t>
      </w:r>
    </w:p>
    <w:p>
      <w:pPr>
        <w:ind w:left="660"/>
        <w:spacing w:after="0"/>
        <w:tabs>
          <w:tab w:leader="none" w:pos="1900" w:val="left"/>
          <w:tab w:leader="none" w:pos="4200" w:val="left"/>
        </w:tabs>
        <w:rPr>
          <w:sz w:val="20"/>
          <w:szCs w:val="20"/>
          <w:color w:val="auto"/>
        </w:rPr>
      </w:pPr>
      <w:r>
        <w:rPr>
          <w:rFonts w:ascii="Arial" w:cs="Arial" w:eastAsia="Arial" w:hAnsi="Arial"/>
          <w:sz w:val="22"/>
          <w:szCs w:val="22"/>
          <w:color w:val="auto"/>
        </w:rPr>
        <w:t>Section 7.03</w:t>
        <w:tab/>
        <w:t>Application of Proceeds</w:t>
      </w:r>
      <w:r>
        <w:rPr>
          <w:sz w:val="20"/>
          <w:szCs w:val="20"/>
          <w:color w:val="auto"/>
        </w:rPr>
        <w:tab/>
      </w:r>
      <w:r>
        <w:rPr>
          <w:rFonts w:ascii="Arial" w:cs="Arial" w:eastAsia="Arial" w:hAnsi="Arial"/>
          <w:sz w:val="19"/>
          <w:szCs w:val="19"/>
          <w:color w:val="auto"/>
        </w:rPr>
        <w:t>178</w:t>
      </w:r>
    </w:p>
    <w:p>
      <w:pPr>
        <w:spacing w:after="0" w:line="1" w:lineRule="exact"/>
        <w:rPr>
          <w:sz w:val="20"/>
          <w:szCs w:val="20"/>
          <w:color w:val="auto"/>
        </w:rPr>
      </w:pPr>
    </w:p>
    <w:p>
      <w:pPr>
        <w:ind w:left="660"/>
        <w:spacing w:after="0"/>
        <w:tabs>
          <w:tab w:leader="none" w:pos="1900" w:val="left"/>
          <w:tab w:leader="none" w:pos="3280" w:val="left"/>
        </w:tabs>
        <w:rPr>
          <w:sz w:val="20"/>
          <w:szCs w:val="20"/>
          <w:color w:val="auto"/>
        </w:rPr>
      </w:pPr>
      <w:r>
        <w:rPr>
          <w:rFonts w:ascii="Arial" w:cs="Arial" w:eastAsia="Arial" w:hAnsi="Arial"/>
          <w:sz w:val="22"/>
          <w:szCs w:val="22"/>
          <w:color w:val="auto"/>
        </w:rPr>
        <w:t>Section 7.04</w:t>
        <w:tab/>
        <w:t>Right to Cure</w:t>
      </w:r>
      <w:r>
        <w:rPr>
          <w:sz w:val="20"/>
          <w:szCs w:val="20"/>
          <w:color w:val="auto"/>
        </w:rPr>
        <w:tab/>
      </w:r>
      <w:r>
        <w:rPr>
          <w:rFonts w:ascii="Arial" w:cs="Arial" w:eastAsia="Arial" w:hAnsi="Arial"/>
          <w:sz w:val="19"/>
          <w:szCs w:val="19"/>
          <w:color w:val="auto"/>
        </w:rPr>
        <w:t>179</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80" w:type="dxa"/>
            <w:vAlign w:val="bottom"/>
            <w:gridSpan w:val="5"/>
          </w:tcPr>
          <w:p>
            <w:pPr>
              <w:spacing w:after="0"/>
              <w:rPr>
                <w:sz w:val="20"/>
                <w:szCs w:val="20"/>
                <w:color w:val="auto"/>
              </w:rPr>
            </w:pPr>
            <w:r>
              <w:rPr>
                <w:rFonts w:ascii="Arial" w:cs="Arial" w:eastAsia="Arial" w:hAnsi="Arial"/>
                <w:sz w:val="22"/>
                <w:szCs w:val="22"/>
                <w:b w:val="1"/>
                <w:bCs w:val="1"/>
                <w:color w:val="auto"/>
                <w:w w:val="93"/>
              </w:rPr>
              <w:t>ARTICLE VIII The Administrative Agent and Collateral Agent</w:t>
            </w:r>
          </w:p>
        </w:tc>
        <w:tc>
          <w:tcPr>
            <w:tcW w:w="3260" w:type="dxa"/>
            <w:vAlign w:val="bottom"/>
          </w:tcPr>
          <w:p>
            <w:pPr>
              <w:jc w:val="right"/>
              <w:ind w:right="2632"/>
              <w:spacing w:after="0"/>
              <w:rPr>
                <w:sz w:val="20"/>
                <w:szCs w:val="20"/>
                <w:color w:val="auto"/>
              </w:rPr>
            </w:pPr>
            <w:r>
              <w:rPr>
                <w:rFonts w:ascii="Arial" w:cs="Arial" w:eastAsia="Arial" w:hAnsi="Arial"/>
                <w:sz w:val="22"/>
                <w:szCs w:val="22"/>
                <w:b w:val="1"/>
                <w:bCs w:val="1"/>
                <w:color w:val="auto"/>
              </w:rPr>
              <w:t>180</w:t>
            </w:r>
          </w:p>
        </w:tc>
      </w:tr>
      <w:tr>
        <w:trPr>
          <w:trHeight w:val="229"/>
        </w:trPr>
        <w:tc>
          <w:tcPr>
            <w:tcW w:w="1820" w:type="dxa"/>
            <w:vAlign w:val="bottom"/>
          </w:tcPr>
          <w:p>
            <w:pPr>
              <w:ind w:left="660"/>
              <w:spacing w:after="0" w:line="229" w:lineRule="exact"/>
              <w:rPr>
                <w:sz w:val="20"/>
                <w:szCs w:val="20"/>
                <w:color w:val="auto"/>
              </w:rPr>
            </w:pPr>
            <w:r>
              <w:rPr>
                <w:rFonts w:ascii="Arial" w:cs="Arial" w:eastAsia="Arial" w:hAnsi="Arial"/>
                <w:sz w:val="22"/>
                <w:szCs w:val="22"/>
                <w:color w:val="auto"/>
                <w:w w:val="93"/>
              </w:rPr>
              <w:t>Section 8.01</w:t>
            </w:r>
          </w:p>
        </w:tc>
        <w:tc>
          <w:tcPr>
            <w:tcW w:w="2220" w:type="dxa"/>
            <w:vAlign w:val="bottom"/>
            <w:gridSpan w:val="2"/>
          </w:tcPr>
          <w:p>
            <w:pPr>
              <w:ind w:left="100"/>
              <w:spacing w:after="0" w:line="229" w:lineRule="exact"/>
              <w:rPr>
                <w:sz w:val="20"/>
                <w:szCs w:val="20"/>
                <w:color w:val="auto"/>
              </w:rPr>
            </w:pPr>
            <w:r>
              <w:rPr>
                <w:rFonts w:ascii="Arial" w:cs="Arial" w:eastAsia="Arial" w:hAnsi="Arial"/>
                <w:sz w:val="22"/>
                <w:szCs w:val="22"/>
                <w:color w:val="auto"/>
                <w:w w:val="94"/>
              </w:rPr>
              <w:t>Appointment of Agents</w:t>
            </w:r>
          </w:p>
        </w:tc>
        <w:tc>
          <w:tcPr>
            <w:tcW w:w="740" w:type="dxa"/>
            <w:vAlign w:val="bottom"/>
          </w:tcPr>
          <w:p>
            <w:pPr>
              <w:jc w:val="right"/>
              <w:ind w:right="192"/>
              <w:spacing w:after="0" w:line="229" w:lineRule="exact"/>
              <w:rPr>
                <w:sz w:val="20"/>
                <w:szCs w:val="20"/>
                <w:color w:val="auto"/>
              </w:rPr>
            </w:pPr>
            <w:r>
              <w:rPr>
                <w:rFonts w:ascii="Arial" w:cs="Arial" w:eastAsia="Arial" w:hAnsi="Arial"/>
                <w:sz w:val="22"/>
                <w:szCs w:val="22"/>
                <w:color w:val="auto"/>
              </w:rPr>
              <w:t>180</w:t>
            </w:r>
          </w:p>
        </w:tc>
        <w:tc>
          <w:tcPr>
            <w:tcW w:w="110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8.02</w:t>
            </w:r>
          </w:p>
        </w:tc>
        <w:tc>
          <w:tcPr>
            <w:tcW w:w="1640" w:type="dxa"/>
            <w:vAlign w:val="bottom"/>
          </w:tcPr>
          <w:p>
            <w:pPr>
              <w:ind w:left="100"/>
              <w:spacing w:after="0" w:line="243" w:lineRule="exact"/>
              <w:rPr>
                <w:sz w:val="20"/>
                <w:szCs w:val="20"/>
                <w:color w:val="auto"/>
              </w:rPr>
            </w:pPr>
            <w:r>
              <w:rPr>
                <w:rFonts w:ascii="Arial" w:cs="Arial" w:eastAsia="Arial" w:hAnsi="Arial"/>
                <w:sz w:val="22"/>
                <w:szCs w:val="22"/>
                <w:color w:val="auto"/>
                <w:w w:val="94"/>
              </w:rPr>
              <w:t>Rights of Lender</w:t>
            </w:r>
          </w:p>
        </w:tc>
        <w:tc>
          <w:tcPr>
            <w:tcW w:w="580" w:type="dxa"/>
            <w:vAlign w:val="bottom"/>
          </w:tcPr>
          <w:p>
            <w:pPr>
              <w:jc w:val="right"/>
              <w:ind w:right="12"/>
              <w:spacing w:after="0" w:line="243" w:lineRule="exact"/>
              <w:rPr>
                <w:sz w:val="20"/>
                <w:szCs w:val="20"/>
                <w:color w:val="auto"/>
              </w:rPr>
            </w:pPr>
            <w:r>
              <w:rPr>
                <w:rFonts w:ascii="Arial" w:cs="Arial" w:eastAsia="Arial" w:hAnsi="Arial"/>
                <w:sz w:val="22"/>
                <w:szCs w:val="22"/>
                <w:color w:val="auto"/>
              </w:rPr>
              <w:t>181</w:t>
            </w: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60" w:type="dxa"/>
            <w:vAlign w:val="bottom"/>
          </w:tcPr>
          <w:p>
            <w:pPr>
              <w:spacing w:after="0"/>
              <w:rPr>
                <w:sz w:val="21"/>
                <w:szCs w:val="2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8.03</w:t>
            </w:r>
          </w:p>
        </w:tc>
        <w:tc>
          <w:tcPr>
            <w:tcW w:w="2220" w:type="dxa"/>
            <w:vAlign w:val="bottom"/>
            <w:gridSpan w:val="2"/>
          </w:tcPr>
          <w:p>
            <w:pPr>
              <w:ind w:left="100"/>
              <w:spacing w:after="0" w:line="243" w:lineRule="exact"/>
              <w:rPr>
                <w:sz w:val="20"/>
                <w:szCs w:val="20"/>
                <w:color w:val="auto"/>
              </w:rPr>
            </w:pPr>
            <w:r>
              <w:rPr>
                <w:rFonts w:ascii="Arial" w:cs="Arial" w:eastAsia="Arial" w:hAnsi="Arial"/>
                <w:sz w:val="22"/>
                <w:szCs w:val="22"/>
                <w:color w:val="auto"/>
                <w:w w:val="94"/>
              </w:rPr>
              <w:t>Exculpatory Provisions</w:t>
            </w:r>
          </w:p>
        </w:tc>
        <w:tc>
          <w:tcPr>
            <w:tcW w:w="74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181</w:t>
            </w:r>
          </w:p>
        </w:tc>
        <w:tc>
          <w:tcPr>
            <w:tcW w:w="1100" w:type="dxa"/>
            <w:vAlign w:val="bottom"/>
          </w:tcPr>
          <w:p>
            <w:pPr>
              <w:spacing w:after="0"/>
              <w:rPr>
                <w:sz w:val="21"/>
                <w:szCs w:val="21"/>
                <w:color w:val="auto"/>
              </w:rPr>
            </w:pPr>
          </w:p>
        </w:tc>
        <w:tc>
          <w:tcPr>
            <w:tcW w:w="3260" w:type="dxa"/>
            <w:vAlign w:val="bottom"/>
          </w:tcPr>
          <w:p>
            <w:pPr>
              <w:spacing w:after="0"/>
              <w:rPr>
                <w:sz w:val="21"/>
                <w:szCs w:val="21"/>
                <w:color w:val="auto"/>
              </w:rPr>
            </w:pPr>
          </w:p>
        </w:tc>
      </w:tr>
      <w:tr>
        <w:trPr>
          <w:trHeight w:val="229"/>
        </w:trPr>
        <w:tc>
          <w:tcPr>
            <w:tcW w:w="1820" w:type="dxa"/>
            <w:vAlign w:val="bottom"/>
          </w:tcPr>
          <w:p>
            <w:pPr>
              <w:ind w:left="660"/>
              <w:spacing w:after="0" w:line="229" w:lineRule="exact"/>
              <w:rPr>
                <w:sz w:val="20"/>
                <w:szCs w:val="20"/>
                <w:color w:val="auto"/>
              </w:rPr>
            </w:pPr>
            <w:r>
              <w:rPr>
                <w:rFonts w:ascii="Arial" w:cs="Arial" w:eastAsia="Arial" w:hAnsi="Arial"/>
                <w:sz w:val="22"/>
                <w:szCs w:val="22"/>
                <w:color w:val="auto"/>
                <w:w w:val="93"/>
              </w:rPr>
              <w:t>Section 8.04</w:t>
            </w:r>
          </w:p>
        </w:tc>
        <w:tc>
          <w:tcPr>
            <w:tcW w:w="7320" w:type="dxa"/>
            <w:vAlign w:val="bottom"/>
            <w:gridSpan w:val="5"/>
          </w:tcPr>
          <w:p>
            <w:pPr>
              <w:ind w:left="100"/>
              <w:spacing w:after="0" w:line="229" w:lineRule="exact"/>
              <w:rPr>
                <w:sz w:val="20"/>
                <w:szCs w:val="20"/>
                <w:color w:val="auto"/>
              </w:rPr>
            </w:pPr>
            <w:r>
              <w:rPr>
                <w:rFonts w:ascii="Arial" w:cs="Arial" w:eastAsia="Arial" w:hAnsi="Arial"/>
                <w:sz w:val="22"/>
                <w:szCs w:val="22"/>
                <w:color w:val="auto"/>
              </w:rPr>
              <w:t>Reliance by Administrative Agent and Collateral Agent  182</w:t>
            </w: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8.05</w:t>
            </w:r>
          </w:p>
        </w:tc>
        <w:tc>
          <w:tcPr>
            <w:tcW w:w="296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Delegation of Duties  182</w:t>
            </w:r>
          </w:p>
        </w:tc>
        <w:tc>
          <w:tcPr>
            <w:tcW w:w="1100" w:type="dxa"/>
            <w:vAlign w:val="bottom"/>
          </w:tcPr>
          <w:p>
            <w:pPr>
              <w:spacing w:after="0"/>
              <w:rPr>
                <w:sz w:val="21"/>
                <w:szCs w:val="21"/>
                <w:color w:val="auto"/>
              </w:rPr>
            </w:pPr>
          </w:p>
        </w:tc>
        <w:tc>
          <w:tcPr>
            <w:tcW w:w="3260" w:type="dxa"/>
            <w:vAlign w:val="bottom"/>
          </w:tcPr>
          <w:p>
            <w:pPr>
              <w:spacing w:after="0"/>
              <w:rPr>
                <w:sz w:val="21"/>
                <w:szCs w:val="2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8.06</w:t>
            </w:r>
          </w:p>
        </w:tc>
        <w:tc>
          <w:tcPr>
            <w:tcW w:w="7320" w:type="dxa"/>
            <w:vAlign w:val="bottom"/>
            <w:gridSpan w:val="5"/>
          </w:tcPr>
          <w:p>
            <w:pPr>
              <w:ind w:left="100"/>
              <w:spacing w:after="0" w:line="243" w:lineRule="exact"/>
              <w:rPr>
                <w:sz w:val="20"/>
                <w:szCs w:val="20"/>
                <w:color w:val="auto"/>
              </w:rPr>
            </w:pPr>
            <w:r>
              <w:rPr>
                <w:rFonts w:ascii="Arial" w:cs="Arial" w:eastAsia="Arial" w:hAnsi="Arial"/>
                <w:sz w:val="22"/>
                <w:szCs w:val="22"/>
                <w:color w:val="auto"/>
                <w:w w:val="90"/>
              </w:rPr>
              <w:t>Resignation of Agents; Successor, Administrative Agent and Collateral Agent  183</w:t>
            </w:r>
          </w:p>
        </w:tc>
      </w:tr>
      <w:tr>
        <w:trPr>
          <w:trHeight w:val="229"/>
        </w:trPr>
        <w:tc>
          <w:tcPr>
            <w:tcW w:w="1820" w:type="dxa"/>
            <w:vAlign w:val="bottom"/>
          </w:tcPr>
          <w:p>
            <w:pPr>
              <w:ind w:left="660"/>
              <w:spacing w:after="0" w:line="229" w:lineRule="exact"/>
              <w:rPr>
                <w:sz w:val="20"/>
                <w:szCs w:val="20"/>
                <w:color w:val="auto"/>
              </w:rPr>
            </w:pPr>
            <w:r>
              <w:rPr>
                <w:rFonts w:ascii="Arial" w:cs="Arial" w:eastAsia="Arial" w:hAnsi="Arial"/>
                <w:sz w:val="22"/>
                <w:szCs w:val="22"/>
                <w:color w:val="auto"/>
                <w:w w:val="93"/>
              </w:rPr>
              <w:t>Section 8.07</w:t>
            </w:r>
          </w:p>
        </w:tc>
        <w:tc>
          <w:tcPr>
            <w:tcW w:w="4060" w:type="dxa"/>
            <w:vAlign w:val="bottom"/>
            <w:gridSpan w:val="4"/>
          </w:tcPr>
          <w:p>
            <w:pPr>
              <w:ind w:left="100"/>
              <w:spacing w:after="0" w:line="229" w:lineRule="exact"/>
              <w:rPr>
                <w:sz w:val="20"/>
                <w:szCs w:val="20"/>
                <w:color w:val="auto"/>
              </w:rPr>
            </w:pPr>
            <w:r>
              <w:rPr>
                <w:rFonts w:ascii="Arial" w:cs="Arial" w:eastAsia="Arial" w:hAnsi="Arial"/>
                <w:sz w:val="22"/>
                <w:szCs w:val="22"/>
                <w:color w:val="auto"/>
                <w:w w:val="92"/>
              </w:rPr>
              <w:t>Non-Reliance on Agents and Other Lenders</w:t>
            </w:r>
          </w:p>
        </w:tc>
        <w:tc>
          <w:tcPr>
            <w:tcW w:w="3260" w:type="dxa"/>
            <w:vAlign w:val="bottom"/>
          </w:tcPr>
          <w:p>
            <w:pPr>
              <w:jc w:val="right"/>
              <w:ind w:right="2792"/>
              <w:spacing w:after="0" w:line="229" w:lineRule="exact"/>
              <w:rPr>
                <w:sz w:val="20"/>
                <w:szCs w:val="20"/>
                <w:color w:val="auto"/>
              </w:rPr>
            </w:pPr>
            <w:r>
              <w:rPr>
                <w:rFonts w:ascii="Arial" w:cs="Arial" w:eastAsia="Arial" w:hAnsi="Arial"/>
                <w:sz w:val="22"/>
                <w:szCs w:val="22"/>
                <w:color w:val="auto"/>
                <w:w w:val="92"/>
              </w:rPr>
              <w:t>184</w:t>
            </w: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8.08</w:t>
            </w:r>
          </w:p>
        </w:tc>
        <w:tc>
          <w:tcPr>
            <w:tcW w:w="1640" w:type="dxa"/>
            <w:vAlign w:val="bottom"/>
          </w:tcPr>
          <w:p>
            <w:pPr>
              <w:ind w:left="100"/>
              <w:spacing w:after="0" w:line="243" w:lineRule="exact"/>
              <w:rPr>
                <w:sz w:val="20"/>
                <w:szCs w:val="20"/>
                <w:color w:val="auto"/>
              </w:rPr>
            </w:pPr>
            <w:r>
              <w:rPr>
                <w:rFonts w:ascii="Arial" w:cs="Arial" w:eastAsia="Arial" w:hAnsi="Arial"/>
                <w:sz w:val="22"/>
                <w:szCs w:val="22"/>
                <w:color w:val="auto"/>
                <w:w w:val="96"/>
              </w:rPr>
              <w:t>No Other Duties</w:t>
            </w:r>
          </w:p>
        </w:tc>
        <w:tc>
          <w:tcPr>
            <w:tcW w:w="580" w:type="dxa"/>
            <w:vAlign w:val="bottom"/>
          </w:tcPr>
          <w:p>
            <w:pPr>
              <w:jc w:val="right"/>
              <w:ind w:right="52"/>
              <w:spacing w:after="0" w:line="243" w:lineRule="exact"/>
              <w:rPr>
                <w:sz w:val="20"/>
                <w:szCs w:val="20"/>
                <w:color w:val="auto"/>
              </w:rPr>
            </w:pPr>
            <w:r>
              <w:rPr>
                <w:rFonts w:ascii="Arial" w:cs="Arial" w:eastAsia="Arial" w:hAnsi="Arial"/>
                <w:sz w:val="22"/>
                <w:szCs w:val="22"/>
                <w:color w:val="auto"/>
              </w:rPr>
              <w:t>184</w:t>
            </w: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60" w:type="dxa"/>
            <w:vAlign w:val="bottom"/>
          </w:tcPr>
          <w:p>
            <w:pPr>
              <w:spacing w:after="0"/>
              <w:rPr>
                <w:sz w:val="21"/>
                <w:szCs w:val="2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8.09</w:t>
            </w:r>
          </w:p>
        </w:tc>
        <w:tc>
          <w:tcPr>
            <w:tcW w:w="296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1"/>
              </w:rPr>
              <w:t>Collateral and Guaranty Matters</w:t>
            </w:r>
          </w:p>
        </w:tc>
        <w:tc>
          <w:tcPr>
            <w:tcW w:w="110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184</w:t>
            </w:r>
          </w:p>
        </w:tc>
        <w:tc>
          <w:tcPr>
            <w:tcW w:w="3260" w:type="dxa"/>
            <w:vAlign w:val="bottom"/>
          </w:tcPr>
          <w:p>
            <w:pPr>
              <w:spacing w:after="0"/>
              <w:rPr>
                <w:sz w:val="21"/>
                <w:szCs w:val="21"/>
                <w:color w:val="auto"/>
              </w:rPr>
            </w:pPr>
          </w:p>
        </w:tc>
      </w:tr>
      <w:tr>
        <w:trPr>
          <w:trHeight w:val="230"/>
        </w:trPr>
        <w:tc>
          <w:tcPr>
            <w:tcW w:w="1820" w:type="dxa"/>
            <w:vAlign w:val="bottom"/>
          </w:tcPr>
          <w:p>
            <w:pPr>
              <w:ind w:left="660"/>
              <w:spacing w:after="0" w:line="229" w:lineRule="exact"/>
              <w:rPr>
                <w:sz w:val="20"/>
                <w:szCs w:val="20"/>
                <w:color w:val="auto"/>
              </w:rPr>
            </w:pPr>
            <w:r>
              <w:rPr>
                <w:rFonts w:ascii="Arial" w:cs="Arial" w:eastAsia="Arial" w:hAnsi="Arial"/>
                <w:sz w:val="22"/>
                <w:szCs w:val="22"/>
                <w:color w:val="auto"/>
                <w:w w:val="93"/>
              </w:rPr>
              <w:t>Section 8.10</w:t>
            </w:r>
          </w:p>
        </w:tc>
        <w:tc>
          <w:tcPr>
            <w:tcW w:w="7320" w:type="dxa"/>
            <w:vAlign w:val="bottom"/>
            <w:gridSpan w:val="5"/>
          </w:tcPr>
          <w:p>
            <w:pPr>
              <w:ind w:left="100"/>
              <w:spacing w:after="0" w:line="229" w:lineRule="exact"/>
              <w:rPr>
                <w:sz w:val="20"/>
                <w:szCs w:val="20"/>
                <w:color w:val="auto"/>
              </w:rPr>
            </w:pPr>
            <w:r>
              <w:rPr>
                <w:rFonts w:ascii="Arial" w:cs="Arial" w:eastAsia="Arial" w:hAnsi="Arial"/>
                <w:sz w:val="22"/>
                <w:szCs w:val="22"/>
                <w:color w:val="auto"/>
              </w:rPr>
              <w:t>Secured Swap Agents and Secured Cash Management Agents  185</w:t>
            </w: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8.11</w:t>
            </w:r>
          </w:p>
        </w:tc>
        <w:tc>
          <w:tcPr>
            <w:tcW w:w="1640" w:type="dxa"/>
            <w:vAlign w:val="bottom"/>
          </w:tcPr>
          <w:p>
            <w:pPr>
              <w:ind w:left="80"/>
              <w:spacing w:after="0" w:line="243" w:lineRule="exact"/>
              <w:rPr>
                <w:sz w:val="20"/>
                <w:szCs w:val="20"/>
                <w:color w:val="auto"/>
              </w:rPr>
            </w:pPr>
            <w:r>
              <w:rPr>
                <w:rFonts w:ascii="Arial" w:cs="Arial" w:eastAsia="Arial" w:hAnsi="Arial"/>
                <w:sz w:val="22"/>
                <w:szCs w:val="22"/>
                <w:color w:val="auto"/>
                <w:w w:val="97"/>
              </w:rPr>
              <w:t>Withholding Tax</w:t>
            </w:r>
          </w:p>
        </w:tc>
        <w:tc>
          <w:tcPr>
            <w:tcW w:w="580" w:type="dxa"/>
            <w:vAlign w:val="bottom"/>
          </w:tcPr>
          <w:p>
            <w:pPr>
              <w:jc w:val="right"/>
              <w:ind w:right="32"/>
              <w:spacing w:after="0" w:line="243" w:lineRule="exact"/>
              <w:rPr>
                <w:sz w:val="20"/>
                <w:szCs w:val="20"/>
                <w:color w:val="auto"/>
              </w:rPr>
            </w:pPr>
            <w:r>
              <w:rPr>
                <w:rFonts w:ascii="Arial" w:cs="Arial" w:eastAsia="Arial" w:hAnsi="Arial"/>
                <w:sz w:val="22"/>
                <w:szCs w:val="22"/>
                <w:color w:val="auto"/>
              </w:rPr>
              <w:t>186</w:t>
            </w: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60" w:type="dxa"/>
            <w:vAlign w:val="bottom"/>
          </w:tcPr>
          <w:p>
            <w:pPr>
              <w:spacing w:after="0"/>
              <w:rPr>
                <w:sz w:val="21"/>
                <w:szCs w:val="2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8.12</w:t>
            </w:r>
          </w:p>
        </w:tc>
        <w:tc>
          <w:tcPr>
            <w:tcW w:w="7320" w:type="dxa"/>
            <w:vAlign w:val="bottom"/>
            <w:gridSpan w:val="5"/>
          </w:tcPr>
          <w:p>
            <w:pPr>
              <w:ind w:left="100"/>
              <w:spacing w:after="0" w:line="243" w:lineRule="exact"/>
              <w:rPr>
                <w:sz w:val="20"/>
                <w:szCs w:val="20"/>
                <w:color w:val="auto"/>
              </w:rPr>
            </w:pPr>
            <w:r>
              <w:rPr>
                <w:rFonts w:ascii="Arial" w:cs="Arial" w:eastAsia="Arial" w:hAnsi="Arial"/>
                <w:sz w:val="22"/>
                <w:szCs w:val="22"/>
                <w:color w:val="auto"/>
              </w:rPr>
              <w:t>Administrative Agent and Collateral Agent May File Proofs of Claim  186</w:t>
            </w:r>
          </w:p>
        </w:tc>
      </w:tr>
      <w:tr>
        <w:trPr>
          <w:trHeight w:val="274"/>
        </w:trPr>
        <w:tc>
          <w:tcPr>
            <w:tcW w:w="1820" w:type="dxa"/>
            <w:vAlign w:val="bottom"/>
          </w:tcPr>
          <w:p>
            <w:pPr>
              <w:ind w:left="660"/>
              <w:spacing w:after="0"/>
              <w:rPr>
                <w:sz w:val="20"/>
                <w:szCs w:val="20"/>
                <w:color w:val="auto"/>
              </w:rPr>
            </w:pPr>
            <w:r>
              <w:rPr>
                <w:rFonts w:ascii="Arial" w:cs="Arial" w:eastAsia="Arial" w:hAnsi="Arial"/>
                <w:sz w:val="22"/>
                <w:szCs w:val="22"/>
                <w:color w:val="auto"/>
                <w:w w:val="93"/>
              </w:rPr>
              <w:t>Section 8.13</w:t>
            </w:r>
          </w:p>
        </w:tc>
        <w:tc>
          <w:tcPr>
            <w:tcW w:w="2960" w:type="dxa"/>
            <w:vAlign w:val="bottom"/>
            <w:gridSpan w:val="3"/>
          </w:tcPr>
          <w:p>
            <w:pPr>
              <w:ind w:left="100"/>
              <w:spacing w:after="0"/>
              <w:rPr>
                <w:sz w:val="20"/>
                <w:szCs w:val="20"/>
                <w:color w:val="auto"/>
              </w:rPr>
            </w:pPr>
            <w:r>
              <w:rPr>
                <w:rFonts w:ascii="Arial" w:cs="Arial" w:eastAsia="Arial" w:hAnsi="Arial"/>
                <w:sz w:val="22"/>
                <w:szCs w:val="22"/>
                <w:color w:val="auto"/>
                <w:w w:val="92"/>
              </w:rPr>
              <w:t>Lender ERISA Representations</w:t>
            </w:r>
          </w:p>
        </w:tc>
        <w:tc>
          <w:tcPr>
            <w:tcW w:w="1100" w:type="dxa"/>
            <w:vAlign w:val="bottom"/>
          </w:tcPr>
          <w:p>
            <w:pPr>
              <w:jc w:val="right"/>
              <w:ind w:right="612"/>
              <w:spacing w:after="0"/>
              <w:rPr>
                <w:sz w:val="20"/>
                <w:szCs w:val="20"/>
                <w:color w:val="auto"/>
              </w:rPr>
            </w:pPr>
            <w:r>
              <w:rPr>
                <w:rFonts w:ascii="Arial" w:cs="Arial" w:eastAsia="Arial" w:hAnsi="Arial"/>
                <w:sz w:val="22"/>
                <w:szCs w:val="22"/>
                <w:color w:val="auto"/>
                <w:w w:val="97"/>
              </w:rPr>
              <w:t>187</w:t>
            </w:r>
          </w:p>
        </w:tc>
        <w:tc>
          <w:tcPr>
            <w:tcW w:w="3260" w:type="dxa"/>
            <w:vAlign w:val="bottom"/>
          </w:tcPr>
          <w:p>
            <w:pPr>
              <w:spacing w:after="0"/>
              <w:rPr>
                <w:sz w:val="23"/>
                <w:szCs w:val="23"/>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60" w:type="dxa"/>
            <w:vAlign w:val="bottom"/>
            <w:gridSpan w:val="2"/>
          </w:tcPr>
          <w:p>
            <w:pPr>
              <w:spacing w:after="0"/>
              <w:rPr>
                <w:sz w:val="20"/>
                <w:szCs w:val="20"/>
                <w:color w:val="auto"/>
              </w:rPr>
            </w:pPr>
            <w:r>
              <w:rPr>
                <w:rFonts w:ascii="Arial" w:cs="Arial" w:eastAsia="Arial" w:hAnsi="Arial"/>
                <w:sz w:val="22"/>
                <w:szCs w:val="22"/>
                <w:b w:val="1"/>
                <w:bCs w:val="1"/>
                <w:color w:val="auto"/>
                <w:w w:val="98"/>
              </w:rPr>
              <w:t>ARTICLE IX Miscellaneous</w:t>
            </w:r>
          </w:p>
        </w:tc>
        <w:tc>
          <w:tcPr>
            <w:tcW w:w="620" w:type="dxa"/>
            <w:vAlign w:val="bottom"/>
          </w:tcPr>
          <w:p>
            <w:pPr>
              <w:jc w:val="right"/>
              <w:ind w:right="112"/>
              <w:spacing w:after="0"/>
              <w:rPr>
                <w:sz w:val="20"/>
                <w:szCs w:val="20"/>
                <w:color w:val="auto"/>
              </w:rPr>
            </w:pPr>
            <w:r>
              <w:rPr>
                <w:rFonts w:ascii="Arial" w:cs="Arial" w:eastAsia="Arial" w:hAnsi="Arial"/>
                <w:sz w:val="22"/>
                <w:szCs w:val="22"/>
                <w:b w:val="1"/>
                <w:bCs w:val="1"/>
                <w:color w:val="auto"/>
              </w:rPr>
              <w:t>188</w:t>
            </w: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9.01</w:t>
            </w:r>
          </w:p>
        </w:tc>
        <w:tc>
          <w:tcPr>
            <w:tcW w:w="940" w:type="dxa"/>
            <w:vAlign w:val="bottom"/>
          </w:tcPr>
          <w:p>
            <w:pPr>
              <w:ind w:left="100"/>
              <w:spacing w:after="0" w:line="243" w:lineRule="exact"/>
              <w:rPr>
                <w:sz w:val="20"/>
                <w:szCs w:val="20"/>
                <w:color w:val="auto"/>
              </w:rPr>
            </w:pPr>
            <w:r>
              <w:rPr>
                <w:rFonts w:ascii="Arial" w:cs="Arial" w:eastAsia="Arial" w:hAnsi="Arial"/>
                <w:sz w:val="22"/>
                <w:szCs w:val="22"/>
                <w:color w:val="auto"/>
              </w:rPr>
              <w:t>Notices</w:t>
            </w:r>
          </w:p>
        </w:tc>
        <w:tc>
          <w:tcPr>
            <w:tcW w:w="62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92"/>
              </w:rPr>
              <w:t>188</w:t>
            </w: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30"/>
        </w:trPr>
        <w:tc>
          <w:tcPr>
            <w:tcW w:w="1820" w:type="dxa"/>
            <w:vAlign w:val="bottom"/>
          </w:tcPr>
          <w:p>
            <w:pPr>
              <w:ind w:left="660"/>
              <w:spacing w:after="0" w:line="229" w:lineRule="exact"/>
              <w:rPr>
                <w:sz w:val="20"/>
                <w:szCs w:val="20"/>
                <w:color w:val="auto"/>
              </w:rPr>
            </w:pPr>
            <w:r>
              <w:rPr>
                <w:rFonts w:ascii="Arial" w:cs="Arial" w:eastAsia="Arial" w:hAnsi="Arial"/>
                <w:sz w:val="22"/>
                <w:szCs w:val="22"/>
                <w:color w:val="auto"/>
                <w:w w:val="93"/>
              </w:rPr>
              <w:t>Section 9.02</w:t>
            </w:r>
          </w:p>
        </w:tc>
        <w:tc>
          <w:tcPr>
            <w:tcW w:w="3000" w:type="dxa"/>
            <w:vAlign w:val="bottom"/>
            <w:gridSpan w:val="4"/>
          </w:tcPr>
          <w:p>
            <w:pPr>
              <w:ind w:left="100"/>
              <w:spacing w:after="0" w:line="229" w:lineRule="exact"/>
              <w:rPr>
                <w:sz w:val="20"/>
                <w:szCs w:val="20"/>
                <w:color w:val="auto"/>
              </w:rPr>
            </w:pPr>
            <w:r>
              <w:rPr>
                <w:rFonts w:ascii="Arial" w:cs="Arial" w:eastAsia="Arial" w:hAnsi="Arial"/>
                <w:sz w:val="22"/>
                <w:szCs w:val="22"/>
                <w:color w:val="auto"/>
              </w:rPr>
              <w:t>Waivers; Amendments  189</w:t>
            </w:r>
          </w:p>
        </w:tc>
        <w:tc>
          <w:tcPr>
            <w:tcW w:w="6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9.03</w:t>
            </w:r>
          </w:p>
        </w:tc>
        <w:tc>
          <w:tcPr>
            <w:tcW w:w="3620" w:type="dxa"/>
            <w:vAlign w:val="bottom"/>
            <w:gridSpan w:val="5"/>
          </w:tcPr>
          <w:p>
            <w:pPr>
              <w:ind w:left="100"/>
              <w:spacing w:after="0" w:line="243" w:lineRule="exact"/>
              <w:rPr>
                <w:sz w:val="20"/>
                <w:szCs w:val="20"/>
                <w:color w:val="auto"/>
              </w:rPr>
            </w:pPr>
            <w:r>
              <w:rPr>
                <w:rFonts w:ascii="Arial" w:cs="Arial" w:eastAsia="Arial" w:hAnsi="Arial"/>
                <w:sz w:val="22"/>
                <w:szCs w:val="22"/>
                <w:color w:val="auto"/>
                <w:w w:val="93"/>
              </w:rPr>
              <w:t>Expenses; Indemnity; Damage Waiver</w:t>
            </w:r>
          </w:p>
        </w:tc>
        <w:tc>
          <w:tcPr>
            <w:tcW w:w="3240" w:type="dxa"/>
            <w:vAlign w:val="bottom"/>
          </w:tcPr>
          <w:p>
            <w:pPr>
              <w:jc w:val="right"/>
              <w:ind w:right="2792"/>
              <w:spacing w:after="0" w:line="243" w:lineRule="exact"/>
              <w:rPr>
                <w:sz w:val="20"/>
                <w:szCs w:val="20"/>
                <w:color w:val="auto"/>
              </w:rPr>
            </w:pPr>
            <w:r>
              <w:rPr>
                <w:rFonts w:ascii="Arial" w:cs="Arial" w:eastAsia="Arial" w:hAnsi="Arial"/>
                <w:sz w:val="22"/>
                <w:szCs w:val="22"/>
                <w:color w:val="auto"/>
                <w:w w:val="87"/>
              </w:rPr>
              <w:t>195</w:t>
            </w: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9.04</w:t>
            </w:r>
          </w:p>
        </w:tc>
        <w:tc>
          <w:tcPr>
            <w:tcW w:w="234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2"/>
              </w:rPr>
              <w:t>Successors and Assigns</w:t>
            </w:r>
          </w:p>
        </w:tc>
        <w:tc>
          <w:tcPr>
            <w:tcW w:w="660" w:type="dxa"/>
            <w:vAlign w:val="bottom"/>
          </w:tcPr>
          <w:p>
            <w:pPr>
              <w:jc w:val="right"/>
              <w:ind w:right="212"/>
              <w:spacing w:after="0" w:line="243" w:lineRule="exact"/>
              <w:rPr>
                <w:sz w:val="20"/>
                <w:szCs w:val="20"/>
                <w:color w:val="auto"/>
              </w:rPr>
            </w:pPr>
            <w:r>
              <w:rPr>
                <w:rFonts w:ascii="Arial" w:cs="Arial" w:eastAsia="Arial" w:hAnsi="Arial"/>
                <w:sz w:val="22"/>
                <w:szCs w:val="22"/>
                <w:color w:val="auto"/>
                <w:w w:val="87"/>
              </w:rPr>
              <w:t>197</w:t>
            </w:r>
          </w:p>
        </w:tc>
        <w:tc>
          <w:tcPr>
            <w:tcW w:w="62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29"/>
        </w:trPr>
        <w:tc>
          <w:tcPr>
            <w:tcW w:w="1820" w:type="dxa"/>
            <w:vAlign w:val="bottom"/>
          </w:tcPr>
          <w:p>
            <w:pPr>
              <w:ind w:left="660"/>
              <w:spacing w:after="0" w:line="229" w:lineRule="exact"/>
              <w:rPr>
                <w:sz w:val="20"/>
                <w:szCs w:val="20"/>
                <w:color w:val="auto"/>
              </w:rPr>
            </w:pPr>
            <w:r>
              <w:rPr>
                <w:rFonts w:ascii="Arial" w:cs="Arial" w:eastAsia="Arial" w:hAnsi="Arial"/>
                <w:sz w:val="22"/>
                <w:szCs w:val="22"/>
                <w:color w:val="auto"/>
                <w:w w:val="93"/>
              </w:rPr>
              <w:t>Section 9.05</w:t>
            </w:r>
          </w:p>
        </w:tc>
        <w:tc>
          <w:tcPr>
            <w:tcW w:w="940" w:type="dxa"/>
            <w:vAlign w:val="bottom"/>
          </w:tcPr>
          <w:p>
            <w:pPr>
              <w:ind w:left="100"/>
              <w:spacing w:after="0" w:line="229" w:lineRule="exact"/>
              <w:rPr>
                <w:sz w:val="20"/>
                <w:szCs w:val="20"/>
                <w:color w:val="auto"/>
              </w:rPr>
            </w:pPr>
            <w:r>
              <w:rPr>
                <w:rFonts w:ascii="Arial" w:cs="Arial" w:eastAsia="Arial" w:hAnsi="Arial"/>
                <w:sz w:val="22"/>
                <w:szCs w:val="22"/>
                <w:color w:val="auto"/>
              </w:rPr>
              <w:t>Survival</w:t>
            </w:r>
          </w:p>
        </w:tc>
        <w:tc>
          <w:tcPr>
            <w:tcW w:w="620" w:type="dxa"/>
            <w:vAlign w:val="bottom"/>
          </w:tcPr>
          <w:p>
            <w:pPr>
              <w:jc w:val="right"/>
              <w:ind w:right="92"/>
              <w:spacing w:after="0" w:line="229" w:lineRule="exact"/>
              <w:rPr>
                <w:sz w:val="20"/>
                <w:szCs w:val="20"/>
                <w:color w:val="auto"/>
              </w:rPr>
            </w:pPr>
            <w:r>
              <w:rPr>
                <w:rFonts w:ascii="Arial" w:cs="Arial" w:eastAsia="Arial" w:hAnsi="Arial"/>
                <w:sz w:val="22"/>
                <w:szCs w:val="22"/>
                <w:color w:val="auto"/>
              </w:rPr>
              <w:t>204</w:t>
            </w: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9.06</w:t>
            </w:r>
          </w:p>
        </w:tc>
        <w:tc>
          <w:tcPr>
            <w:tcW w:w="234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1"/>
              </w:rPr>
              <w:t>Counterparts; Integration</w:t>
            </w:r>
          </w:p>
        </w:tc>
        <w:tc>
          <w:tcPr>
            <w:tcW w:w="660" w:type="dxa"/>
            <w:vAlign w:val="bottom"/>
          </w:tcPr>
          <w:p>
            <w:pPr>
              <w:jc w:val="right"/>
              <w:ind w:right="72"/>
              <w:spacing w:after="0" w:line="243" w:lineRule="exact"/>
              <w:rPr>
                <w:sz w:val="20"/>
                <w:szCs w:val="20"/>
                <w:color w:val="auto"/>
              </w:rPr>
            </w:pPr>
            <w:r>
              <w:rPr>
                <w:rFonts w:ascii="Arial" w:cs="Arial" w:eastAsia="Arial" w:hAnsi="Arial"/>
                <w:sz w:val="22"/>
                <w:szCs w:val="22"/>
                <w:color w:val="auto"/>
              </w:rPr>
              <w:t>204</w:t>
            </w:r>
          </w:p>
        </w:tc>
        <w:tc>
          <w:tcPr>
            <w:tcW w:w="62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9.07</w:t>
            </w:r>
          </w:p>
        </w:tc>
        <w:tc>
          <w:tcPr>
            <w:tcW w:w="234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Severability  204</w:t>
            </w: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29"/>
        </w:trPr>
        <w:tc>
          <w:tcPr>
            <w:tcW w:w="1820" w:type="dxa"/>
            <w:vAlign w:val="bottom"/>
          </w:tcPr>
          <w:p>
            <w:pPr>
              <w:ind w:left="660"/>
              <w:spacing w:after="0" w:line="229" w:lineRule="exact"/>
              <w:rPr>
                <w:sz w:val="20"/>
                <w:szCs w:val="20"/>
                <w:color w:val="auto"/>
              </w:rPr>
            </w:pPr>
            <w:r>
              <w:rPr>
                <w:rFonts w:ascii="Arial" w:cs="Arial" w:eastAsia="Arial" w:hAnsi="Arial"/>
                <w:sz w:val="22"/>
                <w:szCs w:val="22"/>
                <w:color w:val="auto"/>
                <w:w w:val="93"/>
              </w:rPr>
              <w:t>Section 9.08</w:t>
            </w:r>
          </w:p>
        </w:tc>
        <w:tc>
          <w:tcPr>
            <w:tcW w:w="1560" w:type="dxa"/>
            <w:vAlign w:val="bottom"/>
            <w:gridSpan w:val="2"/>
          </w:tcPr>
          <w:p>
            <w:pPr>
              <w:ind w:left="100"/>
              <w:spacing w:after="0" w:line="229" w:lineRule="exact"/>
              <w:rPr>
                <w:sz w:val="20"/>
                <w:szCs w:val="20"/>
                <w:color w:val="auto"/>
              </w:rPr>
            </w:pPr>
            <w:r>
              <w:rPr>
                <w:rFonts w:ascii="Arial" w:cs="Arial" w:eastAsia="Arial" w:hAnsi="Arial"/>
                <w:sz w:val="22"/>
                <w:szCs w:val="22"/>
                <w:color w:val="auto"/>
              </w:rPr>
              <w:t>Right of Setoff</w:t>
            </w:r>
          </w:p>
        </w:tc>
        <w:tc>
          <w:tcPr>
            <w:tcW w:w="780" w:type="dxa"/>
            <w:vAlign w:val="bottom"/>
          </w:tcPr>
          <w:p>
            <w:pPr>
              <w:jc w:val="right"/>
              <w:ind w:right="312"/>
              <w:spacing w:after="0" w:line="229" w:lineRule="exact"/>
              <w:rPr>
                <w:sz w:val="20"/>
                <w:szCs w:val="20"/>
                <w:color w:val="auto"/>
              </w:rPr>
            </w:pPr>
            <w:r>
              <w:rPr>
                <w:rFonts w:ascii="Arial" w:cs="Arial" w:eastAsia="Arial" w:hAnsi="Arial"/>
                <w:sz w:val="22"/>
                <w:szCs w:val="22"/>
                <w:color w:val="auto"/>
                <w:w w:val="92"/>
              </w:rPr>
              <w:t>205</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9.09</w:t>
            </w:r>
          </w:p>
        </w:tc>
        <w:tc>
          <w:tcPr>
            <w:tcW w:w="6860" w:type="dxa"/>
            <w:vAlign w:val="bottom"/>
            <w:gridSpan w:val="6"/>
          </w:tcPr>
          <w:p>
            <w:pPr>
              <w:ind w:left="100"/>
              <w:spacing w:after="0" w:line="243" w:lineRule="exact"/>
              <w:rPr>
                <w:sz w:val="20"/>
                <w:szCs w:val="20"/>
                <w:color w:val="auto"/>
              </w:rPr>
            </w:pPr>
            <w:r>
              <w:rPr>
                <w:rFonts w:ascii="Arial" w:cs="Arial" w:eastAsia="Arial" w:hAnsi="Arial"/>
                <w:sz w:val="22"/>
                <w:szCs w:val="22"/>
                <w:color w:val="auto"/>
              </w:rPr>
              <w:t>Governing Law; Jurisdiction; Consent to Service of Process  205</w:t>
            </w: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9.10</w:t>
            </w:r>
          </w:p>
        </w:tc>
        <w:tc>
          <w:tcPr>
            <w:tcW w:w="3620" w:type="dxa"/>
            <w:vAlign w:val="bottom"/>
            <w:gridSpan w:val="5"/>
          </w:tcPr>
          <w:p>
            <w:pPr>
              <w:ind w:left="100"/>
              <w:spacing w:after="0" w:line="243" w:lineRule="exact"/>
              <w:rPr>
                <w:sz w:val="20"/>
                <w:szCs w:val="20"/>
                <w:color w:val="auto"/>
              </w:rPr>
            </w:pPr>
            <w:r>
              <w:rPr>
                <w:rFonts w:ascii="Arial" w:cs="Arial" w:eastAsia="Arial" w:hAnsi="Arial"/>
                <w:sz w:val="22"/>
                <w:szCs w:val="22"/>
                <w:color w:val="auto"/>
              </w:rPr>
              <w:t>WAIVER OF JURY TRIAL  206</w:t>
            </w:r>
          </w:p>
        </w:tc>
        <w:tc>
          <w:tcPr>
            <w:tcW w:w="3240" w:type="dxa"/>
            <w:vAlign w:val="bottom"/>
          </w:tcPr>
          <w:p>
            <w:pPr>
              <w:spacing w:after="0"/>
              <w:rPr>
                <w:sz w:val="21"/>
                <w:szCs w:val="21"/>
                <w:color w:val="auto"/>
              </w:rPr>
            </w:pPr>
          </w:p>
        </w:tc>
      </w:tr>
      <w:tr>
        <w:trPr>
          <w:trHeight w:val="230"/>
        </w:trPr>
        <w:tc>
          <w:tcPr>
            <w:tcW w:w="1820" w:type="dxa"/>
            <w:vAlign w:val="bottom"/>
          </w:tcPr>
          <w:p>
            <w:pPr>
              <w:ind w:left="660"/>
              <w:spacing w:after="0" w:line="229" w:lineRule="exact"/>
              <w:rPr>
                <w:sz w:val="20"/>
                <w:szCs w:val="20"/>
                <w:color w:val="auto"/>
              </w:rPr>
            </w:pPr>
            <w:r>
              <w:rPr>
                <w:rFonts w:ascii="Arial" w:cs="Arial" w:eastAsia="Arial" w:hAnsi="Arial"/>
                <w:sz w:val="22"/>
                <w:szCs w:val="22"/>
                <w:color w:val="auto"/>
                <w:w w:val="93"/>
              </w:rPr>
              <w:t>Section 9.11</w:t>
            </w:r>
          </w:p>
        </w:tc>
        <w:tc>
          <w:tcPr>
            <w:tcW w:w="940" w:type="dxa"/>
            <w:vAlign w:val="bottom"/>
          </w:tcPr>
          <w:p>
            <w:pPr>
              <w:ind w:left="80"/>
              <w:spacing w:after="0" w:line="229" w:lineRule="exact"/>
              <w:rPr>
                <w:sz w:val="20"/>
                <w:szCs w:val="20"/>
                <w:color w:val="auto"/>
              </w:rPr>
            </w:pPr>
            <w:r>
              <w:rPr>
                <w:rFonts w:ascii="Arial" w:cs="Arial" w:eastAsia="Arial" w:hAnsi="Arial"/>
                <w:sz w:val="22"/>
                <w:szCs w:val="22"/>
                <w:color w:val="auto"/>
                <w:w w:val="90"/>
              </w:rPr>
              <w:t>Headings</w:t>
            </w:r>
          </w:p>
        </w:tc>
        <w:tc>
          <w:tcPr>
            <w:tcW w:w="620" w:type="dxa"/>
            <w:vAlign w:val="bottom"/>
          </w:tcPr>
          <w:p>
            <w:pPr>
              <w:jc w:val="right"/>
              <w:ind w:right="12"/>
              <w:spacing w:after="0" w:line="229" w:lineRule="exact"/>
              <w:rPr>
                <w:sz w:val="20"/>
                <w:szCs w:val="20"/>
                <w:color w:val="auto"/>
              </w:rPr>
            </w:pPr>
            <w:r>
              <w:rPr>
                <w:rFonts w:ascii="Arial" w:cs="Arial" w:eastAsia="Arial" w:hAnsi="Arial"/>
                <w:sz w:val="22"/>
                <w:szCs w:val="22"/>
                <w:color w:val="auto"/>
              </w:rPr>
              <w:t>206</w:t>
            </w: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9.12</w:t>
            </w:r>
          </w:p>
        </w:tc>
        <w:tc>
          <w:tcPr>
            <w:tcW w:w="15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Confidentiality</w:t>
            </w:r>
          </w:p>
        </w:tc>
        <w:tc>
          <w:tcPr>
            <w:tcW w:w="780" w:type="dxa"/>
            <w:vAlign w:val="bottom"/>
          </w:tcPr>
          <w:p>
            <w:pPr>
              <w:jc w:val="right"/>
              <w:ind w:right="292"/>
              <w:spacing w:after="0" w:line="243" w:lineRule="exact"/>
              <w:rPr>
                <w:sz w:val="20"/>
                <w:szCs w:val="20"/>
                <w:color w:val="auto"/>
              </w:rPr>
            </w:pPr>
            <w:r>
              <w:rPr>
                <w:rFonts w:ascii="Arial" w:cs="Arial" w:eastAsia="Arial" w:hAnsi="Arial"/>
                <w:sz w:val="22"/>
                <w:szCs w:val="22"/>
                <w:color w:val="auto"/>
                <w:w w:val="97"/>
              </w:rPr>
              <w:t>206</w:t>
            </w: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9.13</w:t>
            </w:r>
          </w:p>
        </w:tc>
        <w:tc>
          <w:tcPr>
            <w:tcW w:w="234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8"/>
              </w:rPr>
              <w:t>Interest Rate Limitation</w:t>
            </w:r>
          </w:p>
        </w:tc>
        <w:tc>
          <w:tcPr>
            <w:tcW w:w="66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92"/>
              </w:rPr>
              <w:t>208</w:t>
            </w:r>
          </w:p>
        </w:tc>
        <w:tc>
          <w:tcPr>
            <w:tcW w:w="62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30"/>
        </w:trPr>
        <w:tc>
          <w:tcPr>
            <w:tcW w:w="1820" w:type="dxa"/>
            <w:vAlign w:val="bottom"/>
          </w:tcPr>
          <w:p>
            <w:pPr>
              <w:ind w:left="660"/>
              <w:spacing w:after="0" w:line="229" w:lineRule="exact"/>
              <w:rPr>
                <w:sz w:val="20"/>
                <w:szCs w:val="20"/>
                <w:color w:val="auto"/>
              </w:rPr>
            </w:pPr>
            <w:r>
              <w:rPr>
                <w:rFonts w:ascii="Arial" w:cs="Arial" w:eastAsia="Arial" w:hAnsi="Arial"/>
                <w:sz w:val="22"/>
                <w:szCs w:val="22"/>
                <w:color w:val="auto"/>
                <w:w w:val="93"/>
              </w:rPr>
              <w:t>Section 9.14</w:t>
            </w:r>
          </w:p>
        </w:tc>
        <w:tc>
          <w:tcPr>
            <w:tcW w:w="1560" w:type="dxa"/>
            <w:vAlign w:val="bottom"/>
            <w:gridSpan w:val="2"/>
          </w:tcPr>
          <w:p>
            <w:pPr>
              <w:ind w:left="100"/>
              <w:spacing w:after="0" w:line="229" w:lineRule="exact"/>
              <w:rPr>
                <w:sz w:val="20"/>
                <w:szCs w:val="20"/>
                <w:color w:val="auto"/>
              </w:rPr>
            </w:pPr>
            <w:r>
              <w:rPr>
                <w:rFonts w:ascii="Arial" w:cs="Arial" w:eastAsia="Arial" w:hAnsi="Arial"/>
                <w:sz w:val="22"/>
                <w:szCs w:val="22"/>
                <w:color w:val="auto"/>
                <w:w w:val="94"/>
              </w:rPr>
              <w:t>USA Patriot Act</w:t>
            </w:r>
          </w:p>
        </w:tc>
        <w:tc>
          <w:tcPr>
            <w:tcW w:w="780" w:type="dxa"/>
            <w:vAlign w:val="bottom"/>
          </w:tcPr>
          <w:p>
            <w:pPr>
              <w:jc w:val="right"/>
              <w:ind w:right="192"/>
              <w:spacing w:after="0" w:line="229" w:lineRule="exact"/>
              <w:rPr>
                <w:sz w:val="20"/>
                <w:szCs w:val="20"/>
                <w:color w:val="auto"/>
              </w:rPr>
            </w:pPr>
            <w:r>
              <w:rPr>
                <w:rFonts w:ascii="Arial" w:cs="Arial" w:eastAsia="Arial" w:hAnsi="Arial"/>
                <w:sz w:val="22"/>
                <w:szCs w:val="22"/>
                <w:color w:val="auto"/>
              </w:rPr>
              <w:t>208</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9.15</w:t>
            </w:r>
          </w:p>
        </w:tc>
        <w:tc>
          <w:tcPr>
            <w:tcW w:w="3000" w:type="dxa"/>
            <w:vAlign w:val="bottom"/>
            <w:gridSpan w:val="4"/>
          </w:tcPr>
          <w:p>
            <w:pPr>
              <w:ind w:left="100"/>
              <w:spacing w:after="0" w:line="243" w:lineRule="exact"/>
              <w:rPr>
                <w:sz w:val="20"/>
                <w:szCs w:val="20"/>
                <w:color w:val="auto"/>
              </w:rPr>
            </w:pPr>
            <w:r>
              <w:rPr>
                <w:rFonts w:ascii="Arial" w:cs="Arial" w:eastAsia="Arial" w:hAnsi="Arial"/>
                <w:sz w:val="22"/>
                <w:szCs w:val="22"/>
                <w:color w:val="auto"/>
                <w:w w:val="95"/>
              </w:rPr>
              <w:t>Direct Website Communication</w:t>
            </w:r>
          </w:p>
        </w:tc>
        <w:tc>
          <w:tcPr>
            <w:tcW w:w="62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92"/>
              </w:rPr>
              <w:t>208</w:t>
            </w:r>
          </w:p>
        </w:tc>
        <w:tc>
          <w:tcPr>
            <w:tcW w:w="3240" w:type="dxa"/>
            <w:vAlign w:val="bottom"/>
          </w:tcPr>
          <w:p>
            <w:pPr>
              <w:spacing w:after="0"/>
              <w:rPr>
                <w:sz w:val="21"/>
                <w:szCs w:val="21"/>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9.16</w:t>
            </w:r>
          </w:p>
        </w:tc>
        <w:tc>
          <w:tcPr>
            <w:tcW w:w="3000" w:type="dxa"/>
            <w:vAlign w:val="bottom"/>
            <w:gridSpan w:val="4"/>
          </w:tcPr>
          <w:p>
            <w:pPr>
              <w:ind w:left="100"/>
              <w:spacing w:after="0" w:line="243" w:lineRule="exact"/>
              <w:rPr>
                <w:sz w:val="20"/>
                <w:szCs w:val="20"/>
                <w:color w:val="auto"/>
              </w:rPr>
            </w:pPr>
            <w:r>
              <w:rPr>
                <w:rFonts w:ascii="Arial" w:cs="Arial" w:eastAsia="Arial" w:hAnsi="Arial"/>
                <w:sz w:val="22"/>
                <w:szCs w:val="22"/>
                <w:color w:val="auto"/>
                <w:w w:val="89"/>
              </w:rPr>
              <w:t>Intercreditor Agreement Governs</w:t>
            </w:r>
          </w:p>
        </w:tc>
        <w:tc>
          <w:tcPr>
            <w:tcW w:w="620" w:type="dxa"/>
            <w:vAlign w:val="bottom"/>
          </w:tcPr>
          <w:p>
            <w:pPr>
              <w:jc w:val="right"/>
              <w:ind w:right="12"/>
              <w:spacing w:after="0" w:line="243" w:lineRule="exact"/>
              <w:rPr>
                <w:sz w:val="20"/>
                <w:szCs w:val="20"/>
                <w:color w:val="auto"/>
              </w:rPr>
            </w:pPr>
            <w:r>
              <w:rPr>
                <w:rFonts w:ascii="Arial" w:cs="Arial" w:eastAsia="Arial" w:hAnsi="Arial"/>
                <w:sz w:val="22"/>
                <w:szCs w:val="22"/>
                <w:color w:val="auto"/>
              </w:rPr>
              <w:t>209</w:t>
            </w:r>
          </w:p>
        </w:tc>
        <w:tc>
          <w:tcPr>
            <w:tcW w:w="3240" w:type="dxa"/>
            <w:vAlign w:val="bottom"/>
          </w:tcPr>
          <w:p>
            <w:pPr>
              <w:spacing w:after="0"/>
              <w:rPr>
                <w:sz w:val="21"/>
                <w:szCs w:val="21"/>
                <w:color w:val="auto"/>
              </w:rPr>
            </w:pPr>
          </w:p>
        </w:tc>
      </w:tr>
      <w:tr>
        <w:trPr>
          <w:trHeight w:val="230"/>
        </w:trPr>
        <w:tc>
          <w:tcPr>
            <w:tcW w:w="1820" w:type="dxa"/>
            <w:vAlign w:val="bottom"/>
          </w:tcPr>
          <w:p>
            <w:pPr>
              <w:ind w:left="660"/>
              <w:spacing w:after="0" w:line="229" w:lineRule="exact"/>
              <w:rPr>
                <w:sz w:val="20"/>
                <w:szCs w:val="20"/>
                <w:color w:val="auto"/>
              </w:rPr>
            </w:pPr>
            <w:r>
              <w:rPr>
                <w:rFonts w:ascii="Arial" w:cs="Arial" w:eastAsia="Arial" w:hAnsi="Arial"/>
                <w:sz w:val="22"/>
                <w:szCs w:val="22"/>
                <w:color w:val="auto"/>
                <w:w w:val="93"/>
              </w:rPr>
              <w:t>Section 9.17</w:t>
            </w:r>
          </w:p>
        </w:tc>
        <w:tc>
          <w:tcPr>
            <w:tcW w:w="2340" w:type="dxa"/>
            <w:vAlign w:val="bottom"/>
            <w:gridSpan w:val="3"/>
          </w:tcPr>
          <w:p>
            <w:pPr>
              <w:ind w:left="100"/>
              <w:spacing w:after="0" w:line="229" w:lineRule="exact"/>
              <w:rPr>
                <w:sz w:val="20"/>
                <w:szCs w:val="20"/>
                <w:color w:val="auto"/>
              </w:rPr>
            </w:pPr>
            <w:r>
              <w:rPr>
                <w:rFonts w:ascii="Arial" w:cs="Arial" w:eastAsia="Arial" w:hAnsi="Arial"/>
                <w:sz w:val="22"/>
                <w:szCs w:val="22"/>
                <w:color w:val="auto"/>
                <w:w w:val="92"/>
              </w:rPr>
              <w:t>Judgment Currency  209</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43"/>
        </w:trPr>
        <w:tc>
          <w:tcPr>
            <w:tcW w:w="1820" w:type="dxa"/>
            <w:vAlign w:val="bottom"/>
          </w:tcPr>
          <w:p>
            <w:pPr>
              <w:ind w:left="660"/>
              <w:spacing w:after="0" w:line="243" w:lineRule="exact"/>
              <w:rPr>
                <w:sz w:val="20"/>
                <w:szCs w:val="20"/>
                <w:color w:val="auto"/>
              </w:rPr>
            </w:pPr>
            <w:r>
              <w:rPr>
                <w:rFonts w:ascii="Arial" w:cs="Arial" w:eastAsia="Arial" w:hAnsi="Arial"/>
                <w:sz w:val="22"/>
                <w:szCs w:val="22"/>
                <w:color w:val="auto"/>
                <w:w w:val="93"/>
              </w:rPr>
              <w:t>Section 9.18</w:t>
            </w:r>
          </w:p>
        </w:tc>
        <w:tc>
          <w:tcPr>
            <w:tcW w:w="3620" w:type="dxa"/>
            <w:vAlign w:val="bottom"/>
            <w:gridSpan w:val="5"/>
          </w:tcPr>
          <w:p>
            <w:pPr>
              <w:ind w:left="100"/>
              <w:spacing w:after="0" w:line="243" w:lineRule="exact"/>
              <w:rPr>
                <w:sz w:val="20"/>
                <w:szCs w:val="20"/>
                <w:color w:val="auto"/>
              </w:rPr>
            </w:pPr>
            <w:r>
              <w:rPr>
                <w:rFonts w:ascii="Arial" w:cs="Arial" w:eastAsia="Arial" w:hAnsi="Arial"/>
                <w:sz w:val="22"/>
                <w:szCs w:val="22"/>
                <w:color w:val="auto"/>
                <w:w w:val="91"/>
              </w:rPr>
              <w:t>No Advisory or Fiduciary Responsibility</w:t>
            </w:r>
          </w:p>
        </w:tc>
        <w:tc>
          <w:tcPr>
            <w:tcW w:w="3240" w:type="dxa"/>
            <w:vAlign w:val="bottom"/>
          </w:tcPr>
          <w:p>
            <w:pPr>
              <w:jc w:val="right"/>
              <w:ind w:right="2592"/>
              <w:spacing w:after="0" w:line="243" w:lineRule="exact"/>
              <w:rPr>
                <w:sz w:val="20"/>
                <w:szCs w:val="20"/>
                <w:color w:val="auto"/>
              </w:rPr>
            </w:pPr>
            <w:r>
              <w:rPr>
                <w:rFonts w:ascii="Arial" w:cs="Arial" w:eastAsia="Arial" w:hAnsi="Arial"/>
                <w:sz w:val="22"/>
                <w:szCs w:val="22"/>
                <w:color w:val="auto"/>
              </w:rPr>
              <w:t>210</w:t>
            </w:r>
          </w:p>
        </w:tc>
      </w:tr>
      <w:tr>
        <w:trPr>
          <w:trHeight w:val="274"/>
        </w:trPr>
        <w:tc>
          <w:tcPr>
            <w:tcW w:w="1820" w:type="dxa"/>
            <w:vAlign w:val="bottom"/>
          </w:tcPr>
          <w:p>
            <w:pPr>
              <w:ind w:left="660"/>
              <w:spacing w:after="0"/>
              <w:rPr>
                <w:sz w:val="20"/>
                <w:szCs w:val="20"/>
                <w:color w:val="auto"/>
              </w:rPr>
            </w:pPr>
            <w:r>
              <w:rPr>
                <w:rFonts w:ascii="Arial" w:cs="Arial" w:eastAsia="Arial" w:hAnsi="Arial"/>
                <w:sz w:val="22"/>
                <w:szCs w:val="22"/>
                <w:color w:val="auto"/>
                <w:w w:val="93"/>
              </w:rPr>
              <w:t>Section 9.19</w:t>
            </w:r>
          </w:p>
        </w:tc>
        <w:tc>
          <w:tcPr>
            <w:tcW w:w="6860" w:type="dxa"/>
            <w:vAlign w:val="bottom"/>
            <w:gridSpan w:val="6"/>
          </w:tcPr>
          <w:p>
            <w:pPr>
              <w:ind w:left="100"/>
              <w:spacing w:after="0"/>
              <w:rPr>
                <w:sz w:val="20"/>
                <w:szCs w:val="20"/>
                <w:color w:val="auto"/>
              </w:rPr>
            </w:pPr>
            <w:r>
              <w:rPr>
                <w:rFonts w:ascii="Arial" w:cs="Arial" w:eastAsia="Arial" w:hAnsi="Arial"/>
                <w:sz w:val="22"/>
                <w:szCs w:val="22"/>
                <w:color w:val="auto"/>
                <w:w w:val="92"/>
              </w:rPr>
              <w:t>Acknowledgement and Consent to Bail-In of EEA Financial Institutions  210</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iii</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0139"/>
          </w:cols>
          <w:pgMar w:left="320" w:top="1440" w:right="1440"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53"/>
        </w:trPr>
        <w:tc>
          <w:tcPr>
            <w:tcW w:w="1380" w:type="dxa"/>
            <w:vAlign w:val="bottom"/>
            <w:gridSpan w:val="2"/>
          </w:tcPr>
          <w:p>
            <w:pPr>
              <w:spacing w:after="0"/>
              <w:rPr>
                <w:sz w:val="20"/>
                <w:szCs w:val="20"/>
                <w:color w:val="auto"/>
              </w:rPr>
            </w:pPr>
            <w:r>
              <w:rPr>
                <w:rFonts w:ascii="Arial" w:cs="Arial" w:eastAsia="Arial" w:hAnsi="Arial"/>
                <w:sz w:val="22"/>
                <w:szCs w:val="22"/>
                <w:color w:val="auto"/>
                <w:w w:val="96"/>
              </w:rPr>
              <w:t>SCHEDULES:</w:t>
            </w:r>
          </w:p>
        </w:tc>
        <w:tc>
          <w:tcPr>
            <w:tcW w:w="2240" w:type="dxa"/>
            <w:vAlign w:val="bottom"/>
          </w:tcPr>
          <w:p>
            <w:pPr>
              <w:spacing w:after="0"/>
              <w:rPr>
                <w:sz w:val="21"/>
                <w:szCs w:val="21"/>
                <w:color w:val="auto"/>
              </w:rPr>
            </w:pPr>
          </w:p>
        </w:tc>
      </w:tr>
      <w:tr>
        <w:trPr>
          <w:trHeight w:val="404"/>
        </w:trPr>
        <w:tc>
          <w:tcPr>
            <w:tcW w:w="126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88"/>
              </w:rPr>
              <w:t>Schedule 1.02</w:t>
            </w:r>
          </w:p>
        </w:tc>
        <w:tc>
          <w:tcPr>
            <w:tcW w:w="120" w:type="dxa"/>
            <w:vAlign w:val="bottom"/>
          </w:tcPr>
          <w:p>
            <w:pPr>
              <w:spacing w:after="0"/>
              <w:rPr>
                <w:sz w:val="24"/>
                <w:szCs w:val="24"/>
                <w:color w:val="auto"/>
              </w:rPr>
            </w:pPr>
          </w:p>
        </w:tc>
        <w:tc>
          <w:tcPr>
            <w:tcW w:w="2240" w:type="dxa"/>
            <w:vAlign w:val="bottom"/>
          </w:tcPr>
          <w:p>
            <w:pPr>
              <w:ind w:left="60"/>
              <w:spacing w:after="0"/>
              <w:rPr>
                <w:sz w:val="20"/>
                <w:szCs w:val="20"/>
                <w:color w:val="auto"/>
              </w:rPr>
            </w:pPr>
            <w:r>
              <w:rPr>
                <w:rFonts w:ascii="Arial" w:cs="Arial" w:eastAsia="Arial" w:hAnsi="Arial"/>
                <w:sz w:val="22"/>
                <w:szCs w:val="22"/>
                <w:color w:val="auto"/>
                <w:w w:val="99"/>
              </w:rPr>
              <w:t>Excluded Subsidiaries</w:t>
            </w:r>
          </w:p>
        </w:tc>
      </w:tr>
      <w:tr>
        <w:trPr>
          <w:trHeight w:val="216"/>
        </w:trPr>
        <w:tc>
          <w:tcPr>
            <w:tcW w:w="1380" w:type="dxa"/>
            <w:vAlign w:val="bottom"/>
            <w:gridSpan w:val="2"/>
          </w:tcPr>
          <w:p>
            <w:pPr>
              <w:spacing w:after="0" w:line="216" w:lineRule="exact"/>
              <w:rPr>
                <w:sz w:val="20"/>
                <w:szCs w:val="20"/>
                <w:color w:val="auto"/>
              </w:rPr>
            </w:pPr>
            <w:r>
              <w:rPr>
                <w:rFonts w:ascii="Arial" w:cs="Arial" w:eastAsia="Arial" w:hAnsi="Arial"/>
                <w:sz w:val="22"/>
                <w:szCs w:val="22"/>
                <w:color w:val="auto"/>
                <w:w w:val="96"/>
              </w:rPr>
              <w:t>Schedule 1.03</w:t>
            </w:r>
          </w:p>
        </w:tc>
        <w:tc>
          <w:tcPr>
            <w:tcW w:w="2240" w:type="dxa"/>
            <w:vAlign w:val="bottom"/>
          </w:tcPr>
          <w:p>
            <w:pPr>
              <w:ind w:left="60"/>
              <w:spacing w:after="0" w:line="216" w:lineRule="exact"/>
              <w:rPr>
                <w:sz w:val="20"/>
                <w:szCs w:val="20"/>
                <w:color w:val="auto"/>
              </w:rPr>
            </w:pPr>
            <w:r>
              <w:rPr>
                <w:rFonts w:ascii="Arial" w:cs="Arial" w:eastAsia="Arial" w:hAnsi="Arial"/>
                <w:sz w:val="22"/>
                <w:szCs w:val="22"/>
                <w:color w:val="auto"/>
              </w:rPr>
              <w:t>[Reserved]</w:t>
            </w:r>
          </w:p>
        </w:tc>
      </w:tr>
      <w:tr>
        <w:trPr>
          <w:trHeight w:val="234"/>
        </w:trPr>
        <w:tc>
          <w:tcPr>
            <w:tcW w:w="1380" w:type="dxa"/>
            <w:vAlign w:val="bottom"/>
            <w:gridSpan w:val="2"/>
          </w:tcPr>
          <w:p>
            <w:pPr>
              <w:spacing w:after="0" w:line="234" w:lineRule="exact"/>
              <w:rPr>
                <w:sz w:val="20"/>
                <w:szCs w:val="20"/>
                <w:color w:val="auto"/>
              </w:rPr>
            </w:pPr>
            <w:r>
              <w:rPr>
                <w:rFonts w:ascii="Arial" w:cs="Arial" w:eastAsia="Arial" w:hAnsi="Arial"/>
                <w:sz w:val="22"/>
                <w:szCs w:val="22"/>
                <w:color w:val="auto"/>
                <w:w w:val="96"/>
              </w:rPr>
              <w:t>Schedule 1.04</w:t>
            </w:r>
          </w:p>
        </w:tc>
        <w:tc>
          <w:tcPr>
            <w:tcW w:w="2240" w:type="dxa"/>
            <w:vAlign w:val="bottom"/>
          </w:tcPr>
          <w:p>
            <w:pPr>
              <w:ind w:left="60"/>
              <w:spacing w:after="0" w:line="234" w:lineRule="exact"/>
              <w:rPr>
                <w:sz w:val="20"/>
                <w:szCs w:val="20"/>
                <w:color w:val="auto"/>
              </w:rPr>
            </w:pPr>
            <w:r>
              <w:rPr>
                <w:rFonts w:ascii="Arial" w:cs="Arial" w:eastAsia="Arial" w:hAnsi="Arial"/>
                <w:sz w:val="22"/>
                <w:szCs w:val="22"/>
                <w:color w:val="auto"/>
                <w:w w:val="88"/>
              </w:rPr>
              <w:t>Unrestricted Subsidiaries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500" w:type="dxa"/>
            <w:vAlign w:val="bottom"/>
            <w:gridSpan w:val="2"/>
          </w:tcPr>
          <w:p>
            <w:pPr>
              <w:spacing w:after="0" w:line="198" w:lineRule="exact"/>
              <w:rPr>
                <w:sz w:val="20"/>
                <w:szCs w:val="20"/>
                <w:color w:val="auto"/>
              </w:rPr>
            </w:pPr>
            <w:r>
              <w:rPr>
                <w:rFonts w:ascii="Arial" w:cs="Arial" w:eastAsia="Arial" w:hAnsi="Arial"/>
                <w:sz w:val="22"/>
                <w:szCs w:val="22"/>
                <w:color w:val="auto"/>
                <w:w w:val="88"/>
              </w:rPr>
              <w:t>Schedule 2.01(a)</w:t>
            </w:r>
          </w:p>
        </w:tc>
        <w:tc>
          <w:tcPr>
            <w:tcW w:w="2380" w:type="dxa"/>
            <w:vAlign w:val="bottom"/>
          </w:tcPr>
          <w:p>
            <w:pPr>
              <w:ind w:left="180"/>
              <w:spacing w:after="0" w:line="198" w:lineRule="exact"/>
              <w:rPr>
                <w:sz w:val="20"/>
                <w:szCs w:val="20"/>
                <w:color w:val="auto"/>
              </w:rPr>
            </w:pPr>
            <w:r>
              <w:rPr>
                <w:rFonts w:ascii="Arial" w:cs="Arial" w:eastAsia="Arial" w:hAnsi="Arial"/>
                <w:sz w:val="22"/>
                <w:szCs w:val="22"/>
                <w:color w:val="auto"/>
              </w:rPr>
              <w:t>Term Commitments</w:t>
            </w:r>
          </w:p>
        </w:tc>
      </w:tr>
      <w:tr>
        <w:trPr>
          <w:trHeight w:val="216"/>
        </w:trPr>
        <w:tc>
          <w:tcPr>
            <w:tcW w:w="1500" w:type="dxa"/>
            <w:vAlign w:val="bottom"/>
            <w:gridSpan w:val="2"/>
          </w:tcPr>
          <w:p>
            <w:pPr>
              <w:spacing w:after="0" w:line="216" w:lineRule="exact"/>
              <w:rPr>
                <w:sz w:val="20"/>
                <w:szCs w:val="20"/>
                <w:color w:val="auto"/>
              </w:rPr>
            </w:pPr>
            <w:r>
              <w:rPr>
                <w:rFonts w:ascii="Arial" w:cs="Arial" w:eastAsia="Arial" w:hAnsi="Arial"/>
                <w:sz w:val="22"/>
                <w:szCs w:val="22"/>
                <w:color w:val="auto"/>
                <w:w w:val="88"/>
              </w:rPr>
              <w:t>Schedule 2.01(b)</w:t>
            </w:r>
          </w:p>
        </w:tc>
        <w:tc>
          <w:tcPr>
            <w:tcW w:w="2380" w:type="dxa"/>
            <w:vAlign w:val="bottom"/>
          </w:tcPr>
          <w:p>
            <w:pPr>
              <w:ind w:left="200"/>
              <w:spacing w:after="0" w:line="216" w:lineRule="exact"/>
              <w:rPr>
                <w:sz w:val="20"/>
                <w:szCs w:val="20"/>
                <w:color w:val="auto"/>
              </w:rPr>
            </w:pPr>
            <w:r>
              <w:rPr>
                <w:rFonts w:ascii="Arial" w:cs="Arial" w:eastAsia="Arial" w:hAnsi="Arial"/>
                <w:sz w:val="22"/>
                <w:szCs w:val="22"/>
                <w:color w:val="auto"/>
                <w:w w:val="90"/>
              </w:rPr>
              <w:t>Revolving Commitments</w:t>
            </w:r>
          </w:p>
        </w:tc>
      </w:tr>
      <w:tr>
        <w:trPr>
          <w:trHeight w:val="216"/>
        </w:trPr>
        <w:tc>
          <w:tcPr>
            <w:tcW w:w="3880" w:type="dxa"/>
            <w:vAlign w:val="bottom"/>
            <w:gridSpan w:val="3"/>
          </w:tcPr>
          <w:p>
            <w:pPr>
              <w:spacing w:after="0" w:line="216" w:lineRule="exact"/>
              <w:rPr>
                <w:sz w:val="20"/>
                <w:szCs w:val="20"/>
                <w:color w:val="auto"/>
              </w:rPr>
            </w:pPr>
            <w:r>
              <w:rPr>
                <w:rFonts w:ascii="Arial" w:cs="Arial" w:eastAsia="Arial" w:hAnsi="Arial"/>
                <w:sz w:val="22"/>
                <w:szCs w:val="22"/>
                <w:color w:val="auto"/>
              </w:rPr>
              <w:t>Schedule 3.05  Material Real Property</w:t>
            </w:r>
          </w:p>
        </w:tc>
      </w:tr>
      <w:tr>
        <w:trPr>
          <w:trHeight w:val="216"/>
        </w:trPr>
        <w:tc>
          <w:tcPr>
            <w:tcW w:w="1340" w:type="dxa"/>
            <w:vAlign w:val="bottom"/>
          </w:tcPr>
          <w:p>
            <w:pPr>
              <w:spacing w:after="0" w:line="216" w:lineRule="exact"/>
              <w:rPr>
                <w:sz w:val="20"/>
                <w:szCs w:val="20"/>
                <w:color w:val="auto"/>
              </w:rPr>
            </w:pPr>
            <w:r>
              <w:rPr>
                <w:rFonts w:ascii="Arial" w:cs="Arial" w:eastAsia="Arial" w:hAnsi="Arial"/>
                <w:sz w:val="22"/>
                <w:szCs w:val="22"/>
                <w:color w:val="auto"/>
                <w:w w:val="93"/>
              </w:rPr>
              <w:t>Schedule 3.06</w:t>
            </w:r>
          </w:p>
        </w:tc>
        <w:tc>
          <w:tcPr>
            <w:tcW w:w="160" w:type="dxa"/>
            <w:vAlign w:val="bottom"/>
          </w:tcPr>
          <w:p>
            <w:pPr>
              <w:spacing w:after="0"/>
              <w:rPr>
                <w:sz w:val="18"/>
                <w:szCs w:val="18"/>
                <w:color w:val="auto"/>
              </w:rPr>
            </w:pPr>
          </w:p>
        </w:tc>
        <w:tc>
          <w:tcPr>
            <w:tcW w:w="2380" w:type="dxa"/>
            <w:vAlign w:val="bottom"/>
          </w:tcPr>
          <w:p>
            <w:pPr>
              <w:spacing w:after="0" w:line="216" w:lineRule="exact"/>
              <w:rPr>
                <w:sz w:val="20"/>
                <w:szCs w:val="20"/>
                <w:color w:val="auto"/>
              </w:rPr>
            </w:pPr>
            <w:r>
              <w:rPr>
                <w:rFonts w:ascii="Arial" w:cs="Arial" w:eastAsia="Arial" w:hAnsi="Arial"/>
                <w:sz w:val="22"/>
                <w:szCs w:val="22"/>
                <w:color w:val="auto"/>
              </w:rPr>
              <w:t>Disclosed Matters</w:t>
            </w:r>
          </w:p>
        </w:tc>
      </w:tr>
      <w:tr>
        <w:trPr>
          <w:trHeight w:val="216"/>
        </w:trPr>
        <w:tc>
          <w:tcPr>
            <w:tcW w:w="1340" w:type="dxa"/>
            <w:vAlign w:val="bottom"/>
          </w:tcPr>
          <w:p>
            <w:pPr>
              <w:spacing w:after="0" w:line="216" w:lineRule="exact"/>
              <w:rPr>
                <w:sz w:val="20"/>
                <w:szCs w:val="20"/>
                <w:color w:val="auto"/>
              </w:rPr>
            </w:pPr>
            <w:r>
              <w:rPr>
                <w:rFonts w:ascii="Arial" w:cs="Arial" w:eastAsia="Arial" w:hAnsi="Arial"/>
                <w:sz w:val="22"/>
                <w:szCs w:val="22"/>
                <w:color w:val="auto"/>
                <w:w w:val="93"/>
              </w:rPr>
              <w:t>Schedule 3.13</w:t>
            </w:r>
          </w:p>
        </w:tc>
        <w:tc>
          <w:tcPr>
            <w:tcW w:w="254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Subsidiaries</w:t>
            </w:r>
          </w:p>
        </w:tc>
      </w:tr>
      <w:tr>
        <w:trPr>
          <w:trHeight w:val="216"/>
        </w:trPr>
        <w:tc>
          <w:tcPr>
            <w:tcW w:w="1340" w:type="dxa"/>
            <w:vAlign w:val="bottom"/>
          </w:tcPr>
          <w:p>
            <w:pPr>
              <w:spacing w:after="0" w:line="216" w:lineRule="exact"/>
              <w:rPr>
                <w:sz w:val="20"/>
                <w:szCs w:val="20"/>
                <w:color w:val="auto"/>
              </w:rPr>
            </w:pPr>
            <w:r>
              <w:rPr>
                <w:rFonts w:ascii="Arial" w:cs="Arial" w:eastAsia="Arial" w:hAnsi="Arial"/>
                <w:sz w:val="22"/>
                <w:szCs w:val="22"/>
                <w:color w:val="auto"/>
                <w:w w:val="93"/>
              </w:rPr>
              <w:t>Schedule 5.11</w:t>
            </w:r>
          </w:p>
        </w:tc>
        <w:tc>
          <w:tcPr>
            <w:tcW w:w="254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Security Documents</w:t>
            </w:r>
          </w:p>
        </w:tc>
      </w:tr>
      <w:tr>
        <w:trPr>
          <w:trHeight w:val="216"/>
        </w:trPr>
        <w:tc>
          <w:tcPr>
            <w:tcW w:w="3880" w:type="dxa"/>
            <w:vAlign w:val="bottom"/>
            <w:gridSpan w:val="3"/>
          </w:tcPr>
          <w:p>
            <w:pPr>
              <w:spacing w:after="0" w:line="216" w:lineRule="exact"/>
              <w:rPr>
                <w:sz w:val="20"/>
                <w:szCs w:val="20"/>
                <w:color w:val="auto"/>
              </w:rPr>
            </w:pPr>
            <w:r>
              <w:rPr>
                <w:rFonts w:ascii="Arial" w:cs="Arial" w:eastAsia="Arial" w:hAnsi="Arial"/>
                <w:sz w:val="22"/>
                <w:szCs w:val="22"/>
                <w:color w:val="auto"/>
              </w:rPr>
              <w:t>Schedule 5.14  Post-Closing Matters</w:t>
            </w:r>
          </w:p>
        </w:tc>
      </w:tr>
      <w:tr>
        <w:trPr>
          <w:trHeight w:val="216"/>
        </w:trPr>
        <w:tc>
          <w:tcPr>
            <w:tcW w:w="1340" w:type="dxa"/>
            <w:vAlign w:val="bottom"/>
          </w:tcPr>
          <w:p>
            <w:pPr>
              <w:spacing w:after="0" w:line="216" w:lineRule="exact"/>
              <w:rPr>
                <w:sz w:val="20"/>
                <w:szCs w:val="20"/>
                <w:color w:val="auto"/>
              </w:rPr>
            </w:pPr>
            <w:r>
              <w:rPr>
                <w:rFonts w:ascii="Arial" w:cs="Arial" w:eastAsia="Arial" w:hAnsi="Arial"/>
                <w:sz w:val="22"/>
                <w:szCs w:val="22"/>
                <w:color w:val="auto"/>
                <w:w w:val="93"/>
              </w:rPr>
              <w:t>Schedule 6.01</w:t>
            </w:r>
          </w:p>
        </w:tc>
        <w:tc>
          <w:tcPr>
            <w:tcW w:w="254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Existing Indebtedness</w:t>
            </w:r>
          </w:p>
        </w:tc>
      </w:tr>
      <w:tr>
        <w:trPr>
          <w:trHeight w:val="216"/>
        </w:trPr>
        <w:tc>
          <w:tcPr>
            <w:tcW w:w="1340" w:type="dxa"/>
            <w:vAlign w:val="bottom"/>
          </w:tcPr>
          <w:p>
            <w:pPr>
              <w:spacing w:after="0" w:line="216" w:lineRule="exact"/>
              <w:rPr>
                <w:sz w:val="20"/>
                <w:szCs w:val="20"/>
                <w:color w:val="auto"/>
              </w:rPr>
            </w:pPr>
            <w:r>
              <w:rPr>
                <w:rFonts w:ascii="Arial" w:cs="Arial" w:eastAsia="Arial" w:hAnsi="Arial"/>
                <w:sz w:val="22"/>
                <w:szCs w:val="22"/>
                <w:color w:val="auto"/>
                <w:w w:val="93"/>
              </w:rPr>
              <w:t>Schedule 6.02</w:t>
            </w:r>
          </w:p>
        </w:tc>
        <w:tc>
          <w:tcPr>
            <w:tcW w:w="254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Existing Liens</w:t>
            </w:r>
          </w:p>
        </w:tc>
      </w:tr>
      <w:tr>
        <w:trPr>
          <w:trHeight w:val="216"/>
        </w:trPr>
        <w:tc>
          <w:tcPr>
            <w:tcW w:w="1340" w:type="dxa"/>
            <w:vAlign w:val="bottom"/>
          </w:tcPr>
          <w:p>
            <w:pPr>
              <w:spacing w:after="0" w:line="216" w:lineRule="exact"/>
              <w:rPr>
                <w:sz w:val="20"/>
                <w:szCs w:val="20"/>
                <w:color w:val="auto"/>
              </w:rPr>
            </w:pPr>
            <w:r>
              <w:rPr>
                <w:rFonts w:ascii="Arial" w:cs="Arial" w:eastAsia="Arial" w:hAnsi="Arial"/>
                <w:sz w:val="22"/>
                <w:szCs w:val="22"/>
                <w:color w:val="auto"/>
                <w:w w:val="93"/>
              </w:rPr>
              <w:t>Schedule 6.04</w:t>
            </w:r>
          </w:p>
        </w:tc>
        <w:tc>
          <w:tcPr>
            <w:tcW w:w="254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Existing Investments</w:t>
            </w:r>
          </w:p>
        </w:tc>
      </w:tr>
      <w:tr>
        <w:trPr>
          <w:trHeight w:val="234"/>
        </w:trPr>
        <w:tc>
          <w:tcPr>
            <w:tcW w:w="1340" w:type="dxa"/>
            <w:vAlign w:val="bottom"/>
          </w:tcPr>
          <w:p>
            <w:pPr>
              <w:spacing w:after="0" w:line="234" w:lineRule="exact"/>
              <w:rPr>
                <w:sz w:val="20"/>
                <w:szCs w:val="20"/>
                <w:color w:val="auto"/>
              </w:rPr>
            </w:pPr>
            <w:r>
              <w:rPr>
                <w:rFonts w:ascii="Arial" w:cs="Arial" w:eastAsia="Arial" w:hAnsi="Arial"/>
                <w:sz w:val="22"/>
                <w:szCs w:val="22"/>
                <w:color w:val="auto"/>
                <w:w w:val="93"/>
              </w:rPr>
              <w:t>Schedule 6.05</w:t>
            </w:r>
          </w:p>
        </w:tc>
        <w:tc>
          <w:tcPr>
            <w:tcW w:w="2540" w:type="dxa"/>
            <w:vAlign w:val="bottom"/>
            <w:gridSpan w:val="2"/>
          </w:tcPr>
          <w:p>
            <w:pPr>
              <w:ind w:left="100"/>
              <w:spacing w:after="0" w:line="234" w:lineRule="exact"/>
              <w:rPr>
                <w:sz w:val="20"/>
                <w:szCs w:val="20"/>
                <w:color w:val="auto"/>
              </w:rPr>
            </w:pPr>
            <w:r>
              <w:rPr>
                <w:rFonts w:ascii="Arial" w:cs="Arial" w:eastAsia="Arial" w:hAnsi="Arial"/>
                <w:sz w:val="22"/>
                <w:szCs w:val="22"/>
                <w:color w:val="auto"/>
              </w:rPr>
              <w:t>Asset Dispositions</w:t>
            </w:r>
          </w:p>
        </w:tc>
      </w:tr>
    </w:tbl>
    <w:p>
      <w:pPr>
        <w:spacing w:after="0" w:line="237" w:lineRule="auto"/>
        <w:tabs>
          <w:tab w:leader="none" w:pos="1420" w:val="left"/>
        </w:tabs>
        <w:rPr>
          <w:sz w:val="20"/>
          <w:szCs w:val="20"/>
          <w:color w:val="auto"/>
        </w:rPr>
      </w:pPr>
      <w:r>
        <w:rPr>
          <w:rFonts w:ascii="Arial" w:cs="Arial" w:eastAsia="Arial" w:hAnsi="Arial"/>
          <w:sz w:val="22"/>
          <w:szCs w:val="22"/>
          <w:color w:val="auto"/>
        </w:rPr>
        <w:t>Schedule 6.07</w:t>
      </w:r>
      <w:r>
        <w:rPr>
          <w:sz w:val="20"/>
          <w:szCs w:val="20"/>
          <w:color w:val="auto"/>
        </w:rPr>
        <w:tab/>
      </w:r>
      <w:r>
        <w:rPr>
          <w:rFonts w:ascii="Arial" w:cs="Arial" w:eastAsia="Arial" w:hAnsi="Arial"/>
          <w:sz w:val="19"/>
          <w:szCs w:val="19"/>
          <w:color w:val="auto"/>
        </w:rPr>
        <w:t>Transactions with Affiliates</w:t>
      </w:r>
    </w:p>
    <w:p>
      <w:pPr>
        <w:spacing w:after="0"/>
        <w:tabs>
          <w:tab w:leader="none" w:pos="1420" w:val="left"/>
        </w:tabs>
        <w:rPr>
          <w:sz w:val="20"/>
          <w:szCs w:val="20"/>
          <w:color w:val="auto"/>
        </w:rPr>
      </w:pPr>
      <w:r>
        <w:rPr>
          <w:rFonts w:ascii="Arial" w:cs="Arial" w:eastAsia="Arial" w:hAnsi="Arial"/>
          <w:sz w:val="22"/>
          <w:szCs w:val="22"/>
          <w:color w:val="auto"/>
        </w:rPr>
        <w:t>Schedule 9.01</w:t>
      </w:r>
      <w:r>
        <w:rPr>
          <w:sz w:val="20"/>
          <w:szCs w:val="20"/>
          <w:color w:val="auto"/>
        </w:rPr>
        <w:tab/>
      </w:r>
      <w:r>
        <w:rPr>
          <w:rFonts w:ascii="Arial" w:cs="Arial" w:eastAsia="Arial" w:hAnsi="Arial"/>
          <w:sz w:val="19"/>
          <w:szCs w:val="19"/>
          <w:color w:val="auto"/>
        </w:rPr>
        <w:t>Administrative Agent’s Office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37" w:lineRule="auto"/>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Borrowing Request</w:t>
      </w:r>
    </w:p>
    <w:p>
      <w:pPr>
        <w:spacing w:after="0" w:line="237" w:lineRule="auto"/>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Interest Election Request</w:t>
      </w:r>
    </w:p>
    <w:p>
      <w:pPr>
        <w:spacing w:after="0" w:line="237" w:lineRule="auto"/>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Solvency Certificate</w:t>
      </w:r>
    </w:p>
    <w:p>
      <w:pPr>
        <w:spacing w:after="0" w:line="237" w:lineRule="auto"/>
        <w:tabs>
          <w:tab w:leader="none" w:pos="106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[Reserved]</w:t>
      </w:r>
    </w:p>
    <w:p>
      <w:pPr>
        <w:spacing w:after="0" w:line="237" w:lineRule="auto"/>
        <w:tabs>
          <w:tab w:leader="none" w:pos="102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[Reserved]</w:t>
      </w:r>
    </w:p>
    <w:p>
      <w:pPr>
        <w:spacing w:after="0" w:line="237" w:lineRule="auto"/>
        <w:tabs>
          <w:tab w:leader="none" w:pos="1200" w:val="left"/>
        </w:tabs>
        <w:rPr>
          <w:sz w:val="20"/>
          <w:szCs w:val="20"/>
          <w:color w:val="auto"/>
        </w:rPr>
      </w:pPr>
      <w:r>
        <w:rPr>
          <w:rFonts w:ascii="Arial" w:cs="Arial" w:eastAsia="Arial" w:hAnsi="Arial"/>
          <w:sz w:val="22"/>
          <w:szCs w:val="22"/>
          <w:color w:val="auto"/>
        </w:rPr>
        <w:t>Exhibit F-1</w:t>
      </w:r>
      <w:r>
        <w:rPr>
          <w:sz w:val="20"/>
          <w:szCs w:val="20"/>
          <w:color w:val="auto"/>
        </w:rPr>
        <w:tab/>
      </w:r>
      <w:r>
        <w:rPr>
          <w:rFonts w:ascii="Arial" w:cs="Arial" w:eastAsia="Arial" w:hAnsi="Arial"/>
          <w:sz w:val="19"/>
          <w:szCs w:val="19"/>
          <w:color w:val="auto"/>
        </w:rPr>
        <w:t>Form of Term Note</w:t>
      </w:r>
    </w:p>
    <w:p>
      <w:pPr>
        <w:spacing w:after="0" w:line="237" w:lineRule="auto"/>
        <w:tabs>
          <w:tab w:leader="none" w:pos="1200" w:val="left"/>
        </w:tabs>
        <w:rPr>
          <w:sz w:val="20"/>
          <w:szCs w:val="20"/>
          <w:color w:val="auto"/>
        </w:rPr>
      </w:pPr>
      <w:r>
        <w:rPr>
          <w:rFonts w:ascii="Arial" w:cs="Arial" w:eastAsia="Arial" w:hAnsi="Arial"/>
          <w:sz w:val="22"/>
          <w:szCs w:val="22"/>
          <w:color w:val="auto"/>
        </w:rPr>
        <w:t>Exhibit F-2</w:t>
      </w:r>
      <w:r>
        <w:rPr>
          <w:sz w:val="20"/>
          <w:szCs w:val="20"/>
          <w:color w:val="auto"/>
        </w:rPr>
        <w:tab/>
      </w:r>
      <w:r>
        <w:rPr>
          <w:rFonts w:ascii="Arial" w:cs="Arial" w:eastAsia="Arial" w:hAnsi="Arial"/>
          <w:sz w:val="19"/>
          <w:szCs w:val="19"/>
          <w:color w:val="auto"/>
        </w:rPr>
        <w:t>Form of Revolving Note</w:t>
      </w:r>
    </w:p>
    <w:p>
      <w:pPr>
        <w:spacing w:after="0" w:line="237" w:lineRule="auto"/>
        <w:tabs>
          <w:tab w:leader="none" w:pos="1240" w:val="left"/>
        </w:tabs>
        <w:rPr>
          <w:sz w:val="20"/>
          <w:szCs w:val="20"/>
          <w:color w:val="auto"/>
        </w:rPr>
      </w:pPr>
      <w:r>
        <w:rPr>
          <w:rFonts w:ascii="Arial" w:cs="Arial" w:eastAsia="Arial" w:hAnsi="Arial"/>
          <w:sz w:val="22"/>
          <w:szCs w:val="22"/>
          <w:color w:val="auto"/>
        </w:rPr>
        <w:t>Exhibit G-1</w:t>
      </w:r>
      <w:r>
        <w:rPr>
          <w:sz w:val="20"/>
          <w:szCs w:val="20"/>
          <w:color w:val="auto"/>
        </w:rPr>
        <w:tab/>
      </w:r>
      <w:r>
        <w:rPr>
          <w:rFonts w:ascii="Arial" w:cs="Arial" w:eastAsia="Arial" w:hAnsi="Arial"/>
          <w:sz w:val="19"/>
          <w:szCs w:val="19"/>
          <w:color w:val="auto"/>
        </w:rPr>
        <w:t>Form of Assignment and Assumption Agreement</w:t>
      </w:r>
    </w:p>
    <w:p>
      <w:pPr>
        <w:spacing w:after="0" w:line="237" w:lineRule="auto"/>
        <w:tabs>
          <w:tab w:leader="none" w:pos="1240" w:val="left"/>
        </w:tabs>
        <w:rPr>
          <w:sz w:val="20"/>
          <w:szCs w:val="20"/>
          <w:color w:val="auto"/>
        </w:rPr>
      </w:pPr>
      <w:r>
        <w:rPr>
          <w:rFonts w:ascii="Arial" w:cs="Arial" w:eastAsia="Arial" w:hAnsi="Arial"/>
          <w:sz w:val="22"/>
          <w:szCs w:val="22"/>
          <w:color w:val="auto"/>
        </w:rPr>
        <w:t>Exhibit G-2</w:t>
      </w:r>
      <w:r>
        <w:rPr>
          <w:sz w:val="20"/>
          <w:szCs w:val="20"/>
          <w:color w:val="auto"/>
        </w:rPr>
        <w:tab/>
      </w:r>
      <w:r>
        <w:rPr>
          <w:rFonts w:ascii="Arial" w:cs="Arial" w:eastAsia="Arial" w:hAnsi="Arial"/>
          <w:sz w:val="19"/>
          <w:szCs w:val="19"/>
          <w:color w:val="auto"/>
        </w:rPr>
        <w:t>Form of Affiliated Lender Assignment and Assumption Agreement</w:t>
      </w:r>
    </w:p>
    <w:p>
      <w:pPr>
        <w:ind w:left="1260" w:right="720" w:hanging="1538"/>
        <w:spacing w:after="0" w:line="204" w:lineRule="auto"/>
        <w:tabs>
          <w:tab w:leader="none" w:pos="1240" w:val="left"/>
        </w:tabs>
        <w:rPr>
          <w:sz w:val="20"/>
          <w:szCs w:val="20"/>
          <w:color w:val="auto"/>
        </w:rPr>
      </w:pPr>
      <w:r>
        <w:rPr>
          <w:rFonts w:ascii="Arial" w:cs="Arial" w:eastAsia="Arial" w:hAnsi="Arial"/>
          <w:sz w:val="22"/>
          <w:szCs w:val="22"/>
          <w:color w:val="auto"/>
        </w:rPr>
        <w:t>Exhibit H-1</w:t>
        <w:tab/>
        <w:t>Form of U.S. Tax Certificate (For Foreign Lenders That Are Not Partnerships For U.S. Federal Income Tax Purposes)</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9"/>
          <w:szCs w:val="19"/>
          <w:color w:val="auto"/>
        </w:rPr>
        <w:t>Exhibit H-2 Form of U.S. Tax Certificate (For Foreign Lenders That Are Partnerships For U.S. Federal Income Tax Purposes) Exhibit H-3 Form of U.S. Tax Certificate (For Foreign Participants That Are Not U.S. Persons or Partnerships (For U.S. Federal</w:t>
      </w:r>
    </w:p>
    <w:p>
      <w:pPr>
        <w:ind w:left="1540"/>
        <w:spacing w:after="0" w:line="205" w:lineRule="auto"/>
        <w:rPr>
          <w:sz w:val="20"/>
          <w:szCs w:val="20"/>
          <w:color w:val="auto"/>
        </w:rPr>
      </w:pPr>
      <w:r>
        <w:rPr>
          <w:rFonts w:ascii="Arial" w:cs="Arial" w:eastAsia="Arial" w:hAnsi="Arial"/>
          <w:sz w:val="22"/>
          <w:szCs w:val="22"/>
          <w:color w:val="auto"/>
        </w:rPr>
        <w:t>Income Tax Purposes)</w:t>
      </w:r>
    </w:p>
    <w:p>
      <w:pPr>
        <w:ind w:left="1260" w:right="760" w:hanging="1538"/>
        <w:spacing w:after="0" w:line="204" w:lineRule="auto"/>
        <w:tabs>
          <w:tab w:leader="none" w:pos="1240" w:val="left"/>
        </w:tabs>
        <w:rPr>
          <w:sz w:val="20"/>
          <w:szCs w:val="20"/>
          <w:color w:val="auto"/>
        </w:rPr>
      </w:pPr>
      <w:r>
        <w:rPr>
          <w:rFonts w:ascii="Arial" w:cs="Arial" w:eastAsia="Arial" w:hAnsi="Arial"/>
          <w:sz w:val="22"/>
          <w:szCs w:val="22"/>
          <w:color w:val="auto"/>
        </w:rPr>
        <w:t>Exhibit H-4</w:t>
        <w:tab/>
        <w:t>Form of U.S. Tax Certificate (For Foreign Participants That Are Partnerships For U.S. Federal Income Tax Purposes)</w:t>
      </w:r>
    </w:p>
    <w:p>
      <w:pPr>
        <w:spacing w:after="0"/>
        <w:tabs>
          <w:tab w:leader="none" w:pos="960" w:val="left"/>
        </w:tabs>
        <w:rPr>
          <w:sz w:val="20"/>
          <w:szCs w:val="20"/>
          <w:color w:val="auto"/>
        </w:rPr>
      </w:pPr>
      <w:r>
        <w:rPr>
          <w:rFonts w:ascii="Arial" w:cs="Arial" w:eastAsia="Arial" w:hAnsi="Arial"/>
          <w:sz w:val="22"/>
          <w:szCs w:val="22"/>
          <w:color w:val="auto"/>
        </w:rPr>
        <w:t>Exhibit I</w:t>
      </w:r>
      <w:r>
        <w:rPr>
          <w:sz w:val="20"/>
          <w:szCs w:val="20"/>
          <w:color w:val="auto"/>
        </w:rPr>
        <w:tab/>
      </w:r>
      <w:r>
        <w:rPr>
          <w:rFonts w:ascii="Arial" w:cs="Arial" w:eastAsia="Arial" w:hAnsi="Arial"/>
          <w:sz w:val="19"/>
          <w:szCs w:val="19"/>
          <w:color w:val="auto"/>
        </w:rPr>
        <w:t>Form of Mortgage</w:t>
      </w:r>
    </w:p>
    <w:p>
      <w:pPr>
        <w:spacing w:after="0" w:line="237" w:lineRule="auto"/>
        <w:tabs>
          <w:tab w:leader="none" w:pos="980" w:val="left"/>
        </w:tabs>
        <w:rPr>
          <w:sz w:val="20"/>
          <w:szCs w:val="20"/>
          <w:color w:val="auto"/>
        </w:rPr>
      </w:pPr>
      <w:r>
        <w:rPr>
          <w:rFonts w:ascii="Arial" w:cs="Arial" w:eastAsia="Arial" w:hAnsi="Arial"/>
          <w:sz w:val="22"/>
          <w:szCs w:val="22"/>
          <w:color w:val="auto"/>
        </w:rPr>
        <w:t>Exhibit J</w:t>
      </w:r>
      <w:r>
        <w:rPr>
          <w:sz w:val="20"/>
          <w:szCs w:val="20"/>
          <w:color w:val="auto"/>
        </w:rPr>
        <w:tab/>
      </w:r>
      <w:r>
        <w:rPr>
          <w:rFonts w:ascii="Arial" w:cs="Arial" w:eastAsia="Arial" w:hAnsi="Arial"/>
          <w:sz w:val="19"/>
          <w:szCs w:val="19"/>
          <w:color w:val="auto"/>
        </w:rPr>
        <w:t>Form of Compliance Certificate</w:t>
      </w:r>
    </w:p>
    <w:p>
      <w:pPr>
        <w:spacing w:after="0" w:line="237" w:lineRule="auto"/>
        <w:tabs>
          <w:tab w:leader="none" w:pos="1060" w:val="left"/>
        </w:tabs>
        <w:rPr>
          <w:sz w:val="20"/>
          <w:szCs w:val="20"/>
          <w:color w:val="auto"/>
        </w:rPr>
      </w:pPr>
      <w:r>
        <w:rPr>
          <w:rFonts w:ascii="Arial" w:cs="Arial" w:eastAsia="Arial" w:hAnsi="Arial"/>
          <w:sz w:val="22"/>
          <w:szCs w:val="22"/>
          <w:color w:val="auto"/>
        </w:rPr>
        <w:t>Exhibit K</w:t>
      </w:r>
      <w:r>
        <w:rPr>
          <w:sz w:val="20"/>
          <w:szCs w:val="20"/>
          <w:color w:val="auto"/>
        </w:rPr>
        <w:tab/>
      </w:r>
      <w:r>
        <w:rPr>
          <w:rFonts w:ascii="Arial" w:cs="Arial" w:eastAsia="Arial" w:hAnsi="Arial"/>
          <w:sz w:val="19"/>
          <w:szCs w:val="19"/>
          <w:color w:val="auto"/>
        </w:rPr>
        <w:t>Form of Pari Passu Intercreditor Agreement</w:t>
      </w:r>
    </w:p>
    <w:p>
      <w:pPr>
        <w:spacing w:after="0" w:line="237" w:lineRule="auto"/>
        <w:tabs>
          <w:tab w:leader="none" w:pos="1020" w:val="left"/>
        </w:tabs>
        <w:rPr>
          <w:sz w:val="20"/>
          <w:szCs w:val="20"/>
          <w:color w:val="auto"/>
        </w:rPr>
      </w:pPr>
      <w:r>
        <w:rPr>
          <w:rFonts w:ascii="Arial" w:cs="Arial" w:eastAsia="Arial" w:hAnsi="Arial"/>
          <w:sz w:val="22"/>
          <w:szCs w:val="22"/>
          <w:color w:val="auto"/>
        </w:rPr>
        <w:t>Exhibit L</w:t>
      </w:r>
      <w:r>
        <w:rPr>
          <w:sz w:val="20"/>
          <w:szCs w:val="20"/>
          <w:color w:val="auto"/>
        </w:rPr>
        <w:tab/>
      </w:r>
      <w:r>
        <w:rPr>
          <w:rFonts w:ascii="Arial" w:cs="Arial" w:eastAsia="Arial" w:hAnsi="Arial"/>
          <w:sz w:val="19"/>
          <w:szCs w:val="19"/>
          <w:color w:val="auto"/>
        </w:rPr>
        <w:t>Form of Second Lien Intercreditor Agreement</w:t>
      </w:r>
    </w:p>
    <w:p>
      <w:pPr>
        <w:spacing w:after="0"/>
        <w:tabs>
          <w:tab w:leader="none" w:pos="1080" w:val="left"/>
        </w:tabs>
        <w:rPr>
          <w:sz w:val="20"/>
          <w:szCs w:val="20"/>
          <w:color w:val="auto"/>
        </w:rPr>
      </w:pPr>
      <w:r>
        <w:rPr>
          <w:rFonts w:ascii="Arial" w:cs="Arial" w:eastAsia="Arial" w:hAnsi="Arial"/>
          <w:sz w:val="22"/>
          <w:szCs w:val="22"/>
          <w:color w:val="auto"/>
        </w:rPr>
        <w:t>Exhibit M</w:t>
      </w:r>
      <w:r>
        <w:rPr>
          <w:sz w:val="20"/>
          <w:szCs w:val="20"/>
          <w:color w:val="auto"/>
        </w:rPr>
        <w:tab/>
      </w:r>
      <w:r>
        <w:rPr>
          <w:rFonts w:ascii="Arial" w:cs="Arial" w:eastAsia="Arial" w:hAnsi="Arial"/>
          <w:sz w:val="19"/>
          <w:szCs w:val="19"/>
          <w:color w:val="auto"/>
        </w:rPr>
        <w:t>Form of Secured Party Joinder Notice</w:t>
      </w: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iv</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20"/>
          </w:cols>
          <w:pgMar w:left="320" w:top="1372" w:right="359" w:bottom="1440" w:gutter="0" w:footer="0" w:header="0"/>
        </w:sectPr>
      </w:pPr>
    </w:p>
    <w:bookmarkStart w:id="289" w:name="page290"/>
    <w:bookmarkEnd w:id="289"/>
    <w:p>
      <w:pPr>
        <w:jc w:val="both"/>
        <w:ind w:firstLine="1296"/>
        <w:spacing w:after="0" w:line="218" w:lineRule="auto"/>
        <w:rPr>
          <w:sz w:val="20"/>
          <w:szCs w:val="20"/>
          <w:color w:val="auto"/>
        </w:rPr>
      </w:pPr>
      <w:r>
        <w:rPr>
          <w:rFonts w:ascii="Arial" w:cs="Arial" w:eastAsia="Arial" w:hAnsi="Arial"/>
          <w:sz w:val="22"/>
          <w:szCs w:val="22"/>
          <w:color w:val="auto"/>
        </w:rPr>
        <w:t>FIRST LIEN CREDIT AGREEMENT dated as of October 12, 2018 (this “</w:t>
      </w:r>
      <w:r>
        <w:rPr>
          <w:rFonts w:ascii="Arial" w:cs="Arial" w:eastAsia="Arial" w:hAnsi="Arial"/>
          <w:sz w:val="22"/>
          <w:szCs w:val="22"/>
          <w:u w:val="single" w:color="auto"/>
          <w:color w:val="auto"/>
        </w:rPr>
        <w:t>Agreement</w:t>
      </w:r>
      <w:r>
        <w:rPr>
          <w:rFonts w:ascii="Arial" w:cs="Arial" w:eastAsia="Arial" w:hAnsi="Arial"/>
          <w:sz w:val="22"/>
          <w:szCs w:val="22"/>
          <w:color w:val="auto"/>
        </w:rPr>
        <w:t>”), among GOODRX,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GOODRX INTERMEDIATE HOLDINGS, LLC, a Delaware limited liability company (“</w:t>
      </w:r>
      <w:r>
        <w:rPr>
          <w:rFonts w:ascii="Arial" w:cs="Arial" w:eastAsia="Arial" w:hAnsi="Arial"/>
          <w:sz w:val="22"/>
          <w:szCs w:val="22"/>
          <w:u w:val="single" w:color="auto"/>
          <w:color w:val="auto"/>
        </w:rPr>
        <w:t>Holdings</w:t>
      </w:r>
      <w:r>
        <w:rPr>
          <w:rFonts w:ascii="Arial" w:cs="Arial" w:eastAsia="Arial" w:hAnsi="Arial"/>
          <w:sz w:val="22"/>
          <w:szCs w:val="22"/>
          <w:color w:val="auto"/>
        </w:rPr>
        <w:t>”), the other Guarantors from time to time party hereto, the LENDERS from time to time party hereto, and BARCLAYS BANK PLC, as Administrative Agent and Collateral Agent.</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capitalized terms used in these recitals shall have the respective meanings set forth for such terms in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ARTICLE I</w:t>
      </w:r>
      <w:r>
        <w:rPr>
          <w:rFonts w:ascii="Arial" w:cs="Arial" w:eastAsia="Arial" w:hAnsi="Arial"/>
          <w:sz w:val="22"/>
          <w:szCs w:val="22"/>
          <w:color w:val="auto"/>
        </w:rPr>
        <w:t>;</w:t>
      </w:r>
    </w:p>
    <w:p>
      <w:pPr>
        <w:spacing w:after="0" w:line="15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Silver Lake Partners V, L.P. (“</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Purchaser</w:t>
      </w:r>
      <w:r>
        <w:rPr>
          <w:rFonts w:ascii="Arial" w:cs="Arial" w:eastAsia="Arial" w:hAnsi="Arial"/>
          <w:sz w:val="19"/>
          <w:szCs w:val="19"/>
          <w:color w:val="auto"/>
        </w:rPr>
        <w:t>”) and/or its affiliates or its associated funds, pursuant to that</w:t>
      </w:r>
      <w:r>
        <w:rPr>
          <w:rFonts w:ascii="Arial" w:cs="Arial" w:eastAsia="Arial" w:hAnsi="Arial"/>
          <w:sz w:val="19"/>
          <w:szCs w:val="19"/>
          <w:b w:val="1"/>
          <w:bCs w:val="1"/>
          <w:color w:val="auto"/>
        </w:rPr>
        <w:t xml:space="preserve"> </w:t>
      </w:r>
      <w:r>
        <w:rPr>
          <w:rFonts w:ascii="Arial" w:cs="Arial" w:eastAsia="Arial" w:hAnsi="Arial"/>
          <w:sz w:val="19"/>
          <w:szCs w:val="19"/>
          <w:color w:val="auto"/>
        </w:rPr>
        <w:t>certain Purchase and Recapitalization Agreement, dated as of August 3, 2018 (together with the exhibits and disclosure schedules thereto, as amended, restated, supplemented or otherwise modified from time to time (for purposes of Section 4.01(g), to the extent permitted thereby), the “</w:t>
      </w:r>
      <w:r>
        <w:rPr>
          <w:rFonts w:ascii="Arial" w:cs="Arial" w:eastAsia="Arial" w:hAnsi="Arial"/>
          <w:sz w:val="19"/>
          <w:szCs w:val="19"/>
          <w:u w:val="single" w:color="auto"/>
          <w:color w:val="auto"/>
        </w:rPr>
        <w:t>Recapitalization Agreement</w:t>
      </w:r>
      <w:r>
        <w:rPr>
          <w:rFonts w:ascii="Arial" w:cs="Arial" w:eastAsia="Arial" w:hAnsi="Arial"/>
          <w:sz w:val="19"/>
          <w:szCs w:val="19"/>
          <w:color w:val="auto"/>
        </w:rPr>
        <w:t>”), by and among GoodRx Holdings, Inc. (“</w:t>
      </w:r>
      <w:r>
        <w:rPr>
          <w:rFonts w:ascii="Arial" w:cs="Arial" w:eastAsia="Arial" w:hAnsi="Arial"/>
          <w:sz w:val="19"/>
          <w:szCs w:val="19"/>
          <w:u w:val="single" w:color="auto"/>
          <w:color w:val="auto"/>
        </w:rPr>
        <w:t>Parent</w:t>
      </w:r>
      <w:r>
        <w:rPr>
          <w:rFonts w:ascii="Arial" w:cs="Arial" w:eastAsia="Arial" w:hAnsi="Arial"/>
          <w:sz w:val="19"/>
          <w:szCs w:val="19"/>
          <w:color w:val="auto"/>
        </w:rPr>
        <w:t>”), Holdings, the Borrower and Purchaser, will acquire a minority stake in Parent (the foregoing, collectively, the “</w:t>
      </w:r>
      <w:r>
        <w:rPr>
          <w:rFonts w:ascii="Arial" w:cs="Arial" w:eastAsia="Arial" w:hAnsi="Arial"/>
          <w:sz w:val="19"/>
          <w:szCs w:val="19"/>
          <w:u w:val="single" w:color="auto"/>
          <w:color w:val="auto"/>
        </w:rPr>
        <w:t>Closing Date Recapitalization</w:t>
      </w:r>
      <w:r>
        <w:rPr>
          <w:rFonts w:ascii="Arial" w:cs="Arial" w:eastAsia="Arial" w:hAnsi="Arial"/>
          <w:sz w:val="19"/>
          <w:szCs w:val="19"/>
          <w:color w:val="auto"/>
        </w:rPr>
        <w:t>”);</w:t>
      </w:r>
    </w:p>
    <w:p>
      <w:pPr>
        <w:spacing w:after="0" w:line="14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immediately prior to the consummation of the Closing Date Recapitalization, the Borrower has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requested that the Lenders and the Issuing Banks extend credit to the Borrower in the form of (a) Term Loans in an aggregate principal amount not in excess of $545,000,000 and (b) a commitment for Revolving Loans and Letters of Credit, in an aggregate principal amount not in excess of $40,000,000, in each case the proceeds of which shall be utilized as set forth in </w:t>
      </w:r>
      <w:r>
        <w:rPr>
          <w:rFonts w:ascii="Arial" w:cs="Arial" w:eastAsia="Arial" w:hAnsi="Arial"/>
          <w:sz w:val="19"/>
          <w:szCs w:val="19"/>
          <w:u w:val="single" w:color="auto"/>
          <w:color w:val="auto"/>
        </w:rPr>
        <w:t>Section 5.09</w:t>
      </w:r>
      <w:r>
        <w:rPr>
          <w:rFonts w:ascii="Arial" w:cs="Arial" w:eastAsia="Arial" w:hAnsi="Arial"/>
          <w:sz w:val="19"/>
          <w:szCs w:val="19"/>
          <w:color w:val="auto"/>
        </w:rPr>
        <w:t>;</w:t>
      </w:r>
    </w:p>
    <w:p>
      <w:pPr>
        <w:spacing w:after="0" w:line="137"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immediately following the initial funding of the Term Loans, the proceeds of such Term Loans,</w:t>
      </w:r>
      <w:r>
        <w:rPr>
          <w:rFonts w:ascii="Arial" w:cs="Arial" w:eastAsia="Arial" w:hAnsi="Arial"/>
          <w:sz w:val="22"/>
          <w:szCs w:val="22"/>
          <w:b w:val="1"/>
          <w:bCs w:val="1"/>
          <w:color w:val="auto"/>
        </w:rPr>
        <w:t xml:space="preserve"> </w:t>
      </w:r>
      <w:r>
        <w:rPr>
          <w:rFonts w:ascii="Arial" w:cs="Arial" w:eastAsia="Arial" w:hAnsi="Arial"/>
          <w:sz w:val="22"/>
          <w:szCs w:val="22"/>
          <w:color w:val="auto"/>
        </w:rPr>
        <w:t>together with the proceeds of (i) the Initial Revolving Borrowing and (ii) the Second Lien Loans, will be used to finance the Closing Date Distribution, the Closing Date Refinancing and the Transaction Costs, and for working capital and other general corporate purposes;</w:t>
      </w:r>
    </w:p>
    <w:p>
      <w:pPr>
        <w:spacing w:after="0" w:line="152"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provisions, covenants and mutual agreements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and other good and valuable consideration, the sufficiency and receipt of which are hereby acknowledged, the Lenders and Issuing Banks are willing to extend such credit to the Borrower on the terms and express conditions set forth herein, and accordingly the parties hereto agree as follows.</w:t>
      </w:r>
    </w:p>
    <w:p>
      <w:pPr>
        <w:spacing w:after="0" w:line="139"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w:t>
      </w:r>
    </w:p>
    <w:p>
      <w:pPr>
        <w:ind w:left="5140"/>
        <w:spacing w:after="0"/>
        <w:rPr>
          <w:sz w:val="20"/>
          <w:szCs w:val="20"/>
          <w:color w:val="auto"/>
        </w:rPr>
      </w:pPr>
      <w:r>
        <w:rPr>
          <w:rFonts w:ascii="Arial" w:cs="Arial" w:eastAsia="Arial" w:hAnsi="Arial"/>
          <w:sz w:val="22"/>
          <w:szCs w:val="22"/>
          <w:u w:val="single" w:color="auto"/>
          <w:color w:val="auto"/>
        </w:rPr>
        <w:t>Definitions</w:t>
      </w:r>
    </w:p>
    <w:p>
      <w:pPr>
        <w:spacing w:after="0" w:line="16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 below:</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2019 Incremental Funding Term Loan Commitment</w:t>
      </w:r>
      <w:r>
        <w:rPr>
          <w:rFonts w:ascii="Arial" w:cs="Arial" w:eastAsia="Arial" w:hAnsi="Arial"/>
          <w:sz w:val="22"/>
          <w:szCs w:val="22"/>
          <w:color w:val="auto"/>
        </w:rPr>
        <w:t>” has the meaning assigned to such term in Section I of the First Incremental Credit Facility Amendment.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2019 Incremental Funding Term Loans</w:t>
      </w:r>
      <w:r>
        <w:rPr>
          <w:rFonts w:ascii="Arial" w:cs="Arial" w:eastAsia="Arial" w:hAnsi="Arial"/>
          <w:sz w:val="22"/>
          <w:szCs w:val="22"/>
          <w:color w:val="auto"/>
        </w:rPr>
        <w:t>” has the meaning assigned to such term in Section I of the First Incremental Credit Facility Amendment.</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2019 Incremental Lender</w:t>
      </w:r>
      <w:r>
        <w:rPr>
          <w:rFonts w:ascii="Arial" w:cs="Arial" w:eastAsia="Arial" w:hAnsi="Arial"/>
          <w:sz w:val="21"/>
          <w:szCs w:val="21"/>
          <w:color w:val="auto"/>
        </w:rPr>
        <w:t>” means, as of any date of determination, all Lenders having a 2019 Incremental Funding Term Loan Commitment or holding all or any portion of the outstanding 2019 Incremental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1" w:right="339" w:bottom="1440" w:gutter="0" w:footer="0" w:header="0"/>
        </w:sectPr>
      </w:pPr>
    </w:p>
    <w:bookmarkStart w:id="290" w:name="page291"/>
    <w:bookmarkEnd w:id="290"/>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2019 Incremental Term Loans</w:t>
      </w:r>
      <w:r>
        <w:rPr>
          <w:rFonts w:ascii="Arial" w:cs="Arial" w:eastAsia="Arial" w:hAnsi="Arial"/>
          <w:sz w:val="22"/>
          <w:szCs w:val="22"/>
          <w:color w:val="auto"/>
        </w:rPr>
        <w:t>” has the meaning assigned to such term in the Recitals of the First Incremental Credit Facility Amendment, and shall include the 2019 Incremental Funding Term Loans.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2020 Incremental Revolving Commitments</w:t>
      </w:r>
      <w:r>
        <w:rPr>
          <w:rFonts w:ascii="Arial" w:cs="Arial" w:eastAsia="Arial" w:hAnsi="Arial"/>
          <w:sz w:val="22"/>
          <w:szCs w:val="22"/>
          <w:color w:val="auto"/>
        </w:rPr>
        <w:t>” has the meaning assigned to such term in Section I of the Second Incremental Credit Facility Amendment.</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2020 Incremental Revolving Lender</w:t>
      </w:r>
      <w:r>
        <w:rPr>
          <w:rFonts w:ascii="Arial" w:cs="Arial" w:eastAsia="Arial" w:hAnsi="Arial"/>
          <w:sz w:val="21"/>
          <w:szCs w:val="21"/>
          <w:color w:val="auto"/>
        </w:rPr>
        <w:t xml:space="preserve"> ” means, as of any date of determination, all Lenders having 2020 Incremental Revolving Commitments or holding all or any portion of the outstanding 2020 Incremental Revolving Loans.</w:t>
      </w:r>
    </w:p>
    <w:p>
      <w:pPr>
        <w:spacing w:after="0" w:line="15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2020 Incremental Revolving Loans</w:t>
      </w:r>
      <w:r>
        <w:rPr>
          <w:rFonts w:ascii="Arial" w:cs="Arial" w:eastAsia="Arial" w:hAnsi="Arial"/>
          <w:sz w:val="22"/>
          <w:szCs w:val="22"/>
          <w:color w:val="auto"/>
        </w:rPr>
        <w:t>” has the meaning assigned to such term in the Recitals of the Second Incremental Credit Facility Amendment.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or the Loans comprising such Borrowing, is bearing interest at a rate determined by reference to the Alternate Base Rate.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 Borrowing</w:t>
      </w:r>
      <w:r>
        <w:rPr>
          <w:rFonts w:ascii="Arial" w:cs="Arial" w:eastAsia="Arial" w:hAnsi="Arial"/>
          <w:sz w:val="22"/>
          <w:szCs w:val="22"/>
          <w:color w:val="auto"/>
        </w:rPr>
        <w:t>” means a Loan that bears interest at a rate based on the Alternate Base Rate.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Change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means any acquisition by any Holding Company or any Restricted Subsidiary, whether by purchase, merger, amalgamation, consolidation, contribution or otherwise, of (x) at least a majority of the assets or property and/or liabilities (or any other substantial part for which financial statements or other financial information is available), or a business line, product line, unit or division of, any other Person, (y) Equity Interests of any other Person such that such other Person becomes a Restricted Subsidiary or (z) additional Equity Interests of any Restricted Subsidiary not then held by any Holding Company or any Restricted Subsidiary.</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Debt</w:t>
      </w:r>
      <w:r>
        <w:rPr>
          <w:rFonts w:ascii="Arial" w:cs="Arial" w:eastAsia="Arial" w:hAnsi="Arial"/>
          <w:sz w:val="21"/>
          <w:szCs w:val="21"/>
          <w:color w:val="auto"/>
        </w:rPr>
        <w:t>” means debt in respect of one or more series of senior unsecured notes, senior secured pari passu first lien or junior lien notes or subordinated notes (in each case issued in a public offering, Rule 144A or other private placement in lieu of the foregoing (and any Registered Equivalent Notes issued in exchange therefor)), pari passu first lien, junior lien or unsecured loans or secured or unsecured mezzanine Indebtedness, in each case issued, incurred or guaranteed by any Holding Company, the Borrower or any Restricted Subsidiary after the Closing Date that:</w:t>
      </w:r>
    </w:p>
    <w:p>
      <w:pPr>
        <w:spacing w:after="0" w:line="159" w:lineRule="exact"/>
        <w:rPr>
          <w:sz w:val="20"/>
          <w:szCs w:val="20"/>
          <w:color w:val="auto"/>
        </w:rPr>
      </w:pPr>
    </w:p>
    <w:p>
      <w:pPr>
        <w:jc w:val="both"/>
        <w:ind w:firstLine="1556"/>
        <w:spacing w:after="0" w:line="246" w:lineRule="auto"/>
        <w:tabs>
          <w:tab w:leader="none" w:pos="2068" w:val="left"/>
        </w:tabs>
        <w:numPr>
          <w:ilvl w:val="0"/>
          <w:numId w:val="309"/>
        </w:numPr>
        <w:rPr>
          <w:rFonts w:ascii="Arial" w:cs="Arial" w:eastAsia="Arial" w:hAnsi="Arial"/>
          <w:sz w:val="19"/>
          <w:szCs w:val="19"/>
          <w:color w:val="auto"/>
        </w:rPr>
      </w:pPr>
      <w:r>
        <w:rPr>
          <w:rFonts w:ascii="Arial" w:cs="Arial" w:eastAsia="Arial" w:hAnsi="Arial"/>
          <w:sz w:val="19"/>
          <w:szCs w:val="19"/>
          <w:color w:val="auto"/>
        </w:rPr>
        <w:t xml:space="preserve">(A) in the case of debt secured on a pari passu basis with the Obligations, does not mature on or prior to the Latest Maturity Date in effect as of the time such Additional Debt is incurred or (B) in the case of debt secured on a junior lien basis or unsecured or which is secured by assets that do not constitute Collateral, does not mature on or prior to the date that is ninety-one (91) days after the Latest Maturity Date in effect as of the time such Additional Debt is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restrictions in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shall not apply to the extent such debt constitutes (x) a customary bridge facility, so long as the long-term debt into which such customary bridge facility is to be converted or exchanged satisfies the requirements of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and such conversion or exchange is subject only to conditions customary for similar conversions or exchanges, or (y) Subject Indebtedness incurred in reliance on the Maturity Limitation Excluded Amount;</w:t>
      </w:r>
    </w:p>
    <w:p>
      <w:pPr>
        <w:spacing w:after="0" w:line="152" w:lineRule="exact"/>
        <w:rPr>
          <w:sz w:val="20"/>
          <w:szCs w:val="20"/>
          <w:color w:val="auto"/>
        </w:rPr>
      </w:pPr>
    </w:p>
    <w:p>
      <w:pPr>
        <w:ind w:firstLine="1540"/>
        <w:spacing w:after="0" w:line="232" w:lineRule="auto"/>
        <w:tabs>
          <w:tab w:leader="none" w:pos="2033" w:val="left"/>
        </w:tabs>
        <w:numPr>
          <w:ilvl w:val="0"/>
          <w:numId w:val="310"/>
        </w:numPr>
        <w:rPr>
          <w:rFonts w:ascii="Arial" w:cs="Arial" w:eastAsia="Arial" w:hAnsi="Arial"/>
          <w:sz w:val="22"/>
          <w:szCs w:val="22"/>
          <w:color w:val="auto"/>
        </w:rPr>
      </w:pPr>
      <w:r>
        <w:rPr>
          <w:rFonts w:ascii="Arial" w:cs="Arial" w:eastAsia="Arial" w:hAnsi="Arial"/>
          <w:sz w:val="22"/>
          <w:szCs w:val="22"/>
          <w:color w:val="auto"/>
        </w:rPr>
        <w:t>(A) in the case of debt secured on a pari passu basis with the Obligations, has a Weighted Average Life to Maturity equal to or longer than the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1" w:right="339" w:bottom="1440" w:gutter="0" w:footer="0" w:header="0"/>
        </w:sectPr>
      </w:pPr>
    </w:p>
    <w:bookmarkStart w:id="291" w:name="page292"/>
    <w:bookmarkEnd w:id="291"/>
    <w:p>
      <w:pPr>
        <w:jc w:val="both"/>
        <w:spacing w:after="0" w:line="246" w:lineRule="auto"/>
        <w:rPr>
          <w:sz w:val="20"/>
          <w:szCs w:val="20"/>
          <w:color w:val="auto"/>
        </w:rPr>
      </w:pPr>
      <w:r>
        <w:rPr>
          <w:rFonts w:ascii="Arial" w:cs="Arial" w:eastAsia="Arial" w:hAnsi="Arial"/>
          <w:sz w:val="19"/>
          <w:szCs w:val="19"/>
          <w:color w:val="auto"/>
        </w:rPr>
        <w:t xml:space="preserve">Weighted Average Life to Maturity of the Initial Term Loans (without giving effect to nominal amortization for periods where amortization has been eliminated as a result of a prepayment of the applicable Term Loans) or (B) in the case of debt secured on a junior lien basis or unsecured or which is secured by assets that do not constitute Collateral, has a Weighted Average Life to Maturity equal to or longer than the remaining Weighted Average Life to Maturity of the Initial Term Loans, plus ninety-one (91) 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restrictions in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shall not apply to the extent such debt constitutes (x) a customary bridge facility, so long as the long-term debt into which such customary bridge facility is to be converted or exchanged satisfies the requirements of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and such conversion or exchange is subject only to conditions customary for similar conversions or exchanges, or (y) Subject Indebtedness incurred in reliance on the Maturity Limitation Excluded Amount;</w:t>
      </w:r>
    </w:p>
    <w:p>
      <w:pPr>
        <w:spacing w:after="0" w:line="152" w:lineRule="exact"/>
        <w:rPr>
          <w:sz w:val="20"/>
          <w:szCs w:val="20"/>
          <w:color w:val="auto"/>
        </w:rPr>
      </w:pPr>
    </w:p>
    <w:p>
      <w:pPr>
        <w:jc w:val="both"/>
        <w:ind w:firstLine="1576"/>
        <w:spacing w:after="0" w:line="221" w:lineRule="auto"/>
        <w:tabs>
          <w:tab w:leader="none" w:pos="2233" w:val="left"/>
        </w:tabs>
        <w:numPr>
          <w:ilvl w:val="1"/>
          <w:numId w:val="311"/>
        </w:numPr>
        <w:rPr>
          <w:rFonts w:ascii="Arial" w:cs="Arial" w:eastAsia="Arial" w:hAnsi="Arial"/>
          <w:sz w:val="21"/>
          <w:szCs w:val="21"/>
          <w:color w:val="auto"/>
        </w:rPr>
      </w:pPr>
      <w:r>
        <w:rPr>
          <w:rFonts w:ascii="Arial" w:cs="Arial" w:eastAsia="Arial" w:hAnsi="Arial"/>
          <w:sz w:val="21"/>
          <w:szCs w:val="21"/>
          <w:color w:val="auto"/>
        </w:rPr>
        <w:t xml:space="preserve">except as otherwise provided in clauses (i) through (ii) above and clauses (iv) through (ix) below, any Additional Debt shall be on terms and pursuant to documentation to be determined by the Borrower and the lenders providing any such Additional Debt;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covenants and events of default applicable to such Additional Debt, taken as a whole, shall either, at the option of the Borrower, (A) reflect market terms and conditions at the time of incurrence or effectiveness (as determined by the Borrower in good faith) or (B) be no more favorable in any material respect to the lenders providing such indebtedness than those of the Loan Documents (as reasonably determined by the Borrower) (except for covenants or other provisions applicable only to the periods after the then applicable Latest Maturity Date or any existing Additional Debt existing at the time such Additional Debt is incurred), unless such covenants and events of default are also added for the benefit of the Lenders under the Loan Documents;</w:t>
      </w:r>
    </w:p>
    <w:p>
      <w:pPr>
        <w:spacing w:after="0" w:line="158" w:lineRule="exact"/>
        <w:rPr>
          <w:rFonts w:ascii="Arial" w:cs="Arial" w:eastAsia="Arial" w:hAnsi="Arial"/>
          <w:sz w:val="21"/>
          <w:szCs w:val="21"/>
          <w:color w:val="auto"/>
        </w:rPr>
      </w:pPr>
    </w:p>
    <w:p>
      <w:pPr>
        <w:ind w:left="2100" w:hanging="580"/>
        <w:spacing w:after="0"/>
        <w:tabs>
          <w:tab w:leader="none" w:pos="2100" w:val="left"/>
        </w:tabs>
        <w:numPr>
          <w:ilvl w:val="0"/>
          <w:numId w:val="312"/>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sz w:val="20"/>
          <w:szCs w:val="20"/>
          <w:color w:val="auto"/>
        </w:rPr>
      </w:pPr>
    </w:p>
    <w:p>
      <w:pPr>
        <w:ind w:firstLine="1546"/>
        <w:spacing w:after="0" w:line="232" w:lineRule="auto"/>
        <w:tabs>
          <w:tab w:leader="none" w:pos="2093" w:val="left"/>
        </w:tabs>
        <w:numPr>
          <w:ilvl w:val="0"/>
          <w:numId w:val="313"/>
        </w:numPr>
        <w:rPr>
          <w:rFonts w:ascii="Arial" w:cs="Arial" w:eastAsia="Arial" w:hAnsi="Arial"/>
          <w:sz w:val="22"/>
          <w:szCs w:val="22"/>
          <w:color w:val="auto"/>
        </w:rPr>
      </w:pPr>
      <w:r>
        <w:rPr>
          <w:rFonts w:ascii="Arial" w:cs="Arial" w:eastAsia="Arial" w:hAnsi="Arial"/>
          <w:sz w:val="22"/>
          <w:szCs w:val="22"/>
          <w:color w:val="auto"/>
        </w:rPr>
        <w:t xml:space="preserve">subject to the exception created by </w:t>
      </w:r>
      <w:r>
        <w:rPr>
          <w:rFonts w:ascii="Arial" w:cs="Arial" w:eastAsia="Arial" w:hAnsi="Arial"/>
          <w:sz w:val="22"/>
          <w:szCs w:val="22"/>
          <w:u w:val="single" w:color="auto"/>
          <w:color w:val="auto"/>
        </w:rPr>
        <w:t>Section 6.01(j)</w:t>
      </w:r>
      <w:r>
        <w:rPr>
          <w:rFonts w:ascii="Arial" w:cs="Arial" w:eastAsia="Arial" w:hAnsi="Arial"/>
          <w:sz w:val="22"/>
          <w:szCs w:val="22"/>
          <w:color w:val="auto"/>
        </w:rPr>
        <w:t>, the obligations in respect thereof shall not be secured by liens on any assets other than Collateral;</w:t>
      </w:r>
    </w:p>
    <w:p>
      <w:pPr>
        <w:spacing w:after="0" w:line="159" w:lineRule="exact"/>
        <w:rPr>
          <w:sz w:val="20"/>
          <w:szCs w:val="20"/>
          <w:color w:val="auto"/>
        </w:rPr>
      </w:pPr>
    </w:p>
    <w:p>
      <w:pPr>
        <w:jc w:val="both"/>
        <w:ind w:firstLine="1528"/>
        <w:spacing w:after="0" w:line="223" w:lineRule="auto"/>
        <w:tabs>
          <w:tab w:leader="none" w:pos="2113" w:val="left"/>
        </w:tabs>
        <w:numPr>
          <w:ilvl w:val="0"/>
          <w:numId w:val="314"/>
        </w:numPr>
        <w:rPr>
          <w:rFonts w:ascii="Arial" w:cs="Arial" w:eastAsia="Arial" w:hAnsi="Arial"/>
          <w:sz w:val="22"/>
          <w:szCs w:val="22"/>
          <w:color w:val="auto"/>
        </w:rPr>
      </w:pPr>
      <w:r>
        <w:rPr>
          <w:rFonts w:ascii="Arial" w:cs="Arial" w:eastAsia="Arial" w:hAnsi="Arial"/>
          <w:sz w:val="22"/>
          <w:szCs w:val="22"/>
          <w:color w:val="auto"/>
        </w:rPr>
        <w:t xml:space="preserve">subject to the exception created by </w:t>
      </w:r>
      <w:r>
        <w:rPr>
          <w:rFonts w:ascii="Arial" w:cs="Arial" w:eastAsia="Arial" w:hAnsi="Arial"/>
          <w:sz w:val="22"/>
          <w:szCs w:val="22"/>
          <w:u w:val="single" w:color="auto"/>
          <w:color w:val="auto"/>
        </w:rPr>
        <w:t>Section 6.01(j)</w:t>
      </w:r>
      <w:r>
        <w:rPr>
          <w:rFonts w:ascii="Arial" w:cs="Arial" w:eastAsia="Arial" w:hAnsi="Arial"/>
          <w:sz w:val="22"/>
          <w:szCs w:val="22"/>
          <w:color w:val="auto"/>
        </w:rPr>
        <w:t>, no Person is a borrower or a guarantor with respect to such Indebtedness unless such Person is a Loan Party which shall have previously or substantially concurrently guaranteed or borrowed, as applicable, the Obligations;</w:t>
      </w:r>
    </w:p>
    <w:p>
      <w:pPr>
        <w:spacing w:after="0" w:line="158" w:lineRule="exact"/>
        <w:rPr>
          <w:rFonts w:ascii="Arial" w:cs="Arial" w:eastAsia="Arial" w:hAnsi="Arial"/>
          <w:sz w:val="22"/>
          <w:szCs w:val="22"/>
          <w:color w:val="auto"/>
        </w:rPr>
      </w:pPr>
    </w:p>
    <w:p>
      <w:pPr>
        <w:jc w:val="both"/>
        <w:ind w:firstLine="1615"/>
        <w:spacing w:after="0" w:line="252" w:lineRule="auto"/>
        <w:tabs>
          <w:tab w:leader="none" w:pos="2369" w:val="left"/>
        </w:tabs>
        <w:numPr>
          <w:ilvl w:val="2"/>
          <w:numId w:val="314"/>
        </w:numPr>
        <w:rPr>
          <w:rFonts w:ascii="Arial" w:cs="Arial" w:eastAsia="Arial" w:hAnsi="Arial"/>
          <w:sz w:val="19"/>
          <w:szCs w:val="19"/>
          <w:color w:val="auto"/>
        </w:rPr>
      </w:pPr>
      <w:r>
        <w:rPr>
          <w:rFonts w:ascii="Arial" w:cs="Arial" w:eastAsia="Arial" w:hAnsi="Arial"/>
          <w:sz w:val="19"/>
          <w:szCs w:val="19"/>
          <w:color w:val="auto"/>
        </w:rPr>
        <w:t>if such Additional Debt is secured on Collateral, all security therefor on Collateral shall be granted pursuant to documentation that is consistent in all material respects with the Security Documents and (A) if secured on Collateral on a pari passu basis with the Obligations, the representative for such Additional Debt shall enter into a Pari Passu Intercreditor Agreement with the Collateral Agent or (B) if secured on Collateral on a junior basis to the Obligations, the representative for such Additional Debt shall have become party to a Second Lien Intercreditor Agreement;</w:t>
      </w:r>
    </w:p>
    <w:p>
      <w:pPr>
        <w:spacing w:after="0" w:line="148" w:lineRule="exact"/>
        <w:rPr>
          <w:rFonts w:ascii="Arial" w:cs="Arial" w:eastAsia="Arial" w:hAnsi="Arial"/>
          <w:sz w:val="19"/>
          <w:szCs w:val="19"/>
          <w:color w:val="auto"/>
        </w:rPr>
      </w:pPr>
    </w:p>
    <w:p>
      <w:pPr>
        <w:jc w:val="both"/>
        <w:ind w:firstLine="1530"/>
        <w:spacing w:after="0" w:line="223" w:lineRule="auto"/>
        <w:tabs>
          <w:tab w:leader="none" w:pos="2236" w:val="left"/>
        </w:tabs>
        <w:numPr>
          <w:ilvl w:val="1"/>
          <w:numId w:val="31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with respect to any Additional Debt being incurred in connection with a Limited Condition Acquisition, the aggregate principal amount of all Additional Debt at the time of issuance or incurrence and after giving effect thereto shall not exceed the Maximum Additional Debt Amount at such time; and</w:t>
      </w:r>
    </w:p>
    <w:p>
      <w:pPr>
        <w:spacing w:after="0" w:line="159" w:lineRule="exact"/>
        <w:rPr>
          <w:sz w:val="20"/>
          <w:szCs w:val="20"/>
          <w:color w:val="auto"/>
        </w:rPr>
      </w:pPr>
    </w:p>
    <w:p>
      <w:pPr>
        <w:jc w:val="both"/>
        <w:ind w:firstLine="1560"/>
        <w:spacing w:after="0" w:line="218" w:lineRule="auto"/>
        <w:tabs>
          <w:tab w:leader="none" w:pos="2185" w:val="left"/>
        </w:tabs>
        <w:numPr>
          <w:ilvl w:val="0"/>
          <w:numId w:val="315"/>
        </w:numPr>
        <w:rPr>
          <w:rFonts w:ascii="Arial" w:cs="Arial" w:eastAsia="Arial" w:hAnsi="Arial"/>
          <w:sz w:val="22"/>
          <w:szCs w:val="22"/>
          <w:color w:val="auto"/>
        </w:rPr>
      </w:pPr>
      <w:r>
        <w:rPr>
          <w:rFonts w:ascii="Arial" w:cs="Arial" w:eastAsia="Arial" w:hAnsi="Arial"/>
          <w:sz w:val="22"/>
          <w:szCs w:val="22"/>
          <w:color w:val="auto"/>
        </w:rPr>
        <w:t>to the extent such Additional Debt consists of term loans secured by a Lien on the Collateral that ranks pari passu in right of security with the Obligations and is not subordinated in right of payment to the Obligations (including by being “last out” in any payment waterfall), such Additional Debt shall be subject to the MFN Adjustment as if such Additional Debt were an Incremental Term Facility incurred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1" w:right="339" w:bottom="1440" w:gutter="0" w:footer="0" w:header="0"/>
        </w:sectPr>
      </w:pPr>
    </w:p>
    <w:bookmarkStart w:id="292" w:name="page293"/>
    <w:bookmarkEnd w:id="292"/>
    <w:p>
      <w:pPr>
        <w:jc w:val="both"/>
        <w:ind w:firstLine="1296"/>
        <w:spacing w:after="0" w:line="223" w:lineRule="auto"/>
        <w:rPr>
          <w:sz w:val="20"/>
          <w:szCs w:val="20"/>
          <w:color w:val="auto"/>
        </w:rPr>
      </w:pPr>
      <w:r>
        <w:rPr>
          <w:rFonts w:ascii="Arial" w:cs="Arial" w:eastAsia="Arial" w:hAnsi="Arial"/>
          <w:sz w:val="22"/>
          <w:szCs w:val="22"/>
          <w:color w:val="auto"/>
        </w:rPr>
        <w:t xml:space="preserve">For the avoidance of doubt, Indebtedness incurred pursuant to </w:t>
      </w:r>
      <w:r>
        <w:rPr>
          <w:rFonts w:ascii="Arial" w:cs="Arial" w:eastAsia="Arial" w:hAnsi="Arial"/>
          <w:sz w:val="22"/>
          <w:szCs w:val="22"/>
          <w:u w:val="single" w:color="auto"/>
          <w:color w:val="auto"/>
        </w:rPr>
        <w:t>Sections 2.20</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2.21</w:t>
      </w:r>
      <w:r>
        <w:rPr>
          <w:rFonts w:ascii="Arial" w:cs="Arial" w:eastAsia="Arial" w:hAnsi="Arial"/>
          <w:sz w:val="22"/>
          <w:szCs w:val="22"/>
          <w:color w:val="auto"/>
        </w:rPr>
        <w:t xml:space="preserve"> of the Second Lien Credit Agreement may, at the Borrower’s election, be “Additional Debt” to the extent any applicable conditions of this definition are met.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Mortgaged Property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5.10(d)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Refinancing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2.21</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Adjusted Eurocurrency Rate</w:t>
      </w:r>
      <w:r>
        <w:rPr>
          <w:rFonts w:ascii="Arial" w:cs="Arial" w:eastAsia="Arial" w:hAnsi="Arial"/>
          <w:sz w:val="22"/>
          <w:szCs w:val="22"/>
          <w:color w:val="FF0000"/>
          <w:strike w:val="1"/>
        </w:rPr>
        <w:t xml:space="preserve">” means, for any Interest Period with respect to a Eurocurrency Borrowing or an ABR Borrowing determined pursuant to </w:t>
      </w:r>
      <w:r>
        <w:rPr>
          <w:rFonts w:ascii="Arial" w:cs="Arial" w:eastAsia="Arial" w:hAnsi="Arial"/>
          <w:sz w:val="22"/>
          <w:szCs w:val="22"/>
          <w:u w:val="single" w:color="auto"/>
          <w:color w:val="FF0000"/>
          <w:strike w:val="1"/>
        </w:rPr>
        <w:t>clause (iii)</w:t>
      </w:r>
      <w:r>
        <w:rPr>
          <w:rFonts w:ascii="Arial" w:cs="Arial" w:eastAsia="Arial" w:hAnsi="Arial"/>
          <w:sz w:val="22"/>
          <w:szCs w:val="22"/>
          <w:color w:val="FF0000"/>
          <w:strike w:val="1"/>
        </w:rPr>
        <w:t xml:space="preserve"> of the definition of “Alternate Base Rate”, a rate </w:t>
      </w:r>
      <w:r>
        <w:rPr>
          <w:rFonts w:ascii="Arial" w:cs="Arial" w:eastAsia="Arial" w:hAnsi="Arial"/>
          <w:sz w:val="22"/>
          <w:szCs w:val="22"/>
          <w:u w:val="single" w:color="auto"/>
          <w:color w:val="FF0000"/>
          <w:strike w:val="1"/>
        </w:rPr>
        <w:t>per annum</w:t>
      </w:r>
      <w:r>
        <w:rPr>
          <w:rFonts w:ascii="Arial" w:cs="Arial" w:eastAsia="Arial" w:hAnsi="Arial"/>
          <w:sz w:val="22"/>
          <w:szCs w:val="22"/>
          <w:color w:val="FF0000"/>
          <w:strike w:val="1"/>
        </w:rPr>
        <w:t xml:space="preserve"> determined by the Administrative Agent pursuant to the following formula:</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253"/>
        </w:trPr>
        <w:tc>
          <w:tcPr>
            <w:tcW w:w="3160" w:type="dxa"/>
            <w:vAlign w:val="bottom"/>
            <w:vMerge w:val="restart"/>
          </w:tcPr>
          <w:p>
            <w:pPr>
              <w:spacing w:after="0"/>
              <w:rPr>
                <w:sz w:val="20"/>
                <w:szCs w:val="20"/>
                <w:color w:val="auto"/>
              </w:rPr>
            </w:pPr>
            <w:r>
              <w:rPr>
                <w:rFonts w:ascii="Arial" w:cs="Arial" w:eastAsia="Arial" w:hAnsi="Arial"/>
                <w:sz w:val="22"/>
                <w:szCs w:val="22"/>
                <w:color w:val="FF0000"/>
                <w:strike w:val="1"/>
              </w:rPr>
              <w:t>Adjusted Eurocurrency Rate =</w:t>
            </w:r>
          </w:p>
        </w:tc>
        <w:tc>
          <w:tcPr>
            <w:tcW w:w="4040" w:type="dxa"/>
            <w:vAlign w:val="bottom"/>
          </w:tcPr>
          <w:p>
            <w:pPr>
              <w:ind w:left="1000"/>
              <w:spacing w:after="0"/>
              <w:rPr>
                <w:sz w:val="20"/>
                <w:szCs w:val="20"/>
                <w:color w:val="auto"/>
              </w:rPr>
            </w:pPr>
            <w:r>
              <w:rPr>
                <w:rFonts w:ascii="Arial" w:cs="Arial" w:eastAsia="Arial" w:hAnsi="Arial"/>
                <w:sz w:val="22"/>
                <w:szCs w:val="22"/>
                <w:u w:val="single" w:color="auto"/>
                <w:color w:val="EE2724"/>
                <w:strike w:val="1"/>
              </w:rPr>
              <w:t>Eurocurrency Rate</w:t>
            </w:r>
          </w:p>
        </w:tc>
        <w:tc>
          <w:tcPr>
            <w:tcW w:w="0" w:type="dxa"/>
            <w:vAlign w:val="bottom"/>
          </w:tcPr>
          <w:p>
            <w:pPr>
              <w:spacing w:after="0"/>
              <w:rPr>
                <w:sz w:val="1"/>
                <w:szCs w:val="1"/>
                <w:color w:val="auto"/>
              </w:rPr>
            </w:pPr>
          </w:p>
        </w:tc>
      </w:tr>
      <w:tr>
        <w:trPr>
          <w:trHeight w:val="274"/>
        </w:trPr>
        <w:tc>
          <w:tcPr>
            <w:tcW w:w="3160" w:type="dxa"/>
            <w:vAlign w:val="bottom"/>
            <w:vMerge w:val="continue"/>
          </w:tcPr>
          <w:p>
            <w:pPr>
              <w:spacing w:after="0"/>
              <w:rPr>
                <w:sz w:val="23"/>
                <w:szCs w:val="23"/>
                <w:color w:val="auto"/>
              </w:rPr>
            </w:pPr>
          </w:p>
        </w:tc>
        <w:tc>
          <w:tcPr>
            <w:tcW w:w="4040" w:type="dxa"/>
            <w:vAlign w:val="bottom"/>
          </w:tcPr>
          <w:p>
            <w:pPr>
              <w:ind w:left="520"/>
              <w:spacing w:after="0"/>
              <w:rPr>
                <w:sz w:val="20"/>
                <w:szCs w:val="20"/>
                <w:color w:val="auto"/>
              </w:rPr>
            </w:pPr>
            <w:r>
              <w:rPr>
                <w:rFonts w:ascii="Arial" w:cs="Arial" w:eastAsia="Arial" w:hAnsi="Arial"/>
                <w:sz w:val="22"/>
                <w:szCs w:val="22"/>
                <w:color w:val="FF0000"/>
                <w:strike w:val="1"/>
                <w:w w:val="86"/>
              </w:rPr>
              <w:t>1.00 – Eurocurrency Reserve Percentage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-306070</wp:posOffset>
            </wp:positionV>
            <wp:extent cx="5246370" cy="4457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5246370" cy="44577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notwithstanding the foregoing, the Adjusted Eurocurrency Rate shall at no time be less than 0.00% per annum.</w:t>
      </w:r>
    </w:p>
    <w:p>
      <w:pPr>
        <w:spacing w:after="0" w:line="214"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Term SOFR</w:t>
      </w:r>
      <w:r>
        <w:rPr>
          <w:rFonts w:ascii="Arial" w:cs="Arial" w:eastAsia="Arial" w:hAnsi="Arial"/>
          <w:sz w:val="21"/>
          <w:szCs w:val="21"/>
          <w:color w:val="auto"/>
        </w:rPr>
        <w:t xml:space="preserve">” means, for purposes of any calculation, the rate per annum equal to </w:t>
      </w:r>
      <w:r>
        <w:rPr>
          <w:rFonts w:ascii="Arial" w:cs="Arial" w:eastAsia="Arial" w:hAnsi="Arial"/>
          <w:sz w:val="21"/>
          <w:szCs w:val="21"/>
          <w:u w:val="single" w:color="auto"/>
          <w:color w:val="0000FF"/>
        </w:rPr>
        <w:t>(i)</w:t>
      </w:r>
      <w:r>
        <w:rPr>
          <w:rFonts w:ascii="Arial" w:cs="Arial" w:eastAsia="Arial" w:hAnsi="Arial"/>
          <w:sz w:val="21"/>
          <w:szCs w:val="21"/>
          <w:color w:val="auto"/>
        </w:rPr>
        <w:t xml:space="preserve"> Term SOFR for such Interest Period </w:t>
      </w:r>
      <w:r>
        <w:rPr>
          <w:rFonts w:ascii="Arial" w:cs="Arial" w:eastAsia="Arial" w:hAnsi="Arial"/>
          <w:sz w:val="21"/>
          <w:szCs w:val="21"/>
          <w:color w:val="0000FF"/>
        </w:rPr>
        <w:t>plus (ii) the applicable Term SOFR Adjustment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if Adjusted Term SOFR as so determined would be less than the Applicable Term SOFR Floor with respect to any Credit Facility, such rate shall be deemed to be the Applicable Term SOFR Floor with respect to such Credit Facility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-305435</wp:posOffset>
            </wp:positionV>
            <wp:extent cx="27400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2740025" cy="8255"/>
                    </a:xfrm>
                    <a:prstGeom prst="rect">
                      <a:avLst/>
                    </a:prstGeom>
                    <a:noFill/>
                  </pic:spPr>
                </pic:pic>
              </a:graphicData>
            </a:graphic>
          </wp:anchor>
        </w:drawing>
      </w:r>
    </w:p>
    <w:p>
      <w:pPr>
        <w:spacing w:after="0" w:line="13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means Barclays, including its affiliates and subsidiaries, in its capacity as administrative agent for the Lenders hereunder, and its successors in such capacity as provided in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Agent’s Office</w:t>
      </w:r>
      <w:r>
        <w:rPr>
          <w:rFonts w:ascii="Arial" w:cs="Arial" w:eastAsia="Arial" w:hAnsi="Arial"/>
          <w:sz w:val="22"/>
          <w:szCs w:val="22"/>
          <w:color w:val="auto"/>
        </w:rPr>
        <w:t xml:space="preserve">” means the Administrative Agent’s address and, as appropriate, account as set forth on </w:t>
      </w:r>
      <w:r>
        <w:rPr>
          <w:rFonts w:ascii="Arial" w:cs="Arial" w:eastAsia="Arial" w:hAnsi="Arial"/>
          <w:sz w:val="22"/>
          <w:szCs w:val="22"/>
          <w:u w:val="single" w:color="auto"/>
          <w:color w:val="auto"/>
        </w:rPr>
        <w:t>Schedule 9.01</w:t>
      </w:r>
      <w:r>
        <w:rPr>
          <w:rFonts w:ascii="Arial" w:cs="Arial" w:eastAsia="Arial" w:hAnsi="Arial"/>
          <w:sz w:val="22"/>
          <w:szCs w:val="22"/>
          <w:color w:val="auto"/>
        </w:rPr>
        <w:t>, or such other address or account as the Administrative Agent may from time to time notify the Borrower and the Lenders.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5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Institutional Lender</w:t>
      </w:r>
      <w:r>
        <w:rPr>
          <w:rFonts w:ascii="Arial" w:cs="Arial" w:eastAsia="Arial" w:hAnsi="Arial"/>
          <w:sz w:val="22"/>
          <w:szCs w:val="22"/>
          <w:color w:val="auto"/>
        </w:rPr>
        <w:t>” means (i) in the case of an Affiliate of Francisco Partners or Spectrum, an Affiliated Lender that is a bona fide debt fund that is primarily engaged in, or advises funds or other investment vehicles that are engaged in, making, purchasing, holding or otherwise investing in commercial loans, bonds and similar extensions of credit or securities in the ordinary course of its business and whose managers have fiduciary duties to the investors in such fund or investment vehicle independent of, or in addition, to their duties to Francisco Partners IV, L.P and/or Spectrum Equity Management, L.P., as the case may be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1" w:right="339" w:bottom="1440" w:gutter="0" w:footer="0" w:header="0"/>
        </w:sectPr>
      </w:pPr>
    </w:p>
    <w:bookmarkStart w:id="293" w:name="page294"/>
    <w:bookmarkEnd w:id="293"/>
    <w:p>
      <w:pPr>
        <w:jc w:val="both"/>
        <w:ind w:firstLine="8"/>
        <w:spacing w:after="0" w:line="218" w:lineRule="auto"/>
        <w:tabs>
          <w:tab w:leader="none" w:pos="323" w:val="left"/>
        </w:tabs>
        <w:numPr>
          <w:ilvl w:val="0"/>
          <w:numId w:val="316"/>
        </w:numPr>
        <w:rPr>
          <w:rFonts w:ascii="Arial" w:cs="Arial" w:eastAsia="Arial" w:hAnsi="Arial"/>
          <w:sz w:val="22"/>
          <w:szCs w:val="22"/>
          <w:color w:val="auto"/>
        </w:rPr>
      </w:pPr>
      <w:r>
        <w:rPr>
          <w:rFonts w:ascii="Arial" w:cs="Arial" w:eastAsia="Arial" w:hAnsi="Arial"/>
          <w:sz w:val="22"/>
          <w:szCs w:val="22"/>
          <w:color w:val="auto"/>
        </w:rPr>
        <w:t>in the case of an Affiliate of the New Sponsor, an Affiliated Lender that is a bona fide debt fund primarily engaged in, or that advises funds or other investment vehicles that are engaged in, making, purchasing, holding or otherwise investing in commercial loans, bonds or similar extensions of credit or securities in the ordinary course and the investment decisions of which are not controlled by the private equity business of Silver Lake Partners.</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Lender</w:t>
      </w:r>
      <w:r>
        <w:rPr>
          <w:rFonts w:ascii="Arial" w:cs="Arial" w:eastAsia="Arial" w:hAnsi="Arial"/>
          <w:sz w:val="22"/>
          <w:szCs w:val="22"/>
          <w:color w:val="auto"/>
        </w:rPr>
        <w:t>” means any Lender that is Francisco Partners, Spectrum or the New Sponsor (except to the extent, in each case, that such Person owns, directly or indirectly, less than 10% of the Equity Interests of Holdings) or an Affiliate of any of the foregoing, but excluding, without limitation (i) Holdings or any Subsidiary thereof and (ii) any Affiliated Institutional Lender.</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Lender Assignment and Assumption Agreement</w:t>
      </w:r>
      <w:r>
        <w:rPr>
          <w:rFonts w:ascii="Arial" w:cs="Arial" w:eastAsia="Arial" w:hAnsi="Arial"/>
          <w:sz w:val="22"/>
          <w:szCs w:val="22"/>
          <w:color w:val="auto"/>
        </w:rPr>
        <w:t xml:space="preserve">” means an assignment and assumption entered into by a Lender with an Affiliated Lender (other than an Affiliated Institutional Lender), and accepted by the Administrative Agent pursuant to the terms hereof, in the form of </w:t>
      </w:r>
      <w:r>
        <w:rPr>
          <w:rFonts w:ascii="Arial" w:cs="Arial" w:eastAsia="Arial" w:hAnsi="Arial"/>
          <w:sz w:val="22"/>
          <w:szCs w:val="22"/>
          <w:u w:val="single" w:color="auto"/>
          <w:color w:val="auto"/>
        </w:rPr>
        <w:t>Exhibit G-2</w:t>
      </w:r>
      <w:r>
        <w:rPr>
          <w:rFonts w:ascii="Arial" w:cs="Arial" w:eastAsia="Arial" w:hAnsi="Arial"/>
          <w:sz w:val="22"/>
          <w:szCs w:val="22"/>
          <w:color w:val="auto"/>
        </w:rPr>
        <w:t xml:space="preserve"> or any other form (or changes thereto) approved by the Administrative Agent and the Borrower.</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means either of the Administrative Agent or the Collateral Agent.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assigned to such term in the preamble to this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9.17</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AHYDO Catch-Up Payment</w:t>
      </w:r>
      <w:r>
        <w:rPr>
          <w:rFonts w:ascii="Arial" w:cs="Arial" w:eastAsia="Arial" w:hAnsi="Arial"/>
          <w:sz w:val="22"/>
          <w:szCs w:val="22"/>
          <w:color w:val="auto"/>
        </w:rPr>
        <w:t>” means any payment with respect to any debt obligations of any Domestic Subsidiary, including subordinated debt obligations and Additional Debt and obligations in respect of the Second Lien Loans, in each case to avoid the application of Section 163(e)(5) of the Code.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ALTA</w:t>
      </w:r>
      <w:r>
        <w:rPr>
          <w:rFonts w:ascii="Arial" w:cs="Arial" w:eastAsia="Arial" w:hAnsi="Arial"/>
          <w:sz w:val="22"/>
          <w:szCs w:val="22"/>
          <w:color w:val="auto"/>
        </w:rPr>
        <w:t>” means the American Land Title Association.</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per annum equal to the greatest of (i) the U.S. Prime Rate in effect on such day, (ii) the NYFRB Rate, in effect on such day, plus one-half of one percent (1/2%) per annum, and (iii) </w:t>
      </w:r>
      <w:r>
        <w:rPr>
          <w:rFonts w:ascii="Arial" w:cs="Arial" w:eastAsia="Arial" w:hAnsi="Arial"/>
          <w:sz w:val="19"/>
          <w:szCs w:val="19"/>
          <w:color w:val="FF0000"/>
          <w:strike w:val="1"/>
        </w:rPr>
        <w:t>(x) other</w:t>
      </w:r>
      <w:r>
        <w:rPr>
          <w:rFonts w:ascii="Arial" w:cs="Arial" w:eastAsia="Arial" w:hAnsi="Arial"/>
          <w:sz w:val="19"/>
          <w:szCs w:val="19"/>
          <w:color w:val="auto"/>
        </w:rPr>
        <w:t xml:space="preserve"> </w:t>
      </w:r>
      <w:r>
        <w:rPr>
          <w:rFonts w:ascii="Arial" w:cs="Arial" w:eastAsia="Arial" w:hAnsi="Arial"/>
          <w:sz w:val="19"/>
          <w:szCs w:val="19"/>
          <w:color w:val="FF0000"/>
          <w:strike w:val="1"/>
        </w:rPr>
        <w:t>than with respect to Revolving Loans, the Adjusted Eurocurrency Rate for an Interest Period of one month determined on such day (or if such day is not a Business Day, the immediately preceding Business Day) (without giving effect to the proviso of the definition thereof) plus one percent (1.00%) per annum and (y</w:t>
      </w:r>
      <w:r>
        <w:rPr>
          <w:rFonts w:ascii="Arial" w:cs="Arial" w:eastAsia="Arial" w:hAnsi="Arial"/>
          <w:sz w:val="19"/>
          <w:szCs w:val="19"/>
          <w:color w:val="008000"/>
          <w:strike w:val="1"/>
        </w:rPr>
        <w:t>) with respect to Revolving Loans,</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Adjusted Term SOFR on such</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day (or if such day is not a Business Day, the immediately preceding Business Day) for an Interest Period of one month plus one percent (1.00%) per annum; </w:t>
      </w:r>
      <w:r>
        <w:rPr>
          <w:rFonts w:ascii="Arial" w:cs="Arial" w:eastAsia="Arial" w:hAnsi="Arial"/>
          <w:sz w:val="19"/>
          <w:szCs w:val="19"/>
          <w:u w:val="single" w:color="auto"/>
          <w:color w:val="000000"/>
          <w:strike w:val="1"/>
        </w:rPr>
        <w:t>provided</w:t>
      </w:r>
      <w:r>
        <w:rPr>
          <w:rFonts w:ascii="Arial" w:cs="Arial" w:eastAsia="Arial" w:hAnsi="Arial"/>
          <w:sz w:val="19"/>
          <w:szCs w:val="19"/>
          <w:color w:val="000000"/>
          <w:strike w:val="1"/>
        </w:rPr>
        <w:t>, that for the avoidance of doubt, Adjusted Term SOFR for any day shall be the Term SOFR Reference Rate, at approximately 5:00 a.m. (Chicago time) two (2) Business Days prior to such day for a term of one month commencing on such day. Any change in the Alternate Base Rate due to a change in the U.S. Prime Rate, the NYFRB Rate</w:t>
      </w:r>
      <w:r>
        <w:rPr>
          <w:rFonts w:ascii="Arial" w:cs="Arial" w:eastAsia="Arial" w:hAnsi="Arial"/>
          <w:sz w:val="19"/>
          <w:szCs w:val="19"/>
          <w:color w:val="FF0000"/>
          <w:strike w:val="1"/>
        </w:rPr>
        <w:t>,</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 xml:space="preserve">Adjusted Eurocurrency Rate </w:t>
      </w:r>
      <w:r>
        <w:rPr>
          <w:rFonts w:ascii="Arial" w:cs="Arial" w:eastAsia="Arial" w:hAnsi="Arial"/>
          <w:sz w:val="19"/>
          <w:szCs w:val="19"/>
          <w:color w:val="000000"/>
          <w:strike w:val="1"/>
        </w:rPr>
        <w:t>or Adjusted Term SOFR shall be effective from and including the effective date of such change in</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the U.S. Prime Rate, the NYFRB Rate</w:t>
      </w:r>
      <w:r>
        <w:rPr>
          <w:rFonts w:ascii="Arial" w:cs="Arial" w:eastAsia="Arial" w:hAnsi="Arial"/>
          <w:sz w:val="19"/>
          <w:szCs w:val="19"/>
          <w:color w:val="FF0000"/>
          <w:strike w:val="1"/>
        </w:rPr>
        <w:t>, Adjusted Eurocurrency Rate</w:t>
      </w:r>
      <w:r>
        <w:rPr>
          <w:rFonts w:ascii="Arial" w:cs="Arial" w:eastAsia="Arial" w:hAnsi="Arial"/>
          <w:sz w:val="19"/>
          <w:szCs w:val="19"/>
          <w:color w:val="000000"/>
          <w:strike w:val="1"/>
        </w:rPr>
        <w:t xml:space="preserve"> or Adjusted Term SOFR, as applicable.</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w:t>
      </w:r>
      <w:r>
        <w:rPr>
          <w:rFonts w:ascii="Arial" w:cs="Arial" w:eastAsia="Arial" w:hAnsi="Arial"/>
          <w:sz w:val="19"/>
          <w:szCs w:val="19"/>
          <w:color w:val="auto"/>
        </w:rPr>
        <w:t>” means, with respect to any Incremental Term Loans and separate tranches of Incremental Revolving Commitments (and Incremental Loans made pursuant thereto), any currency other than Dollars that may be agreed among the Borrower, the Administrative Agent and all of the applicable Lenders providing such Loans and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1" w:right="339" w:bottom="1440" w:gutter="0" w:footer="0" w:header="0"/>
        </w:sectPr>
      </w:pPr>
    </w:p>
    <w:bookmarkStart w:id="294" w:name="page295"/>
    <w:bookmarkEnd w:id="294"/>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Date of Determination</w:t>
      </w:r>
      <w:r>
        <w:rPr>
          <w:rFonts w:ascii="Arial" w:cs="Arial" w:eastAsia="Arial" w:hAnsi="Arial"/>
          <w:sz w:val="22"/>
          <w:szCs w:val="22"/>
          <w:color w:val="auto"/>
        </w:rPr>
        <w:t xml:space="preserve">” means the last day of the most recently ended fiscal quarter for which financial statements were delivered or were required to be delivered pursuant to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as applicable, or so long as the initial delivery of financial statements pursuant to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as applicable, has occurred prior to such date, at the option of the Borrower, in the case of any transaction the permissibility of which requires a calculation on a Pro Forma Basis, the last day of the most recently ended fiscal quarter prior to the date of such determination for which internal financial statements are available.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means, for any day, with respect to:</w:t>
      </w:r>
    </w:p>
    <w:p>
      <w:pPr>
        <w:spacing w:after="0" w:line="179" w:lineRule="exact"/>
        <w:rPr>
          <w:sz w:val="20"/>
          <w:szCs w:val="20"/>
          <w:color w:val="auto"/>
        </w:rPr>
      </w:pPr>
    </w:p>
    <w:p>
      <w:pPr>
        <w:ind w:firstLine="1304"/>
        <w:spacing w:after="0" w:line="232" w:lineRule="auto"/>
        <w:tabs>
          <w:tab w:leader="none" w:pos="1754" w:val="left"/>
        </w:tabs>
        <w:numPr>
          <w:ilvl w:val="0"/>
          <w:numId w:val="317"/>
        </w:numPr>
        <w:rPr>
          <w:rFonts w:ascii="Arial" w:cs="Arial" w:eastAsia="Arial" w:hAnsi="Arial"/>
          <w:sz w:val="22"/>
          <w:szCs w:val="22"/>
          <w:color w:val="auto"/>
        </w:rPr>
      </w:pPr>
      <w:r>
        <w:rPr>
          <w:rFonts w:ascii="Arial" w:cs="Arial" w:eastAsia="Arial" w:hAnsi="Arial"/>
          <w:sz w:val="22"/>
          <w:szCs w:val="22"/>
          <w:color w:val="auto"/>
        </w:rPr>
        <w:t>any Initial Term Loan and any Revolving Loan, the applicable rate per annum set forth below, based upon the First Lien Net Leverage Ratio as of the most recent determination date:</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48"/>
        </w:trPr>
        <w:tc>
          <w:tcPr>
            <w:tcW w:w="80" w:type="dxa"/>
            <w:vAlign w:val="bottom"/>
            <w:tcBorders>
              <w:top w:val="single" w:sz="8" w:color="auto"/>
              <w:bottom w:val="single" w:sz="8" w:color="auto"/>
            </w:tcBorders>
            <w:shd w:val="clear" w:color="auto" w:fill="000000"/>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940" w:type="dxa"/>
            <w:vAlign w:val="bottom"/>
            <w:tcBorders>
              <w:top w:val="single" w:sz="8" w:color="auto"/>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240" w:type="dxa"/>
            <w:vAlign w:val="bottom"/>
            <w:tcBorders>
              <w:top w:val="single" w:sz="8" w:color="auto"/>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1000" w:type="dxa"/>
            <w:vAlign w:val="bottom"/>
            <w:tcBorders>
              <w:top w:val="single" w:sz="8" w:color="auto"/>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94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auto"/>
              <w:bottom w:val="single" w:sz="8" w:color="auto"/>
              <w:right w:val="single" w:sz="8" w:color="auto"/>
            </w:tcBorders>
          </w:tcPr>
          <w:p>
            <w:pPr>
              <w:spacing w:after="0"/>
              <w:rPr>
                <w:sz w:val="4"/>
                <w:szCs w:val="4"/>
                <w:color w:val="auto"/>
              </w:rPr>
            </w:pPr>
          </w:p>
        </w:tc>
        <w:tc>
          <w:tcPr>
            <w:tcW w:w="40" w:type="dxa"/>
            <w:vAlign w:val="bottom"/>
            <w:tcBorders>
              <w:top w:val="single" w:sz="8" w:color="auto"/>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20" w:type="dxa"/>
            <w:vAlign w:val="bottom"/>
            <w:tcBorders>
              <w:right w:val="single" w:sz="8" w:color="auto"/>
            </w:tcBorders>
            <w:gridSpan w:val="6"/>
          </w:tcPr>
          <w:p>
            <w:pPr>
              <w:spacing w:after="0" w:line="216" w:lineRule="exact"/>
              <w:rPr>
                <w:sz w:val="20"/>
                <w:szCs w:val="20"/>
                <w:color w:val="auto"/>
              </w:rPr>
            </w:pPr>
            <w:r>
              <w:rPr>
                <w:rFonts w:ascii="Arial" w:cs="Arial" w:eastAsia="Arial" w:hAnsi="Arial"/>
                <w:sz w:val="22"/>
                <w:szCs w:val="22"/>
                <w:color w:val="auto"/>
              </w:rPr>
              <w:t>Revolving Loans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80" w:type="dxa"/>
            <w:vAlign w:val="bottom"/>
            <w:gridSpan w:val="4"/>
          </w:tcPr>
          <w:p>
            <w:pPr>
              <w:ind w:left="60"/>
              <w:spacing w:after="0" w:line="216" w:lineRule="exact"/>
              <w:rPr>
                <w:sz w:val="20"/>
                <w:szCs w:val="20"/>
                <w:color w:val="auto"/>
              </w:rPr>
            </w:pPr>
            <w:r>
              <w:rPr>
                <w:rFonts w:ascii="Arial" w:cs="Arial" w:eastAsia="Arial" w:hAnsi="Arial"/>
                <w:sz w:val="22"/>
                <w:szCs w:val="22"/>
                <w:color w:val="auto"/>
                <w:w w:val="90"/>
              </w:rPr>
              <w:t>Initial Term Loans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0" w:type="dxa"/>
            <w:vAlign w:val="bottom"/>
            <w:tcBorders>
              <w:top w:val="single" w:sz="8" w:color="auto"/>
              <w:bottom w:val="single" w:sz="8" w:color="auto"/>
            </w:tcBorders>
            <w:shd w:val="clear" w:color="auto" w:fill="000000"/>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0" w:type="dxa"/>
            <w:vAlign w:val="bottom"/>
            <w:tcBorders>
              <w:bottom w:val="single" w:sz="8" w:color="auto"/>
            </w:tcBorders>
            <w:shd w:val="clear" w:color="auto" w:fill="000000"/>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tcBorders>
              <w:right w:val="single" w:sz="8" w:color="auto"/>
            </w:tcBorders>
            <w:gridSpan w:val="4"/>
            <w:vMerge w:val="restart"/>
          </w:tcPr>
          <w:p>
            <w:pPr>
              <w:jc w:val="center"/>
              <w:ind w:right="300"/>
              <w:spacing w:after="0"/>
              <w:rPr>
                <w:sz w:val="20"/>
                <w:szCs w:val="20"/>
                <w:color w:val="auto"/>
              </w:rPr>
            </w:pPr>
            <w:r>
              <w:rPr>
                <w:rFonts w:ascii="Arial" w:cs="Arial" w:eastAsia="Arial" w:hAnsi="Arial"/>
                <w:sz w:val="22"/>
                <w:szCs w:val="22"/>
                <w:color w:val="auto"/>
                <w:w w:val="91"/>
              </w:rPr>
              <w:t>First Lien Net Leverage Ratio:</w:t>
            </w:r>
          </w:p>
        </w:tc>
        <w:tc>
          <w:tcPr>
            <w:tcW w:w="180" w:type="dxa"/>
            <w:vAlign w:val="bottom"/>
          </w:tcPr>
          <w:p>
            <w:pPr>
              <w:spacing w:after="0"/>
              <w:rPr>
                <w:sz w:val="24"/>
                <w:szCs w:val="24"/>
                <w:color w:val="auto"/>
              </w:rPr>
            </w:pPr>
          </w:p>
        </w:tc>
        <w:tc>
          <w:tcPr>
            <w:tcW w:w="1760" w:type="dxa"/>
            <w:vAlign w:val="bottom"/>
            <w:tcBorders>
              <w:right w:val="single" w:sz="8" w:color="auto"/>
            </w:tcBorders>
            <w:gridSpan w:val="3"/>
            <w:vMerge w:val="restart"/>
          </w:tcPr>
          <w:p>
            <w:pPr>
              <w:jc w:val="center"/>
              <w:ind w:right="220"/>
              <w:spacing w:after="0"/>
              <w:rPr>
                <w:sz w:val="20"/>
                <w:szCs w:val="20"/>
                <w:color w:val="auto"/>
              </w:rPr>
            </w:pPr>
            <w:r>
              <w:rPr>
                <w:rFonts w:ascii="Arial" w:cs="Arial" w:eastAsia="Arial" w:hAnsi="Arial"/>
                <w:sz w:val="22"/>
                <w:szCs w:val="22"/>
                <w:color w:val="auto"/>
                <w:w w:val="88"/>
              </w:rPr>
              <w:t>Term SOFR Loan</w:t>
            </w:r>
          </w:p>
        </w:tc>
        <w:tc>
          <w:tcPr>
            <w:tcW w:w="300" w:type="dxa"/>
            <w:vAlign w:val="bottom"/>
          </w:tcPr>
          <w:p>
            <w:pPr>
              <w:spacing w:after="0"/>
              <w:rPr>
                <w:sz w:val="24"/>
                <w:szCs w:val="24"/>
                <w:color w:val="auto"/>
              </w:rPr>
            </w:pPr>
          </w:p>
        </w:tc>
        <w:tc>
          <w:tcPr>
            <w:tcW w:w="1280" w:type="dxa"/>
            <w:vAlign w:val="bottom"/>
            <w:tcBorders>
              <w:right w:val="single" w:sz="8" w:color="auto"/>
            </w:tcBorders>
            <w:gridSpan w:val="3"/>
            <w:vMerge w:val="restart"/>
          </w:tcPr>
          <w:p>
            <w:pPr>
              <w:jc w:val="center"/>
              <w:ind w:right="340"/>
              <w:spacing w:after="0"/>
              <w:rPr>
                <w:sz w:val="20"/>
                <w:szCs w:val="20"/>
                <w:color w:val="auto"/>
              </w:rPr>
            </w:pPr>
            <w:r>
              <w:rPr>
                <w:rFonts w:ascii="Arial" w:cs="Arial" w:eastAsia="Arial" w:hAnsi="Arial"/>
                <w:sz w:val="22"/>
                <w:szCs w:val="22"/>
                <w:color w:val="auto"/>
                <w:w w:val="93"/>
              </w:rPr>
              <w:t>ABR Loan</w:t>
            </w:r>
          </w:p>
        </w:tc>
        <w:tc>
          <w:tcPr>
            <w:tcW w:w="100" w:type="dxa"/>
            <w:vAlign w:val="bottom"/>
          </w:tcPr>
          <w:p>
            <w:pPr>
              <w:spacing w:after="0"/>
              <w:rPr>
                <w:sz w:val="24"/>
                <w:szCs w:val="24"/>
                <w:color w:val="auto"/>
              </w:rPr>
            </w:pPr>
          </w:p>
        </w:tc>
        <w:tc>
          <w:tcPr>
            <w:tcW w:w="1160" w:type="dxa"/>
            <w:vAlign w:val="bottom"/>
            <w:tcBorders>
              <w:bottom w:val="single" w:sz="8" w:color="FF0000"/>
            </w:tcBorders>
          </w:tcPr>
          <w:p>
            <w:pPr>
              <w:spacing w:after="0"/>
              <w:rPr>
                <w:sz w:val="20"/>
                <w:szCs w:val="20"/>
                <w:color w:val="auto"/>
              </w:rPr>
            </w:pPr>
            <w:r>
              <w:rPr>
                <w:rFonts w:ascii="Arial" w:cs="Arial" w:eastAsia="Arial" w:hAnsi="Arial"/>
                <w:sz w:val="22"/>
                <w:szCs w:val="22"/>
                <w:color w:val="FF0000"/>
                <w:strike w:val="1"/>
                <w:w w:val="87"/>
              </w:rPr>
              <w:t>Eurocurrency</w:t>
            </w:r>
          </w:p>
        </w:tc>
        <w:tc>
          <w:tcPr>
            <w:tcW w:w="106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strike w:val="1"/>
                <w:w w:val="87"/>
              </w:rPr>
              <w:t>Term SOFR</w:t>
            </w: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strike w:val="1"/>
                <w:w w:val="89"/>
              </w:rPr>
              <w:t>Loan</w:t>
            </w:r>
          </w:p>
        </w:tc>
        <w:tc>
          <w:tcPr>
            <w:tcW w:w="1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22"/>
                <w:szCs w:val="22"/>
                <w:color w:val="auto"/>
                <w:w w:val="93"/>
              </w:rPr>
              <w:t>ABR Loan</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80" w:type="dxa"/>
            <w:vAlign w:val="bottom"/>
            <w:shd w:val="clear" w:color="auto" w:fill="000000"/>
          </w:tcPr>
          <w:p>
            <w:pPr>
              <w:spacing w:after="0"/>
              <w:rPr>
                <w:sz w:val="7"/>
                <w:szCs w:val="7"/>
                <w:color w:val="auto"/>
              </w:rPr>
            </w:pPr>
          </w:p>
        </w:tc>
        <w:tc>
          <w:tcPr>
            <w:tcW w:w="280" w:type="dxa"/>
            <w:vAlign w:val="bottom"/>
          </w:tcPr>
          <w:p>
            <w:pPr>
              <w:spacing w:after="0"/>
              <w:rPr>
                <w:sz w:val="7"/>
                <w:szCs w:val="7"/>
                <w:color w:val="auto"/>
              </w:rPr>
            </w:pPr>
          </w:p>
        </w:tc>
        <w:tc>
          <w:tcPr>
            <w:tcW w:w="2960" w:type="dxa"/>
            <w:vAlign w:val="bottom"/>
            <w:tcBorders>
              <w:right w:val="single" w:sz="8" w:color="auto"/>
            </w:tcBorders>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1760" w:type="dxa"/>
            <w:vAlign w:val="bottom"/>
            <w:tcBorders>
              <w:right w:val="single" w:sz="8" w:color="auto"/>
            </w:tcBorders>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Borders>
              <w:right w:val="single" w:sz="8" w:color="auto"/>
            </w:tcBorders>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Borders>
              <w:right w:val="single" w:sz="8" w:color="auto"/>
            </w:tcBorders>
            <w:gridSpan w:val="2"/>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80" w:type="dxa"/>
            <w:vAlign w:val="bottom"/>
            <w:tcBorders>
              <w:top w:val="single" w:sz="8" w:color="auto"/>
              <w:bottom w:val="single" w:sz="8" w:color="auto"/>
            </w:tcBorders>
            <w:shd w:val="clear" w:color="auto" w:fill="000000"/>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00" w:type="dxa"/>
            <w:vAlign w:val="bottom"/>
            <w:tcBorders>
              <w:right w:val="single" w:sz="8" w:color="auto"/>
            </w:tcBorders>
            <w:gridSpan w:val="3"/>
          </w:tcPr>
          <w:p>
            <w:pPr>
              <w:jc w:val="center"/>
              <w:ind w:right="1160"/>
              <w:spacing w:after="0" w:line="209" w:lineRule="exact"/>
              <w:rPr>
                <w:sz w:val="20"/>
                <w:szCs w:val="20"/>
                <w:color w:val="auto"/>
              </w:rPr>
            </w:pPr>
            <w:r>
              <w:rPr>
                <w:rFonts w:ascii="Arial" w:cs="Arial" w:eastAsia="Arial" w:hAnsi="Arial"/>
                <w:sz w:val="22"/>
                <w:szCs w:val="22"/>
                <w:color w:val="auto"/>
                <w:w w:val="87"/>
              </w:rPr>
              <w:t>Category 1</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80" w:type="dxa"/>
            <w:vAlign w:val="bottom"/>
            <w:shd w:val="clear" w:color="auto" w:fill="000000"/>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22"/>
                <w:szCs w:val="22"/>
                <w:color w:val="auto"/>
                <w:w w:val="87"/>
              </w:rPr>
              <w:t>Greater than 4.00:1.00</w:t>
            </w:r>
          </w:p>
        </w:tc>
        <w:tc>
          <w:tcPr>
            <w:tcW w:w="1720" w:type="dxa"/>
            <w:vAlign w:val="bottom"/>
            <w:gridSpan w:val="3"/>
          </w:tcPr>
          <w:p>
            <w:pPr>
              <w:jc w:val="center"/>
              <w:ind w:left="92"/>
              <w:spacing w:after="0"/>
              <w:rPr>
                <w:sz w:val="20"/>
                <w:szCs w:val="20"/>
                <w:color w:val="auto"/>
              </w:rPr>
            </w:pPr>
            <w:r>
              <w:rPr>
                <w:rFonts w:ascii="Arial" w:cs="Arial" w:eastAsia="Arial" w:hAnsi="Arial"/>
                <w:sz w:val="22"/>
                <w:szCs w:val="22"/>
                <w:color w:val="auto"/>
                <w:w w:val="89"/>
              </w:rPr>
              <w:t>3.00%</w:t>
            </w:r>
          </w:p>
        </w:tc>
        <w:tc>
          <w:tcPr>
            <w:tcW w:w="220" w:type="dxa"/>
            <w:vAlign w:val="bottom"/>
            <w:tcBorders>
              <w:right w:val="single" w:sz="8" w:color="auto"/>
            </w:tcBorders>
          </w:tcPr>
          <w:p>
            <w:pPr>
              <w:spacing w:after="0"/>
              <w:rPr>
                <w:sz w:val="24"/>
                <w:szCs w:val="24"/>
                <w:color w:val="auto"/>
              </w:rPr>
            </w:pPr>
          </w:p>
        </w:tc>
        <w:tc>
          <w:tcPr>
            <w:tcW w:w="1240" w:type="dxa"/>
            <w:vAlign w:val="bottom"/>
            <w:gridSpan w:val="3"/>
          </w:tcPr>
          <w:p>
            <w:pPr>
              <w:jc w:val="center"/>
              <w:ind w:left="212"/>
              <w:spacing w:after="0"/>
              <w:rPr>
                <w:sz w:val="20"/>
                <w:szCs w:val="20"/>
                <w:color w:val="auto"/>
              </w:rPr>
            </w:pPr>
            <w:r>
              <w:rPr>
                <w:rFonts w:ascii="Arial" w:cs="Arial" w:eastAsia="Arial" w:hAnsi="Arial"/>
                <w:sz w:val="22"/>
                <w:szCs w:val="22"/>
                <w:color w:val="auto"/>
                <w:w w:val="89"/>
              </w:rPr>
              <w:t>2.00%</w:t>
            </w:r>
          </w:p>
        </w:tc>
        <w:tc>
          <w:tcPr>
            <w:tcW w:w="340" w:type="dxa"/>
            <w:vAlign w:val="bottom"/>
            <w:tcBorders>
              <w:right w:val="single" w:sz="8" w:color="auto"/>
            </w:tcBorders>
          </w:tcPr>
          <w:p>
            <w:pPr>
              <w:spacing w:after="0"/>
              <w:rPr>
                <w:sz w:val="24"/>
                <w:szCs w:val="24"/>
                <w:color w:val="auto"/>
              </w:rPr>
            </w:pPr>
          </w:p>
        </w:tc>
        <w:tc>
          <w:tcPr>
            <w:tcW w:w="2320" w:type="dxa"/>
            <w:vAlign w:val="bottom"/>
            <w:gridSpan w:val="4"/>
          </w:tcPr>
          <w:p>
            <w:pPr>
              <w:jc w:val="right"/>
              <w:ind w:right="580"/>
              <w:spacing w:after="0"/>
              <w:rPr>
                <w:sz w:val="20"/>
                <w:szCs w:val="20"/>
                <w:color w:val="auto"/>
              </w:rPr>
            </w:pPr>
            <w:r>
              <w:rPr>
                <w:rFonts w:ascii="Arial" w:cs="Arial" w:eastAsia="Arial" w:hAnsi="Arial"/>
                <w:sz w:val="22"/>
                <w:szCs w:val="22"/>
                <w:color w:val="auto"/>
              </w:rPr>
              <w:t>3.00%</w:t>
            </w:r>
          </w:p>
        </w:tc>
        <w:tc>
          <w:tcPr>
            <w:tcW w:w="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gridSpan w:val="2"/>
          </w:tcPr>
          <w:p>
            <w:pPr>
              <w:jc w:val="center"/>
              <w:ind w:left="52"/>
              <w:spacing w:after="0"/>
              <w:rPr>
                <w:sz w:val="20"/>
                <w:szCs w:val="20"/>
                <w:color w:val="auto"/>
              </w:rPr>
            </w:pPr>
            <w:r>
              <w:rPr>
                <w:rFonts w:ascii="Arial" w:cs="Arial" w:eastAsia="Arial" w:hAnsi="Arial"/>
                <w:sz w:val="22"/>
                <w:szCs w:val="22"/>
                <w:color w:val="auto"/>
                <w:w w:val="89"/>
              </w:rPr>
              <w:t>2.00%</w:t>
            </w:r>
          </w:p>
        </w:tc>
        <w:tc>
          <w:tcPr>
            <w:tcW w:w="20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0" w:type="dxa"/>
            <w:vAlign w:val="bottom"/>
            <w:tcBorders>
              <w:bottom w:val="single" w:sz="8" w:color="auto"/>
            </w:tcBorders>
            <w:shd w:val="clear" w:color="auto" w:fill="000000"/>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00" w:type="dxa"/>
            <w:vAlign w:val="bottom"/>
            <w:tcBorders>
              <w:right w:val="single" w:sz="8" w:color="auto"/>
            </w:tcBorders>
            <w:gridSpan w:val="3"/>
          </w:tcPr>
          <w:p>
            <w:pPr>
              <w:jc w:val="center"/>
              <w:ind w:right="1160"/>
              <w:spacing w:after="0" w:line="209" w:lineRule="exact"/>
              <w:rPr>
                <w:sz w:val="20"/>
                <w:szCs w:val="20"/>
                <w:color w:val="auto"/>
              </w:rPr>
            </w:pPr>
            <w:r>
              <w:rPr>
                <w:rFonts w:ascii="Arial" w:cs="Arial" w:eastAsia="Arial" w:hAnsi="Arial"/>
                <w:sz w:val="22"/>
                <w:szCs w:val="22"/>
                <w:color w:val="auto"/>
                <w:w w:val="87"/>
              </w:rPr>
              <w:t>Category 2</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80" w:type="dxa"/>
            <w:vAlign w:val="bottom"/>
            <w:shd w:val="clear" w:color="auto" w:fill="000000"/>
          </w:tcPr>
          <w:p>
            <w:pPr>
              <w:spacing w:after="0"/>
              <w:rPr>
                <w:sz w:val="24"/>
                <w:szCs w:val="24"/>
                <w:color w:val="auto"/>
              </w:rPr>
            </w:pPr>
          </w:p>
        </w:tc>
        <w:tc>
          <w:tcPr>
            <w:tcW w:w="324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22"/>
                <w:szCs w:val="22"/>
                <w:color w:val="auto"/>
                <w:w w:val="87"/>
              </w:rPr>
              <w:t>Less than or equal to 4.00:1.00 and</w:t>
            </w:r>
          </w:p>
        </w:tc>
        <w:tc>
          <w:tcPr>
            <w:tcW w:w="1720" w:type="dxa"/>
            <w:vAlign w:val="bottom"/>
            <w:gridSpan w:val="3"/>
            <w:vMerge w:val="restart"/>
          </w:tcPr>
          <w:p>
            <w:pPr>
              <w:jc w:val="center"/>
              <w:ind w:left="92"/>
              <w:spacing w:after="0"/>
              <w:rPr>
                <w:sz w:val="20"/>
                <w:szCs w:val="20"/>
                <w:color w:val="auto"/>
              </w:rPr>
            </w:pPr>
            <w:r>
              <w:rPr>
                <w:rFonts w:ascii="Arial" w:cs="Arial" w:eastAsia="Arial" w:hAnsi="Arial"/>
                <w:sz w:val="22"/>
                <w:szCs w:val="22"/>
                <w:color w:val="auto"/>
                <w:w w:val="89"/>
              </w:rPr>
              <w:t>2.75%</w:t>
            </w:r>
          </w:p>
        </w:tc>
        <w:tc>
          <w:tcPr>
            <w:tcW w:w="220" w:type="dxa"/>
            <w:vAlign w:val="bottom"/>
            <w:tcBorders>
              <w:right w:val="single" w:sz="8" w:color="auto"/>
            </w:tcBorders>
          </w:tcPr>
          <w:p>
            <w:pPr>
              <w:spacing w:after="0"/>
              <w:rPr>
                <w:sz w:val="24"/>
                <w:szCs w:val="24"/>
                <w:color w:val="auto"/>
              </w:rPr>
            </w:pPr>
          </w:p>
        </w:tc>
        <w:tc>
          <w:tcPr>
            <w:tcW w:w="1240" w:type="dxa"/>
            <w:vAlign w:val="bottom"/>
            <w:gridSpan w:val="3"/>
            <w:vMerge w:val="restart"/>
          </w:tcPr>
          <w:p>
            <w:pPr>
              <w:jc w:val="center"/>
              <w:ind w:left="212"/>
              <w:spacing w:after="0"/>
              <w:rPr>
                <w:sz w:val="20"/>
                <w:szCs w:val="20"/>
                <w:color w:val="auto"/>
              </w:rPr>
            </w:pPr>
            <w:r>
              <w:rPr>
                <w:rFonts w:ascii="Arial" w:cs="Arial" w:eastAsia="Arial" w:hAnsi="Arial"/>
                <w:sz w:val="22"/>
                <w:szCs w:val="22"/>
                <w:color w:val="auto"/>
                <w:w w:val="89"/>
              </w:rPr>
              <w:t>1.75%</w:t>
            </w:r>
          </w:p>
        </w:tc>
        <w:tc>
          <w:tcPr>
            <w:tcW w:w="340" w:type="dxa"/>
            <w:vAlign w:val="bottom"/>
            <w:tcBorders>
              <w:right w:val="single" w:sz="8" w:color="auto"/>
            </w:tcBorders>
          </w:tcPr>
          <w:p>
            <w:pPr>
              <w:spacing w:after="0"/>
              <w:rPr>
                <w:sz w:val="24"/>
                <w:szCs w:val="24"/>
                <w:color w:val="auto"/>
              </w:rPr>
            </w:pPr>
          </w:p>
        </w:tc>
        <w:tc>
          <w:tcPr>
            <w:tcW w:w="2320" w:type="dxa"/>
            <w:vAlign w:val="bottom"/>
            <w:gridSpan w:val="4"/>
            <w:vMerge w:val="restart"/>
          </w:tcPr>
          <w:p>
            <w:pPr>
              <w:jc w:val="right"/>
              <w:ind w:right="580"/>
              <w:spacing w:after="0"/>
              <w:rPr>
                <w:sz w:val="20"/>
                <w:szCs w:val="20"/>
                <w:color w:val="auto"/>
              </w:rPr>
            </w:pPr>
            <w:r>
              <w:rPr>
                <w:rFonts w:ascii="Arial" w:cs="Arial" w:eastAsia="Arial" w:hAnsi="Arial"/>
                <w:sz w:val="22"/>
                <w:szCs w:val="22"/>
                <w:color w:val="auto"/>
              </w:rPr>
              <w:t>2.75%</w:t>
            </w:r>
          </w:p>
        </w:tc>
        <w:tc>
          <w:tcPr>
            <w:tcW w:w="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gridSpan w:val="2"/>
            <w:vMerge w:val="restart"/>
          </w:tcPr>
          <w:p>
            <w:pPr>
              <w:jc w:val="center"/>
              <w:ind w:left="52"/>
              <w:spacing w:after="0"/>
              <w:rPr>
                <w:sz w:val="20"/>
                <w:szCs w:val="20"/>
                <w:color w:val="auto"/>
              </w:rPr>
            </w:pPr>
            <w:r>
              <w:rPr>
                <w:rFonts w:ascii="Arial" w:cs="Arial" w:eastAsia="Arial" w:hAnsi="Arial"/>
                <w:sz w:val="22"/>
                <w:szCs w:val="22"/>
                <w:color w:val="auto"/>
                <w:w w:val="89"/>
              </w:rPr>
              <w:t>1.75%</w:t>
            </w:r>
          </w:p>
        </w:tc>
        <w:tc>
          <w:tcPr>
            <w:tcW w:w="20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0" w:type="dxa"/>
            <w:vAlign w:val="bottom"/>
            <w:shd w:val="clear" w:color="auto" w:fill="000000"/>
          </w:tcPr>
          <w:p>
            <w:pPr>
              <w:spacing w:after="0"/>
              <w:rPr>
                <w:sz w:val="15"/>
                <w:szCs w:val="15"/>
                <w:color w:val="auto"/>
              </w:rPr>
            </w:pPr>
          </w:p>
        </w:tc>
        <w:tc>
          <w:tcPr>
            <w:tcW w:w="280" w:type="dxa"/>
            <w:vAlign w:val="bottom"/>
          </w:tcPr>
          <w:p>
            <w:pPr>
              <w:spacing w:after="0"/>
              <w:rPr>
                <w:sz w:val="15"/>
                <w:szCs w:val="15"/>
                <w:color w:val="auto"/>
              </w:rPr>
            </w:pPr>
          </w:p>
        </w:tc>
        <w:tc>
          <w:tcPr>
            <w:tcW w:w="2960" w:type="dxa"/>
            <w:vAlign w:val="bottom"/>
            <w:tcBorders>
              <w:right w:val="single" w:sz="8" w:color="auto"/>
            </w:tcBorders>
            <w:gridSpan w:val="4"/>
            <w:vMerge w:val="restart"/>
          </w:tcPr>
          <w:p>
            <w:pPr>
              <w:jc w:val="center"/>
              <w:ind w:right="300"/>
              <w:spacing w:after="0"/>
              <w:rPr>
                <w:sz w:val="20"/>
                <w:szCs w:val="20"/>
                <w:color w:val="auto"/>
              </w:rPr>
            </w:pPr>
            <w:r>
              <w:rPr>
                <w:rFonts w:ascii="Arial" w:cs="Arial" w:eastAsia="Arial" w:hAnsi="Arial"/>
                <w:sz w:val="22"/>
                <w:szCs w:val="22"/>
                <w:color w:val="auto"/>
                <w:w w:val="87"/>
              </w:rPr>
              <w:t>greater than 3.50:1.00</w:t>
            </w:r>
          </w:p>
        </w:tc>
        <w:tc>
          <w:tcPr>
            <w:tcW w:w="1720" w:type="dxa"/>
            <w:vAlign w:val="bottom"/>
            <w:gridSpan w:val="3"/>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2320" w:type="dxa"/>
            <w:vAlign w:val="bottom"/>
            <w:gridSpan w:val="4"/>
            <w:vMerge w:val="continue"/>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80" w:type="dxa"/>
            <w:vAlign w:val="bottom"/>
            <w:shd w:val="clear" w:color="auto" w:fill="000000"/>
          </w:tcPr>
          <w:p>
            <w:pPr>
              <w:spacing w:after="0"/>
              <w:rPr>
                <w:sz w:val="8"/>
                <w:szCs w:val="8"/>
                <w:color w:val="auto"/>
              </w:rPr>
            </w:pPr>
          </w:p>
        </w:tc>
        <w:tc>
          <w:tcPr>
            <w:tcW w:w="280" w:type="dxa"/>
            <w:vAlign w:val="bottom"/>
          </w:tcPr>
          <w:p>
            <w:pPr>
              <w:spacing w:after="0"/>
              <w:rPr>
                <w:sz w:val="8"/>
                <w:szCs w:val="8"/>
                <w:color w:val="auto"/>
              </w:rPr>
            </w:pPr>
          </w:p>
        </w:tc>
        <w:tc>
          <w:tcPr>
            <w:tcW w:w="2960" w:type="dxa"/>
            <w:vAlign w:val="bottom"/>
            <w:tcBorders>
              <w:right w:val="single" w:sz="8" w:color="auto"/>
            </w:tcBorders>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80" w:type="dxa"/>
            <w:vAlign w:val="bottom"/>
            <w:tcBorders>
              <w:bottom w:val="single" w:sz="8" w:color="auto"/>
            </w:tcBorders>
            <w:shd w:val="clear" w:color="auto" w:fill="000000"/>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00" w:type="dxa"/>
            <w:vAlign w:val="bottom"/>
            <w:tcBorders>
              <w:right w:val="single" w:sz="8" w:color="auto"/>
            </w:tcBorders>
            <w:gridSpan w:val="3"/>
          </w:tcPr>
          <w:p>
            <w:pPr>
              <w:jc w:val="center"/>
              <w:ind w:right="1160"/>
              <w:spacing w:after="0" w:line="209" w:lineRule="exact"/>
              <w:rPr>
                <w:sz w:val="20"/>
                <w:szCs w:val="20"/>
                <w:color w:val="auto"/>
              </w:rPr>
            </w:pPr>
            <w:r>
              <w:rPr>
                <w:rFonts w:ascii="Arial" w:cs="Arial" w:eastAsia="Arial" w:hAnsi="Arial"/>
                <w:sz w:val="22"/>
                <w:szCs w:val="22"/>
                <w:color w:val="auto"/>
                <w:w w:val="87"/>
              </w:rPr>
              <w:t>Category 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80" w:type="dxa"/>
            <w:vAlign w:val="bottom"/>
            <w:shd w:val="clear" w:color="auto" w:fill="000000"/>
          </w:tcPr>
          <w:p>
            <w:pPr>
              <w:spacing w:after="0"/>
              <w:rPr>
                <w:sz w:val="24"/>
                <w:szCs w:val="24"/>
                <w:color w:val="auto"/>
              </w:rPr>
            </w:pPr>
          </w:p>
        </w:tc>
        <w:tc>
          <w:tcPr>
            <w:tcW w:w="32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22"/>
                <w:szCs w:val="22"/>
                <w:color w:val="auto"/>
                <w:w w:val="87"/>
              </w:rPr>
              <w:t>Less than or equal to 3.50:1.00</w:t>
            </w:r>
          </w:p>
        </w:tc>
        <w:tc>
          <w:tcPr>
            <w:tcW w:w="1720" w:type="dxa"/>
            <w:vAlign w:val="bottom"/>
            <w:gridSpan w:val="3"/>
          </w:tcPr>
          <w:p>
            <w:pPr>
              <w:jc w:val="center"/>
              <w:ind w:left="92"/>
              <w:spacing w:after="0"/>
              <w:rPr>
                <w:sz w:val="20"/>
                <w:szCs w:val="20"/>
                <w:color w:val="auto"/>
              </w:rPr>
            </w:pPr>
            <w:r>
              <w:rPr>
                <w:rFonts w:ascii="Arial" w:cs="Arial" w:eastAsia="Arial" w:hAnsi="Arial"/>
                <w:sz w:val="22"/>
                <w:szCs w:val="22"/>
                <w:color w:val="auto"/>
                <w:w w:val="89"/>
              </w:rPr>
              <w:t>2.50%</w:t>
            </w:r>
          </w:p>
        </w:tc>
        <w:tc>
          <w:tcPr>
            <w:tcW w:w="220" w:type="dxa"/>
            <w:vAlign w:val="bottom"/>
            <w:tcBorders>
              <w:right w:val="single" w:sz="8" w:color="auto"/>
            </w:tcBorders>
          </w:tcPr>
          <w:p>
            <w:pPr>
              <w:spacing w:after="0"/>
              <w:rPr>
                <w:sz w:val="24"/>
                <w:szCs w:val="24"/>
                <w:color w:val="auto"/>
              </w:rPr>
            </w:pPr>
          </w:p>
        </w:tc>
        <w:tc>
          <w:tcPr>
            <w:tcW w:w="1240" w:type="dxa"/>
            <w:vAlign w:val="bottom"/>
            <w:gridSpan w:val="3"/>
          </w:tcPr>
          <w:p>
            <w:pPr>
              <w:jc w:val="center"/>
              <w:ind w:left="212"/>
              <w:spacing w:after="0"/>
              <w:rPr>
                <w:sz w:val="20"/>
                <w:szCs w:val="20"/>
                <w:color w:val="auto"/>
              </w:rPr>
            </w:pPr>
            <w:r>
              <w:rPr>
                <w:rFonts w:ascii="Arial" w:cs="Arial" w:eastAsia="Arial" w:hAnsi="Arial"/>
                <w:sz w:val="22"/>
                <w:szCs w:val="22"/>
                <w:color w:val="auto"/>
                <w:w w:val="89"/>
              </w:rPr>
              <w:t>1.50%</w:t>
            </w:r>
          </w:p>
        </w:tc>
        <w:tc>
          <w:tcPr>
            <w:tcW w:w="340" w:type="dxa"/>
            <w:vAlign w:val="bottom"/>
            <w:tcBorders>
              <w:right w:val="single" w:sz="8" w:color="auto"/>
            </w:tcBorders>
          </w:tcPr>
          <w:p>
            <w:pPr>
              <w:spacing w:after="0"/>
              <w:rPr>
                <w:sz w:val="24"/>
                <w:szCs w:val="24"/>
                <w:color w:val="auto"/>
              </w:rPr>
            </w:pPr>
          </w:p>
        </w:tc>
        <w:tc>
          <w:tcPr>
            <w:tcW w:w="2320" w:type="dxa"/>
            <w:vAlign w:val="bottom"/>
            <w:gridSpan w:val="4"/>
          </w:tcPr>
          <w:p>
            <w:pPr>
              <w:jc w:val="right"/>
              <w:ind w:right="580"/>
              <w:spacing w:after="0"/>
              <w:rPr>
                <w:sz w:val="20"/>
                <w:szCs w:val="20"/>
                <w:color w:val="auto"/>
              </w:rPr>
            </w:pPr>
            <w:r>
              <w:rPr>
                <w:rFonts w:ascii="Arial" w:cs="Arial" w:eastAsia="Arial" w:hAnsi="Arial"/>
                <w:sz w:val="22"/>
                <w:szCs w:val="22"/>
                <w:color w:val="auto"/>
              </w:rPr>
              <w:t>2.75%</w:t>
            </w:r>
          </w:p>
        </w:tc>
        <w:tc>
          <w:tcPr>
            <w:tcW w:w="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gridSpan w:val="2"/>
          </w:tcPr>
          <w:p>
            <w:pPr>
              <w:jc w:val="center"/>
              <w:ind w:left="52"/>
              <w:spacing w:after="0"/>
              <w:rPr>
                <w:sz w:val="20"/>
                <w:szCs w:val="20"/>
                <w:color w:val="auto"/>
              </w:rPr>
            </w:pPr>
            <w:r>
              <w:rPr>
                <w:rFonts w:ascii="Arial" w:cs="Arial" w:eastAsia="Arial" w:hAnsi="Arial"/>
                <w:sz w:val="22"/>
                <w:szCs w:val="22"/>
                <w:color w:val="auto"/>
                <w:w w:val="89"/>
              </w:rPr>
              <w:t>1.75%</w:t>
            </w:r>
          </w:p>
        </w:tc>
        <w:tc>
          <w:tcPr>
            <w:tcW w:w="20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0" w:type="dxa"/>
            <w:vAlign w:val="bottom"/>
            <w:tcBorders>
              <w:bottom w:val="single" w:sz="8" w:color="auto"/>
            </w:tcBorders>
            <w:shd w:val="clear" w:color="auto" w:fill="000000"/>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80" w:type="dxa"/>
            <w:vAlign w:val="bottom"/>
            <w:tcBorders>
              <w:bottom w:val="single" w:sz="8" w:color="auto"/>
            </w:tcBorders>
            <w:shd w:val="clear" w:color="auto" w:fill="000000"/>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firstLine="1304"/>
        <w:spacing w:after="0" w:line="257" w:lineRule="auto"/>
        <w:tabs>
          <w:tab w:leader="none" w:pos="1767" w:val="left"/>
        </w:tabs>
        <w:numPr>
          <w:ilvl w:val="0"/>
          <w:numId w:val="318"/>
        </w:numPr>
        <w:rPr>
          <w:rFonts w:ascii="Arial" w:cs="Arial" w:eastAsia="Arial" w:hAnsi="Arial"/>
          <w:sz w:val="19"/>
          <w:szCs w:val="19"/>
          <w:color w:val="auto"/>
        </w:rPr>
      </w:pPr>
      <w:r>
        <w:rPr>
          <w:rFonts w:ascii="Arial" w:cs="Arial" w:eastAsia="Arial" w:hAnsi="Arial"/>
          <w:sz w:val="19"/>
          <w:szCs w:val="19"/>
          <w:color w:val="auto"/>
        </w:rPr>
        <w:t xml:space="preserve">the commitment fees payable pursuant to </w:t>
      </w:r>
      <w:r>
        <w:rPr>
          <w:rFonts w:ascii="Arial" w:cs="Arial" w:eastAsia="Arial" w:hAnsi="Arial"/>
          <w:sz w:val="19"/>
          <w:szCs w:val="19"/>
          <w:u w:val="single" w:color="auto"/>
          <w:color w:val="auto"/>
        </w:rPr>
        <w:t>Section 2.12(a)</w:t>
      </w:r>
      <w:r>
        <w:rPr>
          <w:rFonts w:ascii="Arial" w:cs="Arial" w:eastAsia="Arial" w:hAnsi="Arial"/>
          <w:sz w:val="19"/>
          <w:szCs w:val="19"/>
          <w:color w:val="auto"/>
        </w:rPr>
        <w:t>, (i) 0.50% per annum if the First Lien Net Leverage Ratio as of the most recent determination date is greater than 5.00:1.00 (ii) 0.375% per annum if the First Lien Net Leverage Ratio as of the most recent determination date is equal to or less than 5.00:1.00 but greater than 4.50:1.00 or (iii) 0.25% per annum if the First Lien Net Leverage Ratio as of the most recent determination date is less than or equal to 4.50:1.00; and</w:t>
      </w:r>
    </w:p>
    <w:p>
      <w:pPr>
        <w:spacing w:after="0" w:line="144" w:lineRule="exact"/>
        <w:rPr>
          <w:rFonts w:ascii="Arial" w:cs="Arial" w:eastAsia="Arial" w:hAnsi="Arial"/>
          <w:sz w:val="19"/>
          <w:szCs w:val="19"/>
          <w:color w:val="auto"/>
        </w:rPr>
      </w:pPr>
    </w:p>
    <w:p>
      <w:pPr>
        <w:jc w:val="both"/>
        <w:ind w:firstLine="1304"/>
        <w:spacing w:after="0" w:line="257" w:lineRule="auto"/>
        <w:tabs>
          <w:tab w:leader="none" w:pos="1833" w:val="left"/>
        </w:tabs>
        <w:numPr>
          <w:ilvl w:val="0"/>
          <w:numId w:val="318"/>
        </w:numPr>
        <w:rPr>
          <w:rFonts w:ascii="Arial" w:cs="Arial" w:eastAsia="Arial" w:hAnsi="Arial"/>
          <w:sz w:val="19"/>
          <w:szCs w:val="19"/>
          <w:color w:val="auto"/>
        </w:rPr>
      </w:pPr>
      <w:r>
        <w:rPr>
          <w:rFonts w:ascii="Arial" w:cs="Arial" w:eastAsia="Arial" w:hAnsi="Arial"/>
          <w:sz w:val="19"/>
          <w:szCs w:val="19"/>
          <w:color w:val="auto"/>
        </w:rPr>
        <w:t>Incremental Credit Facilities, Other Term Loans, Other Revolving Loans, Other Revolving Commitments, Extended Term Loans, Extended Revolving Loans or Extended Revolving Commitments, the rate per annum specified in the amendment establishing such Incremental Credit Facilities, Other Term Loans, Other Revolving Loans, Other Revolving Commitments, Extended Term Loans, Extended Revolving Loans or Extended Revolving Commitments, as applicable.</w:t>
      </w:r>
    </w:p>
    <w:p>
      <w:pPr>
        <w:spacing w:after="0" w:line="144"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For purposes of the foregoing, (A) the First Lien Net Leverage Ratio shall be determined on a Pro Forma Basis as of the end of each fiscal quarter of the Borrower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1" w:right="339" w:bottom="1440" w:gutter="0" w:footer="0" w:header="0"/>
        </w:sectPr>
      </w:pPr>
    </w:p>
    <w:bookmarkStart w:id="295" w:name="page296"/>
    <w:bookmarkEnd w:id="295"/>
    <w:p>
      <w:pPr>
        <w:jc w:val="both"/>
        <w:spacing w:after="0" w:line="247" w:lineRule="auto"/>
        <w:rPr>
          <w:sz w:val="20"/>
          <w:szCs w:val="20"/>
          <w:color w:val="auto"/>
        </w:rPr>
      </w:pPr>
      <w:r>
        <w:rPr>
          <w:rFonts w:ascii="Arial" w:cs="Arial" w:eastAsia="Arial" w:hAnsi="Arial"/>
          <w:sz w:val="19"/>
          <w:szCs w:val="19"/>
          <w:color w:val="auto"/>
        </w:rPr>
        <w:t xml:space="preserve">the delivery of the Compliance Certificate for such fiscal quarter, and (B) each change in the Applicable Margin resulting from a change in the First Lien Net Leverage Ratio shall be effective during the period commencing on and including the date of delivery or required delivery to the Administrative Agent of such Compliance Certificate indicating such change and ending on the date immediately preceding the effective date of the next such change;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First Lien Net Leverage Ratio shall be deemed to be in Category 1 (x) if the Borrower fails to deliver any such Compliance Certificate during the period from the date that is five Business Days after the expiration of the time for delivery thereof until such Compliance Certificate is delivered, and (y) until the delivery of a Compliance Certificate for the fiscal quarter ending March 31, 2019.</w:t>
      </w:r>
    </w:p>
    <w:p>
      <w:pPr>
        <w:spacing w:after="0" w:line="15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means, at any time with respect to any Revolving Lender with a Revolving Commitment of any Class, the percentage of the aggregate Commitments of such Class outstanding at such time represented by such Lender’s Commitment with respect to such Class at such time. If the Commitments of such Class have terminated or expired, the Applicable Percentage shall be determined based upon the Commitments of such Class most recently in effect.</w:t>
      </w:r>
    </w:p>
    <w:p>
      <w:pPr>
        <w:spacing w:after="0" w:line="144"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Term SOFR Floor</w:t>
      </w:r>
      <w:r>
        <w:rPr>
          <w:rFonts w:ascii="Arial" w:cs="Arial" w:eastAsia="Arial" w:hAnsi="Arial"/>
          <w:sz w:val="19"/>
          <w:szCs w:val="19"/>
          <w:color w:val="auto"/>
        </w:rPr>
        <w:t xml:space="preserve">” means the Term SOFR floor applicable to any Credit Facility under which a Loan is being made, and solely with respect to the Revolving Loans </w:t>
      </w:r>
      <w:r>
        <w:rPr>
          <w:rFonts w:ascii="Arial" w:cs="Arial" w:eastAsia="Arial" w:hAnsi="Arial"/>
          <w:sz w:val="19"/>
          <w:szCs w:val="19"/>
          <w:color w:val="0000FF"/>
        </w:rPr>
        <w:t>and the Initial Term Loans</w:t>
      </w:r>
      <w:r>
        <w:rPr>
          <w:rFonts w:ascii="Arial" w:cs="Arial" w:eastAsia="Arial" w:hAnsi="Arial"/>
          <w:sz w:val="19"/>
          <w:szCs w:val="19"/>
          <w:color w:val="auto"/>
        </w:rPr>
        <w:t xml:space="preserve">, means 0.00% </w:t>
      </w:r>
      <w:r>
        <w:rPr>
          <w:rFonts w:ascii="Arial" w:cs="Arial" w:eastAsia="Arial" w:hAnsi="Arial"/>
          <w:sz w:val="19"/>
          <w:szCs w:val="19"/>
          <w:i w:val="1"/>
          <w:iCs w:val="1"/>
          <w:color w:val="auto"/>
        </w:rPr>
        <w:t>per annum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-64770</wp:posOffset>
            </wp:positionV>
            <wp:extent cx="14846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1484630" cy="8890"/>
                    </a:xfrm>
                    <a:prstGeom prst="rect">
                      <a:avLst/>
                    </a:prstGeom>
                    <a:noFill/>
                  </pic:spPr>
                </pic:pic>
              </a:graphicData>
            </a:graphic>
          </wp:anchor>
        </w:drawing>
      </w:r>
    </w:p>
    <w:p>
      <w:pPr>
        <w:spacing w:after="0" w:line="8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Time</w:t>
      </w:r>
      <w:r>
        <w:rPr>
          <w:rFonts w:ascii="Arial" w:cs="Arial" w:eastAsia="Arial" w:hAnsi="Arial"/>
          <w:sz w:val="22"/>
          <w:szCs w:val="22"/>
          <w:color w:val="auto"/>
        </w:rPr>
        <w:t>” means, with respect to any borrowings and payments in any Alternative Currency, the local time in the place of settlement for such Alternative Currency as may be determined by the Administrative Agent or the applicable Issuing Bank to be necessary for timely settlement on the relevant date in accordance with normal banking procedures in the place of payment.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assignee (with the consent of any party whose consent is required by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and accepted by the Administrative Agent pursuant to the terms hereof, substantially in the form of </w:t>
      </w:r>
      <w:r>
        <w:rPr>
          <w:rFonts w:ascii="Arial" w:cs="Arial" w:eastAsia="Arial" w:hAnsi="Arial"/>
          <w:sz w:val="22"/>
          <w:szCs w:val="22"/>
          <w:u w:val="single" w:color="auto"/>
          <w:color w:val="auto"/>
        </w:rPr>
        <w:t>Exhibit G-1</w:t>
      </w:r>
      <w:r>
        <w:rPr>
          <w:rFonts w:ascii="Arial" w:cs="Arial" w:eastAsia="Arial" w:hAnsi="Arial"/>
          <w:sz w:val="22"/>
          <w:szCs w:val="22"/>
          <w:color w:val="auto"/>
        </w:rPr>
        <w:t xml:space="preserve"> or any other form (or changes thereto) approved by the Administrative Agent and the Borrower.</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Auction Amount</w:t>
      </w:r>
      <w:r>
        <w:rPr>
          <w:rFonts w:ascii="Arial" w:cs="Arial" w:eastAsia="Arial" w:hAnsi="Arial"/>
          <w:sz w:val="22"/>
          <w:szCs w:val="22"/>
          <w:color w:val="auto"/>
        </w:rPr>
        <w:t>” has the meaning assigned to such term in the definition “Dutch Auction”.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Auction Expiration Time</w:t>
      </w:r>
      <w:r>
        <w:rPr>
          <w:rFonts w:ascii="Arial" w:cs="Arial" w:eastAsia="Arial" w:hAnsi="Arial"/>
          <w:sz w:val="22"/>
          <w:szCs w:val="22"/>
          <w:color w:val="auto"/>
        </w:rPr>
        <w:t>” has the meaning assigned to such term in the definition “Dutch Auction”.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Auction Notice</w:t>
      </w:r>
      <w:r>
        <w:rPr>
          <w:rFonts w:ascii="Arial" w:cs="Arial" w:eastAsia="Arial" w:hAnsi="Arial"/>
          <w:sz w:val="22"/>
          <w:szCs w:val="22"/>
          <w:color w:val="auto"/>
        </w:rPr>
        <w:t>” has the meaning assigned to such term in the definition “Dutch Auction”.</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Auction Party</w:t>
      </w:r>
      <w:r>
        <w:rPr>
          <w:rFonts w:ascii="Arial" w:cs="Arial" w:eastAsia="Arial" w:hAnsi="Arial"/>
          <w:sz w:val="22"/>
          <w:szCs w:val="22"/>
          <w:color w:val="auto"/>
        </w:rPr>
        <w:t xml:space="preserve">” or “ </w:t>
      </w:r>
      <w:r>
        <w:rPr>
          <w:rFonts w:ascii="Arial" w:cs="Arial" w:eastAsia="Arial" w:hAnsi="Arial"/>
          <w:sz w:val="22"/>
          <w:szCs w:val="22"/>
          <w:u w:val="single" w:color="auto"/>
          <w:color w:val="auto"/>
        </w:rPr>
        <w:t>Auction Parties</w:t>
      </w:r>
      <w:r>
        <w:rPr>
          <w:rFonts w:ascii="Arial" w:cs="Arial" w:eastAsia="Arial" w:hAnsi="Arial"/>
          <w:sz w:val="22"/>
          <w:szCs w:val="22"/>
          <w:color w:val="auto"/>
        </w:rPr>
        <w:t xml:space="preserve">” has the meaning assigned to such term in the definition of “Dutch Auction” or as specified in </w:t>
      </w:r>
      <w:r>
        <w:rPr>
          <w:rFonts w:ascii="Arial" w:cs="Arial" w:eastAsia="Arial" w:hAnsi="Arial"/>
          <w:sz w:val="22"/>
          <w:szCs w:val="22"/>
          <w:u w:val="single" w:color="auto"/>
          <w:color w:val="auto"/>
        </w:rPr>
        <w:t>Section 2.11(i)</w:t>
      </w:r>
      <w:r>
        <w:rPr>
          <w:rFonts w:ascii="Arial" w:cs="Arial" w:eastAsia="Arial" w:hAnsi="Arial"/>
          <w:sz w:val="22"/>
          <w:szCs w:val="22"/>
          <w:color w:val="auto"/>
        </w:rPr>
        <w:t>, as the context may require.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Audited Financial Statements</w:t>
      </w:r>
      <w:r>
        <w:rPr>
          <w:rFonts w:ascii="Arial" w:cs="Arial" w:eastAsia="Arial" w:hAnsi="Arial"/>
          <w:sz w:val="22"/>
          <w:szCs w:val="22"/>
          <w:color w:val="auto"/>
        </w:rPr>
        <w:t>” means the audited consolidated balance sheet and statements of operations, stockholders’ equity and cash flows of Parent and its Subsidiaries for the fiscal years ended December 31, 2017 and December 31, 2016, in each case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1" w:right="339" w:bottom="1440" w:gutter="0" w:footer="0" w:header="0"/>
        </w:sectPr>
      </w:pPr>
    </w:p>
    <w:bookmarkStart w:id="296" w:name="page297"/>
    <w:bookmarkEnd w:id="296"/>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Auto-Renewal Letter of Credit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2.05(c)</w:t>
      </w:r>
      <w:r>
        <w:rPr>
          <w:rFonts w:ascii="Arial" w:cs="Arial" w:eastAsia="Arial" w:hAnsi="Arial"/>
          <w:sz w:val="22"/>
          <w:szCs w:val="22"/>
          <w:color w:val="auto"/>
        </w:rPr>
        <w:t>.</w:t>
      </w:r>
    </w:p>
    <w:p>
      <w:pPr>
        <w:spacing w:after="0" w:line="179"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Amount</w:t>
      </w:r>
      <w:r>
        <w:rPr>
          <w:rFonts w:ascii="Arial" w:cs="Arial" w:eastAsia="Arial" w:hAnsi="Arial"/>
          <w:sz w:val="22"/>
          <w:szCs w:val="22"/>
          <w:color w:val="auto"/>
        </w:rPr>
        <w:t>” means, on any date of determination (the “</w:t>
      </w:r>
      <w:r>
        <w:rPr>
          <w:rFonts w:ascii="Arial" w:cs="Arial" w:eastAsia="Arial" w:hAnsi="Arial"/>
          <w:sz w:val="22"/>
          <w:szCs w:val="22"/>
          <w:u w:val="single" w:color="auto"/>
          <w:color w:val="auto"/>
        </w:rPr>
        <w:t>Reference Date</w:t>
      </w:r>
      <w:r>
        <w:rPr>
          <w:rFonts w:ascii="Arial" w:cs="Arial" w:eastAsia="Arial" w:hAnsi="Arial"/>
          <w:sz w:val="22"/>
          <w:szCs w:val="22"/>
          <w:color w:val="auto"/>
        </w:rPr>
        <w:t>”), an amount (which shall not be less than zero) determined on a cumulative basis equal to the sum of (without duplication):</w:t>
      </w:r>
    </w:p>
    <w:p>
      <w:pPr>
        <w:spacing w:after="0" w:line="159" w:lineRule="exact"/>
        <w:rPr>
          <w:sz w:val="20"/>
          <w:szCs w:val="20"/>
          <w:color w:val="auto"/>
        </w:rPr>
      </w:pPr>
    </w:p>
    <w:p>
      <w:pPr>
        <w:ind w:left="1840" w:hanging="536"/>
        <w:spacing w:after="0"/>
        <w:tabs>
          <w:tab w:leader="none" w:pos="1840" w:val="left"/>
        </w:tabs>
        <w:numPr>
          <w:ilvl w:val="1"/>
          <w:numId w:val="319"/>
        </w:numPr>
        <w:rPr>
          <w:rFonts w:ascii="Arial" w:cs="Arial" w:eastAsia="Arial" w:hAnsi="Arial"/>
          <w:sz w:val="19"/>
          <w:szCs w:val="19"/>
          <w:color w:val="auto"/>
        </w:rPr>
      </w:pPr>
      <w:r>
        <w:rPr>
          <w:rFonts w:ascii="Arial" w:cs="Arial" w:eastAsia="Arial" w:hAnsi="Arial"/>
          <w:sz w:val="19"/>
          <w:szCs w:val="19"/>
          <w:color w:val="auto"/>
        </w:rPr>
        <w:t>the greater of (x) $50,000,000 and (y) 50.0% of LTM EBITDA calculated on a Pro Forma Basis as of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Reference Date; </w:t>
      </w:r>
      <w:r>
        <w:rPr>
          <w:rFonts w:ascii="Arial" w:cs="Arial" w:eastAsia="Arial" w:hAnsi="Arial"/>
          <w:sz w:val="22"/>
          <w:szCs w:val="22"/>
          <w:u w:val="single" w:color="auto"/>
          <w:color w:val="auto"/>
        </w:rPr>
        <w:t>plus</w:t>
      </w:r>
    </w:p>
    <w:p>
      <w:pPr>
        <w:spacing w:after="0" w:line="161" w:lineRule="exact"/>
        <w:rPr>
          <w:rFonts w:ascii="Arial" w:cs="Arial" w:eastAsia="Arial" w:hAnsi="Arial"/>
          <w:sz w:val="19"/>
          <w:szCs w:val="19"/>
          <w:color w:val="auto"/>
        </w:rPr>
      </w:pPr>
    </w:p>
    <w:p>
      <w:pPr>
        <w:jc w:val="both"/>
        <w:ind w:firstLine="1304"/>
        <w:spacing w:after="0" w:line="268" w:lineRule="auto"/>
        <w:tabs>
          <w:tab w:leader="none" w:pos="1851" w:val="left"/>
        </w:tabs>
        <w:numPr>
          <w:ilvl w:val="1"/>
          <w:numId w:val="319"/>
        </w:numPr>
        <w:rPr>
          <w:rFonts w:ascii="Arial" w:cs="Arial" w:eastAsia="Arial" w:hAnsi="Arial"/>
          <w:sz w:val="19"/>
          <w:szCs w:val="19"/>
          <w:color w:val="auto"/>
        </w:rPr>
      </w:pPr>
      <w:r>
        <w:rPr>
          <w:rFonts w:ascii="Arial" w:cs="Arial" w:eastAsia="Arial" w:hAnsi="Arial"/>
          <w:sz w:val="19"/>
          <w:szCs w:val="19"/>
          <w:color w:val="auto"/>
        </w:rPr>
        <w:t xml:space="preserve">100% of Consolidated EBITDA (notwithstanding anything herein to the contrary, not calculated on a Pro Forma Basis) of the Borrower and its Restricted Subsidiaries for the period (taken as one accounting period) beginning on October 1, 2018 and ending on the Applicable Date of Determination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1.5 times Fixed Charges for such period; </w:t>
      </w:r>
      <w:r>
        <w:rPr>
          <w:rFonts w:ascii="Arial" w:cs="Arial" w:eastAsia="Arial" w:hAnsi="Arial"/>
          <w:sz w:val="19"/>
          <w:szCs w:val="19"/>
          <w:u w:val="single" w:color="auto"/>
          <w:color w:val="auto"/>
        </w:rPr>
        <w:t>plus</w:t>
      </w:r>
    </w:p>
    <w:p>
      <w:pPr>
        <w:spacing w:after="0" w:line="132" w:lineRule="exact"/>
        <w:rPr>
          <w:rFonts w:ascii="Arial" w:cs="Arial" w:eastAsia="Arial" w:hAnsi="Arial"/>
          <w:sz w:val="19"/>
          <w:szCs w:val="19"/>
          <w:color w:val="auto"/>
        </w:rPr>
      </w:pPr>
    </w:p>
    <w:p>
      <w:pPr>
        <w:jc w:val="both"/>
        <w:ind w:firstLine="1304"/>
        <w:spacing w:after="0" w:line="247" w:lineRule="auto"/>
        <w:tabs>
          <w:tab w:leader="none" w:pos="1801" w:val="left"/>
        </w:tabs>
        <w:numPr>
          <w:ilvl w:val="1"/>
          <w:numId w:val="319"/>
        </w:numPr>
        <w:rPr>
          <w:rFonts w:ascii="Arial" w:cs="Arial" w:eastAsia="Arial" w:hAnsi="Arial"/>
          <w:sz w:val="19"/>
          <w:szCs w:val="19"/>
          <w:color w:val="auto"/>
        </w:rPr>
      </w:pPr>
      <w:r>
        <w:rPr>
          <w:rFonts w:ascii="Arial" w:cs="Arial" w:eastAsia="Arial" w:hAnsi="Arial"/>
          <w:sz w:val="19"/>
          <w:szCs w:val="19"/>
          <w:color w:val="auto"/>
        </w:rPr>
        <w:t xml:space="preserve">the cumulative amount of (A) any capital contributions made in cash by any Person other than a Restricted Subsidiary to Holdings after the Closing Date (other than any Cure Amount or Excluded Contributions or amounts designated as Available Excluded Contribution Amounts) to the extent such contributions have been contributed to the Borrower or any other Loan Party (other than Holdings); and (B) any Net Proceeds of any issuance of Qualified Equity Interests after the Closing Date of Holdings (other than any Cure Amount or Excluded Contributions or amounts designated as Available Excluded Contribution Amounts) to any Person other than a Restricted Subsidiary to the extent such Net Proceeds have been contributed to the Borrower or any other Loan Party (other than Holdings), in each case other than Excluded Contributions; </w:t>
      </w:r>
      <w:r>
        <w:rPr>
          <w:rFonts w:ascii="Arial" w:cs="Arial" w:eastAsia="Arial" w:hAnsi="Arial"/>
          <w:sz w:val="19"/>
          <w:szCs w:val="19"/>
          <w:u w:val="single" w:color="auto"/>
          <w:color w:val="auto"/>
        </w:rPr>
        <w:t>plus</w:t>
      </w:r>
    </w:p>
    <w:p>
      <w:pPr>
        <w:spacing w:after="0" w:line="153" w:lineRule="exact"/>
        <w:rPr>
          <w:rFonts w:ascii="Arial" w:cs="Arial" w:eastAsia="Arial" w:hAnsi="Arial"/>
          <w:sz w:val="19"/>
          <w:szCs w:val="19"/>
          <w:color w:val="auto"/>
        </w:rPr>
      </w:pPr>
    </w:p>
    <w:p>
      <w:pPr>
        <w:jc w:val="both"/>
        <w:ind w:firstLine="1304"/>
        <w:spacing w:after="0" w:line="257" w:lineRule="auto"/>
        <w:tabs>
          <w:tab w:leader="none" w:pos="1771" w:val="left"/>
        </w:tabs>
        <w:numPr>
          <w:ilvl w:val="1"/>
          <w:numId w:val="319"/>
        </w:numPr>
        <w:rPr>
          <w:rFonts w:ascii="Arial" w:cs="Arial" w:eastAsia="Arial" w:hAnsi="Arial"/>
          <w:sz w:val="19"/>
          <w:szCs w:val="19"/>
          <w:color w:val="auto"/>
        </w:rPr>
      </w:pPr>
      <w:r>
        <w:rPr>
          <w:rFonts w:ascii="Arial" w:cs="Arial" w:eastAsia="Arial" w:hAnsi="Arial"/>
          <w:sz w:val="19"/>
          <w:szCs w:val="19"/>
          <w:color w:val="auto"/>
        </w:rPr>
        <w:t xml:space="preserve">100% of the aggregate Net Proceeds and the fair market value (as reasonably determined in good faith by the Borrower) of marketable securities or other property contributed to Holdings (other than any Cure Amount) after the Closing Date from any Person other than a Restricted Subsidiary to the extent such contributions have been contributed to the Borrower or any other Loan Party (other than Holdings), in each case other than Excluded Contributions; </w:t>
      </w:r>
      <w:r>
        <w:rPr>
          <w:rFonts w:ascii="Arial" w:cs="Arial" w:eastAsia="Arial" w:hAnsi="Arial"/>
          <w:sz w:val="19"/>
          <w:szCs w:val="19"/>
          <w:u w:val="single" w:color="auto"/>
          <w:color w:val="auto"/>
        </w:rPr>
        <w:t>plus</w:t>
      </w:r>
    </w:p>
    <w:p>
      <w:pPr>
        <w:spacing w:after="0" w:line="144" w:lineRule="exact"/>
        <w:rPr>
          <w:rFonts w:ascii="Arial" w:cs="Arial" w:eastAsia="Arial" w:hAnsi="Arial"/>
          <w:sz w:val="19"/>
          <w:szCs w:val="19"/>
          <w:color w:val="auto"/>
        </w:rPr>
      </w:pPr>
    </w:p>
    <w:p>
      <w:pPr>
        <w:jc w:val="both"/>
        <w:ind w:firstLine="1304"/>
        <w:spacing w:after="0" w:line="220" w:lineRule="auto"/>
        <w:tabs>
          <w:tab w:leader="none" w:pos="1807" w:val="left"/>
        </w:tabs>
        <w:numPr>
          <w:ilvl w:val="1"/>
          <w:numId w:val="319"/>
        </w:numPr>
        <w:rPr>
          <w:rFonts w:ascii="Arial" w:cs="Arial" w:eastAsia="Arial" w:hAnsi="Arial"/>
          <w:sz w:val="21"/>
          <w:szCs w:val="21"/>
          <w:color w:val="auto"/>
        </w:rPr>
      </w:pPr>
      <w:r>
        <w:rPr>
          <w:rFonts w:ascii="Arial" w:cs="Arial" w:eastAsia="Arial" w:hAnsi="Arial"/>
          <w:sz w:val="21"/>
          <w:szCs w:val="21"/>
          <w:color w:val="auto"/>
        </w:rPr>
        <w:t xml:space="preserve">to the extent not otherwise included in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above, (i) the aggregate amount received by any Holding Company (other than Holdings) or any Restricted Subsidiary after the Closing Date from cash (or Cash Equivalents) dividends and distributions made by any Unrestricted Subsidiary or any Joint Venture in respect of Investments made by any Holding Company (other than Holdings) or any Restricted Subsidiary to any Unrestricted Subsidiary or Joint Venture (up to the original amount of such Investment made pursuant to </w:t>
      </w:r>
      <w:r>
        <w:rPr>
          <w:rFonts w:ascii="Arial" w:cs="Arial" w:eastAsia="Arial" w:hAnsi="Arial"/>
          <w:sz w:val="21"/>
          <w:szCs w:val="21"/>
          <w:u w:val="single" w:color="auto"/>
          <w:color w:val="auto"/>
        </w:rPr>
        <w:t>Section 6.04(z)(i)</w:t>
      </w:r>
      <w:r>
        <w:rPr>
          <w:rFonts w:ascii="Arial" w:cs="Arial" w:eastAsia="Arial" w:hAnsi="Arial"/>
          <w:sz w:val="21"/>
          <w:szCs w:val="21"/>
          <w:color w:val="auto"/>
        </w:rPr>
        <w:t xml:space="preserve">), and (ii) the Net Proceeds in connection with the sale, transfer or other disposition of (A) assets or the Equity Interests of any Unrestricted Subsidiary that was previously a Restricted Subsidiary and designated as an Unrestricted Subsidiary pursuant to </w:t>
      </w:r>
      <w:r>
        <w:rPr>
          <w:rFonts w:ascii="Arial" w:cs="Arial" w:eastAsia="Arial" w:hAnsi="Arial"/>
          <w:sz w:val="21"/>
          <w:szCs w:val="21"/>
          <w:u w:val="single" w:color="auto"/>
          <w:color w:val="auto"/>
        </w:rPr>
        <w:t>Section 6.04(z)(i)</w:t>
      </w:r>
      <w:r>
        <w:rPr>
          <w:rFonts w:ascii="Arial" w:cs="Arial" w:eastAsia="Arial" w:hAnsi="Arial"/>
          <w:sz w:val="21"/>
          <w:szCs w:val="21"/>
          <w:color w:val="auto"/>
        </w:rPr>
        <w:t xml:space="preserve"> (up to the original amount of such Investment) or (B) the Equity Interests of any Joint Venture of a Holding Company or of a Restricted Subsidiary (up to the original amount of such Investment made pursuant to </w:t>
      </w:r>
      <w:r>
        <w:rPr>
          <w:rFonts w:ascii="Arial" w:cs="Arial" w:eastAsia="Arial" w:hAnsi="Arial"/>
          <w:sz w:val="21"/>
          <w:szCs w:val="21"/>
          <w:u w:val="single" w:color="auto"/>
          <w:color w:val="auto"/>
        </w:rPr>
        <w:t>Section 6.04(z)(i))</w:t>
      </w:r>
      <w:r>
        <w:rPr>
          <w:rFonts w:ascii="Arial" w:cs="Arial" w:eastAsia="Arial" w:hAnsi="Arial"/>
          <w:sz w:val="21"/>
          <w:szCs w:val="21"/>
          <w:color w:val="auto"/>
        </w:rPr>
        <w:t xml:space="preserve">, in each case to any Person other than a Holding Company or Restricted Subsidiary; </w:t>
      </w:r>
      <w:r>
        <w:rPr>
          <w:rFonts w:ascii="Arial" w:cs="Arial" w:eastAsia="Arial" w:hAnsi="Arial"/>
          <w:sz w:val="21"/>
          <w:szCs w:val="21"/>
          <w:u w:val="single" w:color="auto"/>
          <w:color w:val="auto"/>
        </w:rPr>
        <w:t>plus</w:t>
      </w:r>
    </w:p>
    <w:p>
      <w:pPr>
        <w:spacing w:after="0" w:line="162" w:lineRule="exact"/>
        <w:rPr>
          <w:rFonts w:ascii="Arial" w:cs="Arial" w:eastAsia="Arial" w:hAnsi="Arial"/>
          <w:sz w:val="21"/>
          <w:szCs w:val="21"/>
          <w:color w:val="auto"/>
        </w:rPr>
      </w:pPr>
    </w:p>
    <w:p>
      <w:pPr>
        <w:jc w:val="both"/>
        <w:ind w:firstLine="1304"/>
        <w:spacing w:after="0" w:line="242" w:lineRule="auto"/>
        <w:tabs>
          <w:tab w:leader="none" w:pos="1785" w:val="left"/>
        </w:tabs>
        <w:numPr>
          <w:ilvl w:val="1"/>
          <w:numId w:val="319"/>
        </w:numPr>
        <w:rPr>
          <w:rFonts w:ascii="Arial" w:cs="Arial" w:eastAsia="Arial" w:hAnsi="Arial"/>
          <w:sz w:val="19"/>
          <w:szCs w:val="19"/>
          <w:color w:val="auto"/>
        </w:rPr>
      </w:pPr>
      <w:r>
        <w:rPr>
          <w:rFonts w:ascii="Arial" w:cs="Arial" w:eastAsia="Arial" w:hAnsi="Arial"/>
          <w:sz w:val="19"/>
          <w:szCs w:val="19"/>
          <w:color w:val="auto"/>
        </w:rPr>
        <w:t>in the event that the Borrower redesignates any Unrestricted Subsidiary as a Restricted Subsidiary after the Closing Date (which, for purposes hereof, shall be deemed to also include (A) the merger, consolidation, liquidation or similar amalgamation of any Unrestricted Subsidiary into any Holding Company (other than Holdings) or any Restricted Subsidiary, so long as such Holding Company (other than Holdings) or such Restricted Subsidiary, as applicable, is the surviving Person, and</w:t>
      </w:r>
    </w:p>
    <w:p>
      <w:pPr>
        <w:ind w:firstLine="8"/>
        <w:spacing w:after="0" w:line="224" w:lineRule="auto"/>
        <w:tabs>
          <w:tab w:leader="none" w:pos="383" w:val="left"/>
        </w:tabs>
        <w:numPr>
          <w:ilvl w:val="0"/>
          <w:numId w:val="320"/>
        </w:numPr>
        <w:rPr>
          <w:rFonts w:ascii="Arial" w:cs="Arial" w:eastAsia="Arial" w:hAnsi="Arial"/>
          <w:sz w:val="22"/>
          <w:szCs w:val="22"/>
          <w:color w:val="auto"/>
        </w:rPr>
      </w:pPr>
      <w:r>
        <w:rPr>
          <w:rFonts w:ascii="Arial" w:cs="Arial" w:eastAsia="Arial" w:hAnsi="Arial"/>
          <w:sz w:val="22"/>
          <w:szCs w:val="22"/>
          <w:color w:val="auto"/>
        </w:rPr>
        <w:t>the transfer of all or substantially all of the assets of an Unrestricted Subsidiary to any Holding Company (other than Holdings)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1" w:right="339" w:bottom="1440" w:gutter="0" w:footer="0" w:header="0"/>
        </w:sectPr>
      </w:pPr>
    </w:p>
    <w:bookmarkStart w:id="297" w:name="page298"/>
    <w:bookmarkEnd w:id="297"/>
    <w:p>
      <w:pPr>
        <w:jc w:val="both"/>
        <w:spacing w:after="0" w:line="223" w:lineRule="auto"/>
        <w:rPr>
          <w:sz w:val="20"/>
          <w:szCs w:val="20"/>
          <w:color w:val="auto"/>
        </w:rPr>
      </w:pPr>
      <w:r>
        <w:rPr>
          <w:rFonts w:ascii="Arial" w:cs="Arial" w:eastAsia="Arial" w:hAnsi="Arial"/>
          <w:sz w:val="22"/>
          <w:szCs w:val="22"/>
          <w:color w:val="auto"/>
        </w:rPr>
        <w:t xml:space="preserve">Restricted Subsidiary), the fair market value (as determined in good faith by the Borrower) of the Investment in such Unrestricted Subsidiary at the time of such redesignation (up to the original amount of such Investment made pursuant to </w:t>
      </w:r>
      <w:r>
        <w:rPr>
          <w:rFonts w:ascii="Arial" w:cs="Arial" w:eastAsia="Arial" w:hAnsi="Arial"/>
          <w:sz w:val="22"/>
          <w:szCs w:val="22"/>
          <w:u w:val="single" w:color="auto"/>
          <w:color w:val="auto"/>
        </w:rPr>
        <w:t>Section 6.04(z)(i))</w:t>
      </w:r>
      <w:r>
        <w:rPr>
          <w:rFonts w:ascii="Arial" w:cs="Arial" w:eastAsia="Arial" w:hAnsi="Arial"/>
          <w:sz w:val="22"/>
          <w:szCs w:val="22"/>
          <w:color w:val="auto"/>
        </w:rPr>
        <w:t xml:space="preserve">; </w:t>
      </w:r>
      <w:r>
        <w:rPr>
          <w:rFonts w:ascii="Arial" w:cs="Arial" w:eastAsia="Arial" w:hAnsi="Arial"/>
          <w:sz w:val="22"/>
          <w:szCs w:val="22"/>
          <w:u w:val="single" w:color="auto"/>
          <w:color w:val="auto"/>
        </w:rPr>
        <w:t>plus</w:t>
      </w:r>
    </w:p>
    <w:p>
      <w:pPr>
        <w:spacing w:after="0" w:line="159" w:lineRule="exact"/>
        <w:rPr>
          <w:sz w:val="20"/>
          <w:szCs w:val="20"/>
          <w:color w:val="auto"/>
        </w:rPr>
      </w:pPr>
    </w:p>
    <w:p>
      <w:pPr>
        <w:ind w:firstLine="1304"/>
        <w:spacing w:after="0" w:line="232" w:lineRule="auto"/>
        <w:tabs>
          <w:tab w:leader="none" w:pos="1856" w:val="left"/>
        </w:tabs>
        <w:numPr>
          <w:ilvl w:val="0"/>
          <w:numId w:val="321"/>
        </w:numPr>
        <w:rPr>
          <w:rFonts w:ascii="Arial" w:cs="Arial" w:eastAsia="Arial" w:hAnsi="Arial"/>
          <w:sz w:val="22"/>
          <w:szCs w:val="22"/>
          <w:color w:val="auto"/>
        </w:rPr>
      </w:pPr>
      <w:r>
        <w:rPr>
          <w:rFonts w:ascii="Arial" w:cs="Arial" w:eastAsia="Arial" w:hAnsi="Arial"/>
          <w:sz w:val="22"/>
          <w:szCs w:val="22"/>
          <w:color w:val="auto"/>
        </w:rPr>
        <w:t xml:space="preserve">the aggregate amount of Net Proceeds received by the Borrower after the Closing Date from Asset Sales which are not subject to the mandatory prepayment provisions of </w:t>
      </w:r>
      <w:r>
        <w:rPr>
          <w:rFonts w:ascii="Arial" w:cs="Arial" w:eastAsia="Arial" w:hAnsi="Arial"/>
          <w:sz w:val="22"/>
          <w:szCs w:val="22"/>
          <w:u w:val="single" w:color="auto"/>
          <w:color w:val="auto"/>
        </w:rPr>
        <w:t>Section 2.11(c)</w:t>
      </w:r>
      <w:r>
        <w:rPr>
          <w:rFonts w:ascii="Arial" w:cs="Arial" w:eastAsia="Arial" w:hAnsi="Arial"/>
          <w:sz w:val="22"/>
          <w:szCs w:val="22"/>
          <w:color w:val="auto"/>
        </w:rPr>
        <w:t>; plus</w:t>
      </w:r>
    </w:p>
    <w:p>
      <w:pPr>
        <w:spacing w:after="0" w:line="158" w:lineRule="exact"/>
        <w:rPr>
          <w:rFonts w:ascii="Arial" w:cs="Arial" w:eastAsia="Arial" w:hAnsi="Arial"/>
          <w:sz w:val="22"/>
          <w:szCs w:val="22"/>
          <w:color w:val="auto"/>
        </w:rPr>
      </w:pPr>
    </w:p>
    <w:p>
      <w:pPr>
        <w:ind w:firstLine="1304"/>
        <w:spacing w:after="0" w:line="232" w:lineRule="auto"/>
        <w:tabs>
          <w:tab w:leader="none" w:pos="1964" w:val="left"/>
        </w:tabs>
        <w:numPr>
          <w:ilvl w:val="0"/>
          <w:numId w:val="321"/>
        </w:numPr>
        <w:rPr>
          <w:rFonts w:ascii="Arial" w:cs="Arial" w:eastAsia="Arial" w:hAnsi="Arial"/>
          <w:sz w:val="22"/>
          <w:szCs w:val="22"/>
          <w:color w:val="auto"/>
        </w:rPr>
      </w:pPr>
      <w:r>
        <w:rPr>
          <w:rFonts w:ascii="Arial" w:cs="Arial" w:eastAsia="Arial" w:hAnsi="Arial"/>
          <w:sz w:val="22"/>
          <w:szCs w:val="22"/>
          <w:color w:val="auto"/>
        </w:rPr>
        <w:t xml:space="preserve">the aggregate amount of Retained Declined Proceeds retained by any Holding Company (other than Holdings) or any of the Restricted Subsidiaries; </w:t>
      </w:r>
      <w:r>
        <w:rPr>
          <w:rFonts w:ascii="Arial" w:cs="Arial" w:eastAsia="Arial" w:hAnsi="Arial"/>
          <w:sz w:val="22"/>
          <w:szCs w:val="22"/>
          <w:u w:val="single" w:color="auto"/>
          <w:color w:val="auto"/>
        </w:rPr>
        <w:t>plus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03" w:val="left"/>
        </w:tabs>
        <w:numPr>
          <w:ilvl w:val="0"/>
          <w:numId w:val="321"/>
        </w:numPr>
        <w:rPr>
          <w:rFonts w:ascii="Arial" w:cs="Arial" w:eastAsia="Arial" w:hAnsi="Arial"/>
          <w:sz w:val="22"/>
          <w:szCs w:val="22"/>
          <w:color w:val="auto"/>
        </w:rPr>
      </w:pPr>
      <w:r>
        <w:rPr>
          <w:rFonts w:ascii="Arial" w:cs="Arial" w:eastAsia="Arial" w:hAnsi="Arial"/>
          <w:sz w:val="22"/>
          <w:szCs w:val="22"/>
          <w:color w:val="auto"/>
        </w:rPr>
        <w:t xml:space="preserve">the fair market value of all Qualified Equity Interests of Holdings issued upon conversion or exchange of Indebtedness or Disqualified Equity Interests of any Holding Company (other than Holdings) or any of its Restricted Subsidiaries, in each case incurred after the Closing Date; </w:t>
      </w:r>
      <w:r>
        <w:rPr>
          <w:rFonts w:ascii="Arial" w:cs="Arial" w:eastAsia="Arial" w:hAnsi="Arial"/>
          <w:sz w:val="22"/>
          <w:szCs w:val="22"/>
          <w:u w:val="single" w:color="auto"/>
          <w:color w:val="auto"/>
        </w:rPr>
        <w:t>plus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66" w:val="left"/>
        </w:tabs>
        <w:numPr>
          <w:ilvl w:val="0"/>
          <w:numId w:val="321"/>
        </w:numPr>
        <w:rPr>
          <w:rFonts w:ascii="Arial" w:cs="Arial" w:eastAsia="Arial" w:hAnsi="Arial"/>
          <w:sz w:val="22"/>
          <w:szCs w:val="22"/>
          <w:color w:val="auto"/>
        </w:rPr>
      </w:pPr>
      <w:r>
        <w:rPr>
          <w:rFonts w:ascii="Arial" w:cs="Arial" w:eastAsia="Arial" w:hAnsi="Arial"/>
          <w:sz w:val="22"/>
          <w:szCs w:val="22"/>
          <w:color w:val="auto"/>
        </w:rPr>
        <w:t xml:space="preserve">to the extent not otherwise included, the aggregate amount of cash Returns to any Holding Company (other than Holdings) or any Restricted Subsidiary in respect of Investments made pursuant to </w:t>
      </w:r>
      <w:r>
        <w:rPr>
          <w:rFonts w:ascii="Arial" w:cs="Arial" w:eastAsia="Arial" w:hAnsi="Arial"/>
          <w:sz w:val="22"/>
          <w:szCs w:val="22"/>
          <w:u w:val="single" w:color="auto"/>
          <w:color w:val="auto"/>
        </w:rPr>
        <w:t>Section 6.04(z)(i)</w:t>
      </w:r>
      <w:r>
        <w:rPr>
          <w:rFonts w:ascii="Arial" w:cs="Arial" w:eastAsia="Arial" w:hAnsi="Arial"/>
          <w:sz w:val="22"/>
          <w:szCs w:val="22"/>
          <w:color w:val="auto"/>
        </w:rPr>
        <w:t xml:space="preserve"> (limited to the amount of the original Investment made pursuant to such Section); </w:t>
      </w:r>
      <w:r>
        <w:rPr>
          <w:rFonts w:ascii="Arial" w:cs="Arial" w:eastAsia="Arial" w:hAnsi="Arial"/>
          <w:sz w:val="22"/>
          <w:szCs w:val="22"/>
          <w:u w:val="single" w:color="auto"/>
          <w:color w:val="auto"/>
        </w:rPr>
        <w:t>minus</w:t>
      </w:r>
    </w:p>
    <w:p>
      <w:pPr>
        <w:spacing w:after="0" w:line="158" w:lineRule="exact"/>
        <w:rPr>
          <w:rFonts w:ascii="Arial" w:cs="Arial" w:eastAsia="Arial" w:hAnsi="Arial"/>
          <w:sz w:val="22"/>
          <w:szCs w:val="22"/>
          <w:color w:val="auto"/>
        </w:rPr>
      </w:pPr>
    </w:p>
    <w:p>
      <w:pPr>
        <w:jc w:val="both"/>
        <w:ind w:firstLine="1304"/>
        <w:spacing w:after="0" w:line="222" w:lineRule="auto"/>
        <w:tabs>
          <w:tab w:leader="none" w:pos="1786" w:val="left"/>
        </w:tabs>
        <w:numPr>
          <w:ilvl w:val="0"/>
          <w:numId w:val="321"/>
        </w:numPr>
        <w:rPr>
          <w:rFonts w:ascii="Arial" w:cs="Arial" w:eastAsia="Arial" w:hAnsi="Arial"/>
          <w:sz w:val="21"/>
          <w:szCs w:val="21"/>
          <w:color w:val="auto"/>
        </w:rPr>
      </w:pPr>
      <w:r>
        <w:rPr>
          <w:rFonts w:ascii="Arial" w:cs="Arial" w:eastAsia="Arial" w:hAnsi="Arial"/>
          <w:sz w:val="21"/>
          <w:szCs w:val="21"/>
          <w:color w:val="auto"/>
        </w:rPr>
        <w:t xml:space="preserve">the aggregate amount of (i) outstanding Indebtedness incurred in reliance on </w:t>
      </w:r>
      <w:r>
        <w:rPr>
          <w:rFonts w:ascii="Arial" w:cs="Arial" w:eastAsia="Arial" w:hAnsi="Arial"/>
          <w:sz w:val="21"/>
          <w:szCs w:val="21"/>
          <w:u w:val="single" w:color="auto"/>
          <w:color w:val="auto"/>
        </w:rPr>
        <w:t>Section 6.01(aa)</w:t>
      </w:r>
      <w:r>
        <w:rPr>
          <w:rFonts w:ascii="Arial" w:cs="Arial" w:eastAsia="Arial" w:hAnsi="Arial"/>
          <w:sz w:val="21"/>
          <w:szCs w:val="21"/>
          <w:color w:val="auto"/>
        </w:rPr>
        <w:t xml:space="preserve">, (ii) Restricted Payments made using the Available Amount pursuant to </w:t>
      </w:r>
      <w:r>
        <w:rPr>
          <w:rFonts w:ascii="Arial" w:cs="Arial" w:eastAsia="Arial" w:hAnsi="Arial"/>
          <w:sz w:val="21"/>
          <w:szCs w:val="21"/>
          <w:u w:val="single" w:color="auto"/>
          <w:color w:val="auto"/>
        </w:rPr>
        <w:t>Section 6.06(a)(xiv)(B)</w:t>
      </w:r>
      <w:r>
        <w:rPr>
          <w:rFonts w:ascii="Arial" w:cs="Arial" w:eastAsia="Arial" w:hAnsi="Arial"/>
          <w:sz w:val="21"/>
          <w:szCs w:val="21"/>
          <w:color w:val="auto"/>
        </w:rPr>
        <w:t xml:space="preserve">, (iii) Investments made using the Available Amount pursuant to </w:t>
      </w:r>
      <w:r>
        <w:rPr>
          <w:rFonts w:ascii="Arial" w:cs="Arial" w:eastAsia="Arial" w:hAnsi="Arial"/>
          <w:sz w:val="21"/>
          <w:szCs w:val="21"/>
          <w:u w:val="single" w:color="auto"/>
          <w:color w:val="auto"/>
        </w:rPr>
        <w:t>Section 6.04(z)(i)</w:t>
      </w:r>
      <w:r>
        <w:rPr>
          <w:rFonts w:ascii="Arial" w:cs="Arial" w:eastAsia="Arial" w:hAnsi="Arial"/>
          <w:sz w:val="21"/>
          <w:szCs w:val="21"/>
          <w:color w:val="auto"/>
        </w:rPr>
        <w:t xml:space="preserve"> and (iv) prepayments, redemptions, acquisitions, retirements, cancellations, terminations and repurchases of Indebtedness made using the Available Amount pursuant to </w:t>
      </w:r>
      <w:r>
        <w:rPr>
          <w:rFonts w:ascii="Arial" w:cs="Arial" w:eastAsia="Arial" w:hAnsi="Arial"/>
          <w:sz w:val="21"/>
          <w:szCs w:val="21"/>
          <w:u w:val="single" w:color="auto"/>
          <w:color w:val="auto"/>
        </w:rPr>
        <w:t>Section 6.06(b)(vi)(B)</w:t>
      </w:r>
      <w:r>
        <w:rPr>
          <w:rFonts w:ascii="Arial" w:cs="Arial" w:eastAsia="Arial" w:hAnsi="Arial"/>
          <w:sz w:val="21"/>
          <w:szCs w:val="21"/>
          <w:color w:val="auto"/>
        </w:rPr>
        <w:t xml:space="preserve">, in each case during the period from and including the Closing Date through and including the Reference Date (without taking account of the intended usage of the Available Amount on such Reference Date for which such determination is being made, but taking into account any other such usage on such date); </w:t>
      </w:r>
      <w:r>
        <w:rPr>
          <w:rFonts w:ascii="Arial" w:cs="Arial" w:eastAsia="Arial" w:hAnsi="Arial"/>
          <w:sz w:val="21"/>
          <w:szCs w:val="21"/>
          <w:u w:val="single" w:color="auto"/>
          <w:color w:val="auto"/>
        </w:rPr>
        <w:t>minus</w:t>
      </w:r>
    </w:p>
    <w:p>
      <w:pPr>
        <w:spacing w:after="0" w:line="164" w:lineRule="exact"/>
        <w:rPr>
          <w:rFonts w:ascii="Arial" w:cs="Arial" w:eastAsia="Arial" w:hAnsi="Arial"/>
          <w:sz w:val="21"/>
          <w:szCs w:val="21"/>
          <w:color w:val="auto"/>
        </w:rPr>
      </w:pPr>
    </w:p>
    <w:p>
      <w:pPr>
        <w:jc w:val="both"/>
        <w:ind w:firstLine="1304"/>
        <w:spacing w:after="0" w:line="234" w:lineRule="auto"/>
        <w:tabs>
          <w:tab w:leader="none" w:pos="1885" w:val="left"/>
        </w:tabs>
        <w:numPr>
          <w:ilvl w:val="0"/>
          <w:numId w:val="321"/>
        </w:numPr>
        <w:rPr>
          <w:rFonts w:ascii="Arial" w:cs="Arial" w:eastAsia="Arial" w:hAnsi="Arial"/>
          <w:sz w:val="21"/>
          <w:szCs w:val="21"/>
          <w:color w:val="auto"/>
        </w:rPr>
      </w:pPr>
      <w:r>
        <w:rPr>
          <w:rFonts w:ascii="Arial" w:cs="Arial" w:eastAsia="Arial" w:hAnsi="Arial"/>
          <w:sz w:val="21"/>
          <w:szCs w:val="21"/>
          <w:color w:val="auto"/>
        </w:rPr>
        <w:t xml:space="preserve">to the extent of any Investment in any Unrestricted Subsidiary with the Available Amount which was previously redesignated as a Restricted Subsidiary in accordance with </w:t>
      </w:r>
      <w:r>
        <w:rPr>
          <w:rFonts w:ascii="Arial" w:cs="Arial" w:eastAsia="Arial" w:hAnsi="Arial"/>
          <w:sz w:val="21"/>
          <w:szCs w:val="21"/>
          <w:u w:val="single" w:color="auto"/>
          <w:color w:val="auto"/>
        </w:rPr>
        <w:t>clause (f)</w:t>
      </w:r>
      <w:r>
        <w:rPr>
          <w:rFonts w:ascii="Arial" w:cs="Arial" w:eastAsia="Arial" w:hAnsi="Arial"/>
          <w:sz w:val="21"/>
          <w:szCs w:val="21"/>
          <w:color w:val="auto"/>
        </w:rPr>
        <w:t xml:space="preserve"> above, the amount of such Investment at the time of such redesignation of such Restricted Subsidiary as an Unrestricted Subsidiary in accordance herewith.</w:t>
      </w:r>
    </w:p>
    <w:p>
      <w:pPr>
        <w:spacing w:after="0" w:line="158"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Available Excluded Contribution Amount</w:t>
      </w:r>
      <w:r>
        <w:rPr>
          <w:rFonts w:ascii="Arial" w:cs="Arial" w:eastAsia="Arial" w:hAnsi="Arial"/>
          <w:sz w:val="21"/>
          <w:szCs w:val="21"/>
          <w:color w:val="auto"/>
        </w:rPr>
        <w:t>” means, to the extent Not Otherwise Applied, a cumulative amount equal to (a) the net cash proceeds or fair market value (determined at the time of contribution) of property or assets (including cash and Cash Equivalents) contributed after the Closing Date to the Borrower by any Person other than a Restricted Subsidiary as a capital contribution or as a result of the sale or issuance of equity of Holdings (other than Disqualified Equity Interests) to the extent contributed to the Borrower, in each case to the extent designated an excluded contribution (“</w:t>
      </w:r>
      <w:r>
        <w:rPr>
          <w:rFonts w:ascii="Arial" w:cs="Arial" w:eastAsia="Arial" w:hAnsi="Arial"/>
          <w:sz w:val="21"/>
          <w:szCs w:val="21"/>
          <w:u w:val="single" w:color="auto"/>
          <w:color w:val="auto"/>
        </w:rPr>
        <w:t>Excluded Contribution</w:t>
      </w:r>
      <w:r>
        <w:rPr>
          <w:rFonts w:ascii="Arial" w:cs="Arial" w:eastAsia="Arial" w:hAnsi="Arial"/>
          <w:sz w:val="21"/>
          <w:szCs w:val="21"/>
          <w:color w:val="auto"/>
        </w:rPr>
        <w:t xml:space="preserve">”) by the Borrower (excluding Cure Amounts)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(b) the aggregate amount of (x) Investments made using the Available Excluded Contribution Amount pursuant to </w:t>
      </w:r>
      <w:r>
        <w:rPr>
          <w:rFonts w:ascii="Arial" w:cs="Arial" w:eastAsia="Arial" w:hAnsi="Arial"/>
          <w:sz w:val="21"/>
          <w:szCs w:val="21"/>
          <w:u w:val="single" w:color="auto"/>
          <w:color w:val="auto"/>
        </w:rPr>
        <w:t>Section 6.04(z)(ii)</w:t>
      </w:r>
      <w:r>
        <w:rPr>
          <w:rFonts w:ascii="Arial" w:cs="Arial" w:eastAsia="Arial" w:hAnsi="Arial"/>
          <w:sz w:val="21"/>
          <w:szCs w:val="21"/>
          <w:color w:val="auto"/>
        </w:rPr>
        <w:t xml:space="preserve">, (y) Restricted Payments made using the Available Excluded Contribution Amount pursuant to </w:t>
      </w:r>
      <w:r>
        <w:rPr>
          <w:rFonts w:ascii="Arial" w:cs="Arial" w:eastAsia="Arial" w:hAnsi="Arial"/>
          <w:sz w:val="21"/>
          <w:szCs w:val="21"/>
          <w:u w:val="single" w:color="auto"/>
          <w:color w:val="auto"/>
        </w:rPr>
        <w:t>Section 6.06(a)(x)(ii)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(z)</w:t>
      </w:r>
      <w:r>
        <w:rPr>
          <w:rFonts w:ascii="Arial" w:cs="Arial" w:eastAsia="Arial" w:hAnsi="Arial"/>
          <w:sz w:val="21"/>
          <w:szCs w:val="21"/>
          <w:color w:val="auto"/>
        </w:rPr>
        <w:t xml:space="preserve"> prepayments, redemptions, acquisitions, retirements, cancellations, terminations and repurchases of Indebtedness made using the Available Excluded Contribution Amount pursuant to </w:t>
      </w:r>
      <w:r>
        <w:rPr>
          <w:rFonts w:ascii="Arial" w:cs="Arial" w:eastAsia="Arial" w:hAnsi="Arial"/>
          <w:sz w:val="21"/>
          <w:szCs w:val="21"/>
          <w:u w:val="single" w:color="auto"/>
          <w:color w:val="auto"/>
        </w:rPr>
        <w:t>Section 6.06(b)(ix)(ii)</w:t>
      </w:r>
      <w:r>
        <w:rPr>
          <w:rFonts w:ascii="Arial" w:cs="Arial" w:eastAsia="Arial" w:hAnsi="Arial"/>
          <w:sz w:val="21"/>
          <w:szCs w:val="21"/>
          <w:color w:val="auto"/>
        </w:rPr>
        <w:t>.</w:t>
      </w:r>
    </w:p>
    <w:p>
      <w:pPr>
        <w:spacing w:after="0" w:line="16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1" w:right="339" w:bottom="1440" w:gutter="0" w:footer="0" w:header="0"/>
        </w:sectPr>
      </w:pPr>
    </w:p>
    <w:bookmarkStart w:id="298" w:name="page299"/>
    <w:bookmarkEnd w:id="298"/>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entitled “Bankruptcy”, as now and hereafter in effect, or any successor statute.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Barclays</w:t>
      </w:r>
      <w:r>
        <w:rPr>
          <w:rFonts w:ascii="Arial" w:cs="Arial" w:eastAsia="Arial" w:hAnsi="Arial"/>
          <w:sz w:val="22"/>
          <w:szCs w:val="22"/>
          <w:color w:val="auto"/>
        </w:rPr>
        <w:t>” means Barclays Bank PLC.</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Exchange Amount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2.25(a)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 Term SOFR Determination Day</w:t>
      </w:r>
      <w:r>
        <w:rPr>
          <w:rFonts w:ascii="Arial" w:cs="Arial" w:eastAsia="Arial" w:hAnsi="Arial"/>
          <w:sz w:val="21"/>
          <w:szCs w:val="21"/>
          <w:color w:val="auto"/>
        </w:rPr>
        <w:t>” has the meaning set forth in the definition of “Term SOFR.”</w:t>
      </w:r>
    </w:p>
    <w:p>
      <w:pPr>
        <w:spacing w:after="0" w:line="19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means, in the case of a Lender that is classified as a partnership for U.S. federal income tax purposes, the direct or indirect partner or owner of such Lender that is treated, for U.S. federal income tax purposes, as the beneficial owner of a payment by any Loan Party under any Loan Document.</w:t>
      </w:r>
    </w:p>
    <w:p>
      <w:pPr>
        <w:spacing w:after="0" w:line="159" w:lineRule="exact"/>
        <w:rPr>
          <w:sz w:val="20"/>
          <w:szCs w:val="20"/>
          <w:color w:val="auto"/>
        </w:rPr>
      </w:pPr>
    </w:p>
    <w:p>
      <w:pPr>
        <w:ind w:right="5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as required by the Beneficial Ownership Regulation.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Section 4975 of the Code that is subject to Section 4975 of the Code, or (c) any Person whose assets include (for purposes of ERISA Section 3(42) or otherwise for purposes of Title I of ERISA or Section 4975 of the Code) the assets of any such “employee benefit plan” or “plan”.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Governors of the Federal Reserve System of the United States.</w:t>
      </w:r>
    </w:p>
    <w:p>
      <w:pPr>
        <w:spacing w:after="0" w:line="17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Bona Fide Debt Fund</w:t>
      </w:r>
      <w:r>
        <w:rPr>
          <w:rFonts w:ascii="Arial" w:cs="Arial" w:eastAsia="Arial" w:hAnsi="Arial"/>
          <w:sz w:val="21"/>
          <w:szCs w:val="21"/>
          <w:color w:val="auto"/>
        </w:rPr>
        <w:t>” means any debt fund Affiliate of a Disqualified Lender that is primarily engaged in, or advises funds or other investment vehicles that are engaged in, making, purchasing, holding or otherwise investing in commercial loans, notes, bonds and similar extensions of credit or securities in the ordinary course of its business and whose managers are not involved with the equity investment decisions of such Disqualified Lender.</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assigned to such term in the preamble to this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Materials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w:t>
      </w:r>
      <w:r>
        <w:rPr>
          <w:rFonts w:ascii="Arial" w:cs="Arial" w:eastAsia="Arial" w:hAnsi="Arial"/>
          <w:sz w:val="21"/>
          <w:szCs w:val="21"/>
          <w:color w:val="auto"/>
        </w:rPr>
        <w:t xml:space="preserve">” means Loans of the same Class, Type and currency, made, converted or continued on the same date and, in the case of </w:t>
      </w:r>
      <w:r>
        <w:rPr>
          <w:rFonts w:ascii="Arial" w:cs="Arial" w:eastAsia="Arial" w:hAnsi="Arial"/>
          <w:sz w:val="21"/>
          <w:szCs w:val="21"/>
          <w:color w:val="FF0000"/>
          <w:strike w:val="1"/>
        </w:rPr>
        <w:t>Eurocurrency Loans or</w:t>
      </w:r>
      <w:r>
        <w:rPr>
          <w:rFonts w:ascii="Arial" w:cs="Arial" w:eastAsia="Arial" w:hAnsi="Arial"/>
          <w:sz w:val="21"/>
          <w:szCs w:val="21"/>
          <w:color w:val="auto"/>
        </w:rPr>
        <w:t xml:space="preserve"> Term SOFR Loans, as to which a single Interest Period is in effect.</w:t>
      </w:r>
    </w:p>
    <w:p>
      <w:pPr>
        <w:spacing w:after="0" w:line="15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means a request by the Borrower for a Borrowing in accordance with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1" w:right="339" w:bottom="1440" w:gutter="0" w:footer="0" w:header="0"/>
        </w:sectPr>
      </w:pPr>
    </w:p>
    <w:bookmarkStart w:id="299" w:name="page300"/>
    <w:bookmarkEnd w:id="299"/>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means </w:t>
      </w:r>
      <w:r>
        <w:rPr>
          <w:rFonts w:ascii="Arial" w:cs="Arial" w:eastAsia="Arial" w:hAnsi="Arial"/>
          <w:sz w:val="19"/>
          <w:szCs w:val="19"/>
          <w:color w:val="FF0000"/>
          <w:strike w:val="1"/>
        </w:rPr>
        <w:t>(a) for all purposes other than as covered by</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clause (b)</w:t>
      </w:r>
      <w:r>
        <w:rPr>
          <w:rFonts w:ascii="Arial" w:cs="Arial" w:eastAsia="Arial" w:hAnsi="Arial"/>
          <w:sz w:val="19"/>
          <w:szCs w:val="19"/>
          <w:color w:val="auto"/>
        </w:rPr>
        <w:t xml:space="preserve"> </w:t>
      </w:r>
      <w:r>
        <w:rPr>
          <w:rFonts w:ascii="Arial" w:cs="Arial" w:eastAsia="Arial" w:hAnsi="Arial"/>
          <w:sz w:val="19"/>
          <w:szCs w:val="19"/>
          <w:color w:val="FF0000"/>
          <w:strike w:val="1"/>
        </w:rPr>
        <w:t>below,</w:t>
      </w:r>
      <w:r>
        <w:rPr>
          <w:rFonts w:ascii="Arial" w:cs="Arial" w:eastAsia="Arial" w:hAnsi="Arial"/>
          <w:sz w:val="19"/>
          <w:szCs w:val="19"/>
          <w:color w:val="auto"/>
        </w:rPr>
        <w:t xml:space="preserve"> any day that is not a Saturday, Sunday or other day on which commercial banks in New York City are authorized or required by law to remain closed </w:t>
      </w:r>
      <w:r>
        <w:rPr>
          <w:rFonts w:ascii="Arial" w:cs="Arial" w:eastAsia="Arial" w:hAnsi="Arial"/>
          <w:sz w:val="19"/>
          <w:szCs w:val="19"/>
          <w:color w:val="FF0000"/>
          <w:strike w:val="1"/>
        </w:rPr>
        <w:t xml:space="preserve">and (b) if such day relates to any fundings, disbursements, settlements or payments in connection with a Eurocurrency Borrowing or Letter of Credit denominated in Dollars, any day described in </w:t>
      </w:r>
      <w:r>
        <w:rPr>
          <w:rFonts w:ascii="Arial" w:cs="Arial" w:eastAsia="Arial" w:hAnsi="Arial"/>
          <w:sz w:val="19"/>
          <w:szCs w:val="19"/>
          <w:u w:val="single" w:color="auto"/>
          <w:color w:val="FF0000"/>
          <w:strike w:val="1"/>
        </w:rPr>
        <w:t>clause (a)</w:t>
      </w:r>
      <w:r>
        <w:rPr>
          <w:rFonts w:ascii="Arial" w:cs="Arial" w:eastAsia="Arial" w:hAnsi="Arial"/>
          <w:sz w:val="19"/>
          <w:szCs w:val="19"/>
          <w:color w:val="FF0000"/>
          <w:strike w:val="1"/>
        </w:rPr>
        <w:t xml:space="preserve"> that is also a day for trading by and between banks in Dollar deposits in the London interbank currency markets</w:t>
      </w:r>
      <w:r>
        <w:rPr>
          <w:rFonts w:ascii="Arial" w:cs="Arial" w:eastAsia="Arial" w:hAnsi="Arial"/>
          <w:sz w:val="19"/>
          <w:szCs w:val="19"/>
          <w:color w:val="000000"/>
          <w:strike w:val="1"/>
        </w:rPr>
        <w:t>;</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00"/>
          <w:strike w:val="1"/>
        </w:rPr>
        <w:t>provided</w:t>
      </w:r>
      <w:r>
        <w:rPr>
          <w:rFonts w:ascii="Arial" w:cs="Arial" w:eastAsia="Arial" w:hAnsi="Arial"/>
          <w:sz w:val="19"/>
          <w:szCs w:val="19"/>
          <w:color w:val="000000"/>
          <w:strike w:val="1"/>
        </w:rPr>
        <w:t>,</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00"/>
          <w:strike w:val="1"/>
        </w:rPr>
        <w:t>however</w:t>
      </w:r>
      <w:r>
        <w:rPr>
          <w:rFonts w:ascii="Arial" w:cs="Arial" w:eastAsia="Arial" w:hAnsi="Arial"/>
          <w:sz w:val="19"/>
          <w:szCs w:val="19"/>
          <w:color w:val="000000"/>
          <w:strike w:val="1"/>
        </w:rPr>
        <w:t>, that, when used in connection with a Term SOFR</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Loan </w:t>
      </w:r>
      <w:r>
        <w:rPr>
          <w:rFonts w:ascii="Arial" w:cs="Arial" w:eastAsia="Arial" w:hAnsi="Arial"/>
          <w:sz w:val="19"/>
          <w:szCs w:val="19"/>
          <w:color w:val="0000FF"/>
          <w:strike w:val="1"/>
        </w:rPr>
        <w:t>or Daily SOFR Loan</w:t>
      </w:r>
      <w:r>
        <w:rPr>
          <w:rFonts w:ascii="Arial" w:cs="Arial" w:eastAsia="Arial" w:hAnsi="Arial"/>
          <w:sz w:val="19"/>
          <w:szCs w:val="19"/>
          <w:color w:val="000000"/>
          <w:strike w:val="1"/>
        </w:rPr>
        <w:t>, the term “Business Day” shall mean a U.S. Government Securities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-34925</wp:posOffset>
            </wp:positionV>
            <wp:extent cx="11811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132"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xml:space="preserve">” means, for any period, the additions to property, plant and equipment of the Borrower and the Restricted Subsidiaries that are (or should be) set forth in a consolidated statement of cash flows of the Borrower and the Restricted Subsidiaries for such period prepared in accordance with GAAP, but excluding in each case any such expenditure (i) made to restore, replace, rebuild, develop, maintain, improve or upgrade property, to the extent such expenditure is made with, or subsequently reimbursed out of, insurance proceeds, indemnity payments, condemnation or similar awards (or payments in lieu thereof) or damage recovery proceeds or other settlements relating to any damage, loss, destruction or condemnation of such property, (ii) constituting reinvestment of the Net Proceeds of any event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definition of the term “Prepayment Event,” (iii) made by the Borrower or any Restricted Subsidiary as payment of the consideration for any Acquisition (including any property, plant and equipment obtained as a part thereof), (iv) made by the Borrower or any Restricted Subsidiary to effect leasehold improvements to any property leased by the Borrower or such Restricted Subsidiary as lessee, to the extent that such expenses have been reimbursed by the landlord, (v) actually paid for by a third party (excluding the Borrower and any Restricted Subsidiary) and for which none of the Borrower or any Restricted Subsidiary has provided or is required to provide or incur, directly or indirectly, any consideration or monetary obligation to such third party or any other Person (whether before, during or after such period), (vi) constituting Capitalized Software Expenditures or research and development expenditures that are treated as additions to property, plant and equipment or other capital expenditures in accordance with GAAP, (vii) made with the Net Proceeds from any issuance of Qualified Equity Interests of, or contribution of Qualified Equity Interests into, Holdings, and (viii) the purchase price of equipment that is purchased simultaneously with the trade in or sale of existing equipment.</w:t>
      </w:r>
    </w:p>
    <w:p>
      <w:pPr>
        <w:spacing w:after="0" w:line="390"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Lease Obligations</w:t>
      </w:r>
      <w:r>
        <w:rPr>
          <w:rFonts w:ascii="Arial" w:cs="Arial" w:eastAsia="Arial" w:hAnsi="Arial"/>
          <w:sz w:val="22"/>
          <w:szCs w:val="22"/>
          <w:color w:val="auto"/>
        </w:rPr>
        <w:t xml:space="preserve">” of any Person means, subject to </w:t>
      </w:r>
      <w:r>
        <w:rPr>
          <w:rFonts w:ascii="Arial" w:cs="Arial" w:eastAsia="Arial" w:hAnsi="Arial"/>
          <w:sz w:val="22"/>
          <w:szCs w:val="22"/>
          <w:u w:val="single" w:color="auto"/>
          <w:color w:val="auto"/>
        </w:rPr>
        <w:t>Section 1.04</w:t>
      </w:r>
      <w:r>
        <w:rPr>
          <w:rFonts w:ascii="Arial" w:cs="Arial" w:eastAsia="Arial" w:hAnsi="Arial"/>
          <w:sz w:val="22"/>
          <w:szCs w:val="22"/>
          <w:color w:val="auto"/>
        </w:rPr>
        <w:t>,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5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Capitalized Software Expenditures</w:t>
      </w:r>
      <w:r>
        <w:rPr>
          <w:rFonts w:ascii="Arial" w:cs="Arial" w:eastAsia="Arial" w:hAnsi="Arial"/>
          <w:sz w:val="19"/>
          <w:szCs w:val="19"/>
          <w:color w:val="auto"/>
        </w:rPr>
        <w:t>” means, for any period, the aggregate of all expenditures (whether paid in cash or accrued as liabilities) by a Person and its Restricted Subsidiaries during such period in respect of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14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Captive Insurance Subsidiaries</w:t>
      </w:r>
      <w:r>
        <w:rPr>
          <w:rFonts w:ascii="Arial" w:cs="Arial" w:eastAsia="Arial" w:hAnsi="Arial"/>
          <w:sz w:val="22"/>
          <w:szCs w:val="22"/>
          <w:color w:val="auto"/>
        </w:rPr>
        <w:t>” means, collectively or individually, as of any date of determination, those regulated Subsidiaries primarily engaged in the business of providing insurance and insurance-related services to Holdings and its Subsidiaries.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Collateralize</w:t>
      </w:r>
      <w:r>
        <w:rPr>
          <w:rFonts w:ascii="Arial" w:cs="Arial" w:eastAsia="Arial" w:hAnsi="Arial"/>
          <w:sz w:val="22"/>
          <w:szCs w:val="22"/>
          <w:color w:val="auto"/>
        </w:rPr>
        <w:t>” means to deposit, or designate funds previously deposited, in a deposit account subject to control of the Administrative Agent or the Collateral Agent,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1" w:right="339" w:bottom="1440" w:gutter="0" w:footer="0" w:header="0"/>
        </w:sectPr>
      </w:pPr>
    </w:p>
    <w:bookmarkStart w:id="300" w:name="page301"/>
    <w:bookmarkEnd w:id="300"/>
    <w:p>
      <w:pPr>
        <w:jc w:val="both"/>
        <w:spacing w:after="0" w:line="252" w:lineRule="auto"/>
        <w:rPr>
          <w:sz w:val="20"/>
          <w:szCs w:val="20"/>
          <w:color w:val="auto"/>
        </w:rPr>
      </w:pPr>
      <w:r>
        <w:rPr>
          <w:rFonts w:ascii="Arial" w:cs="Arial" w:eastAsia="Arial" w:hAnsi="Arial"/>
          <w:sz w:val="19"/>
          <w:szCs w:val="19"/>
          <w:color w:val="auto"/>
        </w:rPr>
        <w:t>for the benefit of the Issuing Banks or Revolving Lenders, as collateral for Letters of Credit or obligations of Revolving Lenders to fund participations in respect of Letters of Credit, cash or deposit account balances in an aggregate amount equal to 103% of the maximum amount available to be drawn under such Letters of Credit or, if the applicable Issuing Bank shall agree in its sole discretion, other credit support, in each case pursuant to documentation in form and substance reasonably satisfactory to the applicable Issuing Bank. “</w:t>
      </w:r>
      <w:r>
        <w:rPr>
          <w:rFonts w:ascii="Arial" w:cs="Arial" w:eastAsia="Arial" w:hAnsi="Arial"/>
          <w:sz w:val="19"/>
          <w:szCs w:val="19"/>
          <w:u w:val="single" w:color="auto"/>
          <w:color w:val="auto"/>
        </w:rPr>
        <w:t>Cash Collateral</w:t>
      </w:r>
      <w:r>
        <w:rPr>
          <w:rFonts w:ascii="Arial" w:cs="Arial" w:eastAsia="Arial" w:hAnsi="Arial"/>
          <w:sz w:val="19"/>
          <w:szCs w:val="19"/>
          <w:color w:val="auto"/>
        </w:rPr>
        <w:t>” has a meaning correlative to the foregoing.</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w:t>
      </w:r>
    </w:p>
    <w:p>
      <w:pPr>
        <w:spacing w:after="0" w:line="179" w:lineRule="exact"/>
        <w:rPr>
          <w:sz w:val="20"/>
          <w:szCs w:val="20"/>
          <w:color w:val="auto"/>
        </w:rPr>
      </w:pPr>
    </w:p>
    <w:p>
      <w:pPr>
        <w:jc w:val="both"/>
        <w:ind w:firstLine="1304"/>
        <w:spacing w:after="0" w:line="223" w:lineRule="auto"/>
        <w:tabs>
          <w:tab w:leader="none" w:pos="1766" w:val="left"/>
        </w:tabs>
        <w:numPr>
          <w:ilvl w:val="0"/>
          <w:numId w:val="322"/>
        </w:numPr>
        <w:rPr>
          <w:rFonts w:ascii="Arial" w:cs="Arial" w:eastAsia="Arial" w:hAnsi="Arial"/>
          <w:sz w:val="22"/>
          <w:szCs w:val="22"/>
          <w:color w:val="auto"/>
        </w:rPr>
      </w:pPr>
      <w:r>
        <w:rPr>
          <w:rFonts w:ascii="Arial" w:cs="Arial" w:eastAsia="Arial" w:hAnsi="Arial"/>
          <w:sz w:val="22"/>
          <w:szCs w:val="22"/>
          <w:color w:val="auto"/>
        </w:rPr>
        <w:t xml:space="preserve">(i) Dollars, Sterling, Euros or any other Alternative Currency, (ii) any other national currency of any member state of the European Union or (iii) any other foreign currency, in the case of </w:t>
      </w:r>
      <w:r>
        <w:rPr>
          <w:rFonts w:ascii="Arial" w:cs="Arial" w:eastAsia="Arial" w:hAnsi="Arial"/>
          <w:sz w:val="22"/>
          <w:szCs w:val="22"/>
          <w:u w:val="single" w:color="auto"/>
          <w:color w:val="auto"/>
        </w:rPr>
        <w:t>clauses (ii)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held by any Holding Company, the Borrower or any of the Restricted Subsidiaries in the ordinary course of business;</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867" w:val="left"/>
        </w:tabs>
        <w:numPr>
          <w:ilvl w:val="0"/>
          <w:numId w:val="322"/>
        </w:numPr>
        <w:rPr>
          <w:rFonts w:ascii="Arial" w:cs="Arial" w:eastAsia="Arial" w:hAnsi="Arial"/>
          <w:sz w:val="22"/>
          <w:szCs w:val="22"/>
          <w:color w:val="auto"/>
        </w:rPr>
      </w:pPr>
      <w:r>
        <w:rPr>
          <w:rFonts w:ascii="Arial" w:cs="Arial" w:eastAsia="Arial" w:hAnsi="Arial"/>
          <w:sz w:val="22"/>
          <w:szCs w:val="22"/>
          <w:color w:val="auto"/>
        </w:rPr>
        <w:t>securities issued or directly and fully Guaranteed or insured by the United States, a member state of the European Union or the United Kingdom or, in each case, any agency or instrumentality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full faith and credit of such country or such member state is pledged in support thereof), having maturities of not more than two (2) years from the date of acquisition;</w:t>
      </w:r>
    </w:p>
    <w:p>
      <w:pPr>
        <w:spacing w:after="0" w:line="160" w:lineRule="exact"/>
        <w:rPr>
          <w:rFonts w:ascii="Arial" w:cs="Arial" w:eastAsia="Arial" w:hAnsi="Arial"/>
          <w:sz w:val="22"/>
          <w:szCs w:val="22"/>
          <w:color w:val="auto"/>
        </w:rPr>
      </w:pPr>
    </w:p>
    <w:p>
      <w:pPr>
        <w:jc w:val="both"/>
        <w:ind w:firstLine="1304"/>
        <w:spacing w:after="0" w:line="218" w:lineRule="auto"/>
        <w:tabs>
          <w:tab w:leader="none" w:pos="1994" w:val="left"/>
        </w:tabs>
        <w:numPr>
          <w:ilvl w:val="0"/>
          <w:numId w:val="322"/>
        </w:numPr>
        <w:rPr>
          <w:rFonts w:ascii="Arial" w:cs="Arial" w:eastAsia="Arial" w:hAnsi="Arial"/>
          <w:sz w:val="22"/>
          <w:szCs w:val="22"/>
          <w:color w:val="auto"/>
        </w:rPr>
      </w:pPr>
      <w:r>
        <w:rPr>
          <w:rFonts w:ascii="Arial" w:cs="Arial" w:eastAsia="Arial" w:hAnsi="Arial"/>
          <w:sz w:val="22"/>
          <w:szCs w:val="22"/>
          <w:color w:val="auto"/>
        </w:rPr>
        <w:t>certificates of deposit, time deposits, eurodollar time deposits, overnight bank deposits or bankers’ acceptances issued by (x) any Revolving Lender or affiliate thereof or (y) any bank or trust company (i) whose commercial paper is rated at least “A-2” or the equivalent thereof by S&amp;P or at least “P-2” or the equivalent thereof by Moody’s and (ii) having combined capital and surplus in excess of $500 million;</w:t>
      </w:r>
    </w:p>
    <w:p>
      <w:pPr>
        <w:spacing w:after="0" w:line="160" w:lineRule="exact"/>
        <w:rPr>
          <w:rFonts w:ascii="Arial" w:cs="Arial" w:eastAsia="Arial" w:hAnsi="Arial"/>
          <w:sz w:val="22"/>
          <w:szCs w:val="22"/>
          <w:color w:val="auto"/>
        </w:rPr>
      </w:pPr>
    </w:p>
    <w:p>
      <w:pPr>
        <w:ind w:firstLine="1304"/>
        <w:spacing w:after="0" w:line="232" w:lineRule="auto"/>
        <w:tabs>
          <w:tab w:leader="none" w:pos="1769" w:val="left"/>
        </w:tabs>
        <w:numPr>
          <w:ilvl w:val="0"/>
          <w:numId w:val="322"/>
        </w:numPr>
        <w:rPr>
          <w:rFonts w:ascii="Arial" w:cs="Arial" w:eastAsia="Arial" w:hAnsi="Arial"/>
          <w:sz w:val="22"/>
          <w:szCs w:val="22"/>
          <w:color w:val="auto"/>
        </w:rPr>
      </w:pPr>
      <w:r>
        <w:rPr>
          <w:rFonts w:ascii="Arial" w:cs="Arial" w:eastAsia="Arial" w:hAnsi="Arial"/>
          <w:sz w:val="22"/>
          <w:szCs w:val="22"/>
          <w:color w:val="auto"/>
        </w:rPr>
        <w:t xml:space="preserve">repurchase obligations for underlying securities of the types described in </w:t>
      </w:r>
      <w:r>
        <w:rPr>
          <w:rFonts w:ascii="Arial" w:cs="Arial" w:eastAsia="Arial" w:hAnsi="Arial"/>
          <w:sz w:val="22"/>
          <w:szCs w:val="22"/>
          <w:u w:val="single" w:color="auto"/>
          <w:color w:val="auto"/>
        </w:rPr>
        <w:t>clauses (b)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entered into with any Person referenced in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above;</w:t>
      </w:r>
    </w:p>
    <w:p>
      <w:pPr>
        <w:spacing w:after="0" w:line="158" w:lineRule="exact"/>
        <w:rPr>
          <w:rFonts w:ascii="Arial" w:cs="Arial" w:eastAsia="Arial" w:hAnsi="Arial"/>
          <w:sz w:val="22"/>
          <w:szCs w:val="22"/>
          <w:color w:val="auto"/>
        </w:rPr>
      </w:pPr>
    </w:p>
    <w:p>
      <w:pPr>
        <w:ind w:firstLine="1304"/>
        <w:spacing w:after="0" w:line="232" w:lineRule="auto"/>
        <w:tabs>
          <w:tab w:leader="none" w:pos="1789" w:val="left"/>
        </w:tabs>
        <w:numPr>
          <w:ilvl w:val="0"/>
          <w:numId w:val="322"/>
        </w:numPr>
        <w:rPr>
          <w:rFonts w:ascii="Arial" w:cs="Arial" w:eastAsia="Arial" w:hAnsi="Arial"/>
          <w:sz w:val="22"/>
          <w:szCs w:val="22"/>
          <w:color w:val="auto"/>
        </w:rPr>
      </w:pPr>
      <w:r>
        <w:rPr>
          <w:rFonts w:ascii="Arial" w:cs="Arial" w:eastAsia="Arial" w:hAnsi="Arial"/>
          <w:sz w:val="22"/>
          <w:szCs w:val="22"/>
          <w:color w:val="auto"/>
        </w:rPr>
        <w:t>commercial paper rated at the time of acquisition thereof at least “A-2” or the equivalent thereof by S&amp;P or “P-2” or the equivalent thereof by Moody’s;</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735" w:val="left"/>
        </w:tabs>
        <w:numPr>
          <w:ilvl w:val="0"/>
          <w:numId w:val="322"/>
        </w:numPr>
        <w:rPr>
          <w:rFonts w:ascii="Arial" w:cs="Arial" w:eastAsia="Arial" w:hAnsi="Arial"/>
          <w:sz w:val="22"/>
          <w:szCs w:val="22"/>
          <w:color w:val="auto"/>
        </w:rPr>
      </w:pPr>
      <w:r>
        <w:rPr>
          <w:rFonts w:ascii="Arial" w:cs="Arial" w:eastAsia="Arial" w:hAnsi="Arial"/>
          <w:sz w:val="22"/>
          <w:szCs w:val="22"/>
          <w:color w:val="auto"/>
        </w:rPr>
        <w:t>readily marketable direct obligations issued by any state, commonwealth or territory of the United States, any member of the European Union, any other foreign government or any political subdivision or taxing authority thereof, in each case, having one of the two highest rating categories obtainable from either Moody’s or S&amp;P with maturities of not more than two years from the date of acquisition;</w:t>
      </w:r>
    </w:p>
    <w:p>
      <w:pPr>
        <w:spacing w:after="0" w:line="160" w:lineRule="exact"/>
        <w:rPr>
          <w:rFonts w:ascii="Arial" w:cs="Arial" w:eastAsia="Arial" w:hAnsi="Arial"/>
          <w:sz w:val="22"/>
          <w:szCs w:val="22"/>
          <w:color w:val="auto"/>
        </w:rPr>
      </w:pPr>
    </w:p>
    <w:p>
      <w:pPr>
        <w:ind w:firstLine="1304"/>
        <w:spacing w:after="0" w:line="232" w:lineRule="auto"/>
        <w:tabs>
          <w:tab w:leader="none" w:pos="1846" w:val="left"/>
        </w:tabs>
        <w:numPr>
          <w:ilvl w:val="0"/>
          <w:numId w:val="322"/>
        </w:numPr>
        <w:rPr>
          <w:rFonts w:ascii="Arial" w:cs="Arial" w:eastAsia="Arial" w:hAnsi="Arial"/>
          <w:sz w:val="22"/>
          <w:szCs w:val="22"/>
          <w:color w:val="auto"/>
        </w:rPr>
      </w:pPr>
      <w:r>
        <w:rPr>
          <w:rFonts w:ascii="Arial" w:cs="Arial" w:eastAsia="Arial" w:hAnsi="Arial"/>
          <w:sz w:val="22"/>
          <w:szCs w:val="22"/>
          <w:color w:val="auto"/>
        </w:rPr>
        <w:t xml:space="preserve">interests in any investment company or money market fund or enhanced high yield fund which invests at least 90% of its assets in instruments of the type specified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(f)</w:t>
      </w:r>
      <w:r>
        <w:rPr>
          <w:rFonts w:ascii="Arial" w:cs="Arial" w:eastAsia="Arial" w:hAnsi="Arial"/>
          <w:sz w:val="22"/>
          <w:szCs w:val="22"/>
          <w:color w:val="auto"/>
        </w:rPr>
        <w:t xml:space="preserve"> above;</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71" w:val="left"/>
        </w:tabs>
        <w:numPr>
          <w:ilvl w:val="0"/>
          <w:numId w:val="322"/>
        </w:numPr>
        <w:rPr>
          <w:rFonts w:ascii="Arial" w:cs="Arial" w:eastAsia="Arial" w:hAnsi="Arial"/>
          <w:sz w:val="22"/>
          <w:szCs w:val="22"/>
          <w:color w:val="auto"/>
        </w:rPr>
      </w:pPr>
      <w:r>
        <w:rPr>
          <w:rFonts w:ascii="Arial" w:cs="Arial" w:eastAsia="Arial" w:hAnsi="Arial"/>
          <w:sz w:val="22"/>
          <w:szCs w:val="22"/>
          <w:color w:val="auto"/>
        </w:rPr>
        <w:t xml:space="preserve">instruments and investments of the type and maturity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(g)</w:t>
      </w:r>
      <w:r>
        <w:rPr>
          <w:rFonts w:ascii="Arial" w:cs="Arial" w:eastAsia="Arial" w:hAnsi="Arial"/>
          <w:sz w:val="22"/>
          <w:szCs w:val="22"/>
          <w:color w:val="auto"/>
        </w:rPr>
        <w:t xml:space="preserve"> above denominated in any foreign currency or of foreign obligors, which investments or obligors are, in the reasonable judgment of the Borrower, comparable in investment quality to those referred to above;</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731" w:val="left"/>
        </w:tabs>
        <w:numPr>
          <w:ilvl w:val="0"/>
          <w:numId w:val="322"/>
        </w:numPr>
        <w:rPr>
          <w:rFonts w:ascii="Arial" w:cs="Arial" w:eastAsia="Arial" w:hAnsi="Arial"/>
          <w:sz w:val="22"/>
          <w:szCs w:val="22"/>
          <w:color w:val="auto"/>
        </w:rPr>
      </w:pPr>
      <w:r>
        <w:rPr>
          <w:rFonts w:ascii="Arial" w:cs="Arial" w:eastAsia="Arial" w:hAnsi="Arial"/>
          <w:sz w:val="22"/>
          <w:szCs w:val="22"/>
          <w:color w:val="auto"/>
        </w:rPr>
        <w:t xml:space="preserve">solely with respect to any Person that is organized or incorporated outside of the United States or any state or territory thereof or the District of Columbia, investments of comparable tenor and credit quality to those described in the foregoing </w:t>
      </w:r>
      <w:r>
        <w:rPr>
          <w:rFonts w:ascii="Arial" w:cs="Arial" w:eastAsia="Arial" w:hAnsi="Arial"/>
          <w:sz w:val="22"/>
          <w:szCs w:val="22"/>
          <w:u w:val="single" w:color="auto"/>
          <w:color w:val="auto"/>
        </w:rPr>
        <w:t>clauses (b)</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(g)</w:t>
      </w:r>
      <w:r>
        <w:rPr>
          <w:rFonts w:ascii="Arial" w:cs="Arial" w:eastAsia="Arial" w:hAnsi="Arial"/>
          <w:sz w:val="22"/>
          <w:szCs w:val="22"/>
          <w:color w:val="auto"/>
        </w:rPr>
        <w:t xml:space="preserve"> customarily utilized in countries in which such Foreign Subsidiary operates for short term cash management purposes;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1" w:right="339" w:bottom="1440" w:gutter="0" w:footer="0" w:header="0"/>
        </w:sectPr>
      </w:pPr>
    </w:p>
    <w:bookmarkStart w:id="301" w:name="page302"/>
    <w:bookmarkEnd w:id="301"/>
    <w:p>
      <w:pPr>
        <w:jc w:val="both"/>
        <w:ind w:firstLine="1304"/>
        <w:spacing w:after="0" w:line="268" w:lineRule="auto"/>
        <w:tabs>
          <w:tab w:leader="none" w:pos="1893" w:val="left"/>
        </w:tabs>
        <w:numPr>
          <w:ilvl w:val="0"/>
          <w:numId w:val="323"/>
        </w:numPr>
        <w:rPr>
          <w:rFonts w:ascii="Arial" w:cs="Arial" w:eastAsia="Arial" w:hAnsi="Arial"/>
          <w:sz w:val="19"/>
          <w:szCs w:val="19"/>
          <w:color w:val="auto"/>
        </w:rPr>
      </w:pPr>
      <w:r>
        <w:rPr>
          <w:rFonts w:ascii="Arial" w:cs="Arial" w:eastAsia="Arial" w:hAnsi="Arial"/>
          <w:sz w:val="19"/>
          <w:szCs w:val="19"/>
          <w:color w:val="auto"/>
        </w:rPr>
        <w:t>any other investments permitted by the investment policy of Holdings and the Restricted Subsidiaries delivered to the Administrative Agent prior to the Closing Date and on file with the Administrative Agent (it being understood and agreed that no such policy has been delivered to the Administrative Agent prior to the Closing Date).</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w:t>
      </w:r>
      <w:r>
        <w:rPr>
          <w:rFonts w:ascii="Arial" w:cs="Arial" w:eastAsia="Arial" w:hAnsi="Arial"/>
          <w:sz w:val="22"/>
          <w:szCs w:val="22"/>
          <w:color w:val="auto"/>
        </w:rPr>
        <w:t>” means any agreement to provide Cash Management Services.</w:t>
      </w:r>
    </w:p>
    <w:p>
      <w:pPr>
        <w:spacing w:after="0" w:line="17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Management Obligations</w:t>
      </w:r>
      <w:r>
        <w:rPr>
          <w:rFonts w:ascii="Arial" w:cs="Arial" w:eastAsia="Arial" w:hAnsi="Arial"/>
          <w:sz w:val="21"/>
          <w:szCs w:val="21"/>
          <w:color w:val="auto"/>
        </w:rPr>
        <w:t>” means, as to any Loan Party, any and all obligations of such Loan Party, whether absolute or contingent and however and whenever created, arising, evidenced or acquired (including all renewals, extensions and modifications thereof and substitutions therefor), under any Cash Management Agreement.</w:t>
      </w:r>
    </w:p>
    <w:p>
      <w:pPr>
        <w:spacing w:after="0" w:line="158"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Services</w:t>
      </w:r>
      <w:r>
        <w:rPr>
          <w:rFonts w:ascii="Arial" w:cs="Arial" w:eastAsia="Arial" w:hAnsi="Arial"/>
          <w:sz w:val="22"/>
          <w:szCs w:val="22"/>
          <w:color w:val="auto"/>
        </w:rPr>
        <w:t>” means any one or more of the following types of services or facilities: (a) ACH transactions, (b) cash management services, including controlled disbursement services, treasury, depository, overdraft, credit or debit card, stored value card, electronic funds transfer services, and (c) foreign exchange facilities or other cash management arrangements in the ordinary course of business. For the avoidance of doubt, Cash Management Services do not include Swap Agreements.</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w:t>
      </w:r>
      <w:r>
        <w:rPr>
          <w:rFonts w:ascii="Arial" w:cs="Arial" w:eastAsia="Arial" w:hAnsi="Arial"/>
          <w:sz w:val="22"/>
          <w:szCs w:val="22"/>
          <w:color w:val="auto"/>
        </w:rPr>
        <w:t>” means a Foreign Subsidiary of the Borrower that is a “controlled foreign corporation” within the meaning of Section 957 of the Code.</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 Holding Company</w:t>
      </w:r>
      <w:r>
        <w:rPr>
          <w:rFonts w:ascii="Arial" w:cs="Arial" w:eastAsia="Arial" w:hAnsi="Arial"/>
          <w:sz w:val="22"/>
          <w:szCs w:val="22"/>
          <w:color w:val="auto"/>
        </w:rPr>
        <w:t>” means any Domestic Subsidiary of the Borrower that owns no material assets other than equity interests (including, for this purpose, any debt or other instrument treated as equity for U.S. federal income tax purposes) in one or more (a) Foreign Subsidiaries that are CFCs and/or (b) other Subsidiaries that own no material assets other than equity interests (including, for this purpose, any debt or other instrument treated as equity for U.S. federal income tax purposes) in one or more Foreign Subsidiaries that are CFCs.</w:t>
      </w:r>
    </w:p>
    <w:p>
      <w:pPr>
        <w:spacing w:after="0" w:line="15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the occurrence of any of the following events after the Closing Date: (a) at any time prior to the consummation of an IPO, the Permitted Holders shall cease to both (i) control and own, directly or indirectly, of record and beneficially (as defined in Rules 13(d)-3 and 13(d)-5 under the Exchange Act or any successor provisions) more than 50% of the voting interests (for the election of directors) in the outstanding voting securities having ordinary voting power for the election of directors of Holdings and (ii) maintain the right to appoint directors having more than 50% of the aggregate votes on the board of directors of Holdings, (b) at any time after the consummation of an IPO, and for any reason whatsoever, (i) any “</w:t>
      </w:r>
      <w:r>
        <w:rPr>
          <w:rFonts w:ascii="Arial" w:cs="Arial" w:eastAsia="Arial" w:hAnsi="Arial"/>
          <w:sz w:val="21"/>
          <w:szCs w:val="21"/>
          <w:u w:val="single" w:color="auto"/>
          <w:color w:val="auto"/>
        </w:rPr>
        <w:t>person</w:t>
      </w:r>
      <w:r>
        <w:rPr>
          <w:rFonts w:ascii="Arial" w:cs="Arial" w:eastAsia="Arial" w:hAnsi="Arial"/>
          <w:sz w:val="21"/>
          <w:szCs w:val="21"/>
          <w:color w:val="auto"/>
        </w:rPr>
        <w:t>” or “</w:t>
      </w:r>
      <w:r>
        <w:rPr>
          <w:rFonts w:ascii="Arial" w:cs="Arial" w:eastAsia="Arial" w:hAnsi="Arial"/>
          <w:sz w:val="21"/>
          <w:szCs w:val="21"/>
          <w:u w:val="single" w:color="auto"/>
          <w:color w:val="auto"/>
        </w:rPr>
        <w:t>group</w:t>
      </w:r>
      <w:r>
        <w:rPr>
          <w:rFonts w:ascii="Arial" w:cs="Arial" w:eastAsia="Arial" w:hAnsi="Arial"/>
          <w:sz w:val="21"/>
          <w:szCs w:val="21"/>
          <w:color w:val="auto"/>
        </w:rPr>
        <w:t>”, but excluding the Permitted Holders and any underwriters in connection with such IPO, shall become the “</w:t>
      </w:r>
      <w:r>
        <w:rPr>
          <w:rFonts w:ascii="Arial" w:cs="Arial" w:eastAsia="Arial" w:hAnsi="Arial"/>
          <w:sz w:val="21"/>
          <w:szCs w:val="21"/>
          <w:u w:val="single" w:color="auto"/>
          <w:color w:val="auto"/>
        </w:rPr>
        <w:t>beneficial owner</w:t>
      </w:r>
      <w:r>
        <w:rPr>
          <w:rFonts w:ascii="Arial" w:cs="Arial" w:eastAsia="Arial" w:hAnsi="Arial"/>
          <w:sz w:val="21"/>
          <w:szCs w:val="21"/>
          <w:color w:val="auto"/>
        </w:rPr>
        <w:t>”, directly or indirectly, of more than 40% of the outstanding voting securities having ordinary voting power for the election of directors of Holdings, unless the Permitted Holders shall have the right to appoint directors having more than 50% of the aggregate votes on the board of directors of Holdings and (ii) such “person” or “group” shall own a greater percentage of the outstanding voting securities having ordinary voting power for the election of directors of Holdings than the Permitted Holders, (c) at any time after the consummation of an IPO, the Public Company (if not Holdings) shall cease to own, directly or indirectly through wholly owned Subsidiaries (other than directors’ and other similar qualifying shares), of record and beneficially, together with any other Permitted Holders, 100% of each class of outstanding Equity Interests of Holdings (other than directors’ and other similar qualifying shares) or (d) Holdings shall cease to own, directly or indirectly, of record and beneficially, 100% of each class of outstanding Equity Interests of the Borrower (other than directors’ and other similar qualifying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1" w:right="339" w:bottom="1440" w:gutter="0" w:footer="0" w:header="0"/>
        </w:sectPr>
      </w:pPr>
    </w:p>
    <w:bookmarkStart w:id="302" w:name="page303"/>
    <w:bookmarkEnd w:id="302"/>
    <w:p>
      <w:pPr>
        <w:jc w:val="both"/>
        <w:ind w:firstLine="1296"/>
        <w:spacing w:after="0" w:line="238" w:lineRule="auto"/>
        <w:rPr>
          <w:sz w:val="20"/>
          <w:szCs w:val="20"/>
          <w:color w:val="auto"/>
        </w:rPr>
      </w:pPr>
      <w:r>
        <w:rPr>
          <w:rFonts w:ascii="Arial" w:cs="Arial" w:eastAsia="Arial" w:hAnsi="Arial"/>
          <w:sz w:val="19"/>
          <w:szCs w:val="19"/>
          <w:color w:val="auto"/>
        </w:rPr>
        <w:t xml:space="preserve">For purposes of this definition, including other defined terms used herein in connection with this definition and notwithstanding anything to the contrary in this definition or any provision of Section 13d-3 of the Exchange Act, (i) “beneficial ownership” shall be as defined in Rules 13(d)-3 and 13(d)-5 under the Exchange Act (as in effect as of the date of this Agreement),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(iii) if any “person” or “group” includes one or more Permitted Holders, the issued and outstanding Equity Interests of Holdings directly or indirectly owned by the Permitted Holders that are part of such “person” or “group” shall not be treated as being owned by such “person” or “group” for purposes of determining whether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definition is triggered, (iv) a “person” or “group” shall not be deemed to beneficially own Equity Interests to be acquired by such “person” or “group” pursuant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and</w:t>
      </w:r>
    </w:p>
    <w:p>
      <w:pPr>
        <w:spacing w:after="0" w:line="10" w:lineRule="exact"/>
        <w:rPr>
          <w:sz w:val="20"/>
          <w:szCs w:val="20"/>
          <w:color w:val="auto"/>
        </w:rPr>
      </w:pPr>
    </w:p>
    <w:p>
      <w:pPr>
        <w:jc w:val="both"/>
        <w:ind w:firstLine="8"/>
        <w:spacing w:after="0" w:line="224" w:lineRule="auto"/>
        <w:tabs>
          <w:tab w:leader="none" w:pos="311" w:val="left"/>
        </w:tabs>
        <w:numPr>
          <w:ilvl w:val="0"/>
          <w:numId w:val="324"/>
        </w:numPr>
        <w:rPr>
          <w:rFonts w:ascii="Arial" w:cs="Arial" w:eastAsia="Arial" w:hAnsi="Arial"/>
          <w:sz w:val="21"/>
          <w:szCs w:val="21"/>
          <w:color w:val="auto"/>
        </w:rPr>
      </w:pPr>
      <w:r>
        <w:rPr>
          <w:rFonts w:ascii="Arial" w:cs="Arial" w:eastAsia="Arial" w:hAnsi="Arial"/>
          <w:sz w:val="21"/>
          <w:szCs w:val="21"/>
          <w:color w:val="auto"/>
        </w:rPr>
        <w:t>a “person” or “group” shall not be deemed to beneficially own the capital stock of another Person as a result of its ownership of capital stock or other securities of such other Person’s parent (or related contractual rights) unless it owns 50% or more of the total voting power of the capital stock entitled to vote for the election of directors of such other Person’s parent having a majority of the aggregate votes on the board of directors of such other Person’s parent.</w:t>
      </w:r>
    </w:p>
    <w:p>
      <w:pPr>
        <w:spacing w:after="0" w:line="16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(a) the adoption of any law, rule, treaty or regulation after the Closing Date, (b) any change in any law, rule, treaty or regulation or in the interpretation or application thereof by any Governmental Authority after the Closing Date or (c) compliance by any Lender or any Issuing Bank (or, for purposes of </w:t>
      </w:r>
      <w:r>
        <w:rPr>
          <w:rFonts w:ascii="Arial" w:cs="Arial" w:eastAsia="Arial" w:hAnsi="Arial"/>
          <w:sz w:val="19"/>
          <w:szCs w:val="19"/>
          <w:u w:val="single" w:color="auto"/>
          <w:color w:val="auto"/>
        </w:rPr>
        <w:t>Section 2.15(b)</w:t>
      </w:r>
      <w:r>
        <w:rPr>
          <w:rFonts w:ascii="Arial" w:cs="Arial" w:eastAsia="Arial" w:hAnsi="Arial"/>
          <w:sz w:val="19"/>
          <w:szCs w:val="19"/>
          <w:color w:val="auto"/>
        </w:rPr>
        <w:t xml:space="preserve"> , by any lending office of such Lender or by such Lender’s or such Issuing Bank’s holding company, if any) with any request, guideline or directive (whether or not having the force of law) of any Governmental Authority made or issued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9.13</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when used in reference to any Loan or Borrowing, refers to whether such Loan, or the Loans comprising such Borrowing, are Revolving Loans, Term Loans, Swingline Loans, Initial Term Loans (including the 2019 Incremental Term Loans), Incremental Term Loans, Incremental Revolving Loans (including the 2020 Incremental Revolving Loans), Other Term Loans, Other Revolving Loans, Extended Term Loans or Extended Revolving Loans; when used in reference to any Commitment, refers to whether such Commitment is a Term Commitment (including the 2019 Incremental Term Loan Commitment), Revolving Commitment (including the 2020 Incremental Revolving Commitment), Incremental Term Commitment, Incremental Revolving Commitment, Extended Revolving Commitments, Other Term Commitment and Other Revolving Commitment; and when used in reference to any Lender, refers to whether such Lender has a Loan or Commitment with respect to a particular Class. Incremental Term Loans, Extended Term Loans and Other Term Loans (together with the respective Commitments in respect thereof) shall, at the election of the Borrower, be construed to be in different Classes. Incremental Revolving Loans, Extended Revolving Loans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1" w:right="339" w:bottom="1440" w:gutter="0" w:footer="0" w:header="0"/>
        </w:sectPr>
      </w:pPr>
    </w:p>
    <w:bookmarkStart w:id="303" w:name="page304"/>
    <w:bookmarkEnd w:id="303"/>
    <w:p>
      <w:pPr>
        <w:jc w:val="both"/>
        <w:spacing w:after="0" w:line="232" w:lineRule="auto"/>
        <w:rPr>
          <w:sz w:val="20"/>
          <w:szCs w:val="20"/>
          <w:color w:val="auto"/>
        </w:rPr>
      </w:pPr>
      <w:r>
        <w:rPr>
          <w:rFonts w:ascii="Arial" w:cs="Arial" w:eastAsia="Arial" w:hAnsi="Arial"/>
          <w:sz w:val="22"/>
          <w:szCs w:val="22"/>
          <w:color w:val="auto"/>
        </w:rPr>
        <w:t>Revolving Loans (together with the respective Commitments in respect thereof) shall, at the election of the Borrower, be construed to be in different Classes.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means the date on which the conditions precedent set forth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shall have been satisfied or waived, which date is October 12, 2018.</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Distribution</w:t>
      </w:r>
      <w:r>
        <w:rPr>
          <w:rFonts w:ascii="Arial" w:cs="Arial" w:eastAsia="Arial" w:hAnsi="Arial"/>
          <w:sz w:val="22"/>
          <w:szCs w:val="22"/>
          <w:color w:val="auto"/>
        </w:rPr>
        <w:t>” means a distribution to the Current Holders (as defined in the Recapitalization Agreement) as contemplated by the Recapitalization Agreement.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Date Recapitalization</w:t>
      </w:r>
      <w:r>
        <w:rPr>
          <w:rFonts w:ascii="Arial" w:cs="Arial" w:eastAsia="Arial" w:hAnsi="Arial"/>
          <w:sz w:val="21"/>
          <w:szCs w:val="21"/>
          <w:color w:val="auto"/>
        </w:rPr>
        <w:t>” has the meaning assigned to such term in the recitals to this Agreement.</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Refinancing</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4.01(k)</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 (unless otherwise provided for herein).</w:t>
      </w:r>
    </w:p>
    <w:p>
      <w:pPr>
        <w:spacing w:after="0" w:line="191"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w:t>
      </w:r>
      <w:r>
        <w:rPr>
          <w:rFonts w:ascii="Arial" w:cs="Arial" w:eastAsia="Arial" w:hAnsi="Arial"/>
          <w:sz w:val="21"/>
          <w:szCs w:val="21"/>
          <w:color w:val="auto"/>
        </w:rPr>
        <w:t>” means any and all “</w:t>
      </w:r>
      <w:r>
        <w:rPr>
          <w:rFonts w:ascii="Arial" w:cs="Arial" w:eastAsia="Arial" w:hAnsi="Arial"/>
          <w:sz w:val="21"/>
          <w:szCs w:val="21"/>
          <w:u w:val="single" w:color="auto"/>
          <w:color w:val="auto"/>
        </w:rPr>
        <w:t>Collateral</w:t>
      </w:r>
      <w:r>
        <w:rPr>
          <w:rFonts w:ascii="Arial" w:cs="Arial" w:eastAsia="Arial" w:hAnsi="Arial"/>
          <w:sz w:val="21"/>
          <w:szCs w:val="21"/>
          <w:color w:val="auto"/>
        </w:rPr>
        <w:t xml:space="preserve">” or “ </w:t>
      </w:r>
      <w:r>
        <w:rPr>
          <w:rFonts w:ascii="Arial" w:cs="Arial" w:eastAsia="Arial" w:hAnsi="Arial"/>
          <w:sz w:val="21"/>
          <w:szCs w:val="21"/>
          <w:u w:val="single" w:color="auto"/>
          <w:color w:val="auto"/>
        </w:rPr>
        <w:t>Mortgaged Property</w:t>
      </w:r>
      <w:r>
        <w:rPr>
          <w:rFonts w:ascii="Arial" w:cs="Arial" w:eastAsia="Arial" w:hAnsi="Arial"/>
          <w:sz w:val="21"/>
          <w:szCs w:val="21"/>
          <w:color w:val="auto"/>
        </w:rPr>
        <w:t xml:space="preserve"> ” (or any term of similar meaning), as defined in any applicable Security Document, and any and all property of whatever kind or nature subject to or purported to be subject to a Lien under any Security Document, but shall in all events exclude all Excluded Property.</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xml:space="preserve">” means Barclays, in its capacity as collateral agent for the Secured Parties, and its successors in such capacity as provided in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w:t>
      </w:r>
      <w:r>
        <w:rPr>
          <w:rFonts w:ascii="Arial" w:cs="Arial" w:eastAsia="Arial" w:hAnsi="Arial"/>
          <w:sz w:val="21"/>
          <w:szCs w:val="21"/>
          <w:color w:val="auto"/>
        </w:rPr>
        <w:t>” means, with respect to any Person, such Person’s Term Commitment, Revolving Commitment, Incremental Term Commitment, Incremental Revolving Commitment, Other Term Commitment, Extended Revolving Commitment or Other Revolving Commitment or any combination thereof (as the context requires).</w:t>
      </w:r>
    </w:p>
    <w:p>
      <w:pPr>
        <w:spacing w:after="0" w:line="15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Letter</w:t>
      </w:r>
      <w:r>
        <w:rPr>
          <w:rFonts w:ascii="Arial" w:cs="Arial" w:eastAsia="Arial" w:hAnsi="Arial"/>
          <w:sz w:val="19"/>
          <w:szCs w:val="19"/>
          <w:color w:val="auto"/>
        </w:rPr>
        <w:t>” means the means the Amended and Restated Commitment Letter dated August 31, 2018 by and among the Borrower, GS Bank, Barclays, Bank of America, N.A., MLPFS, Credit Suisse AG, KKR Corporate Lending LLC, KKR Capital Markets LLC, Citizens Bank, N.A., SunTrust Bank and SunTrust Robinson Humphrey, Inc</w:t>
      </w:r>
    </w:p>
    <w:p>
      <w:pPr>
        <w:spacing w:after="0" w:line="13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xml:space="preserve">” means the Commodity Exchange Act (7 U.S.C. § 1 </w:t>
      </w:r>
      <w:r>
        <w:rPr>
          <w:rFonts w:ascii="Arial" w:cs="Arial" w:eastAsia="Arial" w:hAnsi="Arial"/>
          <w:sz w:val="22"/>
          <w:szCs w:val="22"/>
          <w:i w:val="1"/>
          <w:iCs w:val="1"/>
          <w:color w:val="auto"/>
        </w:rPr>
        <w:t>et seq</w:t>
      </w:r>
      <w:r>
        <w:rPr>
          <w:rFonts w:ascii="Arial" w:cs="Arial" w:eastAsia="Arial" w:hAnsi="Arial"/>
          <w:sz w:val="22"/>
          <w:szCs w:val="22"/>
          <w:color w:val="auto"/>
        </w:rPr>
        <w:t>.), as amended from time to time, and any successor statute.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9.15</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means a certificate substantially in the form of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annexed hereto.</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Depreciation and Amortization Expense</w:t>
      </w:r>
      <w:r>
        <w:rPr>
          <w:rFonts w:ascii="Arial" w:cs="Arial" w:eastAsia="Arial" w:hAnsi="Arial"/>
          <w:sz w:val="19"/>
          <w:szCs w:val="19"/>
          <w:color w:val="auto"/>
        </w:rPr>
        <w:t>” means, with respect to any Person for any period, the total amount of depreciation and amortization expense, including amortization or write-off of (i) intangibles and non-cash organization costs, (ii) deferred financing fees or costs and (iii) Capitalized Software Expenditures or costs, capitalized expenditures, customer acquisition costs and incentive payments, conversion costs and contract acquisition costs, the amortization of original issue discount resulting from the issuance of Indebtedness at less than par and amortization of favorable or unfavorable lease assets or liabilities, of such Person and its Restricted Subsidiaries for such period on a consolidated basis and otherwise determined in accordance with GAAP and any write-down of assets or asset value carried on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1" w:right="339" w:bottom="1440" w:gutter="0" w:footer="0" w:header="0"/>
        </w:sectPr>
      </w:pPr>
    </w:p>
    <w:bookmarkStart w:id="304" w:name="page305"/>
    <w:bookmarkEnd w:id="304"/>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of any Person for any period means the Consolidated Net Income of such Person for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such period:</w:t>
      </w:r>
    </w:p>
    <w:p>
      <w:pPr>
        <w:spacing w:after="0" w:line="161" w:lineRule="exact"/>
        <w:rPr>
          <w:sz w:val="20"/>
          <w:szCs w:val="20"/>
          <w:color w:val="auto"/>
        </w:rPr>
      </w:pPr>
    </w:p>
    <w:p>
      <w:pPr>
        <w:ind w:left="1120" w:hanging="464"/>
        <w:spacing w:after="0"/>
        <w:tabs>
          <w:tab w:leader="none" w:pos="112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increased (without duplication) by:</w:t>
      </w:r>
    </w:p>
    <w:p>
      <w:pPr>
        <w:spacing w:after="0" w:line="179" w:lineRule="exact"/>
        <w:rPr>
          <w:rFonts w:ascii="Arial" w:cs="Arial" w:eastAsia="Arial" w:hAnsi="Arial"/>
          <w:sz w:val="22"/>
          <w:szCs w:val="22"/>
          <w:color w:val="auto"/>
        </w:rPr>
      </w:pPr>
    </w:p>
    <w:p>
      <w:pPr>
        <w:ind w:left="1960" w:hanging="656"/>
        <w:spacing w:after="0" w:line="257" w:lineRule="auto"/>
        <w:tabs>
          <w:tab w:leader="none" w:pos="1866" w:val="left"/>
        </w:tabs>
        <w:numPr>
          <w:ilvl w:val="1"/>
          <w:numId w:val="325"/>
        </w:numPr>
        <w:rPr>
          <w:rFonts w:ascii="Arial" w:cs="Arial" w:eastAsia="Arial" w:hAnsi="Arial"/>
          <w:sz w:val="19"/>
          <w:szCs w:val="19"/>
          <w:color w:val="auto"/>
        </w:rPr>
      </w:pPr>
      <w:r>
        <w:rPr>
          <w:rFonts w:ascii="Arial" w:cs="Arial" w:eastAsia="Arial" w:hAnsi="Arial"/>
          <w:sz w:val="19"/>
          <w:szCs w:val="19"/>
          <w:color w:val="auto"/>
        </w:rPr>
        <w:t xml:space="preserve">provision for taxes based on income, profits or capital, including federal, state, provincial, local, foreign, franchise and similar taxes and foreign withholding and similar taxes, in each case, imposed on income, profits or capital (including any penalties and interest) of such Person paid or accrued during such period, to the extent the same were deducted (and not added back) in computing Consolidated Net Income; </w:t>
      </w:r>
      <w:r>
        <w:rPr>
          <w:rFonts w:ascii="Arial" w:cs="Arial" w:eastAsia="Arial" w:hAnsi="Arial"/>
          <w:sz w:val="19"/>
          <w:szCs w:val="19"/>
          <w:i w:val="1"/>
          <w:iCs w:val="1"/>
          <w:color w:val="auto"/>
        </w:rPr>
        <w:t>plus</w:t>
      </w:r>
    </w:p>
    <w:p>
      <w:pPr>
        <w:spacing w:after="0" w:line="144" w:lineRule="exact"/>
        <w:rPr>
          <w:rFonts w:ascii="Arial" w:cs="Arial" w:eastAsia="Arial" w:hAnsi="Arial"/>
          <w:sz w:val="19"/>
          <w:szCs w:val="19"/>
          <w:color w:val="auto"/>
        </w:rPr>
      </w:pPr>
    </w:p>
    <w:p>
      <w:pPr>
        <w:ind w:left="1960" w:hanging="656"/>
        <w:spacing w:after="0" w:line="218" w:lineRule="auto"/>
        <w:tabs>
          <w:tab w:leader="none" w:pos="1823" w:val="left"/>
        </w:tabs>
        <w:numPr>
          <w:ilvl w:val="1"/>
          <w:numId w:val="325"/>
        </w:numPr>
        <w:rPr>
          <w:rFonts w:ascii="Arial" w:cs="Arial" w:eastAsia="Arial" w:hAnsi="Arial"/>
          <w:sz w:val="22"/>
          <w:szCs w:val="22"/>
          <w:color w:val="auto"/>
        </w:rPr>
      </w:pPr>
      <w:r>
        <w:rPr>
          <w:rFonts w:ascii="Arial" w:cs="Arial" w:eastAsia="Arial" w:hAnsi="Arial"/>
          <w:sz w:val="22"/>
          <w:szCs w:val="22"/>
          <w:color w:val="auto"/>
        </w:rPr>
        <w:t xml:space="preserve">total interest expense of such Person for such period (including (x) net losses on Swap Obligations or other derivative instruments entered into for the purpose of hedging interest rate risk and (y) costs of surety bonds in connection with financing activities), to the extent the same were deducted (and not added back) in calculating Consolidated Net Income; </w:t>
      </w:r>
      <w:r>
        <w:rPr>
          <w:rFonts w:ascii="Arial" w:cs="Arial" w:eastAsia="Arial" w:hAnsi="Arial"/>
          <w:sz w:val="22"/>
          <w:szCs w:val="22"/>
          <w:i w:val="1"/>
          <w:iCs w:val="1"/>
          <w:color w:val="auto"/>
        </w:rPr>
        <w:t>plus</w:t>
      </w:r>
    </w:p>
    <w:p>
      <w:pPr>
        <w:spacing w:after="0" w:line="160" w:lineRule="exact"/>
        <w:rPr>
          <w:rFonts w:ascii="Arial" w:cs="Arial" w:eastAsia="Arial" w:hAnsi="Arial"/>
          <w:sz w:val="22"/>
          <w:szCs w:val="22"/>
          <w:color w:val="auto"/>
        </w:rPr>
      </w:pPr>
    </w:p>
    <w:p>
      <w:pPr>
        <w:ind w:left="1960" w:hanging="656"/>
        <w:spacing w:after="0" w:line="247" w:lineRule="auto"/>
        <w:tabs>
          <w:tab w:leader="none" w:pos="1810" w:val="left"/>
        </w:tabs>
        <w:numPr>
          <w:ilvl w:val="1"/>
          <w:numId w:val="325"/>
        </w:numPr>
        <w:rPr>
          <w:rFonts w:ascii="Arial" w:cs="Arial" w:eastAsia="Arial" w:hAnsi="Arial"/>
          <w:sz w:val="21"/>
          <w:szCs w:val="21"/>
          <w:color w:val="auto"/>
        </w:rPr>
      </w:pPr>
      <w:r>
        <w:rPr>
          <w:rFonts w:ascii="Arial" w:cs="Arial" w:eastAsia="Arial" w:hAnsi="Arial"/>
          <w:sz w:val="21"/>
          <w:szCs w:val="21"/>
          <w:color w:val="auto"/>
        </w:rPr>
        <w:t xml:space="preserve">Consolidated Depreciation and Amortization Expense of such Person for such period to the extent the same were deducted (and not added back) in computing Consolidated Net Income; </w:t>
      </w:r>
      <w:r>
        <w:rPr>
          <w:rFonts w:ascii="Arial" w:cs="Arial" w:eastAsia="Arial" w:hAnsi="Arial"/>
          <w:sz w:val="21"/>
          <w:szCs w:val="21"/>
          <w:i w:val="1"/>
          <w:iCs w:val="1"/>
          <w:color w:val="auto"/>
        </w:rPr>
        <w:t>plus</w:t>
      </w:r>
    </w:p>
    <w:p>
      <w:pPr>
        <w:spacing w:after="0" w:line="150" w:lineRule="exact"/>
        <w:rPr>
          <w:rFonts w:ascii="Arial" w:cs="Arial" w:eastAsia="Arial" w:hAnsi="Arial"/>
          <w:sz w:val="21"/>
          <w:szCs w:val="21"/>
          <w:color w:val="auto"/>
        </w:rPr>
      </w:pPr>
    </w:p>
    <w:p>
      <w:pPr>
        <w:ind w:left="1780" w:hanging="476"/>
        <w:spacing w:after="0"/>
        <w:tabs>
          <w:tab w:leader="none" w:pos="1780" w:val="left"/>
        </w:tabs>
        <w:numPr>
          <w:ilvl w:val="1"/>
          <w:numId w:val="325"/>
        </w:numPr>
        <w:rPr>
          <w:rFonts w:ascii="Arial" w:cs="Arial" w:eastAsia="Arial" w:hAnsi="Arial"/>
          <w:sz w:val="22"/>
          <w:szCs w:val="22"/>
          <w:color w:val="auto"/>
        </w:rPr>
      </w:pPr>
      <w:r>
        <w:rPr>
          <w:rFonts w:ascii="Arial" w:cs="Arial" w:eastAsia="Arial" w:hAnsi="Arial"/>
          <w:sz w:val="22"/>
          <w:szCs w:val="22"/>
          <w:color w:val="auto"/>
        </w:rPr>
        <w:t xml:space="preserve">[reserved]; </w:t>
      </w:r>
      <w:r>
        <w:rPr>
          <w:rFonts w:ascii="Arial" w:cs="Arial" w:eastAsia="Arial" w:hAnsi="Arial"/>
          <w:sz w:val="22"/>
          <w:szCs w:val="22"/>
          <w:i w:val="1"/>
          <w:iCs w:val="1"/>
          <w:color w:val="auto"/>
        </w:rPr>
        <w:t>plus</w:t>
      </w:r>
    </w:p>
    <w:p>
      <w:pPr>
        <w:spacing w:after="0" w:line="179" w:lineRule="exact"/>
        <w:rPr>
          <w:rFonts w:ascii="Arial" w:cs="Arial" w:eastAsia="Arial" w:hAnsi="Arial"/>
          <w:sz w:val="22"/>
          <w:szCs w:val="22"/>
          <w:color w:val="auto"/>
        </w:rPr>
      </w:pPr>
    </w:p>
    <w:p>
      <w:pPr>
        <w:jc w:val="right"/>
        <w:ind w:left="1960" w:hanging="656"/>
        <w:spacing w:after="0" w:line="238" w:lineRule="auto"/>
        <w:tabs>
          <w:tab w:leader="none" w:pos="1851" w:val="left"/>
        </w:tabs>
        <w:numPr>
          <w:ilvl w:val="1"/>
          <w:numId w:val="325"/>
        </w:numPr>
        <w:rPr>
          <w:rFonts w:ascii="Arial" w:cs="Arial" w:eastAsia="Arial" w:hAnsi="Arial"/>
          <w:sz w:val="19"/>
          <w:szCs w:val="19"/>
          <w:color w:val="auto"/>
        </w:rPr>
      </w:pPr>
      <w:r>
        <w:rPr>
          <w:rFonts w:ascii="Arial" w:cs="Arial" w:eastAsia="Arial" w:hAnsi="Arial"/>
          <w:sz w:val="19"/>
          <w:szCs w:val="19"/>
          <w:color w:val="auto"/>
        </w:rPr>
        <w:t>(x) (A) fees, costs, expenses, accruals, reserves or charges relating to restructuring, integration, transition, facilities opening and pre-opening or other business optimization (including charges related to the undertaking and/or implementation of cost-savings initiatives, operating expense reductions, and other similar initiatives), that are deducted (and not added back) in such period in computing Consolidated Net Income, including those related to severance, reserve, retention, signing bonuses, relocation, recruiting and other employee-related costs, future lease commitments, curtailments, one-time costs related to entry into new markets, investments in new products, consulting and other professional fees, signing costs, relocation expenses, modifications to or losses on settlement of pension and post-retirement employee benefit plans, new systems design and implementation costs, costs related to the creation of a new customer platform (including internal labor costs) and costs of migrating customers to such platform, project startup costs, and costs of and payments of legal settlements, fines, judgments or orders, costs related to the opening and closure and/or consolidation of facilities, and costs related to the implementation of operational and reporting systems and technology initiatives or in connection with becoming a standalone company and</w:t>
      </w:r>
    </w:p>
    <w:p>
      <w:pPr>
        <w:spacing w:after="0" w:line="9" w:lineRule="exact"/>
        <w:rPr>
          <w:rFonts w:ascii="Arial" w:cs="Arial" w:eastAsia="Arial" w:hAnsi="Arial"/>
          <w:sz w:val="19"/>
          <w:szCs w:val="19"/>
          <w:color w:val="auto"/>
        </w:rPr>
      </w:pPr>
    </w:p>
    <w:p>
      <w:pPr>
        <w:jc w:val="both"/>
        <w:ind w:left="1960"/>
        <w:spacing w:after="0" w:line="220" w:lineRule="auto"/>
        <w:rPr>
          <w:rFonts w:ascii="Arial" w:cs="Arial" w:eastAsia="Arial" w:hAnsi="Arial"/>
          <w:sz w:val="19"/>
          <w:szCs w:val="19"/>
          <w:color w:val="auto"/>
        </w:rPr>
      </w:pPr>
      <w:r>
        <w:rPr>
          <w:rFonts w:ascii="Arial" w:cs="Arial" w:eastAsia="Arial" w:hAnsi="Arial"/>
          <w:sz w:val="21"/>
          <w:szCs w:val="21"/>
          <w:color w:val="auto"/>
        </w:rPr>
        <w:t xml:space="preserve">(B) the amount of any one-time restructuring charge or reserve including, without limitation, in connection with (i) acquisitions after the Closing Date and (ii) consolidation or closing of facilities and (y) any other fees, costs, expenses, reserves or charges to the extent supported by a quality of earnings report provided to the Administrative Agent and prepared by financial advisors that are reasonably acceptable to the Administrative Agent (it being understood and agreed that any of the “Big Four” accounting firms and Alvarez and Marsal are acceptable to the Administrative Agent), that are deducted (and not added back) in such period in computing Consolidated Net Income; </w:t>
      </w:r>
      <w:r>
        <w:rPr>
          <w:rFonts w:ascii="Arial" w:cs="Arial" w:eastAsia="Arial" w:hAnsi="Arial"/>
          <w:sz w:val="21"/>
          <w:szCs w:val="21"/>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05" w:name="page306"/>
    <w:bookmarkEnd w:id="305"/>
    <w:p>
      <w:pPr>
        <w:ind w:left="1960" w:hanging="656"/>
        <w:spacing w:after="0" w:line="242" w:lineRule="auto"/>
        <w:tabs>
          <w:tab w:leader="none" w:pos="1819" w:val="left"/>
        </w:tabs>
        <w:numPr>
          <w:ilvl w:val="0"/>
          <w:numId w:val="326"/>
        </w:numPr>
        <w:rPr>
          <w:rFonts w:ascii="Arial" w:cs="Arial" w:eastAsia="Arial" w:hAnsi="Arial"/>
          <w:sz w:val="19"/>
          <w:szCs w:val="19"/>
          <w:color w:val="auto"/>
        </w:rPr>
      </w:pPr>
      <w:r>
        <w:rPr>
          <w:rFonts w:ascii="Arial" w:cs="Arial" w:eastAsia="Arial" w:hAnsi="Arial"/>
          <w:sz w:val="19"/>
          <w:szCs w:val="19"/>
          <w:color w:val="auto"/>
        </w:rPr>
        <w:t xml:space="preserve">any other non-cash charges, write-downs, expenses, losses or items reducing Consolidated Net Income for such period, including (A) non-cash restructuring charges or non-cash reserves in connection with the Transactions, any Permitted Acquisition or other permitted Investment consummated after the Closing Date, (B) all non-cash losses (minus any non-cash gains) from Dispositions (including, without limitation, asset retirement costs), (C) non-cash charges attributable to any post-employment benefits offered to former employees, (D) non-cash asset impairments (including from the revaluation of inventory (including any impact of changes to inventory valuation policy methods including changes in capitalization of variances) or other inventory adjustments) and (E) non-cash losses (minus any non-cash gains) with respect to swaps, hedges and other similar agreements and derivative instruments;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non-cash charges represent an accrual or reserve for potential cash items in any future period, (A) such Person may elect not to add back such non-cash charge in the current period and (B) to the extent such Person elects to add back such non-cash charges in the current period, the cash payment in respect thereof in such future period shall be subtracted from Consolidated EBITDA to such extent); </w:t>
      </w:r>
      <w:r>
        <w:rPr>
          <w:rFonts w:ascii="Arial" w:cs="Arial" w:eastAsia="Arial" w:hAnsi="Arial"/>
          <w:sz w:val="19"/>
          <w:szCs w:val="19"/>
          <w:i w:val="1"/>
          <w:iCs w:val="1"/>
          <w:color w:val="auto"/>
        </w:rPr>
        <w:t>plus</w:t>
      </w:r>
    </w:p>
    <w:p>
      <w:pPr>
        <w:spacing w:after="0" w:line="160" w:lineRule="exact"/>
        <w:rPr>
          <w:rFonts w:ascii="Arial" w:cs="Arial" w:eastAsia="Arial" w:hAnsi="Arial"/>
          <w:sz w:val="19"/>
          <w:szCs w:val="19"/>
          <w:color w:val="auto"/>
        </w:rPr>
      </w:pPr>
    </w:p>
    <w:p>
      <w:pPr>
        <w:jc w:val="both"/>
        <w:ind w:left="1960" w:hanging="656"/>
        <w:spacing w:after="0"/>
        <w:tabs>
          <w:tab w:leader="none" w:pos="1909" w:val="left"/>
        </w:tabs>
        <w:numPr>
          <w:ilvl w:val="0"/>
          <w:numId w:val="326"/>
        </w:numPr>
        <w:rPr>
          <w:rFonts w:ascii="Arial" w:cs="Arial" w:eastAsia="Arial" w:hAnsi="Arial"/>
          <w:sz w:val="19"/>
          <w:szCs w:val="19"/>
          <w:color w:val="auto"/>
        </w:rPr>
      </w:pPr>
      <w:r>
        <w:rPr>
          <w:rFonts w:ascii="Arial" w:cs="Arial" w:eastAsia="Arial" w:hAnsi="Arial"/>
          <w:sz w:val="19"/>
          <w:szCs w:val="19"/>
          <w:color w:val="auto"/>
        </w:rPr>
        <w:t>the amount of “run rate” cost savings, operating expense reductions, other operating improvements and initiatives and synergies (A) (i) projected by the Borrower in good faith to result from actions taken, or with respect to which substantial steps are reasonably expected to have been taken, within twenty-four (24) months after, without duplication, the end of the Test Period in which the applicable Subject Transaction is initiated or a plan for realization thereof shall have been established, (ii) supported by a quality of earnings report provided to the Administrative Agent and prepared by financial advisors that are reasonably acceptable to the Administrative Agent (it being understood and agreed that any of the “Big Four” accounting firms and Alvarez and Marsal are acceptable to the Administrative Agent) or (iii) determined on a basis consistent with Article 11 of Regulation S-X promulgated under the Exchange Act and as interpreted by the staff of the Securities and Exchange Commission (or any successor agency), and (B) related to (i) the Transactions and (ii) after the Closing Date, permitted asset sales, mergers or other business combinations, acquisitions, investments, dispositions or divestitures, operating improvements, restructurings, cost-saving initiatives, actions or events and certain other similar initiatives and specified transactions (collectively, the “</w:t>
      </w:r>
      <w:r>
        <w:rPr>
          <w:rFonts w:ascii="Arial" w:cs="Arial" w:eastAsia="Arial" w:hAnsi="Arial"/>
          <w:sz w:val="19"/>
          <w:szCs w:val="19"/>
          <w:u w:val="single" w:color="auto"/>
          <w:color w:val="auto"/>
        </w:rPr>
        <w:t>Subject Transactions</w:t>
      </w:r>
      <w:r>
        <w:rPr>
          <w:rFonts w:ascii="Arial" w:cs="Arial" w:eastAsia="Arial" w:hAnsi="Arial"/>
          <w:sz w:val="19"/>
          <w:szCs w:val="19"/>
          <w:color w:val="auto"/>
        </w:rPr>
        <w:t xml:space="preserve">”), in each case, which will be added to Consolidated EBITDA as so projected or determined until fully realized and calculated on a Pro Forma Basis as though such cost savings, operating expense reductions, other operating improvements and initiatives and synergies had been realized on the first day of such period and will be net of the amount of actual benefits realized during such period from such actions; </w:t>
      </w:r>
      <w:r>
        <w:rPr>
          <w:rFonts w:ascii="Arial" w:cs="Arial" w:eastAsia="Arial" w:hAnsi="Arial"/>
          <w:sz w:val="19"/>
          <w:szCs w:val="19"/>
          <w:i w:val="1"/>
          <w:iCs w:val="1"/>
          <w:color w:val="auto"/>
        </w:rPr>
        <w:t>plus</w:t>
      </w:r>
    </w:p>
    <w:p>
      <w:pPr>
        <w:spacing w:after="0" w:line="171" w:lineRule="exact"/>
        <w:rPr>
          <w:rFonts w:ascii="Arial" w:cs="Arial" w:eastAsia="Arial" w:hAnsi="Arial"/>
          <w:sz w:val="19"/>
          <w:szCs w:val="19"/>
          <w:color w:val="auto"/>
        </w:rPr>
      </w:pPr>
    </w:p>
    <w:p>
      <w:pPr>
        <w:ind w:left="1960" w:hanging="656"/>
        <w:spacing w:after="0" w:line="232" w:lineRule="auto"/>
        <w:tabs>
          <w:tab w:leader="none" w:pos="2005" w:val="left"/>
        </w:tabs>
        <w:numPr>
          <w:ilvl w:val="0"/>
          <w:numId w:val="326"/>
        </w:numPr>
        <w:rPr>
          <w:rFonts w:ascii="Arial" w:cs="Arial" w:eastAsia="Arial" w:hAnsi="Arial"/>
          <w:sz w:val="22"/>
          <w:szCs w:val="22"/>
          <w:color w:val="auto"/>
        </w:rPr>
      </w:pPr>
      <w:r>
        <w:rPr>
          <w:rFonts w:ascii="Arial" w:cs="Arial" w:eastAsia="Arial" w:hAnsi="Arial"/>
          <w:sz w:val="22"/>
          <w:szCs w:val="22"/>
          <w:color w:val="auto"/>
        </w:rPr>
        <w:t xml:space="preserve">add-backs for fees, costs and expenses related to an IPO or other exit transaction (whether or not consummated);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ind w:left="1960" w:hanging="656"/>
        <w:spacing w:after="0" w:line="232" w:lineRule="auto"/>
        <w:tabs>
          <w:tab w:leader="none" w:pos="1802" w:val="left"/>
        </w:tabs>
        <w:numPr>
          <w:ilvl w:val="0"/>
          <w:numId w:val="326"/>
        </w:numPr>
        <w:rPr>
          <w:rFonts w:ascii="Arial" w:cs="Arial" w:eastAsia="Arial" w:hAnsi="Arial"/>
          <w:sz w:val="22"/>
          <w:szCs w:val="22"/>
          <w:color w:val="auto"/>
        </w:rPr>
      </w:pPr>
      <w:r>
        <w:rPr>
          <w:rFonts w:ascii="Arial" w:cs="Arial" w:eastAsia="Arial" w:hAnsi="Arial"/>
          <w:sz w:val="22"/>
          <w:szCs w:val="22"/>
          <w:color w:val="auto"/>
        </w:rPr>
        <w:t xml:space="preserve">add-backs and adjustments reflected in the Projections and quality of earnings report delivered to the Joint Lead Arrangers on July 24, 2018 or July 27, 2018, as applicable; </w:t>
      </w:r>
      <w:r>
        <w:rPr>
          <w:rFonts w:ascii="Arial" w:cs="Arial" w:eastAsia="Arial" w:hAnsi="Arial"/>
          <w:sz w:val="22"/>
          <w:szCs w:val="22"/>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06" w:name="page307"/>
    <w:bookmarkEnd w:id="306"/>
    <w:p>
      <w:pPr>
        <w:jc w:val="both"/>
        <w:ind w:left="1960" w:hanging="656"/>
        <w:spacing w:after="0" w:line="218" w:lineRule="auto"/>
        <w:tabs>
          <w:tab w:leader="none" w:pos="1976" w:val="left"/>
        </w:tabs>
        <w:numPr>
          <w:ilvl w:val="1"/>
          <w:numId w:val="327"/>
        </w:numPr>
        <w:rPr>
          <w:rFonts w:ascii="Arial" w:cs="Arial" w:eastAsia="Arial" w:hAnsi="Arial"/>
          <w:sz w:val="22"/>
          <w:szCs w:val="22"/>
          <w:color w:val="auto"/>
        </w:rPr>
      </w:pPr>
      <w:r>
        <w:rPr>
          <w:rFonts w:ascii="Arial" w:cs="Arial" w:eastAsia="Arial" w:hAnsi="Arial"/>
          <w:sz w:val="22"/>
          <w:szCs w:val="22"/>
          <w:color w:val="auto"/>
        </w:rPr>
        <w:t xml:space="preserve">cash receipts (or any netting arrangements resulting in reduced cash expenditures) not representing Consolidated EBITDA or Consolidated Net Income in any period to the extent non-cash gains relating to such income were deducted in the calculation of Consolidated EBITDA pursuant to </w:t>
      </w:r>
      <w:r>
        <w:rPr>
          <w:rFonts w:ascii="Arial" w:cs="Arial" w:eastAsia="Arial" w:hAnsi="Arial"/>
          <w:sz w:val="22"/>
          <w:szCs w:val="22"/>
          <w:u w:val="single" w:color="auto"/>
          <w:color w:val="auto"/>
        </w:rPr>
        <w:t>clause (2)</w:t>
      </w:r>
      <w:r>
        <w:rPr>
          <w:rFonts w:ascii="Arial" w:cs="Arial" w:eastAsia="Arial" w:hAnsi="Arial"/>
          <w:sz w:val="22"/>
          <w:szCs w:val="22"/>
          <w:color w:val="auto"/>
        </w:rPr>
        <w:t xml:space="preserve"> below for any previous period and not added back; </w:t>
      </w:r>
      <w:r>
        <w:rPr>
          <w:rFonts w:ascii="Arial" w:cs="Arial" w:eastAsia="Arial" w:hAnsi="Arial"/>
          <w:sz w:val="22"/>
          <w:szCs w:val="22"/>
          <w:i w:val="1"/>
          <w:iCs w:val="1"/>
          <w:color w:val="auto"/>
        </w:rPr>
        <w:t>plus</w:t>
      </w:r>
    </w:p>
    <w:p>
      <w:pPr>
        <w:spacing w:after="0" w:line="160" w:lineRule="exact"/>
        <w:rPr>
          <w:rFonts w:ascii="Arial" w:cs="Arial" w:eastAsia="Arial" w:hAnsi="Arial"/>
          <w:sz w:val="22"/>
          <w:szCs w:val="22"/>
          <w:color w:val="auto"/>
        </w:rPr>
      </w:pPr>
    </w:p>
    <w:p>
      <w:pPr>
        <w:ind w:left="1960" w:hanging="656"/>
        <w:spacing w:after="0" w:line="232" w:lineRule="auto"/>
        <w:tabs>
          <w:tab w:leader="none" w:pos="1898" w:val="left"/>
        </w:tabs>
        <w:numPr>
          <w:ilvl w:val="1"/>
          <w:numId w:val="327"/>
        </w:numPr>
        <w:rPr>
          <w:rFonts w:ascii="Arial" w:cs="Arial" w:eastAsia="Arial" w:hAnsi="Arial"/>
          <w:sz w:val="22"/>
          <w:szCs w:val="22"/>
          <w:color w:val="auto"/>
        </w:rPr>
      </w:pPr>
      <w:r>
        <w:rPr>
          <w:rFonts w:ascii="Arial" w:cs="Arial" w:eastAsia="Arial" w:hAnsi="Arial"/>
          <w:sz w:val="22"/>
          <w:szCs w:val="22"/>
          <w:color w:val="auto"/>
        </w:rPr>
        <w:t xml:space="preserve">accrued or paid Permitted Investor Payments deducted in calculating Consolidated Net Income (and not added back in such period to Consolidated Net Income);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jc w:val="both"/>
        <w:ind w:left="1960" w:hanging="656"/>
        <w:spacing w:after="0" w:line="234" w:lineRule="auto"/>
        <w:tabs>
          <w:tab w:leader="none" w:pos="1898" w:val="left"/>
        </w:tabs>
        <w:numPr>
          <w:ilvl w:val="1"/>
          <w:numId w:val="327"/>
        </w:numPr>
        <w:rPr>
          <w:rFonts w:ascii="Arial" w:cs="Arial" w:eastAsia="Arial" w:hAnsi="Arial"/>
          <w:sz w:val="21"/>
          <w:szCs w:val="21"/>
          <w:color w:val="auto"/>
        </w:rPr>
      </w:pPr>
      <w:r>
        <w:rPr>
          <w:rFonts w:ascii="Arial" w:cs="Arial" w:eastAsia="Arial" w:hAnsi="Arial"/>
          <w:sz w:val="21"/>
          <w:szCs w:val="21"/>
          <w:color w:val="auto"/>
        </w:rPr>
        <w:t xml:space="preserve">to the extent deducted in calculating Consolidated Net Income (and not added back in such period to Consolidated Net Income), the amount of loss on any sale of Securitization Assets and related assets to a Securitization Subsidiary in connection with a Qualified Securitization Financing; </w:t>
      </w:r>
      <w:r>
        <w:rPr>
          <w:rFonts w:ascii="Arial" w:cs="Arial" w:eastAsia="Arial" w:hAnsi="Arial"/>
          <w:sz w:val="21"/>
          <w:szCs w:val="21"/>
          <w:i w:val="1"/>
          <w:iCs w:val="1"/>
          <w:color w:val="auto"/>
        </w:rPr>
        <w:t>plus</w:t>
      </w:r>
    </w:p>
    <w:p>
      <w:pPr>
        <w:spacing w:after="0" w:line="157" w:lineRule="exact"/>
        <w:rPr>
          <w:rFonts w:ascii="Arial" w:cs="Arial" w:eastAsia="Arial" w:hAnsi="Arial"/>
          <w:sz w:val="21"/>
          <w:szCs w:val="21"/>
          <w:color w:val="auto"/>
        </w:rPr>
      </w:pPr>
    </w:p>
    <w:p>
      <w:pPr>
        <w:jc w:val="both"/>
        <w:ind w:left="1960" w:hanging="656"/>
        <w:spacing w:after="0" w:line="218" w:lineRule="auto"/>
        <w:tabs>
          <w:tab w:leader="none" w:pos="1984" w:val="left"/>
        </w:tabs>
        <w:numPr>
          <w:ilvl w:val="1"/>
          <w:numId w:val="327"/>
        </w:numPr>
        <w:rPr>
          <w:rFonts w:ascii="Arial" w:cs="Arial" w:eastAsia="Arial" w:hAnsi="Arial"/>
          <w:sz w:val="22"/>
          <w:szCs w:val="22"/>
          <w:color w:val="auto"/>
        </w:rPr>
      </w:pPr>
      <w:r>
        <w:rPr>
          <w:rFonts w:ascii="Arial" w:cs="Arial" w:eastAsia="Arial" w:hAnsi="Arial"/>
          <w:sz w:val="22"/>
          <w:szCs w:val="22"/>
          <w:color w:val="auto"/>
        </w:rPr>
        <w:t xml:space="preserve">to the extent deducted in calculating Consolidated Net Income (and not added back in such period to Consolidated Net Income), Restricted Payments to employees or officers permitted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6.06</w:t>
      </w:r>
      <w:r>
        <w:rPr>
          <w:rFonts w:ascii="Arial" w:cs="Arial" w:eastAsia="Arial" w:hAnsi="Arial"/>
          <w:sz w:val="22"/>
          <w:szCs w:val="22"/>
          <w:color w:val="auto"/>
        </w:rPr>
        <w:t>, solely to the extent not made in lieu of, or as a substitution for, ordinary salary or ordinary payroll payments;</w:t>
      </w:r>
    </w:p>
    <w:p>
      <w:pPr>
        <w:spacing w:after="0" w:line="160" w:lineRule="exact"/>
        <w:rPr>
          <w:rFonts w:ascii="Arial" w:cs="Arial" w:eastAsia="Arial" w:hAnsi="Arial"/>
          <w:sz w:val="22"/>
          <w:szCs w:val="22"/>
          <w:color w:val="auto"/>
        </w:rPr>
      </w:pPr>
    </w:p>
    <w:p>
      <w:pPr>
        <w:ind w:left="1120" w:hanging="464"/>
        <w:spacing w:after="0"/>
        <w:tabs>
          <w:tab w:leader="none" w:pos="1120" w:val="left"/>
        </w:tabs>
        <w:numPr>
          <w:ilvl w:val="0"/>
          <w:numId w:val="328"/>
        </w:numPr>
        <w:rPr>
          <w:rFonts w:ascii="Arial" w:cs="Arial" w:eastAsia="Arial" w:hAnsi="Arial"/>
          <w:sz w:val="22"/>
          <w:szCs w:val="22"/>
          <w:color w:val="auto"/>
        </w:rPr>
      </w:pPr>
      <w:r>
        <w:rPr>
          <w:rFonts w:ascii="Arial" w:cs="Arial" w:eastAsia="Arial" w:hAnsi="Arial"/>
          <w:sz w:val="22"/>
          <w:szCs w:val="22"/>
          <w:color w:val="auto"/>
        </w:rPr>
        <w:t>decreased (without duplication) by:</w:t>
      </w:r>
    </w:p>
    <w:p>
      <w:pPr>
        <w:spacing w:after="0" w:line="179" w:lineRule="exact"/>
        <w:rPr>
          <w:rFonts w:ascii="Arial" w:cs="Arial" w:eastAsia="Arial" w:hAnsi="Arial"/>
          <w:sz w:val="22"/>
          <w:szCs w:val="22"/>
          <w:color w:val="auto"/>
        </w:rPr>
      </w:pPr>
    </w:p>
    <w:p>
      <w:pPr>
        <w:ind w:left="1960" w:hanging="656"/>
        <w:spacing w:after="0" w:line="257" w:lineRule="auto"/>
        <w:tabs>
          <w:tab w:leader="none" w:pos="1799" w:val="left"/>
        </w:tabs>
        <w:numPr>
          <w:ilvl w:val="1"/>
          <w:numId w:val="328"/>
        </w:numPr>
        <w:rPr>
          <w:rFonts w:ascii="Arial" w:cs="Arial" w:eastAsia="Arial" w:hAnsi="Arial"/>
          <w:sz w:val="19"/>
          <w:szCs w:val="19"/>
          <w:color w:val="auto"/>
        </w:rPr>
      </w:pPr>
      <w:r>
        <w:rPr>
          <w:rFonts w:ascii="Arial" w:cs="Arial" w:eastAsia="Arial" w:hAnsi="Arial"/>
          <w:sz w:val="19"/>
          <w:szCs w:val="19"/>
          <w:color w:val="auto"/>
        </w:rPr>
        <w:t xml:space="preserve">non-cash gains increasing Consolidated Net Income of such Person for such period, excluding any non-cash gains to the extent they represent the reversal of an accrual or reserve for a potential cash item that reduced Consolidated EBITDA in any prior period and any non-cash gains with respect to cash actually received in a prior period so long as such cash did not increase Consolidated EBITDA in such prior period; </w:t>
      </w:r>
      <w:r>
        <w:rPr>
          <w:rFonts w:ascii="Arial" w:cs="Arial" w:eastAsia="Arial" w:hAnsi="Arial"/>
          <w:sz w:val="19"/>
          <w:szCs w:val="19"/>
          <w:i w:val="1"/>
          <w:iCs w:val="1"/>
          <w:color w:val="auto"/>
        </w:rPr>
        <w:t>plus</w:t>
      </w:r>
    </w:p>
    <w:p>
      <w:pPr>
        <w:spacing w:after="0" w:line="144" w:lineRule="exact"/>
        <w:rPr>
          <w:rFonts w:ascii="Arial" w:cs="Arial" w:eastAsia="Arial" w:hAnsi="Arial"/>
          <w:sz w:val="19"/>
          <w:szCs w:val="19"/>
          <w:color w:val="auto"/>
        </w:rPr>
      </w:pPr>
    </w:p>
    <w:p>
      <w:pPr>
        <w:ind w:left="1960" w:hanging="656"/>
        <w:spacing w:after="0" w:line="232" w:lineRule="auto"/>
        <w:tabs>
          <w:tab w:leader="none" w:pos="2051" w:val="left"/>
        </w:tabs>
        <w:numPr>
          <w:ilvl w:val="1"/>
          <w:numId w:val="328"/>
        </w:numPr>
        <w:rPr>
          <w:rFonts w:ascii="Arial" w:cs="Arial" w:eastAsia="Arial" w:hAnsi="Arial"/>
          <w:sz w:val="22"/>
          <w:szCs w:val="22"/>
          <w:color w:val="auto"/>
        </w:rPr>
      </w:pPr>
      <w:r>
        <w:rPr>
          <w:rFonts w:ascii="Arial" w:cs="Arial" w:eastAsia="Arial" w:hAnsi="Arial"/>
          <w:sz w:val="22"/>
          <w:szCs w:val="22"/>
          <w:color w:val="auto"/>
        </w:rPr>
        <w:t xml:space="preserve">any net income included in the consolidated financial statements due to the application of FAS 160 (Accounting Standards Codification Topic 810);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jc w:val="both"/>
        <w:ind w:left="1960" w:hanging="656"/>
        <w:spacing w:after="0" w:line="218" w:lineRule="auto"/>
        <w:tabs>
          <w:tab w:leader="none" w:pos="1904" w:val="left"/>
        </w:tabs>
        <w:numPr>
          <w:ilvl w:val="1"/>
          <w:numId w:val="328"/>
        </w:numPr>
        <w:rPr>
          <w:rFonts w:ascii="Arial" w:cs="Arial" w:eastAsia="Arial" w:hAnsi="Arial"/>
          <w:sz w:val="22"/>
          <w:szCs w:val="22"/>
          <w:color w:val="auto"/>
        </w:rPr>
      </w:pPr>
      <w:r>
        <w:rPr>
          <w:rFonts w:ascii="Arial" w:cs="Arial" w:eastAsia="Arial" w:hAnsi="Arial"/>
          <w:sz w:val="22"/>
          <w:szCs w:val="22"/>
          <w:color w:val="auto"/>
        </w:rPr>
        <w:t xml:space="preserve">all cash payments made during such period to the extent made on account of non-cash reserves and other non-cash charges added back to Consolidated Net Income pursuant to </w:t>
      </w:r>
      <w:r>
        <w:rPr>
          <w:rFonts w:ascii="Arial" w:cs="Arial" w:eastAsia="Arial" w:hAnsi="Arial"/>
          <w:sz w:val="22"/>
          <w:szCs w:val="22"/>
          <w:u w:val="single" w:color="auto"/>
          <w:color w:val="auto"/>
        </w:rPr>
        <w:t>clause (1)(f)</w:t>
      </w:r>
      <w:r>
        <w:rPr>
          <w:rFonts w:ascii="Arial" w:cs="Arial" w:eastAsia="Arial" w:hAnsi="Arial"/>
          <w:sz w:val="22"/>
          <w:szCs w:val="22"/>
          <w:color w:val="auto"/>
        </w:rPr>
        <w:t xml:space="preserve"> above in a previous period (it being understood that this </w:t>
      </w:r>
      <w:r>
        <w:rPr>
          <w:rFonts w:ascii="Arial" w:cs="Arial" w:eastAsia="Arial" w:hAnsi="Arial"/>
          <w:sz w:val="22"/>
          <w:szCs w:val="22"/>
          <w:u w:val="single" w:color="auto"/>
          <w:color w:val="auto"/>
        </w:rPr>
        <w:t>clause (2)(c)</w:t>
      </w:r>
      <w:r>
        <w:rPr>
          <w:rFonts w:ascii="Arial" w:cs="Arial" w:eastAsia="Arial" w:hAnsi="Arial"/>
          <w:sz w:val="22"/>
          <w:szCs w:val="22"/>
          <w:color w:val="auto"/>
        </w:rPr>
        <w:t xml:space="preserve"> shall not be utilized in reversing any non-cash reserve or charge added to Consolidated Net Income);</w:t>
      </w:r>
    </w:p>
    <w:p>
      <w:pPr>
        <w:spacing w:after="0" w:line="160" w:lineRule="exact"/>
        <w:rPr>
          <w:rFonts w:ascii="Arial" w:cs="Arial" w:eastAsia="Arial" w:hAnsi="Arial"/>
          <w:sz w:val="22"/>
          <w:szCs w:val="22"/>
          <w:color w:val="auto"/>
        </w:rPr>
      </w:pPr>
    </w:p>
    <w:p>
      <w:pPr>
        <w:ind w:left="1300" w:hanging="644"/>
        <w:spacing w:after="0" w:line="232" w:lineRule="auto"/>
        <w:tabs>
          <w:tab w:leader="none" w:pos="1314" w:val="left"/>
        </w:tabs>
        <w:numPr>
          <w:ilvl w:val="0"/>
          <w:numId w:val="328"/>
        </w:numPr>
        <w:rPr>
          <w:rFonts w:ascii="Arial" w:cs="Arial" w:eastAsia="Arial" w:hAnsi="Arial"/>
          <w:sz w:val="22"/>
          <w:szCs w:val="22"/>
          <w:color w:val="auto"/>
        </w:rPr>
      </w:pPr>
      <w:r>
        <w:rPr>
          <w:rFonts w:ascii="Arial" w:cs="Arial" w:eastAsia="Arial" w:hAnsi="Arial"/>
          <w:sz w:val="22"/>
          <w:szCs w:val="22"/>
          <w:color w:val="auto"/>
        </w:rPr>
        <w:t>increased or decreased (without duplication) by any adjustments resulting for the application of Accounting Standards Codification Topic 460 or any comparable regulation.</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Notwithstanding the foregoing, for purposes of determining Consolidated EBITDA for any four-fiscal quarter period that includes any of the fiscal quarters ending September 30, 2017, December 31, 2017, March 31, 2018 or June 30, 2018, Consolidated EBITDA for such fiscal quarters shall equal $16,851,000, $19,320,000, $26,833,000 and $33,470,000, respectively (which amounts, for the avoidance of doubt, shall be subject to addbacks and adjustments pursuant to </w:t>
      </w:r>
      <w:r>
        <w:rPr>
          <w:rFonts w:ascii="Arial" w:cs="Arial" w:eastAsia="Arial" w:hAnsi="Arial"/>
          <w:sz w:val="19"/>
          <w:szCs w:val="19"/>
          <w:u w:val="single" w:color="auto"/>
          <w:color w:val="auto"/>
        </w:rPr>
        <w:t>clause (1)(g)</w:t>
      </w:r>
      <w:r>
        <w:rPr>
          <w:rFonts w:ascii="Arial" w:cs="Arial" w:eastAsia="Arial" w:hAnsi="Arial"/>
          <w:sz w:val="19"/>
          <w:szCs w:val="19"/>
          <w:color w:val="auto"/>
        </w:rPr>
        <w:t xml:space="preserve"> above and shall give effect to calculations on a Pro Forma Basis in accordance with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in respect of Specified Transactions (including the cost savings described above or in the definition of “Consolidated Net Income” that in each case may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07" w:name="page308"/>
    <w:bookmarkEnd w:id="307"/>
    <w:p>
      <w:pPr>
        <w:jc w:val="both"/>
        <w:spacing w:after="0" w:line="220" w:lineRule="auto"/>
        <w:rPr>
          <w:sz w:val="20"/>
          <w:szCs w:val="20"/>
          <w:color w:val="auto"/>
        </w:rPr>
      </w:pPr>
      <w:r>
        <w:rPr>
          <w:rFonts w:ascii="Arial" w:cs="Arial" w:eastAsia="Arial" w:hAnsi="Arial"/>
          <w:sz w:val="21"/>
          <w:szCs w:val="21"/>
          <w:color w:val="auto"/>
        </w:rPr>
        <w:t>applicable due to actions taken on or after the Closing Date). For purposes of determining compliance with any financial test or ratio hereunder (including any incurrence test) but not for purposes of calculating Excess Cash Flow, (x) Consolidated EBITDA of any Person, property, business or asset acquired by the Borrower or any Restricted Subsidiary during such period and of any Unrestricted Subsidiary that is converted into a Restricted Subsidiary shall be included in determining Consolidated EBITDA of the Borrower and the Restricted Subsidiaries for any period, (y) Consolidated EBITDA of any Restricted Subsidiary or any operating entity for which historical financial statements are available that is Disposed of during such period or any Restricted Subsidiary that is converted into an Unrestricted Subsidiary during such period shall be excluded in determining Consolidated EBITDA of the Borrower and the Restricted Subsidiaries for any period, and (z) Consolidated EBITDA shall be calculated on a Pro Forma Basis. Unless otherwise provided herein, Consolidated EBITDA shall be calculated with respect to the Borrower and the Restricted Subsidiaries.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means, with respect to any Person for any period, without duplication, the sum</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of:</w:t>
      </w:r>
    </w:p>
    <w:p>
      <w:pPr>
        <w:spacing w:after="0" w:line="161" w:lineRule="exact"/>
        <w:rPr>
          <w:sz w:val="20"/>
          <w:szCs w:val="20"/>
          <w:color w:val="auto"/>
        </w:rPr>
      </w:pPr>
    </w:p>
    <w:p>
      <w:pPr>
        <w:jc w:val="both"/>
        <w:ind w:left="1300" w:hanging="644"/>
        <w:spacing w:after="0" w:line="241" w:lineRule="auto"/>
        <w:tabs>
          <w:tab w:leader="none" w:pos="1242" w:val="left"/>
        </w:tabs>
        <w:numPr>
          <w:ilvl w:val="0"/>
          <w:numId w:val="329"/>
        </w:numPr>
        <w:rPr>
          <w:rFonts w:ascii="Arial" w:cs="Arial" w:eastAsia="Arial" w:hAnsi="Arial"/>
          <w:sz w:val="19"/>
          <w:szCs w:val="19"/>
          <w:color w:val="auto"/>
        </w:rPr>
      </w:pPr>
      <w:r>
        <w:rPr>
          <w:rFonts w:ascii="Arial" w:cs="Arial" w:eastAsia="Arial" w:hAnsi="Arial"/>
          <w:sz w:val="19"/>
          <w:szCs w:val="19"/>
          <w:color w:val="auto"/>
        </w:rPr>
        <w:t xml:space="preserve">consolidated interest expense of such Person and its Restricted Subsidiaries for such period, to the extent such expense was deducted (and not added back) in computing Consolidated Net Income (including (a) amortization of original issue discount or premium resulting from the issuance of Indebtedness at less than par, (b) all commissions, discounts and other fees and charges owed with respect to letters of credit or bankers acceptances or any similar facilities or financing and hedging agreements, (c) non-cash interest payments (but excluding any non-cash interest expense attributable to the movement in the mark to market valuation of any Swap Obligations or other derivative instruments pursuant to GAAP), (d) the interest component of Capital Lease Obligations, (e) net payments, if any, pursuant to interest rate Swap Obligations with respect to Indebtedness, and (f) to the extent constituting interest expense in accordance with GAAP, consulting fees and expenses, and excluding (t) penalties and interest relating to taxes, (u) accretion or accrual of discounted liabilities other than Indebtedness, (v) any expense resulting from the discounting of any Indebtedness in connection with the application of purchase accounting in connection with any acquisition, (w) amortization of deferred financing fees, debt issuance costs, commissions, fees and expenses, (x) any expensing of bridge, commitment and other financing fees and (y) interest with respect to Indebtedness of any parent of such Person appearing upon the balance sheet of such Person solely by reason of push-down accounting under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prepayment premiums and penalties shall not be included in this </w:t>
      </w:r>
      <w:r>
        <w:rPr>
          <w:rFonts w:ascii="Arial" w:cs="Arial" w:eastAsia="Arial" w:hAnsi="Arial"/>
          <w:sz w:val="19"/>
          <w:szCs w:val="19"/>
          <w:u w:val="single" w:color="auto"/>
          <w:color w:val="auto"/>
        </w:rPr>
        <w:t>clause (1)</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p>
    <w:p>
      <w:pPr>
        <w:spacing w:after="0" w:line="161" w:lineRule="exact"/>
        <w:rPr>
          <w:rFonts w:ascii="Arial" w:cs="Arial" w:eastAsia="Arial" w:hAnsi="Arial"/>
          <w:sz w:val="19"/>
          <w:szCs w:val="19"/>
          <w:color w:val="auto"/>
        </w:rPr>
      </w:pPr>
    </w:p>
    <w:p>
      <w:pPr>
        <w:ind w:left="1300" w:hanging="644"/>
        <w:spacing w:after="0" w:line="232" w:lineRule="auto"/>
        <w:tabs>
          <w:tab w:leader="none" w:pos="1232" w:val="left"/>
        </w:tabs>
        <w:numPr>
          <w:ilvl w:val="0"/>
          <w:numId w:val="329"/>
        </w:numPr>
        <w:rPr>
          <w:rFonts w:ascii="Arial" w:cs="Arial" w:eastAsia="Arial" w:hAnsi="Arial"/>
          <w:sz w:val="22"/>
          <w:szCs w:val="22"/>
          <w:color w:val="auto"/>
        </w:rPr>
      </w:pPr>
      <w:r>
        <w:rPr>
          <w:rFonts w:ascii="Arial" w:cs="Arial" w:eastAsia="Arial" w:hAnsi="Arial"/>
          <w:sz w:val="22"/>
          <w:szCs w:val="22"/>
          <w:color w:val="auto"/>
        </w:rPr>
        <w:t xml:space="preserve">consolidated capitalized interest of such Person and its Restricted Subsidiaries for such period, whether paid or accrued;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ind w:left="1300" w:hanging="644"/>
        <w:spacing w:after="0" w:line="232" w:lineRule="auto"/>
        <w:tabs>
          <w:tab w:leader="none" w:pos="1128" w:val="left"/>
        </w:tabs>
        <w:numPr>
          <w:ilvl w:val="0"/>
          <w:numId w:val="329"/>
        </w:numPr>
        <w:rPr>
          <w:rFonts w:ascii="Arial" w:cs="Arial" w:eastAsia="Arial" w:hAnsi="Arial"/>
          <w:sz w:val="22"/>
          <w:szCs w:val="22"/>
          <w:color w:val="auto"/>
        </w:rPr>
      </w:pPr>
      <w:r>
        <w:rPr>
          <w:rFonts w:ascii="Arial" w:cs="Arial" w:eastAsia="Arial" w:hAnsi="Arial"/>
          <w:sz w:val="22"/>
          <w:szCs w:val="22"/>
          <w:color w:val="auto"/>
        </w:rPr>
        <w:t xml:space="preserve">all cash dividends or other distributions paid (excluding items eliminated in consolidation) on any series of preferred stock of any Subsidiary of such Person during such period; </w:t>
      </w:r>
      <w:r>
        <w:rPr>
          <w:rFonts w:ascii="Arial" w:cs="Arial" w:eastAsia="Arial" w:hAnsi="Arial"/>
          <w:sz w:val="22"/>
          <w:szCs w:val="22"/>
          <w:i w:val="1"/>
          <w:iCs w:val="1"/>
          <w:color w:val="auto"/>
        </w:rPr>
        <w:t>plus</w:t>
      </w:r>
    </w:p>
    <w:p>
      <w:pPr>
        <w:spacing w:after="0" w:line="158" w:lineRule="exact"/>
        <w:rPr>
          <w:rFonts w:ascii="Arial" w:cs="Arial" w:eastAsia="Arial" w:hAnsi="Arial"/>
          <w:sz w:val="22"/>
          <w:szCs w:val="22"/>
          <w:color w:val="auto"/>
        </w:rPr>
      </w:pPr>
    </w:p>
    <w:p>
      <w:pPr>
        <w:ind w:left="1300" w:hanging="644"/>
        <w:spacing w:after="0" w:line="232" w:lineRule="auto"/>
        <w:tabs>
          <w:tab w:leader="none" w:pos="1306" w:val="left"/>
        </w:tabs>
        <w:numPr>
          <w:ilvl w:val="0"/>
          <w:numId w:val="329"/>
        </w:numPr>
        <w:rPr>
          <w:rFonts w:ascii="Arial" w:cs="Arial" w:eastAsia="Arial" w:hAnsi="Arial"/>
          <w:sz w:val="22"/>
          <w:szCs w:val="22"/>
          <w:color w:val="auto"/>
        </w:rPr>
      </w:pPr>
      <w:r>
        <w:rPr>
          <w:rFonts w:ascii="Arial" w:cs="Arial" w:eastAsia="Arial" w:hAnsi="Arial"/>
          <w:sz w:val="22"/>
          <w:szCs w:val="22"/>
          <w:color w:val="auto"/>
        </w:rPr>
        <w:t xml:space="preserve">all cash dividends or other distributions paid (excluding items eliminated in consolidation) on any series of Disqualified Equity Interests during this period; </w:t>
      </w:r>
      <w:r>
        <w:rPr>
          <w:rFonts w:ascii="Arial" w:cs="Arial" w:eastAsia="Arial" w:hAnsi="Arial"/>
          <w:sz w:val="22"/>
          <w:szCs w:val="22"/>
          <w:i w:val="1"/>
          <w:iCs w:val="1"/>
          <w:color w:val="auto"/>
        </w:rPr>
        <w:t>minus</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329"/>
        </w:numPr>
        <w:rPr>
          <w:rFonts w:ascii="Arial" w:cs="Arial" w:eastAsia="Arial" w:hAnsi="Arial"/>
          <w:sz w:val="22"/>
          <w:szCs w:val="22"/>
          <w:color w:val="auto"/>
        </w:rPr>
      </w:pPr>
      <w:r>
        <w:rPr>
          <w:rFonts w:ascii="Arial" w:cs="Arial" w:eastAsia="Arial" w:hAnsi="Arial"/>
          <w:sz w:val="22"/>
          <w:szCs w:val="22"/>
          <w:color w:val="auto"/>
        </w:rPr>
        <w:t>interest income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08" w:name="page309"/>
    <w:bookmarkEnd w:id="308"/>
    <w:p>
      <w:pPr>
        <w:jc w:val="both"/>
        <w:spacing w:after="0" w:line="298" w:lineRule="auto"/>
        <w:rPr>
          <w:sz w:val="20"/>
          <w:szCs w:val="20"/>
          <w:color w:val="auto"/>
        </w:rPr>
      </w:pPr>
      <w:r>
        <w:rPr>
          <w:rFonts w:ascii="Arial" w:cs="Arial" w:eastAsia="Arial" w:hAnsi="Arial"/>
          <w:sz w:val="19"/>
          <w:szCs w:val="19"/>
          <w:color w:val="auto"/>
        </w:rPr>
        <w:t>For purposes of this definition, interest on a Capital Lease Obligation shall be deemed to accrue at an interest rate reasonably determined by such Person to be the rate of interest implicit in such Capital Lease Obligation in accordance with GAAP.</w:t>
      </w:r>
    </w:p>
    <w:p>
      <w:pPr>
        <w:spacing w:after="0" w:line="10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xml:space="preserve"> ” means, for any period, the net income (loss) of the Borrower and the Restricted Subsidiaries determined on a consolidated basis on the basis of GAAP;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there will not be included in such Consolidated Net Income:</w:t>
      </w:r>
    </w:p>
    <w:p>
      <w:pPr>
        <w:spacing w:after="0" w:line="159" w:lineRule="exact"/>
        <w:rPr>
          <w:sz w:val="20"/>
          <w:szCs w:val="20"/>
          <w:color w:val="auto"/>
        </w:rPr>
      </w:pPr>
    </w:p>
    <w:p>
      <w:pPr>
        <w:ind w:left="1300" w:hanging="644"/>
        <w:spacing w:after="0" w:line="257" w:lineRule="auto"/>
        <w:tabs>
          <w:tab w:leader="none" w:pos="1158" w:val="left"/>
        </w:tabs>
        <w:numPr>
          <w:ilvl w:val="0"/>
          <w:numId w:val="330"/>
        </w:numPr>
        <w:rPr>
          <w:rFonts w:ascii="Arial" w:cs="Arial" w:eastAsia="Arial" w:hAnsi="Arial"/>
          <w:sz w:val="19"/>
          <w:szCs w:val="19"/>
          <w:color w:val="auto"/>
        </w:rPr>
      </w:pPr>
      <w:r>
        <w:rPr>
          <w:rFonts w:ascii="Arial" w:cs="Arial" w:eastAsia="Arial" w:hAnsi="Arial"/>
          <w:sz w:val="19"/>
          <w:szCs w:val="19"/>
          <w:color w:val="auto"/>
        </w:rPr>
        <w:t>any net income (loss) of any Person if such Person is not a Restricted Subsidiary, except that any equity in the net income of any such Person for such period will be included in such Consolidated Net Income up to the aggregate amount of cash or Cash Equivalents actually distributed by such Person during such period to the Borrower or any Restricted Subsidiary as a dividend or other distribution or as a return on investment;</w:t>
      </w:r>
    </w:p>
    <w:p>
      <w:pPr>
        <w:spacing w:after="0" w:line="144" w:lineRule="exact"/>
        <w:rPr>
          <w:rFonts w:ascii="Arial" w:cs="Arial" w:eastAsia="Arial" w:hAnsi="Arial"/>
          <w:sz w:val="19"/>
          <w:szCs w:val="19"/>
          <w:color w:val="auto"/>
        </w:rPr>
      </w:pPr>
    </w:p>
    <w:p>
      <w:pPr>
        <w:jc w:val="both"/>
        <w:ind w:left="1300" w:hanging="644"/>
        <w:spacing w:after="0" w:line="252" w:lineRule="auto"/>
        <w:tabs>
          <w:tab w:leader="none" w:pos="1244" w:val="left"/>
        </w:tabs>
        <w:numPr>
          <w:ilvl w:val="0"/>
          <w:numId w:val="330"/>
        </w:numPr>
        <w:rPr>
          <w:rFonts w:ascii="Arial" w:cs="Arial" w:eastAsia="Arial" w:hAnsi="Arial"/>
          <w:sz w:val="19"/>
          <w:szCs w:val="19"/>
          <w:color w:val="auto"/>
        </w:rPr>
      </w:pPr>
      <w:r>
        <w:rPr>
          <w:rFonts w:ascii="Arial" w:cs="Arial" w:eastAsia="Arial" w:hAnsi="Arial"/>
          <w:sz w:val="19"/>
          <w:szCs w:val="19"/>
          <w:color w:val="auto"/>
        </w:rPr>
        <w:t>any net gain (or loss) (i) realized upon the sale or other disposition of any asset or disposed operations of the Borrower or any Restricted Subsidiaries (including pursuant to any Sale Leaseback which is not sold or otherwise disposed of in the ordinary course of business) or (ii) from discontinued operations (but if such operations are classified as discontinued due to the fact that they are subject to an agreement to dispose of such operations, at Borrower’s election, only when and to the extent such operations are actually disposed of);</w:t>
      </w:r>
    </w:p>
    <w:p>
      <w:pPr>
        <w:spacing w:after="0" w:line="148" w:lineRule="exact"/>
        <w:rPr>
          <w:rFonts w:ascii="Arial" w:cs="Arial" w:eastAsia="Arial" w:hAnsi="Arial"/>
          <w:sz w:val="19"/>
          <w:szCs w:val="19"/>
          <w:color w:val="auto"/>
        </w:rPr>
      </w:pPr>
    </w:p>
    <w:p>
      <w:pPr>
        <w:ind w:left="1120" w:hanging="464"/>
        <w:spacing w:after="0"/>
        <w:tabs>
          <w:tab w:leader="none" w:pos="1120" w:val="left"/>
        </w:tabs>
        <w:numPr>
          <w:ilvl w:val="0"/>
          <w:numId w:val="330"/>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w:t>
      </w:r>
    </w:p>
    <w:p>
      <w:pPr>
        <w:spacing w:after="0" w:line="179" w:lineRule="exact"/>
        <w:rPr>
          <w:rFonts w:ascii="Arial" w:cs="Arial" w:eastAsia="Arial" w:hAnsi="Arial"/>
          <w:sz w:val="22"/>
          <w:szCs w:val="22"/>
          <w:color w:val="auto"/>
        </w:rPr>
      </w:pPr>
    </w:p>
    <w:p>
      <w:pPr>
        <w:ind w:left="1300" w:hanging="644"/>
        <w:spacing w:after="0" w:line="232" w:lineRule="auto"/>
        <w:tabs>
          <w:tab w:leader="none" w:pos="1203" w:val="left"/>
        </w:tabs>
        <w:numPr>
          <w:ilvl w:val="0"/>
          <w:numId w:val="330"/>
        </w:numPr>
        <w:rPr>
          <w:rFonts w:ascii="Arial" w:cs="Arial" w:eastAsia="Arial" w:hAnsi="Arial"/>
          <w:sz w:val="22"/>
          <w:szCs w:val="22"/>
          <w:color w:val="auto"/>
        </w:rPr>
      </w:pPr>
      <w:r>
        <w:rPr>
          <w:rFonts w:ascii="Arial" w:cs="Arial" w:eastAsia="Arial" w:hAnsi="Arial"/>
          <w:sz w:val="22"/>
          <w:szCs w:val="22"/>
          <w:color w:val="auto"/>
        </w:rPr>
        <w:t>any extraordinary, unusual or nonrecurring gain, loss, charge or expense, or any charges, expenses or reserves in respect of any restructuring, integration, redundancy or severance expense;</w:t>
      </w:r>
    </w:p>
    <w:p>
      <w:pPr>
        <w:spacing w:after="0" w:line="158" w:lineRule="exact"/>
        <w:rPr>
          <w:rFonts w:ascii="Arial" w:cs="Arial" w:eastAsia="Arial" w:hAnsi="Arial"/>
          <w:sz w:val="22"/>
          <w:szCs w:val="22"/>
          <w:color w:val="auto"/>
        </w:rPr>
      </w:pPr>
    </w:p>
    <w:p>
      <w:pPr>
        <w:jc w:val="both"/>
        <w:ind w:left="1300" w:hanging="644"/>
        <w:spacing w:after="0" w:line="223" w:lineRule="auto"/>
        <w:tabs>
          <w:tab w:leader="none" w:pos="1244" w:val="left"/>
        </w:tabs>
        <w:numPr>
          <w:ilvl w:val="0"/>
          <w:numId w:val="330"/>
        </w:numPr>
        <w:rPr>
          <w:rFonts w:ascii="Arial" w:cs="Arial" w:eastAsia="Arial" w:hAnsi="Arial"/>
          <w:sz w:val="22"/>
          <w:szCs w:val="22"/>
          <w:color w:val="auto"/>
        </w:rPr>
      </w:pPr>
      <w:r>
        <w:rPr>
          <w:rFonts w:ascii="Arial" w:cs="Arial" w:eastAsia="Arial" w:hAnsi="Arial"/>
          <w:sz w:val="22"/>
          <w:szCs w:val="22"/>
          <w:color w:val="auto"/>
        </w:rPr>
        <w:t>all deferred financing costs written off or amortized and premiums paid or other expenses incurred directly in connection with any early extinguishment of Indebtedness and any net gain (loss) from any write-off or forgiveness of Indebtedness;</w:t>
      </w:r>
    </w:p>
    <w:p>
      <w:pPr>
        <w:spacing w:after="0" w:line="158" w:lineRule="exact"/>
        <w:rPr>
          <w:rFonts w:ascii="Arial" w:cs="Arial" w:eastAsia="Arial" w:hAnsi="Arial"/>
          <w:sz w:val="22"/>
          <w:szCs w:val="22"/>
          <w:color w:val="auto"/>
        </w:rPr>
      </w:pPr>
    </w:p>
    <w:p>
      <w:pPr>
        <w:ind w:left="1300" w:hanging="644"/>
        <w:spacing w:after="0" w:line="234" w:lineRule="auto"/>
        <w:tabs>
          <w:tab w:leader="none" w:pos="1091" w:val="left"/>
        </w:tabs>
        <w:numPr>
          <w:ilvl w:val="0"/>
          <w:numId w:val="330"/>
        </w:numPr>
        <w:rPr>
          <w:rFonts w:ascii="Arial" w:cs="Arial" w:eastAsia="Arial" w:hAnsi="Arial"/>
          <w:sz w:val="21"/>
          <w:szCs w:val="21"/>
          <w:color w:val="auto"/>
        </w:rPr>
      </w:pPr>
      <w:r>
        <w:rPr>
          <w:rFonts w:ascii="Arial" w:cs="Arial" w:eastAsia="Arial" w:hAnsi="Arial"/>
          <w:sz w:val="21"/>
          <w:szCs w:val="21"/>
          <w:color w:val="auto"/>
        </w:rPr>
        <w:t>any unrealized gains or losses in respect of Swap Obligations or any ineffectiveness recognized in earnings related to qualifying hedge transactions or the fair value of changes therein recognized in earnings for derivatives that do not qualify as hedge transactions, in each case, in respect of Swap Obligations;</w:t>
      </w:r>
    </w:p>
    <w:p>
      <w:pPr>
        <w:spacing w:after="0" w:line="157" w:lineRule="exact"/>
        <w:rPr>
          <w:rFonts w:ascii="Arial" w:cs="Arial" w:eastAsia="Arial" w:hAnsi="Arial"/>
          <w:sz w:val="21"/>
          <w:szCs w:val="21"/>
          <w:color w:val="auto"/>
        </w:rPr>
      </w:pPr>
    </w:p>
    <w:p>
      <w:pPr>
        <w:ind w:left="1300" w:hanging="644"/>
        <w:spacing w:after="0" w:line="232" w:lineRule="auto"/>
        <w:tabs>
          <w:tab w:leader="none" w:pos="1149" w:val="left"/>
        </w:tabs>
        <w:numPr>
          <w:ilvl w:val="0"/>
          <w:numId w:val="330"/>
        </w:numPr>
        <w:rPr>
          <w:rFonts w:ascii="Arial" w:cs="Arial" w:eastAsia="Arial" w:hAnsi="Arial"/>
          <w:sz w:val="22"/>
          <w:szCs w:val="22"/>
          <w:color w:val="auto"/>
        </w:rPr>
      </w:pPr>
      <w:r>
        <w:rPr>
          <w:rFonts w:ascii="Arial" w:cs="Arial" w:eastAsia="Arial" w:hAnsi="Arial"/>
          <w:sz w:val="22"/>
          <w:szCs w:val="22"/>
          <w:color w:val="auto"/>
        </w:rPr>
        <w:t>unrealized foreign exchange losses resulting from the impact of foreign currency changes on the valuation of assets or liabilities on the balance sheet of the Borrower and the Restricted Subsidiaries;</w:t>
      </w:r>
    </w:p>
    <w:p>
      <w:pPr>
        <w:spacing w:after="0" w:line="158" w:lineRule="exact"/>
        <w:rPr>
          <w:rFonts w:ascii="Arial" w:cs="Arial" w:eastAsia="Arial" w:hAnsi="Arial"/>
          <w:sz w:val="22"/>
          <w:szCs w:val="22"/>
          <w:color w:val="auto"/>
        </w:rPr>
      </w:pPr>
    </w:p>
    <w:p>
      <w:pPr>
        <w:ind w:left="1300" w:hanging="644"/>
        <w:spacing w:after="0" w:line="234" w:lineRule="auto"/>
        <w:tabs>
          <w:tab w:leader="none" w:pos="1144" w:val="left"/>
        </w:tabs>
        <w:numPr>
          <w:ilvl w:val="0"/>
          <w:numId w:val="330"/>
        </w:numPr>
        <w:rPr>
          <w:rFonts w:ascii="Arial" w:cs="Arial" w:eastAsia="Arial" w:hAnsi="Arial"/>
          <w:sz w:val="21"/>
          <w:szCs w:val="21"/>
          <w:color w:val="auto"/>
        </w:rPr>
      </w:pPr>
      <w:r>
        <w:rPr>
          <w:rFonts w:ascii="Arial" w:cs="Arial" w:eastAsia="Arial" w:hAnsi="Arial"/>
          <w:sz w:val="21"/>
          <w:szCs w:val="21"/>
          <w:color w:val="auto"/>
        </w:rPr>
        <w:t>any unrealized foreign currency transaction gains or losses in respect of obligations of any Person denominated in a currency other than the functional currency of such Person and any unrealized foreign exchange gains or losses relating to translation of assets and liabilities denominated in foreign currencies;</w:t>
      </w:r>
    </w:p>
    <w:p>
      <w:pPr>
        <w:spacing w:after="0" w:line="157" w:lineRule="exact"/>
        <w:rPr>
          <w:rFonts w:ascii="Arial" w:cs="Arial" w:eastAsia="Arial" w:hAnsi="Arial"/>
          <w:sz w:val="21"/>
          <w:szCs w:val="21"/>
          <w:color w:val="auto"/>
        </w:rPr>
      </w:pPr>
    </w:p>
    <w:p>
      <w:pPr>
        <w:ind w:left="1300" w:hanging="644"/>
        <w:spacing w:after="0" w:line="298" w:lineRule="auto"/>
        <w:tabs>
          <w:tab w:leader="none" w:pos="1253" w:val="left"/>
        </w:tabs>
        <w:numPr>
          <w:ilvl w:val="0"/>
          <w:numId w:val="330"/>
        </w:numPr>
        <w:rPr>
          <w:rFonts w:ascii="Arial" w:cs="Arial" w:eastAsia="Arial" w:hAnsi="Arial"/>
          <w:sz w:val="19"/>
          <w:szCs w:val="19"/>
          <w:color w:val="auto"/>
        </w:rPr>
      </w:pPr>
      <w:r>
        <w:rPr>
          <w:rFonts w:ascii="Arial" w:cs="Arial" w:eastAsia="Arial" w:hAnsi="Arial"/>
          <w:sz w:val="19"/>
          <w:szCs w:val="19"/>
          <w:color w:val="auto"/>
        </w:rPr>
        <w:t>any unrealized foreign currency translation or transaction gains or losses in respect of Indebtedness or other obligations of the Borrower or any Restricted Subsidiary owing to the Borrower or any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09" w:name="page310"/>
    <w:bookmarkEnd w:id="309"/>
    <w:p>
      <w:pPr>
        <w:ind w:left="1300" w:hanging="644"/>
        <w:spacing w:after="0" w:line="223" w:lineRule="auto"/>
        <w:tabs>
          <w:tab w:leader="none" w:pos="1152" w:val="left"/>
        </w:tabs>
        <w:numPr>
          <w:ilvl w:val="0"/>
          <w:numId w:val="331"/>
        </w:numPr>
        <w:rPr>
          <w:rFonts w:ascii="Arial" w:cs="Arial" w:eastAsia="Arial" w:hAnsi="Arial"/>
          <w:sz w:val="22"/>
          <w:szCs w:val="22"/>
          <w:color w:val="auto"/>
        </w:rPr>
      </w:pPr>
      <w:r>
        <w:rPr>
          <w:rFonts w:ascii="Arial" w:cs="Arial" w:eastAsia="Arial" w:hAnsi="Arial"/>
          <w:sz w:val="22"/>
          <w:szCs w:val="22"/>
          <w:color w:val="auto"/>
        </w:rPr>
        <w:t>any net unrealized gains and losses resulting from Swap Obligations or embedded derivatives that require similar accounting treatment and the application of Accounting Standards Codification Topic 815 and related pronouncements;</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331"/>
        </w:numPr>
        <w:rPr>
          <w:rFonts w:ascii="Arial" w:cs="Arial" w:eastAsia="Arial" w:hAnsi="Arial"/>
          <w:sz w:val="22"/>
          <w:szCs w:val="22"/>
          <w:color w:val="auto"/>
        </w:rPr>
      </w:pPr>
      <w:r>
        <w:rPr>
          <w:rFonts w:ascii="Arial" w:cs="Arial" w:eastAsia="Arial" w:hAnsi="Arial"/>
          <w:sz w:val="22"/>
          <w:szCs w:val="22"/>
          <w:color w:val="auto"/>
        </w:rPr>
        <w:t>any goodwill or other asset impairment charge or write-off or write-down;</w:t>
      </w:r>
    </w:p>
    <w:p>
      <w:pPr>
        <w:spacing w:after="0" w:line="179" w:lineRule="exact"/>
        <w:rPr>
          <w:rFonts w:ascii="Arial" w:cs="Arial" w:eastAsia="Arial" w:hAnsi="Arial"/>
          <w:sz w:val="22"/>
          <w:szCs w:val="22"/>
          <w:color w:val="auto"/>
        </w:rPr>
      </w:pPr>
    </w:p>
    <w:p>
      <w:pPr>
        <w:ind w:left="1300" w:hanging="644"/>
        <w:spacing w:after="0" w:line="232" w:lineRule="auto"/>
        <w:tabs>
          <w:tab w:leader="none" w:pos="1163" w:val="left"/>
        </w:tabs>
        <w:numPr>
          <w:ilvl w:val="0"/>
          <w:numId w:val="331"/>
        </w:numPr>
        <w:rPr>
          <w:rFonts w:ascii="Arial" w:cs="Arial" w:eastAsia="Arial" w:hAnsi="Arial"/>
          <w:sz w:val="22"/>
          <w:szCs w:val="22"/>
          <w:color w:val="auto"/>
        </w:rPr>
      </w:pPr>
      <w:r>
        <w:rPr>
          <w:rFonts w:ascii="Arial" w:cs="Arial" w:eastAsia="Arial" w:hAnsi="Arial"/>
          <w:sz w:val="22"/>
          <w:szCs w:val="22"/>
          <w:color w:val="auto"/>
        </w:rPr>
        <w:t>any after-tax effect of income (loss) from the early retirement, extinguishment or cancellation of Indebtedness or Swap Obligations or other derivative instruments;</w:t>
      </w:r>
    </w:p>
    <w:p>
      <w:pPr>
        <w:spacing w:after="0" w:line="158" w:lineRule="exact"/>
        <w:rPr>
          <w:rFonts w:ascii="Arial" w:cs="Arial" w:eastAsia="Arial" w:hAnsi="Arial"/>
          <w:sz w:val="22"/>
          <w:szCs w:val="22"/>
          <w:color w:val="auto"/>
        </w:rPr>
      </w:pPr>
    </w:p>
    <w:p>
      <w:pPr>
        <w:ind w:left="1300" w:hanging="644"/>
        <w:spacing w:after="0" w:line="232" w:lineRule="auto"/>
        <w:tabs>
          <w:tab w:leader="none" w:pos="1259" w:val="left"/>
        </w:tabs>
        <w:numPr>
          <w:ilvl w:val="0"/>
          <w:numId w:val="331"/>
        </w:numPr>
        <w:rPr>
          <w:rFonts w:ascii="Arial" w:cs="Arial" w:eastAsia="Arial" w:hAnsi="Arial"/>
          <w:sz w:val="22"/>
          <w:szCs w:val="22"/>
          <w:color w:val="auto"/>
        </w:rPr>
      </w:pPr>
      <w:r>
        <w:rPr>
          <w:rFonts w:ascii="Arial" w:cs="Arial" w:eastAsia="Arial" w:hAnsi="Arial"/>
          <w:sz w:val="22"/>
          <w:szCs w:val="22"/>
          <w:color w:val="auto"/>
        </w:rPr>
        <w:t>accruals and reserves that are established within twelve months after the Closing Date that are so required to be established as a result of the Transactions in accordance with GAAP;</w:t>
      </w:r>
    </w:p>
    <w:p>
      <w:pPr>
        <w:spacing w:after="0" w:line="158" w:lineRule="exact"/>
        <w:rPr>
          <w:rFonts w:ascii="Arial" w:cs="Arial" w:eastAsia="Arial" w:hAnsi="Arial"/>
          <w:sz w:val="22"/>
          <w:szCs w:val="22"/>
          <w:color w:val="auto"/>
        </w:rPr>
      </w:pPr>
    </w:p>
    <w:p>
      <w:pPr>
        <w:ind w:left="1300" w:hanging="644"/>
        <w:spacing w:after="0" w:line="232" w:lineRule="auto"/>
        <w:tabs>
          <w:tab w:leader="none" w:pos="1329" w:val="left"/>
        </w:tabs>
        <w:numPr>
          <w:ilvl w:val="0"/>
          <w:numId w:val="331"/>
        </w:numPr>
        <w:rPr>
          <w:rFonts w:ascii="Arial" w:cs="Arial" w:eastAsia="Arial" w:hAnsi="Arial"/>
          <w:sz w:val="22"/>
          <w:szCs w:val="22"/>
          <w:color w:val="auto"/>
        </w:rPr>
      </w:pPr>
      <w:r>
        <w:rPr>
          <w:rFonts w:ascii="Arial" w:cs="Arial" w:eastAsia="Arial" w:hAnsi="Arial"/>
          <w:sz w:val="22"/>
          <w:szCs w:val="22"/>
          <w:color w:val="auto"/>
        </w:rPr>
        <w:t>earn-out, non-compete and contingent consideration obligations incurred or accrued in connection with any Permitted Acquisition or other Investment and paid or accrued during the applicable period;</w:t>
      </w:r>
    </w:p>
    <w:p>
      <w:pPr>
        <w:spacing w:after="0" w:line="158" w:lineRule="exact"/>
        <w:rPr>
          <w:rFonts w:ascii="Arial" w:cs="Arial" w:eastAsia="Arial" w:hAnsi="Arial"/>
          <w:sz w:val="22"/>
          <w:szCs w:val="22"/>
          <w:color w:val="auto"/>
        </w:rPr>
      </w:pPr>
    </w:p>
    <w:p>
      <w:pPr>
        <w:jc w:val="both"/>
        <w:ind w:left="1300" w:hanging="644"/>
        <w:spacing w:after="0" w:line="223" w:lineRule="auto"/>
        <w:tabs>
          <w:tab w:leader="none" w:pos="1267" w:val="left"/>
        </w:tabs>
        <w:numPr>
          <w:ilvl w:val="0"/>
          <w:numId w:val="331"/>
        </w:numPr>
        <w:rPr>
          <w:rFonts w:ascii="Arial" w:cs="Arial" w:eastAsia="Arial" w:hAnsi="Arial"/>
          <w:sz w:val="22"/>
          <w:szCs w:val="22"/>
          <w:color w:val="auto"/>
        </w:rPr>
      </w:pPr>
      <w:r>
        <w:rPr>
          <w:rFonts w:ascii="Arial" w:cs="Arial" w:eastAsia="Arial" w:hAnsi="Arial"/>
          <w:sz w:val="22"/>
          <w:szCs w:val="22"/>
          <w:color w:val="auto"/>
        </w:rPr>
        <w:t>cash and non-cash charges, paid or accrued, and gains resulting from the application of Financial Accounting Standards No. 141R (Accounting Standards Codification Topic 805) (including with respect to earn-outs incurred by the Borrower or any of the Restricted Subsidiaries);</w:t>
      </w:r>
    </w:p>
    <w:p>
      <w:pPr>
        <w:spacing w:after="0" w:line="158" w:lineRule="exact"/>
        <w:rPr>
          <w:rFonts w:ascii="Arial" w:cs="Arial" w:eastAsia="Arial" w:hAnsi="Arial"/>
          <w:sz w:val="22"/>
          <w:szCs w:val="22"/>
          <w:color w:val="auto"/>
        </w:rPr>
      </w:pPr>
    </w:p>
    <w:p>
      <w:pPr>
        <w:ind w:left="1300" w:hanging="644"/>
        <w:spacing w:after="0" w:line="244" w:lineRule="auto"/>
        <w:tabs>
          <w:tab w:leader="none" w:pos="1157" w:val="left"/>
        </w:tabs>
        <w:numPr>
          <w:ilvl w:val="0"/>
          <w:numId w:val="331"/>
        </w:numPr>
        <w:rPr>
          <w:rFonts w:ascii="Arial" w:cs="Arial" w:eastAsia="Arial" w:hAnsi="Arial"/>
          <w:sz w:val="19"/>
          <w:szCs w:val="19"/>
          <w:color w:val="auto"/>
        </w:rPr>
      </w:pPr>
      <w:r>
        <w:rPr>
          <w:rFonts w:ascii="Arial" w:cs="Arial" w:eastAsia="Arial" w:hAnsi="Arial"/>
          <w:sz w:val="19"/>
          <w:szCs w:val="19"/>
          <w:color w:val="auto"/>
        </w:rPr>
        <w:t xml:space="preserve">(x) Transaction Costs and (y) any fees, costs, expenses or charges (including those relating to rationalization, legal, tax, accounting, structuring and transaction bonuses to employees, officers and directors) related to any actual, proposed or contemplated: (i) issuance or registration (actual or proposed) of Equity Interests or IPO (including any one-time expense relating to enhanced accounting functions or other transactions costs associated with becoming a public company), (ii) acquisition, merger or other Investment, (iii) disposition, (iv) recapitalization, consolidation or restructuring, (v) issuance of a letter of credit, (vi) incurrence, repayment or registration (actual or proposed) of Indebtedness (including a refinancing thereof) or (vii) any amendment, waiver, consent or other modification of any Indebtedness or any Equity Interests, in the case of each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(y)</w:t>
      </w:r>
      <w:r>
        <w:rPr>
          <w:rFonts w:ascii="Arial" w:cs="Arial" w:eastAsia="Arial" w:hAnsi="Arial"/>
          <w:sz w:val="19"/>
          <w:szCs w:val="19"/>
          <w:color w:val="auto"/>
        </w:rPr>
        <w:t>, whether or not actually consummated;</w:t>
      </w:r>
    </w:p>
    <w:p>
      <w:pPr>
        <w:spacing w:after="0" w:line="160" w:lineRule="exact"/>
        <w:rPr>
          <w:rFonts w:ascii="Arial" w:cs="Arial" w:eastAsia="Arial" w:hAnsi="Arial"/>
          <w:sz w:val="19"/>
          <w:szCs w:val="19"/>
          <w:color w:val="auto"/>
        </w:rPr>
      </w:pPr>
    </w:p>
    <w:p>
      <w:pPr>
        <w:ind w:left="1300" w:hanging="644"/>
        <w:spacing w:after="0" w:line="214" w:lineRule="auto"/>
        <w:tabs>
          <w:tab w:leader="none" w:pos="1129" w:val="left"/>
        </w:tabs>
        <w:numPr>
          <w:ilvl w:val="0"/>
          <w:numId w:val="331"/>
        </w:numPr>
        <w:rPr>
          <w:rFonts w:ascii="Arial" w:cs="Arial" w:eastAsia="Arial" w:hAnsi="Arial"/>
          <w:sz w:val="22"/>
          <w:szCs w:val="22"/>
          <w:color w:val="auto"/>
        </w:rPr>
      </w:pPr>
      <w:r>
        <w:rPr>
          <w:rFonts w:ascii="Arial" w:cs="Arial" w:eastAsia="Arial" w:hAnsi="Arial"/>
          <w:sz w:val="22"/>
          <w:szCs w:val="22"/>
          <w:color w:val="auto"/>
        </w:rPr>
        <w:t xml:space="preserve">charges, losses or expenses to the extent paid for, indemnified or insured or reimbursed by a third party or so long as such amount is reasonably expected to be received in a subsequent period and within 365 days from the date of the underlying charges, losses or expenses;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(x) if such amount is not so reimbursed within such 365-day period, such expenses or losses shall be subtracted in the subsequent period and (y) if such amount is reimbursed or received in a subsequent period, such amount shall not be included in calculating Consolidated Net Income in such subsequent period;</w:t>
      </w:r>
    </w:p>
    <w:p>
      <w:pPr>
        <w:spacing w:after="0" w:line="158" w:lineRule="exact"/>
        <w:rPr>
          <w:rFonts w:ascii="Arial" w:cs="Arial" w:eastAsia="Arial" w:hAnsi="Arial"/>
          <w:sz w:val="22"/>
          <w:szCs w:val="22"/>
          <w:color w:val="auto"/>
        </w:rPr>
      </w:pPr>
    </w:p>
    <w:p>
      <w:pPr>
        <w:ind w:left="1300" w:hanging="644"/>
        <w:spacing w:after="0" w:line="247" w:lineRule="auto"/>
        <w:tabs>
          <w:tab w:leader="none" w:pos="1169" w:val="left"/>
        </w:tabs>
        <w:numPr>
          <w:ilvl w:val="0"/>
          <w:numId w:val="331"/>
        </w:numPr>
        <w:rPr>
          <w:rFonts w:ascii="Arial" w:cs="Arial" w:eastAsia="Arial" w:hAnsi="Arial"/>
          <w:sz w:val="19"/>
          <w:szCs w:val="19"/>
          <w:color w:val="auto"/>
        </w:rPr>
      </w:pPr>
      <w:r>
        <w:rPr>
          <w:rFonts w:ascii="Arial" w:cs="Arial" w:eastAsia="Arial" w:hAnsi="Arial"/>
          <w:sz w:val="19"/>
          <w:szCs w:val="19"/>
          <w:color w:val="auto"/>
        </w:rPr>
        <w:t xml:space="preserve">charges, losses or expenses covered by business interruption insurance to the extent proceeds from such business interruption insurance have been received in cash or, so long as such amount is reasonably expected to be received in a subsequent period and within 365 days from the date of the underlying charges, losses or expenses, to the extent not already included in Consolidated Net Income;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if such amount is not so reimbursed within such 365-day period, such expenses or losses shall be subtracted in the subsequent period and (y) if such amount is reimbursed or received in a subsequent period, such amount shall not be included in calculating Consolidated Net Income in such subsequent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10" w:name="page311"/>
    <w:bookmarkEnd w:id="310"/>
    <w:p>
      <w:pPr>
        <w:jc w:val="both"/>
        <w:ind w:left="1300" w:hanging="644"/>
        <w:spacing w:after="0" w:line="223" w:lineRule="auto"/>
        <w:tabs>
          <w:tab w:leader="none" w:pos="1264" w:val="left"/>
        </w:tabs>
        <w:numPr>
          <w:ilvl w:val="0"/>
          <w:numId w:val="332"/>
        </w:numPr>
        <w:rPr>
          <w:rFonts w:ascii="Arial" w:cs="Arial" w:eastAsia="Arial" w:hAnsi="Arial"/>
          <w:sz w:val="22"/>
          <w:szCs w:val="22"/>
          <w:color w:val="auto"/>
        </w:rPr>
      </w:pPr>
      <w:r>
        <w:rPr>
          <w:rFonts w:ascii="Arial" w:cs="Arial" w:eastAsia="Arial" w:hAnsi="Arial"/>
          <w:sz w:val="22"/>
          <w:szCs w:val="22"/>
          <w:color w:val="auto"/>
        </w:rPr>
        <w:t>any net loss included in the consolidated financial statements due to the application of Financial Accounting Standards No. 160 “Non-controlling Interests in Consolidated Financial Statements” (“</w:t>
      </w:r>
      <w:r>
        <w:rPr>
          <w:rFonts w:ascii="Arial" w:cs="Arial" w:eastAsia="Arial" w:hAnsi="Arial"/>
          <w:sz w:val="22"/>
          <w:szCs w:val="22"/>
          <w:u w:val="single" w:color="auto"/>
          <w:color w:val="auto"/>
        </w:rPr>
        <w:t>FAS 160</w:t>
      </w:r>
      <w:r>
        <w:rPr>
          <w:rFonts w:ascii="Arial" w:cs="Arial" w:eastAsia="Arial" w:hAnsi="Arial"/>
          <w:sz w:val="22"/>
          <w:szCs w:val="22"/>
          <w:color w:val="auto"/>
        </w:rPr>
        <w:t>”) (Accounting Standards Codification Topic 810);</w:t>
      </w:r>
    </w:p>
    <w:p>
      <w:pPr>
        <w:spacing w:after="0" w:line="158" w:lineRule="exact"/>
        <w:rPr>
          <w:rFonts w:ascii="Arial" w:cs="Arial" w:eastAsia="Arial" w:hAnsi="Arial"/>
          <w:sz w:val="22"/>
          <w:szCs w:val="22"/>
          <w:color w:val="auto"/>
        </w:rPr>
      </w:pPr>
    </w:p>
    <w:p>
      <w:pPr>
        <w:ind w:left="1300" w:hanging="644"/>
        <w:spacing w:after="0" w:line="234" w:lineRule="auto"/>
        <w:tabs>
          <w:tab w:leader="none" w:pos="1094" w:val="left"/>
        </w:tabs>
        <w:numPr>
          <w:ilvl w:val="0"/>
          <w:numId w:val="332"/>
        </w:numPr>
        <w:rPr>
          <w:rFonts w:ascii="Arial" w:cs="Arial" w:eastAsia="Arial" w:hAnsi="Arial"/>
          <w:sz w:val="21"/>
          <w:szCs w:val="21"/>
          <w:color w:val="auto"/>
        </w:rPr>
      </w:pPr>
      <w:r>
        <w:rPr>
          <w:rFonts w:ascii="Arial" w:cs="Arial" w:eastAsia="Arial" w:hAnsi="Arial"/>
          <w:sz w:val="21"/>
          <w:szCs w:val="21"/>
          <w:color w:val="auto"/>
        </w:rPr>
        <w:t>the amount of any minority interest expense consisting of Subsidiary income attributable to minority equity interests of third parties in any non-wholly owned Subsidiary and any minority income consisting of Subsidiary loss attributable to minority equity interests of third parties in any non-wholly owned Subsidiary;</w:t>
      </w:r>
    </w:p>
    <w:p>
      <w:pPr>
        <w:spacing w:after="0" w:line="157" w:lineRule="exact"/>
        <w:rPr>
          <w:rFonts w:ascii="Arial" w:cs="Arial" w:eastAsia="Arial" w:hAnsi="Arial"/>
          <w:sz w:val="21"/>
          <w:szCs w:val="21"/>
          <w:color w:val="auto"/>
        </w:rPr>
      </w:pPr>
    </w:p>
    <w:p>
      <w:pPr>
        <w:ind w:left="1300" w:hanging="644"/>
        <w:spacing w:after="0" w:line="220" w:lineRule="auto"/>
        <w:tabs>
          <w:tab w:leader="none" w:pos="1213" w:val="left"/>
        </w:tabs>
        <w:numPr>
          <w:ilvl w:val="0"/>
          <w:numId w:val="332"/>
        </w:numPr>
        <w:rPr>
          <w:rFonts w:ascii="Arial" w:cs="Arial" w:eastAsia="Arial" w:hAnsi="Arial"/>
          <w:sz w:val="21"/>
          <w:szCs w:val="21"/>
          <w:color w:val="auto"/>
        </w:rPr>
      </w:pPr>
      <w:r>
        <w:rPr>
          <w:rFonts w:ascii="Arial" w:cs="Arial" w:eastAsia="Arial" w:hAnsi="Arial"/>
          <w:sz w:val="21"/>
          <w:szCs w:val="21"/>
          <w:color w:val="auto"/>
        </w:rPr>
        <w:t>non-cash charges, costs, expenses, accruals or reserves for any management equity plan, supplemental executive retirement plan or stock option plan or other type of compensatory plan for the benefit of officers, directors or employees and any non-cash deemed finance charges in respect of any pension liabilities or other provisions or on the re-valuation of any benefit plan obligation (and, without duplication, costs or expenses incurred by Holdings or any Restricted Subsidiary pursuant to any management equity plan, pension plan, stock option plan or distributor equity plan or any other management or employee benefit plan or agreement or any stock subscription or shareholder agreement, to the extent that such cost or expenses are funded with cash proceeds contributed to the capital of Holdings and contributed to the Borrower or net cash proceeds of an issuance of Qualified Equity Interests of Holdings to the extent contributed to the Borrower (in each case, except to the extent comprising any Cure Amount)); and</w:t>
      </w:r>
    </w:p>
    <w:p>
      <w:pPr>
        <w:spacing w:after="0" w:line="162" w:lineRule="exact"/>
        <w:rPr>
          <w:rFonts w:ascii="Arial" w:cs="Arial" w:eastAsia="Arial" w:hAnsi="Arial"/>
          <w:sz w:val="21"/>
          <w:szCs w:val="21"/>
          <w:color w:val="auto"/>
        </w:rPr>
      </w:pPr>
    </w:p>
    <w:p>
      <w:pPr>
        <w:ind w:left="1300" w:hanging="644"/>
        <w:spacing w:after="0" w:line="212" w:lineRule="auto"/>
        <w:tabs>
          <w:tab w:leader="none" w:pos="1167" w:val="left"/>
        </w:tabs>
        <w:numPr>
          <w:ilvl w:val="0"/>
          <w:numId w:val="332"/>
        </w:numPr>
        <w:rPr>
          <w:rFonts w:ascii="Arial" w:cs="Arial" w:eastAsia="Arial" w:hAnsi="Arial"/>
          <w:sz w:val="22"/>
          <w:szCs w:val="22"/>
          <w:color w:val="auto"/>
        </w:rPr>
      </w:pPr>
      <w:r>
        <w:rPr>
          <w:rFonts w:ascii="Arial" w:cs="Arial" w:eastAsia="Arial" w:hAnsi="Arial"/>
          <w:sz w:val="22"/>
          <w:szCs w:val="22"/>
          <w:color w:val="auto"/>
        </w:rPr>
        <w:t xml:space="preserve">non-cash effects of purchase accounting or similar adjustments required or permitted by GAAP in connection with the Transactions, any Permitted Acquisitions or Investments permitted under </w:t>
      </w:r>
      <w:r>
        <w:rPr>
          <w:rFonts w:ascii="Arial" w:cs="Arial" w:eastAsia="Arial" w:hAnsi="Arial"/>
          <w:sz w:val="22"/>
          <w:szCs w:val="22"/>
          <w:u w:val="single" w:color="auto"/>
          <w:color w:val="auto"/>
        </w:rPr>
        <w:t>Section 6.04</w:t>
      </w:r>
      <w:r>
        <w:rPr>
          <w:rFonts w:ascii="Arial" w:cs="Arial" w:eastAsia="Arial" w:hAnsi="Arial"/>
          <w:sz w:val="22"/>
          <w:szCs w:val="22"/>
          <w:color w:val="auto"/>
        </w:rPr>
        <w:t>, including adjustments to inventory, property and equipment, software and other intangible assets and deferred revenue in component amounts required or permitted by GAAP and related authoritative pronouncements (including the effects of such adjustments pushed down to the Borrower and the Restricted Subsidiaries), as a result of any consummated acquisition, or the amortization or write-off of any amounts thereof (including any write-off of in process research and development); and</w:t>
      </w:r>
    </w:p>
    <w:p>
      <w:pPr>
        <w:spacing w:after="0" w:line="163" w:lineRule="exact"/>
        <w:rPr>
          <w:rFonts w:ascii="Arial" w:cs="Arial" w:eastAsia="Arial" w:hAnsi="Arial"/>
          <w:sz w:val="22"/>
          <w:szCs w:val="22"/>
          <w:color w:val="auto"/>
        </w:rPr>
      </w:pPr>
    </w:p>
    <w:p>
      <w:pPr>
        <w:ind w:left="1300" w:hanging="644"/>
        <w:spacing w:after="0" w:line="232" w:lineRule="auto"/>
        <w:tabs>
          <w:tab w:leader="none" w:pos="1177" w:val="left"/>
        </w:tabs>
        <w:numPr>
          <w:ilvl w:val="0"/>
          <w:numId w:val="332"/>
        </w:numPr>
        <w:rPr>
          <w:rFonts w:ascii="Arial" w:cs="Arial" w:eastAsia="Arial" w:hAnsi="Arial"/>
          <w:sz w:val="22"/>
          <w:szCs w:val="22"/>
          <w:color w:val="auto"/>
        </w:rPr>
      </w:pPr>
      <w:r>
        <w:rPr>
          <w:rFonts w:ascii="Arial" w:cs="Arial" w:eastAsia="Arial" w:hAnsi="Arial"/>
          <w:sz w:val="22"/>
          <w:szCs w:val="22"/>
          <w:color w:val="auto"/>
        </w:rPr>
        <w:t>the impact of changes in foreign currency translation rates on the valuation of deferred revenue on the balance sheet of the Borrower and its Restricted Subsidiaries.</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In addition, to the extent not already included in the Consolidated Net Income of such Person and its Restricted Subsidiaries, notwithstanding anything to the contrary in the foregoing, Consolidated Net Income shall exclude, solely for the purpose of determining the Available Amount (and any corresponding definition thereof), any net income (loss) of any Restricted Subsidiary (other than the Loan Parties) if such Restricted Subsidiary is subject to restrictions, directly or indirectly, on the payment of dividends or the making of distributions by such Restricted Subsidiary, directly or indirectly, to any Loan Party by operation of the terms of such Restricted Subsidiary’s charter or any agreement, instrument, judgment, decree, order, statute or governmental rule or regulation applicable to such Restricted Subsidiary or its shareholders (other than (a) restrictions that have been waived or otherwise released, (b) restrictions pursuant to this Agreement, the Second Lien Credit Agreement, or any agreement evidencing Additional Debt, Second Lien Loans, or Indebtedness incurred as a Permitted Refinancing of any of the foregoing and (c) restrictions arising pursuant to an agreement or instrument if the encumbrances and restrictions contained in any such agreement or instrument taken as a whole are not materially less favorable to the Secured Parties than the encumbrances and restrictions contained in the Loan Documents (as determined by the Borrower in good faith)), except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11" w:name="page312"/>
    <w:bookmarkEnd w:id="311"/>
    <w:p>
      <w:pPr>
        <w:jc w:val="both"/>
        <w:spacing w:after="0" w:line="257" w:lineRule="auto"/>
        <w:rPr>
          <w:sz w:val="20"/>
          <w:szCs w:val="20"/>
          <w:color w:val="auto"/>
        </w:rPr>
      </w:pPr>
      <w:r>
        <w:rPr>
          <w:rFonts w:ascii="Arial" w:cs="Arial" w:eastAsia="Arial" w:hAnsi="Arial"/>
          <w:sz w:val="19"/>
          <w:szCs w:val="19"/>
          <w:color w:val="auto"/>
        </w:rPr>
        <w:t>Borrower’s equity in the net income of any such Restricted Subsidiary for such period will be included in such Consolidated Net Income up to the aggregate amount of cash or Cash Equivalents actually distributed or that could have been distributed by such Restricted Subsidiary during such period to the Borrower or another Restricted Subsidiary as a dividend or other distribution (subject, in the case of a dividend to another Restricted Subsidiary, to the limitation contained in this clause).</w:t>
      </w:r>
    </w:p>
    <w:p>
      <w:pPr>
        <w:spacing w:after="0" w:line="144"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Assets</w:t>
      </w:r>
      <w:r>
        <w:rPr>
          <w:rFonts w:ascii="Arial" w:cs="Arial" w:eastAsia="Arial" w:hAnsi="Arial"/>
          <w:sz w:val="21"/>
          <w:szCs w:val="21"/>
          <w:color w:val="auto"/>
        </w:rPr>
        <w:t>” means, as of any date of determination, the amount that would, in conformity with GAAP, be set forth opposite the caption “total assets” (or any like caption) on the most recent consolidated balance sheet of the Borrower and the Restricted Subsidiaries on a Pro Forma Basis as of the Applicable Date of Determination.</w:t>
      </w:r>
    </w:p>
    <w:p>
      <w:pPr>
        <w:spacing w:after="0" w:line="158"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Working Capital</w:t>
      </w:r>
      <w:r>
        <w:rPr>
          <w:rFonts w:ascii="Arial" w:cs="Arial" w:eastAsia="Arial" w:hAnsi="Arial"/>
          <w:sz w:val="19"/>
          <w:szCs w:val="19"/>
          <w:color w:val="auto"/>
        </w:rPr>
        <w:t xml:space="preserve">” means, at any date, the excess (which may be a negative number) of (a) the sum of all amounts (other than cash and Cash Equivalents) that would, in conformity with GAAP, be set forth opposite the caption “total current assets” (or any like caption) on a consolidated balance sheet of the Borrower and the Restricted Subsidiaries at such date excluding the current portion of current and deferred income taxes, deferred financing fees and assets held for sale over (b) the sum of all amounts that would, in conformity with GAAP, be set forth opposite the caption “total current liabilities” (or any like caption) on a consolidated balance sheet of the Borrower and the Restricted Subsidiaries on such date, including deferred revenue but excluding, without duplication, (i) the current portion of any long term debt and all revolving loans, (ii) all Indebtedness consisting of Loans and LC Exposure and Capital Lease Obligations to the extent otherwise included therein, (iii) the current portion of interest payable and (iv) the current portion of current and deferred income taxes;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Consolidated Working Capital shall be calculated without giving effect to (v) the depreciation of the Dollar relative to other foreign currencies, (w) purchase accounting, (x) any assets or liabilities acquired, assumed, sold or transferred in any Acquisition or Disposition pursuant to </w:t>
      </w:r>
      <w:r>
        <w:rPr>
          <w:rFonts w:ascii="Arial" w:cs="Arial" w:eastAsia="Arial" w:hAnsi="Arial"/>
          <w:sz w:val="19"/>
          <w:szCs w:val="19"/>
          <w:u w:val="single" w:color="auto"/>
          <w:color w:val="auto"/>
        </w:rPr>
        <w:t>Section 6.05(j)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6.05(y)</w:t>
      </w:r>
      <w:r>
        <w:rPr>
          <w:rFonts w:ascii="Arial" w:cs="Arial" w:eastAsia="Arial" w:hAnsi="Arial"/>
          <w:sz w:val="19"/>
          <w:szCs w:val="19"/>
          <w:color w:val="auto"/>
        </w:rPr>
        <w:t>, (y) as a result of the reclassification of items from short-term to long-term and vice versa or (z) changes to Consolidated Working Capital resulting from non-cash charges and credits to consolidated current assets and consolidated current liabilities (including derivatives and deferred income tax).</w:t>
      </w:r>
    </w:p>
    <w:p>
      <w:pPr>
        <w:spacing w:after="0" w:line="16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The terms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Investment Affiliate</w:t>
      </w:r>
      <w:r>
        <w:rPr>
          <w:rFonts w:ascii="Arial" w:cs="Arial" w:eastAsia="Arial" w:hAnsi="Arial"/>
          <w:sz w:val="22"/>
          <w:szCs w:val="22"/>
          <w:color w:val="auto"/>
        </w:rPr>
        <w:t>” means, as to any Person, any other Person which directly or indirectly is in Control of, is Controlled by, or is under common Control with, such Person and is organized by such Person (or any person Controlling such person) primarily for making equity or debt investments, directly or indirectly, in Holdings or other portfolio companies of such Person.</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 Refinanced Debt</w:t>
      </w:r>
      <w:r>
        <w:rPr>
          <w:rFonts w:ascii="Arial" w:cs="Arial" w:eastAsia="Arial" w:hAnsi="Arial"/>
          <w:sz w:val="22"/>
          <w:szCs w:val="22"/>
          <w:color w:val="auto"/>
        </w:rPr>
        <w:t>” has the meaning assigned to such term in the definition of “Credit Agreement Refinancing Indebtedness.”</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Agreement Refinancing Indebtedness</w:t>
      </w:r>
      <w:r>
        <w:rPr>
          <w:rFonts w:ascii="Arial" w:cs="Arial" w:eastAsia="Arial" w:hAnsi="Arial"/>
          <w:sz w:val="19"/>
          <w:szCs w:val="19"/>
          <w:color w:val="auto"/>
        </w:rPr>
        <w:t xml:space="preserve"> ” means (a) Permitted First Priority Replacement Debt, (b) Permitted Second Priority Replacement Debt, (c) Permitted Unsecured Replacement Debt, and/or (d) Other Term Loans or Other Revolving Commitments (including the corresponding Other Revolving Loans incurred pursuant to such Other Revolving Commitments) obtained pursuant to a Refinancing Amendment, in each case, issued, incurred or obtained (in each case including by means of the extension or renewal of existing Indebtedness) in exchange for, or to extend, renew, replace, restructure or refinance, in whole or in part, any or all Classes of then existing Term Loans, Revolving Loans or Revolving Commitments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12" w:name="page313"/>
    <w:bookmarkEnd w:id="312"/>
    <w:p>
      <w:pPr>
        <w:jc w:val="both"/>
        <w:spacing w:after="0"/>
        <w:rPr>
          <w:sz w:val="20"/>
          <w:szCs w:val="20"/>
          <w:color w:val="auto"/>
        </w:rPr>
      </w:pPr>
      <w:r>
        <w:rPr>
          <w:rFonts w:ascii="Arial" w:cs="Arial" w:eastAsia="Arial" w:hAnsi="Arial"/>
          <w:sz w:val="19"/>
          <w:szCs w:val="19"/>
          <w:color w:val="auto"/>
        </w:rPr>
        <w:t>case including any successive Credit Agreement Refinancing Indebtedness) (the “</w:t>
      </w:r>
      <w:r>
        <w:rPr>
          <w:rFonts w:ascii="Arial" w:cs="Arial" w:eastAsia="Arial" w:hAnsi="Arial"/>
          <w:sz w:val="19"/>
          <w:szCs w:val="19"/>
          <w:u w:val="single" w:color="auto"/>
          <w:color w:val="auto"/>
        </w:rPr>
        <w:t>Credit Agreement Refinanced Debt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 subject to </w:t>
      </w:r>
      <w:r>
        <w:rPr>
          <w:rFonts w:ascii="Arial" w:cs="Arial" w:eastAsia="Arial" w:hAnsi="Arial"/>
          <w:sz w:val="19"/>
          <w:szCs w:val="19"/>
          <w:u w:val="single" w:color="auto"/>
          <w:color w:val="auto"/>
        </w:rPr>
        <w:t>Section 1.06(b)</w:t>
      </w:r>
      <w:r>
        <w:rPr>
          <w:rFonts w:ascii="Arial" w:cs="Arial" w:eastAsia="Arial" w:hAnsi="Arial"/>
          <w:sz w:val="19"/>
          <w:szCs w:val="19"/>
          <w:color w:val="auto"/>
        </w:rPr>
        <w:t xml:space="preserve">, such Credit Agreement Refinancing Indebtedness (including, if such Credit Agreement Refinancing Indebtedness includes any Other Revolving Commitments, such Other Revolving Commitments) is in an original aggregate principal amount not greater than the aggregate principal amount of the Credit Agreement Refinanced Debt (including, in the case of Credit Agreement Refinanced Debt consisting, in whole or in part, of Revolving Commitments or Other Revolving Commitments, the amount thereof) plus any other Indebtedness that could otherwise be (A) incurred hereunder (subject to a dollar-for-dollar usage of any basket (other than any basket that provides for Credit Agreement Refinancing Indebtedness) set forth in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 and (B) if such Indebtedness is secured, subject to a dollar-for-dollar usage of any basket (other than any basket that provides for Liens on Credit Agreement Refinancing Indebtedness) set forth in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 plus premiums and accrued and unpaid interest, fees and expenses in respect thereof plus other reasonable costs, fees and expenses (including reasonable upfront fees and original issue discount) incurred in connection with such Credit Agreement Refinancing Indebtedness, (v) such Credit Agreement Refinancing Indebtedness (A) does not mature prior to the maturity date of and, except in the case of Other Revolving Commitments, has a Weighted Average Life to Maturity equal to or longer than the Weighted Average Life to Maturity at such time of the corresponding Class of Credit Agreement Refinanced Debt (without giving effect to nominal amortization for periods where amortization has been eliminated as a result of a prepayment of the applicable Credit Agreement Refinanced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shall not apply to the extent such Credit Agreement Refinancing Indebtedness consists of Other Term Loans constituting Subject Indebtedness incurred in reliance on the Maturity Limitation Excluded Amount, and (B) in the case of any Refinancing Notes, shall not be subject to any amortization prior to final maturity or mandatory prepayment provisions (other than related to customary asset sale, similar events and change of control offers) that would result in mandatory prepayment of such notes being refinanced (it being understood that the Borrower shall be permitted to prepay or offer to purchase any senior secured Credit Agreement Refinancing Indebtedness in the form of notes secured on a pari passu basis), (w) such Credit Agreement Refinancing Indebtedness shall not be incurred or Guaranteed by any Person that did not incur or Guarantee such Credit Agreement Refinanced Debt, (x) such Credit Agreement Refinanced Debt shall be repaid, defeased or satisfied and discharged, and all accrued and unpaid interest, fees then due and premiums (if any) in connection therewith shall be paid substantially contemporaneously with the incurrence of the Credit Agreement Refinancing Indebtedness and (y) if such Credit Agreement Refinancing Indebtedness is Permitted First Priority Replacement Debt, Permitted Second Priority Replacement Debt and/or Permitted Unsecured Replacement Debt, in each case, that replaces or refinances any Credit Facility or any Incremental Credit Facility in its entirety, the terms and conditions applicable thereto (other than, for the avoidance of doubt pricing and optional repayment or redemption terms), shall either, at the option of the Borrower, (I) in the case of Credit Agreement Refinancing Indebtedness that is Permitted First Priority Replacement Debt, reflect market terms and conditions at the time of incurrence or effectiveness (as determined by the Borrower in good faith) or (II) be no more favorable in any material respect to the lenders providing such Indebtedness than those under the Loan Documents (as reasonably determined by the Borrower and the Administrative Agent in good faith) (other than, for the avoidance of doubt, covenants or other provisions applicable only after the Latest Maturity Date at the time such Credit Agreement Refinancing Indebtedness is incurred or issued), unless such terms and conditions are also added for the benefit of the Lenders under the Loan Documents. For the avoidance of doubt, (I) Credit Agreement Refinancing Indebtedness consisting of Other Term Loans or Other Revolving Commitments (including the corresponding Other Revolving Loans incurred pursuant to such Other Revolving Commitments) shall be subject to the requirements set forth in </w:t>
      </w:r>
      <w:r>
        <w:rPr>
          <w:rFonts w:ascii="Arial" w:cs="Arial" w:eastAsia="Arial" w:hAnsi="Arial"/>
          <w:sz w:val="19"/>
          <w:szCs w:val="19"/>
          <w:u w:val="single" w:color="auto"/>
          <w:color w:val="auto"/>
        </w:rPr>
        <w:t>Section 2.21</w:t>
      </w:r>
      <w:r>
        <w:rPr>
          <w:rFonts w:ascii="Arial" w:cs="Arial" w:eastAsia="Arial" w:hAnsi="Arial"/>
          <w:sz w:val="19"/>
          <w:szCs w:val="19"/>
          <w:color w:val="auto"/>
        </w:rPr>
        <w:t>, and (II) to the extent that such Credit Agreement Refinanced Debt consists, in whole or in part, of (A) Revolving Commitments or Other Revolving Commitments, such Revolving Commitments or Other Revolving Commitments or (B) Revolving Loans or Other Revolving Loans, the corresponding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13" w:name="page314"/>
    <w:bookmarkEnd w:id="313"/>
    <w:p>
      <w:pPr>
        <w:jc w:val="both"/>
        <w:spacing w:after="0" w:line="298" w:lineRule="auto"/>
        <w:rPr>
          <w:sz w:val="20"/>
          <w:szCs w:val="20"/>
          <w:color w:val="auto"/>
        </w:rPr>
      </w:pPr>
      <w:r>
        <w:rPr>
          <w:rFonts w:ascii="Arial" w:cs="Arial" w:eastAsia="Arial" w:hAnsi="Arial"/>
          <w:sz w:val="19"/>
          <w:szCs w:val="19"/>
          <w:color w:val="auto"/>
        </w:rPr>
        <w:t>Commitments or Other Revolving Commitments, in each case, shall be terminated, and all accrued fees in connection therewith shall be paid substantially contemporaneously with the incurrence of the Credit Agreement Refinancing Indebtedness.</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Event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Facility</w:t>
      </w:r>
      <w:r>
        <w:rPr>
          <w:rFonts w:ascii="Arial" w:cs="Arial" w:eastAsia="Arial" w:hAnsi="Arial"/>
          <w:sz w:val="22"/>
          <w:szCs w:val="22"/>
          <w:color w:val="auto"/>
        </w:rPr>
        <w:t>” means the Term Loans and the Revolving Credit Facility.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Amount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Right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SOFR</w:t>
      </w:r>
      <w:r>
        <w:rPr>
          <w:rFonts w:ascii="Arial" w:cs="Arial" w:eastAsia="Arial" w:hAnsi="Arial"/>
          <w:sz w:val="19"/>
          <w:szCs w:val="19"/>
          <w:color w:val="auto"/>
        </w:rPr>
        <w:t>” means, for any day (a “</w:t>
      </w:r>
      <w:r>
        <w:rPr>
          <w:rFonts w:ascii="Arial" w:cs="Arial" w:eastAsia="Arial" w:hAnsi="Arial"/>
          <w:sz w:val="19"/>
          <w:szCs w:val="19"/>
          <w:u w:val="single" w:color="auto"/>
          <w:color w:val="auto"/>
        </w:rPr>
        <w:t>SOFR Rate Day</w:t>
      </w:r>
      <w:r>
        <w:rPr>
          <w:rFonts w:ascii="Arial" w:cs="Arial" w:eastAsia="Arial" w:hAnsi="Arial"/>
          <w:sz w:val="19"/>
          <w:szCs w:val="19"/>
          <w:color w:val="auto"/>
        </w:rPr>
        <w:t>”), a rate per annum equal to the greater of (a) SOFR for the day (such day the “</w:t>
      </w:r>
      <w:r>
        <w:rPr>
          <w:rFonts w:ascii="Arial" w:cs="Arial" w:eastAsia="Arial" w:hAnsi="Arial"/>
          <w:sz w:val="19"/>
          <w:szCs w:val="19"/>
          <w:u w:val="single" w:color="auto"/>
          <w:color w:val="auto"/>
        </w:rPr>
        <w:t>SOFR Determination Date</w:t>
      </w:r>
      <w:r>
        <w:rPr>
          <w:rFonts w:ascii="Arial" w:cs="Arial" w:eastAsia="Arial" w:hAnsi="Arial"/>
          <w:sz w:val="19"/>
          <w:szCs w:val="19"/>
          <w:color w:val="auto"/>
        </w:rPr>
        <w:t xml:space="preserve">”) that is five Business Days (or such other period as determined by the Borrower and the Administrative Agent based on then prevailing market conventions) prior to (i) if such SOFR Rate Day is a Business Day, such SOFR Rate Day or (ii) if such SOFR Rate Day is not a Business Day, the Business Day immediately preceding such SOFR Rate Day, and (b) the Applicable Term SOFR Floor. If by 5:00 p.m. (New York City time) on the second Business Day immediately following any SOFR Determination Date, the SOFR in respect of such SOFR Determination Date has not been published on the Federal Reserve Bank of New York’s Website and a Replacement Event with respect to the Daily Simple SOFR has not occurred, then the SOFR for such SOFR Determination Date will be the SOFR as published in respect of the first preceding Business Day for which such SOFR was published on the Federal Reserve Bank of New York’s Website;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SOFR determined pursuant to this sentence shall be utilized for purposes of calculation of Daily Simple SOFR for no more than five consecutive Business Days.</w:t>
      </w:r>
    </w:p>
    <w:p>
      <w:pPr>
        <w:spacing w:after="0" w:line="38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Daily SOFR Loan</w:t>
      </w:r>
      <w:r>
        <w:rPr>
          <w:rFonts w:ascii="Arial" w:cs="Arial" w:eastAsia="Arial" w:hAnsi="Arial"/>
          <w:sz w:val="21"/>
          <w:szCs w:val="21"/>
          <w:color w:val="auto"/>
        </w:rPr>
        <w:t>” means any Loan bearing interest at a rate determined by reference to Daily Simple SOFR and made pursuant to clause (a)(ii) of the definition of “Term SOFR” or Section 2.14 (</w:t>
      </w:r>
      <w:r>
        <w:rPr>
          <w:rFonts w:ascii="Arial" w:cs="Arial" w:eastAsia="Arial" w:hAnsi="Arial"/>
          <w:sz w:val="21"/>
          <w:szCs w:val="21"/>
          <w:i w:val="1"/>
          <w:iCs w:val="1"/>
          <w:color w:val="auto"/>
        </w:rPr>
        <w:t>Alternate Rate of Interest</w:t>
      </w:r>
      <w:r>
        <w:rPr>
          <w:rFonts w:ascii="Arial" w:cs="Arial" w:eastAsia="Arial" w:hAnsi="Arial"/>
          <w:sz w:val="21"/>
          <w:szCs w:val="21"/>
          <w:color w:val="auto"/>
        </w:rPr>
        <w:t>).</w:t>
      </w:r>
    </w:p>
    <w:p>
      <w:pPr>
        <w:spacing w:after="0" w:line="15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Debtor Relief Laws</w:t>
      </w:r>
      <w:r>
        <w:rPr>
          <w:rFonts w:ascii="Arial" w:cs="Arial" w:eastAsia="Arial" w:hAnsi="Arial"/>
          <w:sz w:val="22"/>
          <w:szCs w:val="22"/>
          <w:color w:val="auto"/>
        </w:rPr>
        <w:t>” means the Bankruptcy Code and all other liquidation, conservatorship, bankruptcy, assignment for the benefit of creditors, moratorium, rearrangement, receivership, examinership, insolvency, reorganization or similar debtor relief laws of the United States or other applicable jurisdictions from time to time in effect and affecting the rights of creditors generally.</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Declined Proceeds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2.11(g)</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xml:space="preserve">” means any event or condition specified in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that after notice, lapse of applicable grace periods or both would, unless cured or waived hereunder, constitute an Event of Default;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spacing w:after="0" w:line="16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2.22(b)</w:t>
      </w:r>
      <w:r>
        <w:rPr>
          <w:rFonts w:ascii="Arial" w:cs="Arial" w:eastAsia="Arial" w:hAnsi="Arial"/>
          <w:sz w:val="19"/>
          <w:szCs w:val="19"/>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one or more conditions precedent to funding (each of which conditions precedent, together with any applicable default, shall be specifically identified in such writing) not being satisfied, or (ii) pay to the Administrative Agent, any Issuing Bank, or any other Lender any other amount required to be paid by it hereunder (including in respect of its participation in Letters of Credit) within two Business Days of the date when due, (b) has notified the Borrower, the Administrative Agent or any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14" w:name="page315"/>
    <w:bookmarkEnd w:id="314"/>
    <w:p>
      <w:pPr>
        <w:jc w:val="both"/>
        <w:spacing w:after="0"/>
        <w:rPr>
          <w:sz w:val="20"/>
          <w:szCs w:val="20"/>
          <w:color w:val="auto"/>
        </w:rPr>
      </w:pPr>
      <w:r>
        <w:rPr>
          <w:rFonts w:ascii="Arial" w:cs="Arial" w:eastAsia="Arial" w:hAnsi="Arial"/>
          <w:sz w:val="19"/>
          <w:szCs w:val="19"/>
          <w:color w:val="auto"/>
        </w:rPr>
        <w:t>Bank in writing that it does not intend to comply with its funding obligations hereunder, or has made a public statement to that effect,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receipt of such written confirmation by the Administrative Agent and the Borrower), or (d) has, or has a direct or indirect parent company that has, (i) become the subject of a proceeding under the Bankruptcy Code, (ii) had appointed for it a receiver, interim receiver, receiver-manager, custodian, conservator, trustee, administrator, assignee for the benefit of creditors or similar Person charged with reorganization or liquidation of its business or assets (other than via an Undisclosed Administration), including the Federal Deposit Insurance Corporation or any other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made in good faith by the Administrative Agent that a Lender is a Defaulting Lender under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shall be conclusive and binding absent manifest error, and such Lender shall be deemed to be a Defaulting Lender (subject to </w:t>
      </w:r>
      <w:r>
        <w:rPr>
          <w:rFonts w:ascii="Arial" w:cs="Arial" w:eastAsia="Arial" w:hAnsi="Arial"/>
          <w:sz w:val="19"/>
          <w:szCs w:val="19"/>
          <w:u w:val="single" w:color="auto"/>
          <w:color w:val="auto"/>
        </w:rPr>
        <w:t>Section 2.22(b)</w:t>
      </w:r>
      <w:r>
        <w:rPr>
          <w:rFonts w:ascii="Arial" w:cs="Arial" w:eastAsia="Arial" w:hAnsi="Arial"/>
          <w:sz w:val="19"/>
          <w:szCs w:val="19"/>
          <w:color w:val="auto"/>
        </w:rPr>
        <w:t>) upon delivery of written notice of such determination to the Borrower, each of the Issuing Banks and each Lender.</w:t>
      </w:r>
    </w:p>
    <w:p>
      <w:pPr>
        <w:spacing w:after="0" w:line="390"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Non-Cash Consideration</w:t>
      </w:r>
      <w:r>
        <w:rPr>
          <w:rFonts w:ascii="Arial" w:cs="Arial" w:eastAsia="Arial" w:hAnsi="Arial"/>
          <w:sz w:val="21"/>
          <w:szCs w:val="21"/>
          <w:color w:val="auto"/>
        </w:rPr>
        <w:t xml:space="preserve">” means the fair market value (as determined in good faith by the Borrower) of non-cash consideration received by the Borrower or one of the Restricted Subsidiaries in connection with a Disposition that is so designated as Designated Non-Cash Consideration pursuant to an officer’s certificate, setting forth the basis of such valuation,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Arial" w:cs="Arial" w:eastAsia="Arial" w:hAnsi="Arial"/>
          <w:sz w:val="21"/>
          <w:szCs w:val="21"/>
          <w:u w:val="single" w:color="auto"/>
          <w:color w:val="auto"/>
        </w:rPr>
        <w:t>Section 6.05</w:t>
      </w:r>
      <w:r>
        <w:rPr>
          <w:rFonts w:ascii="Arial" w:cs="Arial" w:eastAsia="Arial" w:hAnsi="Arial"/>
          <w:sz w:val="21"/>
          <w:szCs w:val="21"/>
          <w:color w:val="auto"/>
        </w:rPr>
        <w: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Disclosed Matters</w:t>
      </w:r>
      <w:r>
        <w:rPr>
          <w:rFonts w:ascii="Arial" w:cs="Arial" w:eastAsia="Arial" w:hAnsi="Arial"/>
          <w:sz w:val="21"/>
          <w:szCs w:val="21"/>
          <w:color w:val="auto"/>
        </w:rPr>
        <w:t>” means the actions, suits and proceedings and the environmental matters disclosed on</w:t>
      </w:r>
    </w:p>
    <w:p>
      <w:pPr>
        <w:spacing w:after="0"/>
        <w:rPr>
          <w:sz w:val="20"/>
          <w:szCs w:val="20"/>
          <w:color w:val="auto"/>
        </w:rPr>
      </w:pPr>
      <w:r>
        <w:rPr>
          <w:rFonts w:ascii="Arial" w:cs="Arial" w:eastAsia="Arial" w:hAnsi="Arial"/>
          <w:sz w:val="22"/>
          <w:szCs w:val="22"/>
          <w:u w:val="single" w:color="auto"/>
          <w:color w:val="auto"/>
        </w:rPr>
        <w:t>Schedule 3.06</w:t>
      </w:r>
      <w:r>
        <w:rPr>
          <w:rFonts w:ascii="Arial" w:cs="Arial" w:eastAsia="Arial" w:hAnsi="Arial"/>
          <w:sz w:val="22"/>
          <w:szCs w:val="22"/>
          <w:color w:val="auto"/>
        </w:rPr>
        <w:t>.</w:t>
      </w:r>
    </w:p>
    <w:p>
      <w:pPr>
        <w:spacing w:after="0" w:line="161"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Disposition</w:t>
      </w:r>
      <w:r>
        <w:rPr>
          <w:rFonts w:ascii="Arial" w:cs="Arial" w:eastAsia="Arial" w:hAnsi="Arial"/>
          <w:sz w:val="22"/>
          <w:szCs w:val="22"/>
          <w:color w:val="auto"/>
        </w:rPr>
        <w:t>” or “</w:t>
      </w:r>
      <w:r>
        <w:rPr>
          <w:rFonts w:ascii="Arial" w:cs="Arial" w:eastAsia="Arial" w:hAnsi="Arial"/>
          <w:sz w:val="22"/>
          <w:szCs w:val="22"/>
          <w:u w:val="single" w:color="auto"/>
          <w:color w:val="auto"/>
        </w:rPr>
        <w:t>Dispose</w:t>
      </w:r>
      <w:r>
        <w:rPr>
          <w:rFonts w:ascii="Arial" w:cs="Arial" w:eastAsia="Arial" w:hAnsi="Arial"/>
          <w:sz w:val="22"/>
          <w:szCs w:val="22"/>
          <w:color w:val="auto"/>
        </w:rPr>
        <w:t xml:space="preserve">” means the sale, transfer, license, lease (as lessor) or other disposition (including any Sale Leaseback transaction) of any property by any Person, including any sale, assignment, transfer or other disposal, with or without recourse, of any Equity Interests owned by such Person, or any notes or accounts receivable or any rights and claims associated therewith;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t>
      </w:r>
      <w:r>
        <w:rPr>
          <w:rFonts w:ascii="Arial" w:cs="Arial" w:eastAsia="Arial" w:hAnsi="Arial"/>
          <w:sz w:val="22"/>
          <w:szCs w:val="22"/>
          <w:u w:val="single" w:color="auto"/>
          <w:color w:val="auto"/>
        </w:rPr>
        <w:t>Disposition</w:t>
      </w:r>
      <w:r>
        <w:rPr>
          <w:rFonts w:ascii="Arial" w:cs="Arial" w:eastAsia="Arial" w:hAnsi="Arial"/>
          <w:sz w:val="22"/>
          <w:szCs w:val="22"/>
          <w:color w:val="auto"/>
        </w:rPr>
        <w:t xml:space="preserve"> ” and “</w:t>
      </w:r>
      <w:r>
        <w:rPr>
          <w:rFonts w:ascii="Arial" w:cs="Arial" w:eastAsia="Arial" w:hAnsi="Arial"/>
          <w:sz w:val="22"/>
          <w:szCs w:val="22"/>
          <w:u w:val="single" w:color="auto"/>
          <w:color w:val="auto"/>
        </w:rPr>
        <w:t>Dispose</w:t>
      </w:r>
      <w:r>
        <w:rPr>
          <w:rFonts w:ascii="Arial" w:cs="Arial" w:eastAsia="Arial" w:hAnsi="Arial"/>
          <w:sz w:val="22"/>
          <w:szCs w:val="22"/>
          <w:color w:val="auto"/>
        </w:rPr>
        <w:t xml:space="preserve">” shall be deemed not to include any issuance or sale by such Person of its Equity Interests or other securities to another Person, except for purposes of </w:t>
      </w:r>
      <w:r>
        <w:rPr>
          <w:rFonts w:ascii="Arial" w:cs="Arial" w:eastAsia="Arial" w:hAnsi="Arial"/>
          <w:sz w:val="22"/>
          <w:szCs w:val="22"/>
          <w:u w:val="single" w:color="auto"/>
          <w:color w:val="auto"/>
        </w:rPr>
        <w:t>Section 2.11(c)</w:t>
      </w:r>
      <w:r>
        <w:rPr>
          <w:rFonts w:ascii="Arial" w:cs="Arial" w:eastAsia="Arial" w:hAnsi="Arial"/>
          <w:sz w:val="22"/>
          <w:szCs w:val="22"/>
          <w:color w:val="auto"/>
        </w:rPr>
        <w:t xml:space="preserve"> and the definition of “Prepayment Event”, where the term “Disposition” and “Dispose” shall include any issuance or sale by a Restricted Subsidiary of Equity Interests.</w:t>
      </w:r>
    </w:p>
    <w:p>
      <w:pPr>
        <w:spacing w:after="0" w:line="164"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Disqualified Equity Interests</w:t>
      </w:r>
      <w:r>
        <w:rPr>
          <w:rFonts w:ascii="Arial" w:cs="Arial" w:eastAsia="Arial" w:hAnsi="Arial"/>
          <w:sz w:val="21"/>
          <w:szCs w:val="21"/>
          <w:color w:val="auto"/>
        </w:rPr>
        <w:t>” means Equity Interests that by their terms (or by the terms of any security into which they are convertible or for which they are exchangeable) (a) require the payment of any cash dividends (other than dividends payable solely in shares of Qualified Equity Interests), (b) mature or are mandatorily redeemable or subject to mandatory repurchase or redemption or repurchase at the option of the holders thereof, in whole or in part and whether upon the occurrence of any event, pursuant to a sinking fund obligation, on a fixed date or otherwise, prior to the date that is 91 days after the then Latest Maturity Date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15" w:name="page316"/>
    <w:bookmarkEnd w:id="315"/>
    <w:p>
      <w:pPr>
        <w:jc w:val="both"/>
        <w:spacing w:after="0" w:line="246" w:lineRule="auto"/>
        <w:rPr>
          <w:sz w:val="20"/>
          <w:szCs w:val="20"/>
          <w:color w:val="auto"/>
        </w:rPr>
      </w:pPr>
      <w:r>
        <w:rPr>
          <w:rFonts w:ascii="Arial" w:cs="Arial" w:eastAsia="Arial" w:hAnsi="Arial"/>
          <w:sz w:val="19"/>
          <w:szCs w:val="19"/>
          <w:color w:val="auto"/>
        </w:rPr>
        <w:t xml:space="preserve">of then outstanding Loans (other than (i) upon payment in full of the Obligations (other than contingent indemnification obligations for which no claim has been made), reduction of the LC Exposure to zero and termination of the Commitments or (ii) upon a “change in control”, asset sale, IPO or similar event) or (c) are convertible or exchangeable, automatically or at the option of any holder thereof, into any Indebtedness other than Indebtedness otherwise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Equity Interests are issued pursuant to a plan for the benefit of employees of any Parent Entity, any Holding Company, the Borrower or any Restricted Subsidiary or by any such plan to such employees, such Equity Interests shall not constitute Disqualified Equity Interests solely because they may be required to be repurchased by such entity in order to satisfy applicable statutory or regulatory obligations or as a result of such employee’s termination, death or disability.</w:t>
      </w:r>
    </w:p>
    <w:p>
      <w:pPr>
        <w:spacing w:after="0" w:line="152"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Lender</w:t>
      </w:r>
      <w:r>
        <w:rPr>
          <w:rFonts w:ascii="Arial" w:cs="Arial" w:eastAsia="Arial" w:hAnsi="Arial"/>
          <w:sz w:val="19"/>
          <w:szCs w:val="19"/>
          <w:color w:val="auto"/>
        </w:rPr>
        <w:t xml:space="preserve">” means (a) those Persons that are bona fide competitors of Holdings and its Subsidiaries that are identified by the Borrower in writing from time to time (or Affiliates of any such competitors (other than Bona Fide Debt Funds) that are (x) clearly identifiable as Affiliates solely on the basis of similarity of name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have no obligation to carry out due diligence in order to identify such Affiliates) or (y) identified by the Borrower in writing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identification of any such Disqualified Lender after the Closing Date shall become effective three Business Days after delivery to the Administrative Agent;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supplement shall not apply retroactively to disqualify any Person that previously acquired an assignment or participation in any Credit Facility, but shall prevent any such Person from acquiring further Loans or Commitments), (b) those banks, financial institutions and other Persons separately identified by Holdings or any Sponsor to the Administrative Agent prior to August 3, 2018 (and, in each case, such specified entities’ Affiliates that are clearly identifiable as Affiliates solely on the basis of similarity of name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have no obligation to carry out due diligence in order to identify such Affiliates)) and (c) Excluded Affiliates. A list of the Disqualified Lenders shall be provided by the Administrative Agent to a Lender upon its request in connection with an assignment or participation.</w:t>
      </w:r>
    </w:p>
    <w:p>
      <w:pPr>
        <w:spacing w:after="0" w:line="3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Division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Equivalent</w:t>
      </w:r>
      <w:r>
        <w:rPr>
          <w:rFonts w:ascii="Arial" w:cs="Arial" w:eastAsia="Arial" w:hAnsi="Arial"/>
          <w:sz w:val="19"/>
          <w:szCs w:val="19"/>
          <w:color w:val="auto"/>
        </w:rPr>
        <w:t>” means, on any date of determination, (a) with respect to any amount in Dollars, such amount, and (b) with respect to any amount in an Alternative Currency, the equivalent in Dollars of such amount, determined by using the rate of exchange for the purchase of Dollars with respect to such Alternative Currency in the London foreign exchange market at or about 11:00 a.m. London time (or New York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the lawful money of the United States.</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that is incorporated or organized under the laws of the United States, any State thereof or the District of Columbia.</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Dutch Auction</w:t>
      </w:r>
      <w:r>
        <w:rPr>
          <w:rFonts w:ascii="Arial" w:cs="Arial" w:eastAsia="Arial" w:hAnsi="Arial"/>
          <w:sz w:val="22"/>
          <w:szCs w:val="22"/>
          <w:color w:val="auto"/>
        </w:rPr>
        <w:t xml:space="preserve"> ” means an auction (an “</w:t>
      </w:r>
      <w:r>
        <w:rPr>
          <w:rFonts w:ascii="Arial" w:cs="Arial" w:eastAsia="Arial" w:hAnsi="Arial"/>
          <w:sz w:val="22"/>
          <w:szCs w:val="22"/>
          <w:u w:val="single" w:color="auto"/>
          <w:color w:val="auto"/>
        </w:rPr>
        <w:t>Auction</w:t>
      </w:r>
      <w:r>
        <w:rPr>
          <w:rFonts w:ascii="Arial" w:cs="Arial" w:eastAsia="Arial" w:hAnsi="Arial"/>
          <w:sz w:val="22"/>
          <w:szCs w:val="22"/>
          <w:color w:val="auto"/>
        </w:rPr>
        <w:t>”) conducted by Holdings or one or more of its Restricted Subsidiaries (in such capacity, as applicable, the “</w:t>
      </w:r>
      <w:r>
        <w:rPr>
          <w:rFonts w:ascii="Arial" w:cs="Arial" w:eastAsia="Arial" w:hAnsi="Arial"/>
          <w:sz w:val="22"/>
          <w:szCs w:val="22"/>
          <w:u w:val="single" w:color="auto"/>
          <w:color w:val="auto"/>
        </w:rPr>
        <w:t>Auction Party</w:t>
      </w:r>
      <w:r>
        <w:rPr>
          <w:rFonts w:ascii="Arial" w:cs="Arial" w:eastAsia="Arial" w:hAnsi="Arial"/>
          <w:sz w:val="22"/>
          <w:szCs w:val="22"/>
          <w:color w:val="auto"/>
        </w:rPr>
        <w:t>”) in their sole discretion in order to purchase Term Loans in accordance with the following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16" w:name="page317"/>
    <w:bookmarkEnd w:id="316"/>
    <w:p>
      <w:pPr>
        <w:jc w:val="both"/>
        <w:ind w:left="1300" w:firstLine="652"/>
        <w:spacing w:after="0" w:line="241" w:lineRule="auto"/>
        <w:tabs>
          <w:tab w:leader="none" w:pos="2496" w:val="left"/>
        </w:tabs>
        <w:numPr>
          <w:ilvl w:val="1"/>
          <w:numId w:val="333"/>
        </w:numPr>
        <w:rPr>
          <w:rFonts w:ascii="Arial" w:cs="Arial" w:eastAsia="Arial" w:hAnsi="Arial"/>
          <w:sz w:val="19"/>
          <w:szCs w:val="19"/>
          <w:color w:val="auto"/>
        </w:rPr>
      </w:pPr>
      <w:r>
        <w:rPr>
          <w:rFonts w:ascii="Arial" w:cs="Arial" w:eastAsia="Arial" w:hAnsi="Arial"/>
          <w:sz w:val="19"/>
          <w:szCs w:val="19"/>
          <w:u w:val="single" w:color="auto"/>
          <w:color w:val="auto"/>
        </w:rPr>
        <w:t>Notice Procedures</w:t>
      </w:r>
      <w:r>
        <w:rPr>
          <w:rFonts w:ascii="Arial" w:cs="Arial" w:eastAsia="Arial" w:hAnsi="Arial"/>
          <w:sz w:val="19"/>
          <w:szCs w:val="19"/>
          <w:color w:val="auto"/>
        </w:rPr>
        <w:t>. In connection with an Auction, the Auction Party will provide notification to the auction manager (for distribution to the Term Lenders of the relevant Class of Term Loans that are the subject of the Auction (the “</w:t>
      </w:r>
      <w:r>
        <w:rPr>
          <w:rFonts w:ascii="Arial" w:cs="Arial" w:eastAsia="Arial" w:hAnsi="Arial"/>
          <w:sz w:val="19"/>
          <w:szCs w:val="19"/>
          <w:u w:val="single" w:color="auto"/>
          <w:color w:val="auto"/>
        </w:rPr>
        <w:t>Eligible Auction Lenders</w:t>
      </w:r>
      <w:r>
        <w:rPr>
          <w:rFonts w:ascii="Arial" w:cs="Arial" w:eastAsia="Arial" w:hAnsi="Arial"/>
          <w:sz w:val="19"/>
          <w:szCs w:val="19"/>
          <w:color w:val="auto"/>
        </w:rPr>
        <w:t>”) and the Administrative Agent) of the Class and principal amount of Term Loans that will be the subject of the Auction (an “</w:t>
      </w:r>
      <w:r>
        <w:rPr>
          <w:rFonts w:ascii="Arial" w:cs="Arial" w:eastAsia="Arial" w:hAnsi="Arial"/>
          <w:sz w:val="19"/>
          <w:szCs w:val="19"/>
          <w:u w:val="single" w:color="auto"/>
          <w:color w:val="auto"/>
        </w:rPr>
        <w:t>Auction Notice</w:t>
      </w:r>
      <w:r>
        <w:rPr>
          <w:rFonts w:ascii="Arial" w:cs="Arial" w:eastAsia="Arial" w:hAnsi="Arial"/>
          <w:sz w:val="19"/>
          <w:szCs w:val="19"/>
          <w:color w:val="auto"/>
        </w:rPr>
        <w:t>”). Each Auction Notice shall contain (i) the Class of Term Loans that will be the subject of the Auction, (ii) the total cash value of the bid (the “</w:t>
      </w:r>
      <w:r>
        <w:rPr>
          <w:rFonts w:ascii="Arial" w:cs="Arial" w:eastAsia="Arial" w:hAnsi="Arial"/>
          <w:sz w:val="19"/>
          <w:szCs w:val="19"/>
          <w:u w:val="single" w:color="auto"/>
          <w:color w:val="auto"/>
        </w:rPr>
        <w:t>Auction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in a minimum amount of $1,000,000 with minimum increments of $500,000, (iii) the discount to par, which shall be a range (the “</w:t>
      </w:r>
      <w:r>
        <w:rPr>
          <w:rFonts w:ascii="Arial" w:cs="Arial" w:eastAsia="Arial" w:hAnsi="Arial"/>
          <w:sz w:val="19"/>
          <w:szCs w:val="19"/>
          <w:u w:val="single" w:color="auto"/>
          <w:color w:val="auto"/>
        </w:rPr>
        <w:t>Discount Range</w:t>
      </w:r>
      <w:r>
        <w:rPr>
          <w:rFonts w:ascii="Arial" w:cs="Arial" w:eastAsia="Arial" w:hAnsi="Arial"/>
          <w:sz w:val="19"/>
          <w:szCs w:val="19"/>
          <w:color w:val="auto"/>
        </w:rPr>
        <w:t>”) of percentages of the par principal amount of the Term Loans (</w:t>
      </w:r>
      <w:r>
        <w:rPr>
          <w:rFonts w:ascii="Arial" w:cs="Arial" w:eastAsia="Arial" w:hAnsi="Arial"/>
          <w:sz w:val="19"/>
          <w:szCs w:val="19"/>
          <w:u w:val="single" w:color="auto"/>
          <w:color w:val="auto"/>
        </w:rPr>
        <w:t>i.e.</w:t>
      </w:r>
      <w:r>
        <w:rPr>
          <w:rFonts w:ascii="Arial" w:cs="Arial" w:eastAsia="Arial" w:hAnsi="Arial"/>
          <w:sz w:val="19"/>
          <w:szCs w:val="19"/>
          <w:color w:val="auto"/>
        </w:rPr>
        <w:t xml:space="preserve">, a 5% to 10% Discount Range would represent $50,000 to $100,000 per $1,000,000 principal amount of Term Loans, with a 10% discount being deemed a “higher” discount than 5% for purposes of an Auction) at issue that represents the discounts applied to calculate the range of purchase prices that could be paid in the Auction;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Discount Range may, at the option of the Auction Party, be a single percentage, (iv) the date on which the Auction will conclude, on which date Return Bids will be due at the time provided in the Auction Notice (such time, the “</w:t>
      </w:r>
      <w:r>
        <w:rPr>
          <w:rFonts w:ascii="Arial" w:cs="Arial" w:eastAsia="Arial" w:hAnsi="Arial"/>
          <w:sz w:val="19"/>
          <w:szCs w:val="19"/>
          <w:u w:val="single" w:color="auto"/>
          <w:color w:val="auto"/>
        </w:rPr>
        <w:t>Auction Expiration Time</w:t>
      </w:r>
      <w:r>
        <w:rPr>
          <w:rFonts w:ascii="Arial" w:cs="Arial" w:eastAsia="Arial" w:hAnsi="Arial"/>
          <w:sz w:val="19"/>
          <w:szCs w:val="19"/>
          <w:color w:val="auto"/>
        </w:rPr>
        <w:t>”), as such date and time may be extended upon notice by the Auction Party to the auction manager before any prior Auction Expiration Time, and (v) the identity of the auction manager, and shall indicate if such auction manager is an Affiliate of Holdings. Each offer to purchase Term Loans in an Auction shall be offered on a pro rata basis to all the Eligible Auction Lenders.</w:t>
      </w:r>
    </w:p>
    <w:p>
      <w:pPr>
        <w:spacing w:after="0" w:line="161" w:lineRule="exact"/>
        <w:rPr>
          <w:rFonts w:ascii="Arial" w:cs="Arial" w:eastAsia="Arial" w:hAnsi="Arial"/>
          <w:sz w:val="19"/>
          <w:szCs w:val="19"/>
          <w:color w:val="auto"/>
        </w:rPr>
      </w:pPr>
    </w:p>
    <w:p>
      <w:pPr>
        <w:jc w:val="both"/>
        <w:ind w:left="1300" w:firstLine="652"/>
        <w:spacing w:after="0"/>
        <w:tabs>
          <w:tab w:leader="none" w:pos="2547" w:val="left"/>
        </w:tabs>
        <w:numPr>
          <w:ilvl w:val="1"/>
          <w:numId w:val="333"/>
        </w:numPr>
        <w:rPr>
          <w:rFonts w:ascii="Arial" w:cs="Arial" w:eastAsia="Arial" w:hAnsi="Arial"/>
          <w:sz w:val="19"/>
          <w:szCs w:val="19"/>
          <w:color w:val="auto"/>
        </w:rPr>
      </w:pPr>
      <w:r>
        <w:rPr>
          <w:rFonts w:ascii="Arial" w:cs="Arial" w:eastAsia="Arial" w:hAnsi="Arial"/>
          <w:sz w:val="19"/>
          <w:szCs w:val="19"/>
          <w:u w:val="single" w:color="auto"/>
          <w:color w:val="auto"/>
        </w:rPr>
        <w:t>Reply Procedures</w:t>
      </w:r>
      <w:r>
        <w:rPr>
          <w:rFonts w:ascii="Arial" w:cs="Arial" w:eastAsia="Arial" w:hAnsi="Arial"/>
          <w:sz w:val="19"/>
          <w:szCs w:val="19"/>
          <w:color w:val="auto"/>
        </w:rPr>
        <w:t>. In connection with any Auction, each Eligible Auction Lender may, in its sole discretion, participate in such Auction and, if it elects to do so (any such participating Eligible Auction Lender, a “</w:t>
      </w:r>
      <w:r>
        <w:rPr>
          <w:rFonts w:ascii="Arial" w:cs="Arial" w:eastAsia="Arial" w:hAnsi="Arial"/>
          <w:sz w:val="19"/>
          <w:szCs w:val="19"/>
          <w:u w:val="single" w:color="auto"/>
          <w:color w:val="auto"/>
        </w:rPr>
        <w:t>Participating Lender</w:t>
      </w:r>
      <w:r>
        <w:rPr>
          <w:rFonts w:ascii="Arial" w:cs="Arial" w:eastAsia="Arial" w:hAnsi="Arial"/>
          <w:sz w:val="19"/>
          <w:szCs w:val="19"/>
          <w:color w:val="auto"/>
        </w:rPr>
        <w:t>”), shall provide, prior to the Auction Expiration Time, the auction manager with a notice of participation (the “</w:t>
      </w:r>
      <w:r>
        <w:rPr>
          <w:rFonts w:ascii="Arial" w:cs="Arial" w:eastAsia="Arial" w:hAnsi="Arial"/>
          <w:sz w:val="19"/>
          <w:szCs w:val="19"/>
          <w:u w:val="single" w:color="auto"/>
          <w:color w:val="auto"/>
        </w:rPr>
        <w:t>Return Bid</w:t>
      </w:r>
      <w:r>
        <w:rPr>
          <w:rFonts w:ascii="Arial" w:cs="Arial" w:eastAsia="Arial" w:hAnsi="Arial"/>
          <w:sz w:val="19"/>
          <w:szCs w:val="19"/>
          <w:color w:val="auto"/>
        </w:rPr>
        <w:t>”) which shall be in a form and substance prepared by the Borrower and shall specify (i) a discount to par that must be expressed as a percentage of par principal amount of Term Loans of the relevant Class expressed in percentages (the “</w:t>
      </w:r>
      <w:r>
        <w:rPr>
          <w:rFonts w:ascii="Arial" w:cs="Arial" w:eastAsia="Arial" w:hAnsi="Arial"/>
          <w:sz w:val="19"/>
          <w:szCs w:val="19"/>
          <w:u w:val="single" w:color="auto"/>
          <w:color w:val="auto"/>
        </w:rPr>
        <w:t>Reply Discount</w:t>
      </w:r>
      <w:r>
        <w:rPr>
          <w:rFonts w:ascii="Arial" w:cs="Arial" w:eastAsia="Arial" w:hAnsi="Arial"/>
          <w:sz w:val="19"/>
          <w:szCs w:val="19"/>
          <w:color w:val="auto"/>
        </w:rPr>
        <w:t>”), which must be within the Discount Range, and</w:t>
      </w:r>
    </w:p>
    <w:p>
      <w:pPr>
        <w:spacing w:after="0" w:line="3" w:lineRule="exact"/>
        <w:rPr>
          <w:rFonts w:ascii="Arial" w:cs="Arial" w:eastAsia="Arial" w:hAnsi="Arial"/>
          <w:sz w:val="19"/>
          <w:szCs w:val="19"/>
          <w:color w:val="auto"/>
        </w:rPr>
      </w:pPr>
    </w:p>
    <w:p>
      <w:pPr>
        <w:jc w:val="both"/>
        <w:ind w:left="1300" w:firstLine="4"/>
        <w:spacing w:after="0" w:line="218" w:lineRule="auto"/>
        <w:tabs>
          <w:tab w:leader="none" w:pos="1633" w:val="left"/>
        </w:tabs>
        <w:numPr>
          <w:ilvl w:val="0"/>
          <w:numId w:val="334"/>
        </w:numPr>
        <w:rPr>
          <w:rFonts w:ascii="Arial" w:cs="Arial" w:eastAsia="Arial" w:hAnsi="Arial"/>
          <w:sz w:val="21"/>
          <w:szCs w:val="21"/>
          <w:color w:val="auto"/>
        </w:rPr>
      </w:pPr>
      <w:r>
        <w:rPr>
          <w:rFonts w:ascii="Arial" w:cs="Arial" w:eastAsia="Arial" w:hAnsi="Arial"/>
          <w:sz w:val="21"/>
          <w:szCs w:val="21"/>
          <w:color w:val="auto"/>
        </w:rPr>
        <w:t>a principal amount of Term Loans of the relevant Class, which must be in increments of $500,000, that such Eligible Auction Lender is willing to offer for sale at its Reply Discount (the “</w:t>
      </w:r>
      <w:r>
        <w:rPr>
          <w:rFonts w:ascii="Arial" w:cs="Arial" w:eastAsia="Arial" w:hAnsi="Arial"/>
          <w:sz w:val="21"/>
          <w:szCs w:val="21"/>
          <w:u w:val="single" w:color="auto"/>
          <w:color w:val="auto"/>
        </w:rPr>
        <w:t>Reply Amount</w:t>
      </w:r>
      <w:r>
        <w:rPr>
          <w:rFonts w:ascii="Arial" w:cs="Arial" w:eastAsia="Arial" w:hAnsi="Arial"/>
          <w:sz w:val="21"/>
          <w:szCs w:val="21"/>
          <w:color w:val="auto"/>
        </w:rPr>
        <w:t xml:space="preserve">”). An Eligible Auction Lender may avoid the minimum increment amount condition solely when submitting a Reply Amount equal to such Eligible Auction Lender’s entire remaining amount of such Term Loans. Eligible Auction Lenders may only submit one Return Bid per Auction but each Return Bid may contain up to three bids, only one of which can result in a Qualifying Bid (as defined below). In addition to the Return Bid, each Participating Lender must execute and deliver, to be irrevocable during the pendency of the Auction and held in escrow by the auction manager, an assignment agreement pursuant to which such Participating Lender shall make the representations and agreements substantially consistent with the terms of </w:t>
      </w:r>
      <w:r>
        <w:rPr>
          <w:rFonts w:ascii="Arial" w:cs="Arial" w:eastAsia="Arial" w:hAnsi="Arial"/>
          <w:sz w:val="21"/>
          <w:szCs w:val="21"/>
          <w:u w:val="single" w:color="auto"/>
          <w:color w:val="auto"/>
        </w:rPr>
        <w:t>Section 2.11(i)(C)</w:t>
      </w:r>
      <w:r>
        <w:rPr>
          <w:rFonts w:ascii="Arial" w:cs="Arial" w:eastAsia="Arial" w:hAnsi="Arial"/>
          <w:sz w:val="21"/>
          <w:szCs w:val="21"/>
          <w:color w:val="auto"/>
        </w:rPr>
        <w:t>. Any Eligible Auction Lender that fails to submit a Return Bid at or prior to the Auction Expiration Time shall be deemed to have declined to participate in the Auction.</w:t>
      </w:r>
    </w:p>
    <w:p>
      <w:pPr>
        <w:spacing w:after="0" w:line="161" w:lineRule="exact"/>
        <w:rPr>
          <w:rFonts w:ascii="Arial" w:cs="Arial" w:eastAsia="Arial" w:hAnsi="Arial"/>
          <w:sz w:val="21"/>
          <w:szCs w:val="21"/>
          <w:color w:val="auto"/>
        </w:rPr>
      </w:pPr>
    </w:p>
    <w:p>
      <w:pPr>
        <w:jc w:val="both"/>
        <w:ind w:left="1300" w:firstLine="652"/>
        <w:spacing w:after="0" w:line="216" w:lineRule="auto"/>
        <w:tabs>
          <w:tab w:leader="none" w:pos="2503" w:val="left"/>
        </w:tabs>
        <w:numPr>
          <w:ilvl w:val="1"/>
          <w:numId w:val="334"/>
        </w:numPr>
        <w:rPr>
          <w:rFonts w:ascii="Arial" w:cs="Arial" w:eastAsia="Arial" w:hAnsi="Arial"/>
          <w:sz w:val="22"/>
          <w:szCs w:val="22"/>
          <w:color w:val="auto"/>
        </w:rPr>
      </w:pPr>
      <w:r>
        <w:rPr>
          <w:rFonts w:ascii="Arial" w:cs="Arial" w:eastAsia="Arial" w:hAnsi="Arial"/>
          <w:sz w:val="22"/>
          <w:szCs w:val="22"/>
          <w:u w:val="single" w:color="auto"/>
          <w:color w:val="auto"/>
        </w:rPr>
        <w:t>Acceptance Procedures</w:t>
      </w:r>
      <w:r>
        <w:rPr>
          <w:rFonts w:ascii="Arial" w:cs="Arial" w:eastAsia="Arial" w:hAnsi="Arial"/>
          <w:sz w:val="22"/>
          <w:szCs w:val="22"/>
          <w:color w:val="auto"/>
        </w:rPr>
        <w:t>. Based on the Reply Discounts and Reply Amounts received by the auction manager, the auction manager, with the consent of the Auction Party, will, within ten (10) Business Days of the Auction Notice (or such other time agreed by the Borrower), determine the applicable discount (the “</w:t>
      </w:r>
      <w:r>
        <w:rPr>
          <w:rFonts w:ascii="Arial" w:cs="Arial" w:eastAsia="Arial" w:hAnsi="Arial"/>
          <w:sz w:val="22"/>
          <w:szCs w:val="22"/>
          <w:u w:val="single" w:color="auto"/>
          <w:color w:val="auto"/>
        </w:rPr>
        <w:t>Applicable</w:t>
      </w:r>
      <w:r>
        <w:rPr>
          <w:rFonts w:ascii="Arial" w:cs="Arial" w:eastAsia="Arial" w:hAnsi="Arial"/>
          <w:sz w:val="22"/>
          <w:szCs w:val="22"/>
          <w:color w:val="auto"/>
        </w:rPr>
        <w:t xml:space="preserve"> </w:t>
      </w:r>
      <w:r>
        <w:rPr>
          <w:rFonts w:ascii="Arial" w:cs="Arial" w:eastAsia="Arial" w:hAnsi="Arial"/>
          <w:sz w:val="22"/>
          <w:szCs w:val="22"/>
          <w:u w:val="single" w:color="auto"/>
          <w:color w:val="auto"/>
        </w:rPr>
        <w:t>Discount</w:t>
      </w:r>
      <w:r>
        <w:rPr>
          <w:rFonts w:ascii="Arial" w:cs="Arial" w:eastAsia="Arial" w:hAnsi="Arial"/>
          <w:sz w:val="22"/>
          <w:szCs w:val="22"/>
          <w:color w:val="auto"/>
        </w:rPr>
        <w:t>”) for the Auction, which will be the highest Reply Discount at which the Auction Party can complete the Auction at the Auction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17" w:name="page318"/>
    <w:bookmarkEnd w:id="317"/>
    <w:p>
      <w:pPr>
        <w:ind w:left="1300"/>
        <w:spacing w:after="0" w:line="247" w:lineRule="auto"/>
        <w:rPr>
          <w:sz w:val="20"/>
          <w:szCs w:val="20"/>
          <w:color w:val="auto"/>
        </w:rPr>
      </w:pPr>
      <w:r>
        <w:rPr>
          <w:rFonts w:ascii="Arial" w:cs="Arial" w:eastAsia="Arial" w:hAnsi="Arial"/>
          <w:sz w:val="19"/>
          <w:szCs w:val="19"/>
          <w:color w:val="auto"/>
        </w:rPr>
        <w:t xml:space="preserve">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Reply Amounts are insufficient to allow the Auction Party to complete a purchase of the entire Auction Amount, the Auction Party shall either, at its election, (i) withdraw the Auction or</w:t>
      </w:r>
    </w:p>
    <w:p>
      <w:pPr>
        <w:jc w:val="both"/>
        <w:ind w:left="1300" w:firstLine="4"/>
        <w:spacing w:after="0"/>
        <w:tabs>
          <w:tab w:leader="none" w:pos="1643" w:val="left"/>
        </w:tabs>
        <w:numPr>
          <w:ilvl w:val="0"/>
          <w:numId w:val="335"/>
        </w:numPr>
        <w:rPr>
          <w:rFonts w:ascii="Arial" w:cs="Arial" w:eastAsia="Arial" w:hAnsi="Arial"/>
          <w:sz w:val="19"/>
          <w:szCs w:val="19"/>
          <w:color w:val="auto"/>
        </w:rPr>
      </w:pPr>
      <w:r>
        <w:rPr>
          <w:rFonts w:ascii="Arial" w:cs="Arial" w:eastAsia="Arial" w:hAnsi="Arial"/>
          <w:sz w:val="19"/>
          <w:szCs w:val="19"/>
          <w:color w:val="auto"/>
        </w:rPr>
        <w:t>complete the Auction as set forth below. Unless withdrawn, the Auction Party shall notify the Participating Lenders of the Applicable Discount no later than one Business Day after it is determined (the “</w:t>
      </w:r>
      <w:r>
        <w:rPr>
          <w:rFonts w:ascii="Arial" w:cs="Arial" w:eastAsia="Arial" w:hAnsi="Arial"/>
          <w:sz w:val="19"/>
          <w:szCs w:val="19"/>
          <w:u w:val="single" w:color="auto"/>
          <w:color w:val="auto"/>
        </w:rPr>
        <w:t>Applicable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Discount Notice</w:t>
      </w:r>
      <w:r>
        <w:rPr>
          <w:rFonts w:ascii="Arial" w:cs="Arial" w:eastAsia="Arial" w:hAnsi="Arial"/>
          <w:sz w:val="19"/>
          <w:szCs w:val="19"/>
          <w:color w:val="auto"/>
        </w:rPr>
        <w:t>”). The Auction Party shall, within three Business Days of the Applicable Discount Notice, purchase Term Loans from each Participating Lender with a Reply Discount that is equal to or higher than the Applicable Discount (“</w:t>
      </w:r>
      <w:r>
        <w:rPr>
          <w:rFonts w:ascii="Arial" w:cs="Arial" w:eastAsia="Arial" w:hAnsi="Arial"/>
          <w:sz w:val="19"/>
          <w:szCs w:val="19"/>
          <w:u w:val="single" w:color="auto"/>
          <w:color w:val="auto"/>
        </w:rPr>
        <w:t>Qualifying Bids</w:t>
      </w:r>
      <w:r>
        <w:rPr>
          <w:rFonts w:ascii="Arial" w:cs="Arial" w:eastAsia="Arial" w:hAnsi="Arial"/>
          <w:sz w:val="19"/>
          <w:szCs w:val="19"/>
          <w:color w:val="auto"/>
        </w:rPr>
        <w:t>”) at a discount to par equal to the Reply Discount of such Participating Lender, with the applicable Term Loans of the Participating Lender(s) with the highest Reply Discount being purchased first and then in descending order from such highest Reply Discount to and including the applicable Term Loans of the Participating Lenders with a Reply Discount equal to the Applicable Discount (the “</w:t>
      </w:r>
      <w:r>
        <w:rPr>
          <w:rFonts w:ascii="Arial" w:cs="Arial" w:eastAsia="Arial" w:hAnsi="Arial"/>
          <w:sz w:val="19"/>
          <w:szCs w:val="19"/>
          <w:u w:val="single" w:color="auto"/>
          <w:color w:val="auto"/>
        </w:rPr>
        <w:t>Applicable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Order of 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aggregate proceeds required to purchase all Term Loans of the relevant Class subject to Qualifying Bids would exceed the Auction Amount for such Auction, the Auction Party shall purchase such Term Loans of the Participating Lenders in the Applicable Order of Purchase, but with the Term Loans of Participating Lenders with Reply Discounts equal to the Applicable Discount being purchased pro rata until the Auction Amount has been so expended on such purchases. If a Participating Lender has submitted a Return Bid containing multiple bids at different Reply Discounts, only the bid with the highest Reply Discount that is equal to or more than the Applicable Discount will be deemed the Qualifying Bid of such Participating Lender. In no event shall any purchase of Term Loans in an Auction be made at a Reply Discount lower than the Applicable Discount for such Auction.</w:t>
      </w:r>
    </w:p>
    <w:p>
      <w:pPr>
        <w:spacing w:after="0" w:line="374" w:lineRule="exact"/>
        <w:rPr>
          <w:rFonts w:ascii="Arial" w:cs="Arial" w:eastAsia="Arial" w:hAnsi="Arial"/>
          <w:sz w:val="19"/>
          <w:szCs w:val="19"/>
          <w:color w:val="auto"/>
        </w:rPr>
      </w:pPr>
    </w:p>
    <w:p>
      <w:pPr>
        <w:jc w:val="both"/>
        <w:ind w:left="1300" w:firstLine="652"/>
        <w:spacing w:after="0" w:line="212" w:lineRule="auto"/>
        <w:tabs>
          <w:tab w:leader="none" w:pos="2573" w:val="left"/>
        </w:tabs>
        <w:numPr>
          <w:ilvl w:val="1"/>
          <w:numId w:val="335"/>
        </w:numPr>
        <w:rPr>
          <w:rFonts w:ascii="Arial" w:cs="Arial" w:eastAsia="Arial" w:hAnsi="Arial"/>
          <w:sz w:val="22"/>
          <w:szCs w:val="22"/>
          <w:color w:val="auto"/>
        </w:rPr>
      </w:pPr>
      <w:r>
        <w:rPr>
          <w:rFonts w:ascii="Arial" w:cs="Arial" w:eastAsia="Arial" w:hAnsi="Arial"/>
          <w:sz w:val="22"/>
          <w:szCs w:val="22"/>
          <w:u w:val="single" w:color="auto"/>
          <w:color w:val="auto"/>
        </w:rPr>
        <w:t>Additional Procedures</w:t>
      </w:r>
      <w:r>
        <w:rPr>
          <w:rFonts w:ascii="Arial" w:cs="Arial" w:eastAsia="Arial" w:hAnsi="Arial"/>
          <w:sz w:val="22"/>
          <w:szCs w:val="22"/>
          <w:color w:val="auto"/>
        </w:rPr>
        <w:t>. Once initiated by an Auction Notice, the Auction Party may withdraw or modify an Auction only prior to the delivery of the Applicable Discount Notice (and if any Auction is withdrawn or modified, notice thereof shall be delivered to the Administrative Agent and the Eligible Auction Lenders no later than the first Business Day after such withdrawal). Furthermore, in connection with any Auction, upon submission by a Participating Lender of the relevant Class of a Qualifying Bid, such Term Lender will be obligated to sell the entirety or its allocable portion of the Reply Amount, as the case may be, at the Reply Discount.</w:t>
      </w:r>
    </w:p>
    <w:p>
      <w:pPr>
        <w:spacing w:after="0" w:line="163" w:lineRule="exact"/>
        <w:rPr>
          <w:rFonts w:ascii="Arial" w:cs="Arial" w:eastAsia="Arial" w:hAnsi="Arial"/>
          <w:sz w:val="22"/>
          <w:szCs w:val="22"/>
          <w:color w:val="auto"/>
        </w:rPr>
      </w:pPr>
    </w:p>
    <w:p>
      <w:pPr>
        <w:ind w:left="1300" w:firstLine="652"/>
        <w:spacing w:after="0" w:line="247" w:lineRule="auto"/>
        <w:tabs>
          <w:tab w:leader="none" w:pos="2473" w:val="left"/>
        </w:tabs>
        <w:numPr>
          <w:ilvl w:val="1"/>
          <w:numId w:val="335"/>
        </w:numPr>
        <w:rPr>
          <w:rFonts w:ascii="Arial" w:cs="Arial" w:eastAsia="Arial" w:hAnsi="Arial"/>
          <w:sz w:val="21"/>
          <w:szCs w:val="21"/>
          <w:color w:val="auto"/>
        </w:rPr>
      </w:pPr>
      <w:r>
        <w:rPr>
          <w:rFonts w:ascii="Arial" w:cs="Arial" w:eastAsia="Arial" w:hAnsi="Arial"/>
          <w:sz w:val="21"/>
          <w:szCs w:val="21"/>
          <w:color w:val="auto"/>
        </w:rPr>
        <w:t xml:space="preserve">Any failure by such Loan Party or such Subsidiary to make any prepayment to a Lender pursuant to this definition shall not constitute a Default or Event of Default under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or otherwise.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ECF Due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2.11(d)</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this definition, or (c) any financial institution established in an EEA Member Country which is a subsidiary of an institution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definition and is subject to consolidated supervision with its parent.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xml:space="preserve"> means any of the member states of the European Union, Iceland, Liechtenstein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18" w:name="page319"/>
    <w:bookmarkEnd w:id="318"/>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Electing Guarantors</w:t>
      </w:r>
      <w:r>
        <w:rPr>
          <w:rFonts w:ascii="Arial" w:cs="Arial" w:eastAsia="Arial" w:hAnsi="Arial"/>
          <w:sz w:val="22"/>
          <w:szCs w:val="22"/>
          <w:color w:val="auto"/>
        </w:rPr>
        <w:t>” means any Excluded Subsidiary that, at the option, and in the sole discretion, of the Borrower has been designated a Loan Party and is reasonably acceptable to the Administrative Agent.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means (i) any Lender, any Affiliate of any Lender and any Approved Fund of any Lender; (ii)</w:t>
      </w:r>
    </w:p>
    <w:p>
      <w:pPr>
        <w:spacing w:after="0" w:line="16" w:lineRule="exact"/>
        <w:rPr>
          <w:sz w:val="20"/>
          <w:szCs w:val="20"/>
          <w:color w:val="auto"/>
        </w:rPr>
      </w:pPr>
    </w:p>
    <w:p>
      <w:pPr>
        <w:jc w:val="both"/>
        <w:ind w:firstLine="8"/>
        <w:spacing w:after="0" w:line="237" w:lineRule="auto"/>
        <w:tabs>
          <w:tab w:leader="none" w:pos="356" w:val="left"/>
        </w:tabs>
        <w:numPr>
          <w:ilvl w:val="0"/>
          <w:numId w:val="336"/>
        </w:numPr>
        <w:rPr>
          <w:rFonts w:ascii="Arial" w:cs="Arial" w:eastAsia="Arial" w:hAnsi="Arial"/>
          <w:sz w:val="19"/>
          <w:szCs w:val="19"/>
          <w:color w:val="auto"/>
        </w:rPr>
      </w:pPr>
      <w:r>
        <w:rPr>
          <w:rFonts w:ascii="Arial" w:cs="Arial" w:eastAsia="Arial" w:hAnsi="Arial"/>
          <w:sz w:val="19"/>
          <w:szCs w:val="19"/>
          <w:color w:val="auto"/>
        </w:rPr>
        <w:t xml:space="preserve">any commercial bank organized under the laws of the United States or any state thereof, (B) any savings and loan association or savings bank organized under the laws of the United States or any state thereof, (C) any commercial bank organized under the laws of any other country or a political subdivision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such bank is acting through a branch or agency located in the United States or (2) such bank is organized under the laws of a country that is a member of the Organization for Economic Cooperation and Development or a political subdivision of such country, and (D) any other entity (other than a natural person) that is an “accredited investor” (as defined in Regulation D under the Securities Act) that extends credit or buys loans as one of its businesses including insurance companies, investment or mutual funds and lease financing companies; (iii) subject to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any Affiliated Lender and any Person who would be an Affiliated Lender upon completion of the relevant assignment; and (iv) any Holding Company, the Borrower and any Restricted Subsidiary, subject to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2.11(i)</w:t>
      </w:r>
      <w:r>
        <w:rPr>
          <w:rFonts w:ascii="Arial" w:cs="Arial" w:eastAsia="Arial" w:hAnsi="Arial"/>
          <w:sz w:val="19"/>
          <w:szCs w:val="19"/>
          <w:color w:val="auto"/>
        </w:rPr>
        <w:t xml:space="preserve"> (so long as the Loans and Commitments obtained by any Holding Company, the Borrower or any other Restricted Subsidiary are immediately cancelled);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any event, Eligible Assignees shall not include (x) any natural person,</w:t>
      </w:r>
    </w:p>
    <w:p>
      <w:pPr>
        <w:spacing w:after="0" w:line="2" w:lineRule="exact"/>
        <w:rPr>
          <w:rFonts w:ascii="Arial" w:cs="Arial" w:eastAsia="Arial" w:hAnsi="Arial"/>
          <w:sz w:val="19"/>
          <w:szCs w:val="19"/>
          <w:color w:val="auto"/>
        </w:rPr>
      </w:pPr>
    </w:p>
    <w:p>
      <w:pPr>
        <w:jc w:val="both"/>
        <w:spacing w:after="0" w:line="214" w:lineRule="auto"/>
        <w:rPr>
          <w:rFonts w:ascii="Arial" w:cs="Arial" w:eastAsia="Arial" w:hAnsi="Arial"/>
          <w:sz w:val="19"/>
          <w:szCs w:val="19"/>
          <w:color w:val="auto"/>
        </w:rPr>
      </w:pPr>
      <w:r>
        <w:rPr>
          <w:rFonts w:ascii="Arial" w:cs="Arial" w:eastAsia="Arial" w:hAnsi="Arial"/>
          <w:sz w:val="22"/>
          <w:szCs w:val="22"/>
          <w:color w:val="auto"/>
        </w:rPr>
        <w:t>(y) any Disqualified Lender to the extent the list of Disqualified Lenders is provided to each Lender upon request in connection with an assignment or participation, or Excluded Affiliate unless, in each case, consented to in writing by the Borrower in its sole discretion (such consent shall be required regardless of whether a Default or Event of Default shall be continuing), or (z) any Defaulting Lender or any Affiliate thereof.</w:t>
      </w:r>
    </w:p>
    <w:p>
      <w:pPr>
        <w:spacing w:after="0" w:line="16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EMU Legislation</w:t>
      </w:r>
      <w:r>
        <w:rPr>
          <w:rFonts w:ascii="Arial" w:cs="Arial" w:eastAsia="Arial" w:hAnsi="Arial"/>
          <w:sz w:val="22"/>
          <w:szCs w:val="22"/>
          <w:color w:val="auto"/>
        </w:rPr>
        <w:t>” means the legislative measures of the European Council for the introduction of, changeover to or operation of a single or unified European currency.</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all applicable treaties, laws (including common law), rules, regulations, codes, ordinances, orders, decrees, judgments, injunctions, notices or binding agreements issued, promulgated or entered into by or with any Governmental Authority, relating to the protection of the environment, the preservation or reclamation of natural resources, the generation, management, Release or threatened Release of, or exposure to, any Hazardous Material or to workplace health and safety matters (to the extent related to exposure to Hazardous Materials).</w:t>
      </w:r>
    </w:p>
    <w:p>
      <w:pPr>
        <w:spacing w:after="0" w:line="15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Liability</w:t>
      </w:r>
      <w:r>
        <w:rPr>
          <w:rFonts w:ascii="Arial" w:cs="Arial" w:eastAsia="Arial" w:hAnsi="Arial"/>
          <w:sz w:val="21"/>
          <w:szCs w:val="21"/>
          <w:color w:val="auto"/>
        </w:rPr>
        <w:t>” means any liability, contingent or otherwise (including any liability for damages, costs of medical monitoring, costs of environmental remediation or restoration, administrative oversight costs, consultants’ fees, fines, penalties or indemnities),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6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Permits</w:t>
      </w:r>
      <w:r>
        <w:rPr>
          <w:rFonts w:ascii="Arial" w:cs="Arial" w:eastAsia="Arial" w:hAnsi="Arial"/>
          <w:sz w:val="22"/>
          <w:szCs w:val="22"/>
          <w:color w:val="auto"/>
        </w:rPr>
        <w:t>” means any and all permits, licenses, approvals, registrations, notifications, exemptions and other authorizations required under any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19" w:name="page320"/>
    <w:bookmarkEnd w:id="319"/>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shares of capital stock or other share capital, partnership interests, membership interests (including shares) in a limited liability or exempted company, beneficial interests in a trust or other equity ownership interests in a Person, and any option, warrant or other right entitling the holder thereof to purchase or otherwise acquire any such equity interest.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 from time to time.</w:t>
      </w:r>
    </w:p>
    <w:p>
      <w:pPr>
        <w:spacing w:after="0" w:line="19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trade or business (whether or not incorporated) that, together with the Holding Companies and the Borrower, is treated as a single employer under Section 414(b) or (c) of the Code or, solely for purposes of Section 302 of ERISA and Section 412 of the Code, is treated as a single employer under Section 414 of the Code.</w:t>
      </w:r>
    </w:p>
    <w:p>
      <w:pPr>
        <w:spacing w:after="0" w:line="132"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30-day notice period is waived), (b) the requirements of Section 4043(b) of ERISA apply with respect to a contributing sponsor, as defined in Section 4001(a)(13) of ERISA, of a Plan, and an event described in paragraph (9), (10), (11), (12) or (13) of Section 4043(c) of ERISA is reasonably expected to occur with respect to such Plan, (c) a determination that any Plan is or is reasonably expected to be in “at risk” status (within the meaning of Section 430 of the Code or Section 303 of ERISA), (d) the cessation of operations at a facility of any Holding Company or any ERISA Affiliate in the circumstances described in Section 4062(e) of ERISA, (e) conditions contained in Section 303(k)(1)(A) of ERISA for imposition of a lien shall have been met with respect to any Plan, (f) with respect to any Plan, a failure to satisfy the minimum funding standard under Section 412 of the Code or Section 302 of ERISA, whether or not waived, (g) the filing pursuant to Section 412(c) of the Code or Section 302(c) of ERISA of an application for a waiver of the minimum funding standard with respect to any Plan, (h) the incurrence by any Holding Company or any of their ERISA Affiliates of any liability under Title IV of ERISA with respect to the termination of any Plan, (i) the receipt by any Holding Company or any ERISA Affiliate from the PBGC or a plan administrator of any notice relating to an intention to terminate any Plan or Plans or to appoint a trustee to administer any Plan, (j) the incurrence by any Holding Company or any of their respective ERISA Affiliates of any liability with respect to the withdrawal or partial withdrawal from any Plan or Multiemployer Plan, (k) the receipt by any Holding Company or any ERISA Affiliate of any notice, or the receipt by any Multiemployer Plan from any Holding Company or any ERISA Affiliate of any notice, concerning the imposition of Withdrawal Liability or a determination that a Multiemployer Plan is, or is expected to be, “insolvent” or in “endangered” or “critical” status within the meaning of Section 432 of the Code or Section 304 of ERISA, (l) the occurrence of a non-exempt “prohibited transaction” with respect to which any Holding Company or any of the Subsidiaries is a “disqualified person” (within the meaning of Section 4975 of the Code) or a “party in interest” (within the meaning of Section 406 of ERISA) or with respect to which any Holding Company or any such Subsidiary could otherwise be liable, (m) any Foreign Benefit Event or (n) any other event or condition with respect to a Plan or Multiemployer Plan that could result in liability of any Holding Company or any Subsidiary.</w:t>
      </w:r>
    </w:p>
    <w:p>
      <w:pPr>
        <w:spacing w:after="0" w:line="37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Escrowed Proceeds</w:t>
      </w:r>
      <w:r>
        <w:rPr>
          <w:rFonts w:ascii="Arial" w:cs="Arial" w:eastAsia="Arial" w:hAnsi="Arial"/>
          <w:sz w:val="19"/>
          <w:szCs w:val="19"/>
          <w:color w:val="auto"/>
        </w:rPr>
        <w:t>”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includes any interest earned on the amounts held in escrow.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20" w:name="page321"/>
    <w:bookmarkEnd w:id="320"/>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w:t>
      </w:r>
      <w:r>
        <w:rPr>
          <w:rFonts w:ascii="Arial" w:cs="Arial" w:eastAsia="Arial" w:hAnsi="Arial"/>
          <w:sz w:val="19"/>
          <w:szCs w:val="19"/>
          <w:color w:val="auto"/>
        </w:rPr>
        <w:t>” means the lawful currency of the Participating Member States introduced in accordance with the EMU</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Legislation.</w:t>
      </w:r>
    </w:p>
    <w:p>
      <w:pPr>
        <w:spacing w:after="0" w:line="161"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Eurocurrency</w:t>
      </w:r>
      <w:r>
        <w:rPr>
          <w:rFonts w:ascii="Arial" w:cs="Arial" w:eastAsia="Arial" w:hAnsi="Arial"/>
          <w:sz w:val="19"/>
          <w:szCs w:val="19"/>
          <w:color w:val="FF0000"/>
          <w:strike w:val="1"/>
        </w:rPr>
        <w:t>”, when used in reference to any Loan or Borrowing, refers to whether such Loan, or the Loans comprising such Borrowing, is bearing interest at a rate determined by reference to the Adjusted Eurocurrency Rate.</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Eurocurrency Borrowing</w:t>
      </w:r>
      <w:r>
        <w:rPr>
          <w:rFonts w:ascii="Arial" w:cs="Arial" w:eastAsia="Arial" w:hAnsi="Arial"/>
          <w:sz w:val="19"/>
          <w:szCs w:val="19"/>
          <w:color w:val="FF0000"/>
          <w:strike w:val="1"/>
        </w:rPr>
        <w:t>” means a Loan that bears interest at a rate based on the Adjusted Eurocurrency Rate.</w:t>
      </w:r>
    </w:p>
    <w:p>
      <w:pPr>
        <w:spacing w:after="0" w:line="214"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Eurocurrency Rate</w:t>
      </w:r>
      <w:r>
        <w:rPr>
          <w:rFonts w:ascii="Arial" w:cs="Arial" w:eastAsia="Arial" w:hAnsi="Arial"/>
          <w:sz w:val="22"/>
          <w:szCs w:val="22"/>
          <w:color w:val="FF0000"/>
          <w:strike w:val="1"/>
        </w:rPr>
        <w:t xml:space="preserve">” means, for any Interest Period with respect to any Loan in any LIBOR Quoted Currency, the LIBO Screen Rate as of the Applicable Time on the date that is two (2) Business Days prior to the commencement of such Interest Period; </w:t>
      </w:r>
      <w:r>
        <w:rPr>
          <w:rFonts w:ascii="Arial" w:cs="Arial" w:eastAsia="Arial" w:hAnsi="Arial"/>
          <w:sz w:val="22"/>
          <w:szCs w:val="22"/>
          <w:u w:val="single" w:color="auto"/>
          <w:color w:val="FF0000"/>
          <w:strike w:val="1"/>
        </w:rPr>
        <w:t>provided</w:t>
      </w:r>
      <w:r>
        <w:rPr>
          <w:rFonts w:ascii="Arial" w:cs="Arial" w:eastAsia="Arial" w:hAnsi="Arial"/>
          <w:sz w:val="22"/>
          <w:szCs w:val="22"/>
          <w:color w:val="FF0000"/>
          <w:strike w:val="1"/>
        </w:rPr>
        <w:t xml:space="preserve"> that, if a LIBO Screen Rate shall not be available at the applicable time </w:t>
      </w:r>
      <w:r>
        <w:rPr>
          <w:rFonts w:ascii="Arial" w:cs="Arial" w:eastAsia="Arial" w:hAnsi="Arial"/>
          <w:sz w:val="22"/>
          <w:szCs w:val="22"/>
          <w:color w:val="008000"/>
          <w:strike w:val="1"/>
        </w:rPr>
        <w:t>for the applicable Interest</w:t>
      </w:r>
      <w:r>
        <w:rPr>
          <w:rFonts w:ascii="Arial" w:cs="Arial" w:eastAsia="Arial" w:hAnsi="Arial"/>
          <w:sz w:val="22"/>
          <w:szCs w:val="22"/>
          <w:color w:val="FF0000"/>
          <w:strike w:val="1"/>
        </w:rPr>
        <w:t xml:space="preserve"> </w:t>
      </w:r>
      <w:r>
        <w:rPr>
          <w:rFonts w:ascii="Arial" w:cs="Arial" w:eastAsia="Arial" w:hAnsi="Arial"/>
          <w:sz w:val="22"/>
          <w:szCs w:val="22"/>
          <w:color w:val="008000"/>
          <w:strike w:val="1"/>
        </w:rPr>
        <w:t xml:space="preserve">Period </w:t>
      </w:r>
      <w:r>
        <w:rPr>
          <w:rFonts w:ascii="Arial" w:cs="Arial" w:eastAsia="Arial" w:hAnsi="Arial"/>
          <w:sz w:val="22"/>
          <w:szCs w:val="22"/>
          <w:color w:val="FF0000"/>
          <w:strike w:val="1"/>
        </w:rPr>
        <w:t>(an “</w:t>
      </w:r>
      <w:r>
        <w:rPr>
          <w:rFonts w:ascii="Arial" w:cs="Arial" w:eastAsia="Arial" w:hAnsi="Arial"/>
          <w:sz w:val="22"/>
          <w:szCs w:val="22"/>
          <w:u w:val="single" w:color="auto"/>
          <w:color w:val="FF0000"/>
          <w:strike w:val="1"/>
        </w:rPr>
        <w:t>Impacted Interest Period</w:t>
      </w:r>
      <w:r>
        <w:rPr>
          <w:rFonts w:ascii="Arial" w:cs="Arial" w:eastAsia="Arial" w:hAnsi="Arial"/>
          <w:sz w:val="22"/>
          <w:szCs w:val="22"/>
          <w:color w:val="FF0000"/>
          <w:strike w:val="1"/>
        </w:rPr>
        <w:t>”), then the Eurocurrency Rate for such currency and Interest Period shall be the Interpolated</w:t>
      </w:r>
      <w:r>
        <w:rPr>
          <w:rFonts w:ascii="Arial" w:cs="Arial" w:eastAsia="Arial" w:hAnsi="Arial"/>
          <w:sz w:val="22"/>
          <w:szCs w:val="22"/>
          <w:color w:val="008000"/>
          <w:strike w:val="1"/>
        </w:rPr>
        <w:t xml:space="preserve"> </w:t>
      </w:r>
      <w:r>
        <w:rPr>
          <w:rFonts w:ascii="Arial" w:cs="Arial" w:eastAsia="Arial" w:hAnsi="Arial"/>
          <w:sz w:val="22"/>
          <w:szCs w:val="22"/>
          <w:color w:val="FF0000"/>
          <w:strike w:val="1"/>
        </w:rPr>
        <w:t xml:space="preserve">Rate; </w:t>
      </w:r>
      <w:r>
        <w:rPr>
          <w:rFonts w:ascii="Arial" w:cs="Arial" w:eastAsia="Arial" w:hAnsi="Arial"/>
          <w:sz w:val="22"/>
          <w:szCs w:val="22"/>
          <w:u w:val="single" w:color="auto"/>
          <w:color w:val="FF0000"/>
          <w:strike w:val="1"/>
        </w:rPr>
        <w:t>provided</w:t>
      </w:r>
      <w:r>
        <w:rPr>
          <w:rFonts w:ascii="Arial" w:cs="Arial" w:eastAsia="Arial" w:hAnsi="Arial"/>
          <w:sz w:val="22"/>
          <w:szCs w:val="22"/>
          <w:color w:val="FF0000"/>
          <w:strike w:val="1"/>
        </w:rPr>
        <w:t xml:space="preserve">, </w:t>
      </w:r>
      <w:r>
        <w:rPr>
          <w:rFonts w:ascii="Arial" w:cs="Arial" w:eastAsia="Arial" w:hAnsi="Arial"/>
          <w:sz w:val="22"/>
          <w:szCs w:val="22"/>
          <w:u w:val="single" w:color="auto"/>
          <w:color w:val="FF0000"/>
          <w:strike w:val="1"/>
        </w:rPr>
        <w:t>further</w:t>
      </w:r>
      <w:r>
        <w:rPr>
          <w:rFonts w:ascii="Arial" w:cs="Arial" w:eastAsia="Arial" w:hAnsi="Arial"/>
          <w:sz w:val="22"/>
          <w:szCs w:val="22"/>
          <w:color w:val="FF0000"/>
          <w:strike w:val="1"/>
        </w:rPr>
        <w:t>, that, if any Eurocurrency Rate shall be less than zero, such rate shall be deemed to be zero for purposes of this Agreement.</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Eurocurrency Reserve Percentage</w:t>
      </w:r>
      <w:r>
        <w:rPr>
          <w:rFonts w:ascii="Arial" w:cs="Arial" w:eastAsia="Arial" w:hAnsi="Arial"/>
          <w:sz w:val="19"/>
          <w:szCs w:val="19"/>
          <w:color w:val="FF0000"/>
          <w:strike w:val="1"/>
        </w:rPr>
        <w:t>” means, for any day during any Interest Period, the reserve percentage (expressed as a decimal, carried out to five decimal places) in effect on such day, whether or not applicable to any Lender, under regulations issued from time to time by the Board for determining the maximum reserve requirement (including any emergency, supplemental or other marginal reserve requirement) with respect to the Eurocurrency funding (currently referred to as “</w:t>
      </w:r>
      <w:r>
        <w:rPr>
          <w:rFonts w:ascii="Arial" w:cs="Arial" w:eastAsia="Arial" w:hAnsi="Arial"/>
          <w:sz w:val="19"/>
          <w:szCs w:val="19"/>
          <w:u w:val="single" w:color="auto"/>
          <w:color w:val="FF0000"/>
          <w:strike w:val="1"/>
        </w:rPr>
        <w:t>Eurocurrency liabilities</w:t>
      </w:r>
      <w:r>
        <w:rPr>
          <w:rFonts w:ascii="Arial" w:cs="Arial" w:eastAsia="Arial" w:hAnsi="Arial"/>
          <w:sz w:val="19"/>
          <w:szCs w:val="19"/>
          <w:color w:val="FF0000"/>
          <w:strike w:val="1"/>
        </w:rPr>
        <w:t>”). The Adjusted Eurocurrency Rate for each outstanding Eurocurrency Borrowing shall be adjusted automatically as of the effective date of any change in the Eurocurrency Reserve Percentage.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w:t>
      </w:r>
      <w:r>
        <w:rPr>
          <w:rFonts w:ascii="Arial" w:cs="Arial" w:eastAsia="Arial" w:hAnsi="Arial"/>
          <w:sz w:val="22"/>
          <w:szCs w:val="22"/>
          <w:color w:val="auto"/>
        </w:rPr>
        <w:t>” means, for any period, an amount (to the extent positive) equal to the excess of</w:t>
      </w:r>
    </w:p>
    <w:p>
      <w:pPr>
        <w:spacing w:after="0" w:line="179" w:lineRule="exact"/>
        <w:rPr>
          <w:sz w:val="20"/>
          <w:szCs w:val="20"/>
          <w:color w:val="auto"/>
        </w:rPr>
      </w:pPr>
    </w:p>
    <w:p>
      <w:pPr>
        <w:ind w:left="1120" w:hanging="464"/>
        <w:spacing w:after="0"/>
        <w:tabs>
          <w:tab w:leader="none" w:pos="1120" w:val="left"/>
        </w:tabs>
        <w:numPr>
          <w:ilvl w:val="0"/>
          <w:numId w:val="337"/>
        </w:numPr>
        <w:rPr>
          <w:rFonts w:ascii="Arial" w:cs="Arial" w:eastAsia="Arial" w:hAnsi="Arial"/>
          <w:sz w:val="22"/>
          <w:szCs w:val="22"/>
          <w:color w:val="auto"/>
        </w:rPr>
      </w:pPr>
      <w:r>
        <w:rPr>
          <w:rFonts w:ascii="Arial" w:cs="Arial" w:eastAsia="Arial" w:hAnsi="Arial"/>
          <w:sz w:val="22"/>
          <w:szCs w:val="22"/>
          <w:color w:val="auto"/>
        </w:rPr>
        <w:t>the sum, without duplication, of</w:t>
      </w:r>
    </w:p>
    <w:p>
      <w:pPr>
        <w:spacing w:after="0" w:line="179" w:lineRule="exact"/>
        <w:rPr>
          <w:rFonts w:ascii="Arial" w:cs="Arial" w:eastAsia="Arial" w:hAnsi="Arial"/>
          <w:sz w:val="22"/>
          <w:szCs w:val="22"/>
          <w:color w:val="auto"/>
        </w:rPr>
      </w:pPr>
    </w:p>
    <w:p>
      <w:pPr>
        <w:ind w:left="1720" w:hanging="416"/>
        <w:spacing w:after="0"/>
        <w:tabs>
          <w:tab w:leader="none" w:pos="1720" w:val="left"/>
        </w:tabs>
        <w:numPr>
          <w:ilvl w:val="1"/>
          <w:numId w:val="337"/>
        </w:numPr>
        <w:rPr>
          <w:rFonts w:ascii="Arial" w:cs="Arial" w:eastAsia="Arial" w:hAnsi="Arial"/>
          <w:sz w:val="22"/>
          <w:szCs w:val="22"/>
          <w:color w:val="auto"/>
        </w:rPr>
      </w:pPr>
      <w:r>
        <w:rPr>
          <w:rFonts w:ascii="Arial" w:cs="Arial" w:eastAsia="Arial" w:hAnsi="Arial"/>
          <w:sz w:val="22"/>
          <w:szCs w:val="22"/>
          <w:color w:val="auto"/>
        </w:rPr>
        <w:t>Consolidated Net Income for such period,</w:t>
      </w:r>
    </w:p>
    <w:p>
      <w:pPr>
        <w:spacing w:after="0" w:line="179" w:lineRule="exact"/>
        <w:rPr>
          <w:rFonts w:ascii="Arial" w:cs="Arial" w:eastAsia="Arial" w:hAnsi="Arial"/>
          <w:sz w:val="22"/>
          <w:szCs w:val="22"/>
          <w:color w:val="auto"/>
        </w:rPr>
      </w:pPr>
    </w:p>
    <w:p>
      <w:pPr>
        <w:jc w:val="both"/>
        <w:ind w:left="660" w:firstLine="644"/>
        <w:spacing w:after="0" w:line="223" w:lineRule="auto"/>
        <w:tabs>
          <w:tab w:leader="none" w:pos="2010" w:val="left"/>
        </w:tabs>
        <w:numPr>
          <w:ilvl w:val="1"/>
          <w:numId w:val="337"/>
        </w:numPr>
        <w:rPr>
          <w:rFonts w:ascii="Arial" w:cs="Arial" w:eastAsia="Arial" w:hAnsi="Arial"/>
          <w:sz w:val="22"/>
          <w:szCs w:val="22"/>
          <w:color w:val="auto"/>
        </w:rPr>
      </w:pPr>
      <w:r>
        <w:rPr>
          <w:rFonts w:ascii="Arial" w:cs="Arial" w:eastAsia="Arial" w:hAnsi="Arial"/>
          <w:sz w:val="22"/>
          <w:szCs w:val="22"/>
          <w:color w:val="auto"/>
        </w:rPr>
        <w:t>an amount equal to the amount of all non-cash charges to the extent deducted in arriving at such Consolidated Net Income (excluding any such charges that represent an accrual or reserve for potential future cash payments) and</w:t>
      </w:r>
    </w:p>
    <w:p>
      <w:pPr>
        <w:spacing w:after="0" w:line="158" w:lineRule="exact"/>
        <w:rPr>
          <w:rFonts w:ascii="Arial" w:cs="Arial" w:eastAsia="Arial" w:hAnsi="Arial"/>
          <w:sz w:val="22"/>
          <w:szCs w:val="22"/>
          <w:color w:val="auto"/>
        </w:rPr>
      </w:pPr>
    </w:p>
    <w:p>
      <w:pPr>
        <w:ind w:left="1840" w:hanging="536"/>
        <w:spacing w:after="0"/>
        <w:tabs>
          <w:tab w:leader="none" w:pos="1840" w:val="left"/>
        </w:tabs>
        <w:numPr>
          <w:ilvl w:val="1"/>
          <w:numId w:val="337"/>
        </w:numPr>
        <w:rPr>
          <w:rFonts w:ascii="Arial" w:cs="Arial" w:eastAsia="Arial" w:hAnsi="Arial"/>
          <w:sz w:val="22"/>
          <w:szCs w:val="22"/>
          <w:color w:val="auto"/>
        </w:rPr>
      </w:pPr>
      <w:r>
        <w:rPr>
          <w:rFonts w:ascii="Arial" w:cs="Arial" w:eastAsia="Arial" w:hAnsi="Arial"/>
          <w:sz w:val="22"/>
          <w:szCs w:val="22"/>
          <w:color w:val="auto"/>
        </w:rPr>
        <w:t>decreases in Consolidated Working Capital for such period;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the sum, without duplication, of</w:t>
      </w:r>
    </w:p>
    <w:p>
      <w:pPr>
        <w:spacing w:after="0" w:line="179" w:lineRule="exact"/>
        <w:rPr>
          <w:sz w:val="20"/>
          <w:szCs w:val="20"/>
          <w:color w:val="auto"/>
        </w:rPr>
      </w:pPr>
    </w:p>
    <w:p>
      <w:pPr>
        <w:ind w:left="1960" w:hanging="656"/>
        <w:spacing w:after="0" w:line="216" w:lineRule="auto"/>
        <w:tabs>
          <w:tab w:leader="none" w:pos="1813" w:val="left"/>
        </w:tabs>
        <w:numPr>
          <w:ilvl w:val="0"/>
          <w:numId w:val="338"/>
        </w:numPr>
        <w:rPr>
          <w:rFonts w:ascii="Arial" w:cs="Arial" w:eastAsia="Arial" w:hAnsi="Arial"/>
          <w:sz w:val="22"/>
          <w:szCs w:val="22"/>
          <w:color w:val="auto"/>
        </w:rPr>
      </w:pPr>
      <w:r>
        <w:rPr>
          <w:rFonts w:ascii="Arial" w:cs="Arial" w:eastAsia="Arial" w:hAnsi="Arial"/>
          <w:sz w:val="22"/>
          <w:szCs w:val="22"/>
          <w:color w:val="auto"/>
        </w:rPr>
        <w:t xml:space="preserve">an amount equal to the amount of all non-cash gains and credits to the extent included in arriving at such Consolidated Net Income and all cash, losses, expenses or charges excluded from Consolidated Net Income (including in the case of this clause (i) any such non-cash gains and credits and cash, losses, expenses or charges to the extent attributable to the items described in clauses </w:t>
      </w:r>
      <w:r>
        <w:rPr>
          <w:rFonts w:ascii="Arial" w:cs="Arial" w:eastAsia="Arial" w:hAnsi="Arial"/>
          <w:sz w:val="22"/>
          <w:szCs w:val="22"/>
          <w:u w:val="single" w:color="auto"/>
          <w:color w:val="auto"/>
        </w:rPr>
        <w:t>(s)</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(t)</w:t>
      </w:r>
      <w:r>
        <w:rPr>
          <w:rFonts w:ascii="Arial" w:cs="Arial" w:eastAsia="Arial" w:hAnsi="Arial"/>
          <w:sz w:val="22"/>
          <w:szCs w:val="22"/>
          <w:color w:val="auto"/>
        </w:rPr>
        <w:t xml:space="preserve"> of Consolidated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21" w:name="page322"/>
    <w:bookmarkEnd w:id="321"/>
    <w:p>
      <w:pPr>
        <w:ind w:left="1960" w:hanging="656"/>
        <w:spacing w:after="0" w:line="222" w:lineRule="auto"/>
        <w:tabs>
          <w:tab w:leader="none" w:pos="1871" w:val="left"/>
        </w:tabs>
        <w:numPr>
          <w:ilvl w:val="0"/>
          <w:numId w:val="339"/>
        </w:numPr>
        <w:rPr>
          <w:rFonts w:ascii="Arial" w:cs="Arial" w:eastAsia="Arial" w:hAnsi="Arial"/>
          <w:sz w:val="21"/>
          <w:szCs w:val="21"/>
          <w:color w:val="auto"/>
        </w:rPr>
      </w:pPr>
      <w:r>
        <w:rPr>
          <w:rFonts w:ascii="Arial" w:cs="Arial" w:eastAsia="Arial" w:hAnsi="Arial"/>
          <w:sz w:val="21"/>
          <w:szCs w:val="21"/>
          <w:color w:val="auto"/>
        </w:rPr>
        <w:t>without duplication of amounts deducted in calculating Excess Cash Flow with respect to prior years, the amount of Capital Expenditures, Capitalized Software Expenditures, acquisitions of Intellectual Property and other expenditures that are capitalized, in each case, made in cash during such period or after the end of such period and on or prior to the ECF Due Date with respect to such period, except to the extent that such Capital Expenditures, Capitalized Software Expenditures, other cash expenditures that are capitalized or acquisitions were financed with the proceeds of Indebtedness of the Borrower or the Restricted Subsidiaries (other than Revolving Loans or intercompany loans),</w:t>
      </w:r>
    </w:p>
    <w:p>
      <w:pPr>
        <w:spacing w:after="0" w:line="164" w:lineRule="exact"/>
        <w:rPr>
          <w:rFonts w:ascii="Arial" w:cs="Arial" w:eastAsia="Arial" w:hAnsi="Arial"/>
          <w:sz w:val="21"/>
          <w:szCs w:val="21"/>
          <w:color w:val="auto"/>
        </w:rPr>
      </w:pPr>
    </w:p>
    <w:p>
      <w:pPr>
        <w:jc w:val="both"/>
        <w:ind w:left="1960" w:hanging="656"/>
        <w:spacing w:after="0" w:line="220" w:lineRule="auto"/>
        <w:tabs>
          <w:tab w:leader="none" w:pos="2045" w:val="left"/>
        </w:tabs>
        <w:numPr>
          <w:ilvl w:val="0"/>
          <w:numId w:val="339"/>
        </w:numPr>
        <w:rPr>
          <w:rFonts w:ascii="Arial" w:cs="Arial" w:eastAsia="Arial" w:hAnsi="Arial"/>
          <w:sz w:val="21"/>
          <w:szCs w:val="21"/>
          <w:color w:val="auto"/>
        </w:rPr>
      </w:pPr>
      <w:r>
        <w:rPr>
          <w:rFonts w:ascii="Arial" w:cs="Arial" w:eastAsia="Arial" w:hAnsi="Arial"/>
          <w:sz w:val="21"/>
          <w:szCs w:val="21"/>
          <w:color w:val="auto"/>
        </w:rPr>
        <w:t xml:space="preserve">the aggregate amount of all principal payments of Indebtedness of the Borrower and the Restricted Subsidiaries made in cash during such period but excluding (x) all prepayments of Term Loans made during such period (other than prepayments pursuant to </w:t>
      </w:r>
      <w:r>
        <w:rPr>
          <w:rFonts w:ascii="Arial" w:cs="Arial" w:eastAsia="Arial" w:hAnsi="Arial"/>
          <w:sz w:val="21"/>
          <w:szCs w:val="21"/>
          <w:u w:val="single" w:color="auto"/>
          <w:color w:val="auto"/>
        </w:rPr>
        <w:t>Section 2.11(c)</w:t>
      </w:r>
      <w:r>
        <w:rPr>
          <w:rFonts w:ascii="Arial" w:cs="Arial" w:eastAsia="Arial" w:hAnsi="Arial"/>
          <w:sz w:val="21"/>
          <w:szCs w:val="21"/>
          <w:color w:val="auto"/>
        </w:rPr>
        <w:t xml:space="preserve">, but solely to the extent that the Disposition in question increased Consolidated Net Income, and not in excess of such increase, (y) all prepayments of Revolving Loans made during such period and (z) all prepayments of any other revolving credit facility to the extent there is not an equivalent permanent reduction in commitments thereunder, and except, in each case, to the extent financed with the proceeds of other Indebtedness of the Borrower or the Restricted Subsidiaries (other than Revolving Loans or intercompany loans, and excluding any such prepayments applied to reduce the amount of Excess Cash Flow prepayment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2.11(d)</w:t>
      </w:r>
      <w:r>
        <w:rPr>
          <w:rFonts w:ascii="Arial" w:cs="Arial" w:eastAsia="Arial" w:hAnsi="Arial"/>
          <w:sz w:val="21"/>
          <w:szCs w:val="21"/>
          <w:color w:val="auto"/>
        </w:rPr>
        <w:t>),</w:t>
      </w:r>
    </w:p>
    <w:p>
      <w:pPr>
        <w:spacing w:after="0" w:line="162" w:lineRule="exact"/>
        <w:rPr>
          <w:rFonts w:ascii="Arial" w:cs="Arial" w:eastAsia="Arial" w:hAnsi="Arial"/>
          <w:sz w:val="21"/>
          <w:szCs w:val="21"/>
          <w:color w:val="auto"/>
        </w:rPr>
      </w:pPr>
    </w:p>
    <w:p>
      <w:pPr>
        <w:ind w:left="1960" w:hanging="656"/>
        <w:spacing w:after="0" w:line="223" w:lineRule="auto"/>
        <w:tabs>
          <w:tab w:leader="none" w:pos="1881" w:val="left"/>
        </w:tabs>
        <w:numPr>
          <w:ilvl w:val="0"/>
          <w:numId w:val="339"/>
        </w:numPr>
        <w:rPr>
          <w:rFonts w:ascii="Arial" w:cs="Arial" w:eastAsia="Arial" w:hAnsi="Arial"/>
          <w:sz w:val="22"/>
          <w:szCs w:val="22"/>
          <w:color w:val="auto"/>
        </w:rPr>
      </w:pPr>
      <w:r>
        <w:rPr>
          <w:rFonts w:ascii="Arial" w:cs="Arial" w:eastAsia="Arial" w:hAnsi="Arial"/>
          <w:sz w:val="22"/>
          <w:szCs w:val="22"/>
          <w:color w:val="auto"/>
        </w:rPr>
        <w:t>an amount equal to the aggregate net gain on Dispositions by the Borrower and the Restricted Subsidiaries during such period (other than Dispositions in the ordinary course of business) to the extent included in arriving at Consolidated Net Income,</w:t>
      </w:r>
    </w:p>
    <w:p>
      <w:pPr>
        <w:spacing w:after="0" w:line="158" w:lineRule="exact"/>
        <w:rPr>
          <w:rFonts w:ascii="Arial" w:cs="Arial" w:eastAsia="Arial" w:hAnsi="Arial"/>
          <w:sz w:val="22"/>
          <w:szCs w:val="22"/>
          <w:color w:val="auto"/>
        </w:rPr>
      </w:pPr>
    </w:p>
    <w:p>
      <w:pPr>
        <w:jc w:val="both"/>
        <w:ind w:left="1960" w:hanging="656"/>
        <w:spacing w:after="0" w:line="218" w:lineRule="auto"/>
        <w:tabs>
          <w:tab w:leader="none" w:pos="1897" w:val="left"/>
        </w:tabs>
        <w:numPr>
          <w:ilvl w:val="0"/>
          <w:numId w:val="339"/>
        </w:numPr>
        <w:rPr>
          <w:rFonts w:ascii="Arial" w:cs="Arial" w:eastAsia="Arial" w:hAnsi="Arial"/>
          <w:sz w:val="22"/>
          <w:szCs w:val="22"/>
          <w:color w:val="auto"/>
        </w:rPr>
      </w:pPr>
      <w:r>
        <w:rPr>
          <w:rFonts w:ascii="Arial" w:cs="Arial" w:eastAsia="Arial" w:hAnsi="Arial"/>
          <w:sz w:val="22"/>
          <w:szCs w:val="22"/>
          <w:color w:val="auto"/>
        </w:rPr>
        <w:t>increases in Consolidated Working Capital for such period (other than (1) reclassification of items from short-term to long-term or vice versa and (2) any such increases arising from acquisitions or Dispositions by the Borrower and the Restricted Subsidiaries completed during such period or the application of purchase accounting),</w:t>
      </w:r>
    </w:p>
    <w:p>
      <w:pPr>
        <w:spacing w:after="0" w:line="160" w:lineRule="exact"/>
        <w:rPr>
          <w:rFonts w:ascii="Arial" w:cs="Arial" w:eastAsia="Arial" w:hAnsi="Arial"/>
          <w:sz w:val="22"/>
          <w:szCs w:val="22"/>
          <w:color w:val="auto"/>
        </w:rPr>
      </w:pPr>
    </w:p>
    <w:p>
      <w:pPr>
        <w:ind w:left="1960" w:hanging="656"/>
        <w:spacing w:after="0" w:line="229" w:lineRule="auto"/>
        <w:tabs>
          <w:tab w:leader="none" w:pos="1862" w:val="left"/>
        </w:tabs>
        <w:numPr>
          <w:ilvl w:val="0"/>
          <w:numId w:val="339"/>
        </w:numPr>
        <w:rPr>
          <w:rFonts w:ascii="Arial" w:cs="Arial" w:eastAsia="Arial" w:hAnsi="Arial"/>
          <w:sz w:val="21"/>
          <w:szCs w:val="21"/>
          <w:color w:val="auto"/>
        </w:rPr>
      </w:pPr>
      <w:r>
        <w:rPr>
          <w:rFonts w:ascii="Arial" w:cs="Arial" w:eastAsia="Arial" w:hAnsi="Arial"/>
          <w:sz w:val="21"/>
          <w:szCs w:val="21"/>
          <w:color w:val="auto"/>
        </w:rPr>
        <w:t>payments by the Borrower and the Restricted Subsidiaries during such period in cash in respect of (x) long-term liabilities of the Borrower and the Restricted Subsidiaries other than Indebtedness, to the extent not already deducted from Consolidated Net Income, or (y) non-cash charges incurred in a prior period, to the extent not already deducted from Consolidated Net Income,</w:t>
      </w:r>
    </w:p>
    <w:p>
      <w:pPr>
        <w:spacing w:after="0" w:line="158" w:lineRule="exact"/>
        <w:rPr>
          <w:rFonts w:ascii="Arial" w:cs="Arial" w:eastAsia="Arial" w:hAnsi="Arial"/>
          <w:sz w:val="21"/>
          <w:szCs w:val="21"/>
          <w:color w:val="auto"/>
        </w:rPr>
      </w:pPr>
    </w:p>
    <w:p>
      <w:pPr>
        <w:jc w:val="both"/>
        <w:ind w:left="1960" w:hanging="656"/>
        <w:spacing w:after="0" w:line="211" w:lineRule="auto"/>
        <w:tabs>
          <w:tab w:leader="none" w:pos="1954" w:val="left"/>
        </w:tabs>
        <w:numPr>
          <w:ilvl w:val="0"/>
          <w:numId w:val="339"/>
        </w:numPr>
        <w:rPr>
          <w:rFonts w:ascii="Arial" w:cs="Arial" w:eastAsia="Arial" w:hAnsi="Arial"/>
          <w:sz w:val="22"/>
          <w:szCs w:val="22"/>
          <w:color w:val="auto"/>
        </w:rPr>
      </w:pPr>
      <w:r>
        <w:rPr>
          <w:rFonts w:ascii="Arial" w:cs="Arial" w:eastAsia="Arial" w:hAnsi="Arial"/>
          <w:sz w:val="22"/>
          <w:szCs w:val="22"/>
          <w:color w:val="auto"/>
        </w:rPr>
        <w:t xml:space="preserve">without duplication of amounts deducted pursuant to </w:t>
      </w:r>
      <w:r>
        <w:rPr>
          <w:rFonts w:ascii="Arial" w:cs="Arial" w:eastAsia="Arial" w:hAnsi="Arial"/>
          <w:sz w:val="22"/>
          <w:szCs w:val="22"/>
          <w:u w:val="single" w:color="auto"/>
          <w:color w:val="auto"/>
        </w:rPr>
        <w:t>clause (xi)</w:t>
      </w:r>
      <w:r>
        <w:rPr>
          <w:rFonts w:ascii="Arial" w:cs="Arial" w:eastAsia="Arial" w:hAnsi="Arial"/>
          <w:sz w:val="22"/>
          <w:szCs w:val="22"/>
          <w:color w:val="auto"/>
        </w:rPr>
        <w:t xml:space="preserve"> below in prior fiscal years, the aggregate amount of cash consideration paid by the Borrower and the Restricted Subsidiaries (on a consolidated basis) in connection with Investments (including acquisitions, holdback payments and earnout payments) pursuant to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(other than Investments made in the Borrower or a Restricted Subsidiary) made during such period (to the extent permitted to be made hereunder) or after the end of such period and on or prior to the ECF Due Date with respect to such period, except to the extent financed with the proceeds of Indebtedness of the Borrower or the Restricted Subsidiaries (other than Revolving Loans or intercompany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22" w:name="page323"/>
    <w:bookmarkEnd w:id="322"/>
    <w:p>
      <w:pPr>
        <w:jc w:val="both"/>
        <w:ind w:left="1960" w:hanging="656"/>
        <w:spacing w:after="0" w:line="214" w:lineRule="auto"/>
        <w:tabs>
          <w:tab w:leader="none" w:pos="1972" w:val="left"/>
        </w:tabs>
        <w:numPr>
          <w:ilvl w:val="0"/>
          <w:numId w:val="340"/>
        </w:numPr>
        <w:rPr>
          <w:rFonts w:ascii="Arial" w:cs="Arial" w:eastAsia="Arial" w:hAnsi="Arial"/>
          <w:sz w:val="22"/>
          <w:szCs w:val="22"/>
          <w:color w:val="auto"/>
        </w:rPr>
      </w:pPr>
      <w:r>
        <w:rPr>
          <w:rFonts w:ascii="Arial" w:cs="Arial" w:eastAsia="Arial" w:hAnsi="Arial"/>
          <w:sz w:val="22"/>
          <w:szCs w:val="22"/>
          <w:color w:val="auto"/>
        </w:rPr>
        <w:t xml:space="preserve">the aggregate amount of Restricted Payments paid to any Person other than the Borrower or any Restricted Subsidiary in cash during such period pursuant to </w:t>
      </w:r>
      <w:r>
        <w:rPr>
          <w:rFonts w:ascii="Arial" w:cs="Arial" w:eastAsia="Arial" w:hAnsi="Arial"/>
          <w:sz w:val="22"/>
          <w:szCs w:val="22"/>
          <w:u w:val="single" w:color="auto"/>
          <w:color w:val="auto"/>
        </w:rPr>
        <w:t>clauses (v)</w:t>
      </w:r>
      <w:r>
        <w:rPr>
          <w:rFonts w:ascii="Arial" w:cs="Arial" w:eastAsia="Arial" w:hAnsi="Arial"/>
          <w:sz w:val="22"/>
          <w:szCs w:val="22"/>
          <w:color w:val="auto"/>
        </w:rPr>
        <w:t xml:space="preserve"> (other than with the proceeds of key man life insurance, except to the extent included in Consolidated Net Income for such period), </w:t>
      </w:r>
      <w:r>
        <w:rPr>
          <w:rFonts w:ascii="Arial" w:cs="Arial" w:eastAsia="Arial" w:hAnsi="Arial"/>
          <w:sz w:val="22"/>
          <w:szCs w:val="22"/>
          <w:u w:val="single" w:color="auto"/>
          <w:color w:val="auto"/>
        </w:rPr>
        <w:t>(x)(i)</w:t>
      </w:r>
      <w:r>
        <w:rPr>
          <w:rFonts w:ascii="Arial" w:cs="Arial" w:eastAsia="Arial" w:hAnsi="Arial"/>
          <w:sz w:val="22"/>
          <w:szCs w:val="22"/>
          <w:color w:val="auto"/>
        </w:rPr>
        <w:t xml:space="preserve">, </w:t>
      </w:r>
      <w:r>
        <w:rPr>
          <w:rFonts w:ascii="Arial" w:cs="Arial" w:eastAsia="Arial" w:hAnsi="Arial"/>
          <w:sz w:val="22"/>
          <w:szCs w:val="22"/>
          <w:u w:val="single" w:color="auto"/>
          <w:color w:val="auto"/>
        </w:rPr>
        <w:t>(xi)</w:t>
      </w:r>
      <w:r>
        <w:rPr>
          <w:rFonts w:ascii="Arial" w:cs="Arial" w:eastAsia="Arial" w:hAnsi="Arial"/>
          <w:sz w:val="22"/>
          <w:szCs w:val="22"/>
          <w:color w:val="auto"/>
        </w:rPr>
        <w:t xml:space="preserve">, </w:t>
      </w:r>
      <w:r>
        <w:rPr>
          <w:rFonts w:ascii="Arial" w:cs="Arial" w:eastAsia="Arial" w:hAnsi="Arial"/>
          <w:sz w:val="22"/>
          <w:szCs w:val="22"/>
          <w:u w:val="single" w:color="auto"/>
          <w:color w:val="auto"/>
        </w:rPr>
        <w:t>(xiii)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(xiv)</w:t>
      </w:r>
      <w:r>
        <w:rPr>
          <w:rFonts w:ascii="Arial" w:cs="Arial" w:eastAsia="Arial" w:hAnsi="Arial"/>
          <w:sz w:val="22"/>
          <w:szCs w:val="22"/>
          <w:color w:val="auto"/>
        </w:rPr>
        <w:t xml:space="preserve">, </w:t>
      </w:r>
      <w:r>
        <w:rPr>
          <w:rFonts w:ascii="Arial" w:cs="Arial" w:eastAsia="Arial" w:hAnsi="Arial"/>
          <w:sz w:val="22"/>
          <w:szCs w:val="22"/>
          <w:u w:val="single" w:color="auto"/>
          <w:color w:val="auto"/>
        </w:rPr>
        <w:t>(xvi)</w:t>
      </w:r>
      <w:r>
        <w:rPr>
          <w:rFonts w:ascii="Arial" w:cs="Arial" w:eastAsia="Arial" w:hAnsi="Arial"/>
          <w:sz w:val="22"/>
          <w:szCs w:val="22"/>
          <w:color w:val="auto"/>
        </w:rPr>
        <w:t xml:space="preserve">, </w:t>
      </w:r>
      <w:r>
        <w:rPr>
          <w:rFonts w:ascii="Arial" w:cs="Arial" w:eastAsia="Arial" w:hAnsi="Arial"/>
          <w:sz w:val="22"/>
          <w:szCs w:val="22"/>
          <w:u w:val="single" w:color="auto"/>
          <w:color w:val="auto"/>
        </w:rPr>
        <w:t>(xvii)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(xix)</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6.06(a)</w:t>
      </w:r>
      <w:r>
        <w:rPr>
          <w:rFonts w:ascii="Arial" w:cs="Arial" w:eastAsia="Arial" w:hAnsi="Arial"/>
          <w:sz w:val="22"/>
          <w:szCs w:val="22"/>
          <w:color w:val="auto"/>
        </w:rPr>
        <w:t>, except to the extent financed with the proceeds of Indebtedness of the Borrower and the Restricted Subsidiaries (other than Revolving Loans or intercompany loans),</w:t>
      </w:r>
    </w:p>
    <w:p>
      <w:pPr>
        <w:spacing w:after="0" w:line="158" w:lineRule="exact"/>
        <w:rPr>
          <w:rFonts w:ascii="Arial" w:cs="Arial" w:eastAsia="Arial" w:hAnsi="Arial"/>
          <w:sz w:val="22"/>
          <w:szCs w:val="22"/>
          <w:color w:val="auto"/>
        </w:rPr>
      </w:pPr>
    </w:p>
    <w:p>
      <w:pPr>
        <w:jc w:val="both"/>
        <w:ind w:left="1960" w:hanging="656"/>
        <w:spacing w:after="0" w:line="268" w:lineRule="auto"/>
        <w:tabs>
          <w:tab w:leader="none" w:pos="1931" w:val="left"/>
        </w:tabs>
        <w:numPr>
          <w:ilvl w:val="0"/>
          <w:numId w:val="340"/>
        </w:numPr>
        <w:rPr>
          <w:rFonts w:ascii="Arial" w:cs="Arial" w:eastAsia="Arial" w:hAnsi="Arial"/>
          <w:sz w:val="19"/>
          <w:szCs w:val="19"/>
          <w:color w:val="auto"/>
        </w:rPr>
      </w:pPr>
      <w:r>
        <w:rPr>
          <w:rFonts w:ascii="Arial" w:cs="Arial" w:eastAsia="Arial" w:hAnsi="Arial"/>
          <w:sz w:val="19"/>
          <w:szCs w:val="19"/>
          <w:color w:val="auto"/>
        </w:rPr>
        <w:t>the aggregate amount of expenditures, fees, costs, charges and expenses in respect of long-term reserves (including litigation reserves) actually made by the Borrower and the Restricted Subsidiaries in cash during such period to the extent that such expenditures are not deducted in calculating Consolidated Net Income,</w:t>
      </w:r>
    </w:p>
    <w:p>
      <w:pPr>
        <w:spacing w:after="0" w:line="132" w:lineRule="exact"/>
        <w:rPr>
          <w:rFonts w:ascii="Arial" w:cs="Arial" w:eastAsia="Arial" w:hAnsi="Arial"/>
          <w:sz w:val="19"/>
          <w:szCs w:val="19"/>
          <w:color w:val="auto"/>
        </w:rPr>
      </w:pPr>
    </w:p>
    <w:p>
      <w:pPr>
        <w:jc w:val="both"/>
        <w:ind w:left="1960" w:hanging="656"/>
        <w:spacing w:after="0" w:line="218" w:lineRule="auto"/>
        <w:tabs>
          <w:tab w:leader="none" w:pos="1945" w:val="left"/>
        </w:tabs>
        <w:numPr>
          <w:ilvl w:val="0"/>
          <w:numId w:val="340"/>
        </w:numPr>
        <w:rPr>
          <w:rFonts w:ascii="Arial" w:cs="Arial" w:eastAsia="Arial" w:hAnsi="Arial"/>
          <w:sz w:val="22"/>
          <w:szCs w:val="22"/>
          <w:color w:val="auto"/>
        </w:rPr>
      </w:pPr>
      <w:r>
        <w:rPr>
          <w:rFonts w:ascii="Arial" w:cs="Arial" w:eastAsia="Arial" w:hAnsi="Arial"/>
          <w:sz w:val="22"/>
          <w:szCs w:val="22"/>
          <w:color w:val="auto"/>
        </w:rPr>
        <w:t>the aggregate amount of any premium, make-whole or penalty payments actually paid in cash by the Borrower and the Restricted Subsidiaries during such period that are made in connection with any prepayment of Indebtedness to the extent that such payments are not deducted in calculating Consolidated Net Income,</w:t>
      </w:r>
    </w:p>
    <w:p>
      <w:pPr>
        <w:spacing w:after="0" w:line="160" w:lineRule="exact"/>
        <w:rPr>
          <w:rFonts w:ascii="Arial" w:cs="Arial" w:eastAsia="Arial" w:hAnsi="Arial"/>
          <w:sz w:val="22"/>
          <w:szCs w:val="22"/>
          <w:color w:val="auto"/>
        </w:rPr>
      </w:pPr>
    </w:p>
    <w:p>
      <w:pPr>
        <w:ind w:left="1960" w:hanging="656"/>
        <w:spacing w:after="0" w:line="220" w:lineRule="auto"/>
        <w:tabs>
          <w:tab w:leader="none" w:pos="1876" w:val="left"/>
        </w:tabs>
        <w:numPr>
          <w:ilvl w:val="0"/>
          <w:numId w:val="340"/>
        </w:numPr>
        <w:rPr>
          <w:rFonts w:ascii="Arial" w:cs="Arial" w:eastAsia="Arial" w:hAnsi="Arial"/>
          <w:sz w:val="21"/>
          <w:szCs w:val="21"/>
          <w:color w:val="auto"/>
        </w:rPr>
      </w:pPr>
      <w:r>
        <w:rPr>
          <w:rFonts w:ascii="Arial" w:cs="Arial" w:eastAsia="Arial" w:hAnsi="Arial"/>
          <w:sz w:val="21"/>
          <w:szCs w:val="21"/>
          <w:color w:val="auto"/>
        </w:rPr>
        <w:t>without duplication of amounts deducted from Excess Cash Flow in prior periods, the aggregate amount of cash that is reasonably expected to be paid in respect of planned cash expenditures by the Borrower or any of the Restricted Subsidiaries (the “</w:t>
      </w:r>
      <w:r>
        <w:rPr>
          <w:rFonts w:ascii="Arial" w:cs="Arial" w:eastAsia="Arial" w:hAnsi="Arial"/>
          <w:sz w:val="21"/>
          <w:szCs w:val="21"/>
          <w:u w:val="single" w:color="auto"/>
          <w:color w:val="auto"/>
        </w:rPr>
        <w:t>Planned Expenditures</w:t>
      </w:r>
      <w:r>
        <w:rPr>
          <w:rFonts w:ascii="Arial" w:cs="Arial" w:eastAsia="Arial" w:hAnsi="Arial"/>
          <w:sz w:val="21"/>
          <w:szCs w:val="21"/>
          <w:color w:val="auto"/>
        </w:rPr>
        <w:t xml:space="preserve">”) relating to Permitted Acquisitions, other Investments (other than intercompany Investments) or Capital Expenditures to be consummated or made during the period of four consecutive fiscal quarters of the Borrower following the end of such period; </w:t>
      </w:r>
      <w:r>
        <w:rPr>
          <w:rFonts w:ascii="Arial" w:cs="Arial" w:eastAsia="Arial" w:hAnsi="Arial"/>
          <w:sz w:val="21"/>
          <w:szCs w:val="21"/>
          <w:u w:val="single" w:color="auto"/>
          <w:color w:val="auto"/>
        </w:rPr>
        <w:t>provided</w:t>
      </w:r>
      <w:r>
        <w:rPr>
          <w:rFonts w:ascii="Arial" w:cs="Arial" w:eastAsia="Arial" w:hAnsi="Arial"/>
          <w:sz w:val="21"/>
          <w:szCs w:val="21"/>
          <w:color w:val="auto"/>
        </w:rPr>
        <w:t>, that to the extent the aggregate amount of cash actually utilized to finance such Planned Expenditures during such period of four consecutive fiscal quarters (or to the extent such payments are financed with long term Indebtedness (other than revolving loans)) is less than the Planned Expenditures, the amount of such shortfall shall be added to the calculation of Excess Cash Flow at the end of such period of four consecutive fiscal quarters,</w:t>
      </w:r>
    </w:p>
    <w:p>
      <w:pPr>
        <w:spacing w:after="0" w:line="162" w:lineRule="exact"/>
        <w:rPr>
          <w:rFonts w:ascii="Arial" w:cs="Arial" w:eastAsia="Arial" w:hAnsi="Arial"/>
          <w:sz w:val="21"/>
          <w:szCs w:val="21"/>
          <w:color w:val="auto"/>
        </w:rPr>
      </w:pPr>
    </w:p>
    <w:p>
      <w:pPr>
        <w:jc w:val="both"/>
        <w:ind w:left="1960" w:hanging="656"/>
        <w:spacing w:after="0" w:line="223" w:lineRule="auto"/>
        <w:tabs>
          <w:tab w:leader="none" w:pos="1970" w:val="left"/>
        </w:tabs>
        <w:numPr>
          <w:ilvl w:val="0"/>
          <w:numId w:val="340"/>
        </w:numPr>
        <w:rPr>
          <w:rFonts w:ascii="Arial" w:cs="Arial" w:eastAsia="Arial" w:hAnsi="Arial"/>
          <w:sz w:val="22"/>
          <w:szCs w:val="22"/>
          <w:color w:val="auto"/>
        </w:rPr>
      </w:pPr>
      <w:r>
        <w:rPr>
          <w:rFonts w:ascii="Arial" w:cs="Arial" w:eastAsia="Arial" w:hAnsi="Arial"/>
          <w:sz w:val="22"/>
          <w:szCs w:val="22"/>
          <w:color w:val="auto"/>
        </w:rPr>
        <w:t>the amount of taxes (including penalties and interest) paid in cash or tax reserves set aside or payable in each case in such period to the extent not deducted in determining Consolidated Net Income for such period, and</w:t>
      </w:r>
    </w:p>
    <w:p>
      <w:pPr>
        <w:spacing w:after="0" w:line="158" w:lineRule="exact"/>
        <w:rPr>
          <w:rFonts w:ascii="Arial" w:cs="Arial" w:eastAsia="Arial" w:hAnsi="Arial"/>
          <w:sz w:val="22"/>
          <w:szCs w:val="22"/>
          <w:color w:val="auto"/>
        </w:rPr>
      </w:pPr>
    </w:p>
    <w:p>
      <w:pPr>
        <w:jc w:val="both"/>
        <w:ind w:left="1960" w:hanging="656"/>
        <w:spacing w:after="0" w:line="223" w:lineRule="auto"/>
        <w:tabs>
          <w:tab w:leader="none" w:pos="2011" w:val="left"/>
        </w:tabs>
        <w:numPr>
          <w:ilvl w:val="0"/>
          <w:numId w:val="340"/>
        </w:numPr>
        <w:rPr>
          <w:rFonts w:ascii="Arial" w:cs="Arial" w:eastAsia="Arial" w:hAnsi="Arial"/>
          <w:sz w:val="22"/>
          <w:szCs w:val="22"/>
          <w:color w:val="auto"/>
        </w:rPr>
      </w:pPr>
      <w:r>
        <w:rPr>
          <w:rFonts w:ascii="Arial" w:cs="Arial" w:eastAsia="Arial" w:hAnsi="Arial"/>
          <w:sz w:val="22"/>
          <w:szCs w:val="22"/>
          <w:color w:val="auto"/>
        </w:rPr>
        <w:t>the aggregate amount paid in cash by the Borrower and the Restricted Subsidiaries during such period in respect of the Transaction Costs to the extent that such payments are not deducted in calculating Consolidated Net Income.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17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Rate</w:t>
      </w:r>
      <w:r>
        <w:rPr>
          <w:rFonts w:ascii="Arial" w:cs="Arial" w:eastAsia="Arial" w:hAnsi="Arial"/>
          <w:sz w:val="22"/>
          <w:szCs w:val="22"/>
          <w:color w:val="auto"/>
        </w:rPr>
        <w:t>” means, on any day, for purposes of determining the Dollar Equivalent of any currency, the rate at which such other currency may be exchanged into Dollars at the time of determination as displayed by ICE Data Services as the “ask price” or as displayed on such other information service which publishes that rate from time to time in place of ICE Data Services (or another commercially available source providing quotations of such rate as designated by the Administrative Agent from time to time) for such currency (or to the extent applicable, the rate at which Dollars may be exchanged into such other currency). 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23" w:name="page324"/>
    <w:bookmarkEnd w:id="323"/>
    <w:p>
      <w:pPr>
        <w:jc w:val="both"/>
        <w:spacing w:after="0" w:line="242" w:lineRule="auto"/>
        <w:rPr>
          <w:sz w:val="20"/>
          <w:szCs w:val="20"/>
          <w:color w:val="auto"/>
        </w:rPr>
      </w:pPr>
      <w:r>
        <w:rPr>
          <w:rFonts w:ascii="Arial" w:cs="Arial" w:eastAsia="Arial" w:hAnsi="Arial"/>
          <w:sz w:val="19"/>
          <w:szCs w:val="19"/>
          <w:color w:val="auto"/>
        </w:rPr>
        <w:t xml:space="preserve">that such rate does not appear on such applicable ICE Data Services screen (or another commercially available source providing quotations of such rate as designated by the Administrative Agent from time to time), the Exchange Rate shall be determined by reference to such other publicly available service for displaying exchange rates as may be agreed upon by the Administrative Agent and the Borrower (or, with respect to calculations to be made by the relevant Issuing Bank, such Issuing Bank and the Borrower), or, in the absence of such an agreement, such Exchange Rate shall instead be the arithmetic average of the spot rates of exchange of the Administrative Agent (or, with respect to calculations to be made by the relevant Issuing Bank, such Issuing Bank) in the market where its foreign currency exchange operations in respect of such currency are then being conducted, at or about such time as the Administrative Agent (or, with respect to calculations to be made by the relevant Issuing Bank, such Issuing Bank) shall elect after determining that such rates shall be the basis for determining the Exchange Rate, on such date for the purchase of Dollars for delivery two Business Days later;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of any such determination, for any reason, no such spot rate is being quoted, the Administrative Agent (or, with respect to calculations to be made by the relevant Issuing Bank, such Issuing Bank) may use any reasonable method it deems appropriate to determine such rate, and such determination shall be conclusive absent manifest error.</w:t>
      </w:r>
    </w:p>
    <w:p>
      <w:pPr>
        <w:spacing w:after="0" w:line="160"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Affiliate</w:t>
      </w:r>
      <w:r>
        <w:rPr>
          <w:rFonts w:ascii="Arial" w:cs="Arial" w:eastAsia="Arial" w:hAnsi="Arial"/>
          <w:sz w:val="21"/>
          <w:szCs w:val="21"/>
          <w:color w:val="auto"/>
        </w:rPr>
        <w:t>” means any Affiliates of the Joint Lead Arrangers or Joint Bookrunners that are engaged as principals primarily in private equity, mezzanine financing or venture capital or are engaged, directly or indirectly, in the sale of the Borrower, including through the provision of advisory services, other than a limited number of senior employees who are required, in accordance with industry regulations or such Joint Lead Arranger’s or Joint Bookrunner’s internal policies and procedures, to act in a supervisory capacity and such Joint Lead Arranger’s or Joint Bookrunner’s internal legal, compliance, risk management, credit or investment committee members.</w:t>
      </w:r>
    </w:p>
    <w:p>
      <w:pPr>
        <w:spacing w:after="0" w:line="16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Contribution</w:t>
      </w:r>
      <w:r>
        <w:rPr>
          <w:rFonts w:ascii="Arial" w:cs="Arial" w:eastAsia="Arial" w:hAnsi="Arial"/>
          <w:sz w:val="22"/>
          <w:szCs w:val="22"/>
          <w:color w:val="auto"/>
        </w:rPr>
        <w:t>” has the meaning assigned to such term in the definition of “Available Excluded Contribution Amount”.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Information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2.11(i)(C)</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Property</w:t>
      </w:r>
      <w:r>
        <w:rPr>
          <w:rFonts w:ascii="Arial" w:cs="Arial" w:eastAsia="Arial" w:hAnsi="Arial"/>
          <w:sz w:val="19"/>
          <w:szCs w:val="19"/>
          <w:color w:val="auto"/>
        </w:rPr>
        <w:t xml:space="preserve">” means (i) any lease, lease in respect of a Capital Lease Obligation, license, contract, permit, Instrument, Security or franchise agreement to which such Loan Party is a party, or any property subject to a purchase money security interest, or any property governed by any such lease, lease in respect of a Capital Lease Obligation to which such Loan Party is a party and any of its rights or interest thereunder, to the extent, but only to the extent, that a grant of a security interest therein in favor of the Collateral Agent would, under the terms of such lease, lease in respect of a Capital Lease Obligation, license, contract, permit, Instrument, Security or franchise agreement or purchase money arrangement, be prohibited by or result in a violation of law, rule or regulation or a breach of the terms or a condition of, or constitute a default or forfeiture under, or create a right of termination in favor of, or require a consent (other than the consent of any Loan Party and any such consent which has been obtained (it being understood and agreed that no Loan Party or Restricted Subsidiary shall be required to seek any such consent)) of, any other party to, such lease, lease in respect of a Capital Lease Obligation, license, contract, permit, Instrument, Security or franchise agreement or purchase money arrangement, in each case, solely to the extent such prohibition was not created in contemplation of this Agreement or the other Loan Documents (except in the case of a lease in respect of a Capital Lease Obligation or property subject to a Lien permitted pursuant to </w:t>
      </w:r>
      <w:r>
        <w:rPr>
          <w:rFonts w:ascii="Arial" w:cs="Arial" w:eastAsia="Arial" w:hAnsi="Arial"/>
          <w:sz w:val="19"/>
          <w:szCs w:val="19"/>
          <w:u w:val="single" w:color="auto"/>
          <w:color w:val="auto"/>
        </w:rPr>
        <w:t>Sections 6.02(c)</w:t>
      </w:r>
      <w:r>
        <w:rPr>
          <w:rFonts w:ascii="Arial" w:cs="Arial" w:eastAsia="Arial" w:hAnsi="Arial"/>
          <w:sz w:val="19"/>
          <w:szCs w:val="19"/>
          <w:color w:val="auto"/>
        </w:rPr>
        <w:t xml:space="preserve"> (to the extent liens are of the type described in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6.02</w:t>
      </w:r>
      <w:r>
        <w:rPr>
          <w:rFonts w:ascii="Arial" w:cs="Arial" w:eastAsia="Arial" w:hAnsi="Arial"/>
          <w:sz w:val="19"/>
          <w:szCs w:val="19"/>
          <w:color w:val="auto"/>
        </w:rPr>
        <w:t>),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other than to the extent that any such law, rule, regulation, term, prohibition, restriction or condition would be rendered ineffective pursuant to Sections 9-406, 9-407, 9-408 or 9-409 of the UCC (or any successor provision or provisions) of any relevant jurisdiction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24" w:name="page325"/>
    <w:bookmarkEnd w:id="324"/>
    <w:p>
      <w:pPr>
        <w:jc w:val="both"/>
        <w:spacing w:after="0"/>
        <w:rPr>
          <w:sz w:val="20"/>
          <w:szCs w:val="20"/>
          <w:color w:val="auto"/>
        </w:rPr>
      </w:pPr>
      <w:r>
        <w:rPr>
          <w:rFonts w:ascii="Arial" w:cs="Arial" w:eastAsia="Arial" w:hAnsi="Arial"/>
          <w:sz w:val="19"/>
          <w:szCs w:val="19"/>
          <w:color w:val="auto"/>
        </w:rPr>
        <w:t xml:space="preserve">applicable law (including the Bankruptcy Code) or principles of equity, and other than receivables and proceeds of any of the foregoing the assignment of which is expressly deemed effective under the UCC or other applicable law notwithstanding such law, rule, regulation, term prohibition or condition);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upon the ineffectiveness, lapse or termination of any such law, rule, regulation, term, prohibition, restriction or condition the Collateral shall include, and such Person shall be deemed to have granted a security interest in, all such rights and interests as if such law, rule, regulation, term, prohibition, restriction or condition had never been in effect; (ii) any of the outstanding (1) Equity Interests issued by a Subsidiary of any Holding Company that is a CFC or a CFC Holding Company other than 65% of the voting capital stock and 100% of the non-voting capital stock of such Subsidiary or (2) Equity Interests issued by a Subsidiary of any Holding Company that is a Subsidiary of a CFC; (iii) any Equity Interests or assets of a Person to the extent that, and for so long as (x) such Equity Interests constitute less than 100% of all Equity Interests of such Person, and the Person or Persons holding the remainder of such Equity Interests are not Subsidiaries of any Holding Company and (y) the granting of a security interest in such Equity Interests in favor of the Collateral Agent is not permitted by the terms of such issuing Person’s organizational or joint venture documents or otherwise requires the consent of a Person or Persons who are not Subsidiaries of any Holding Company (after giving effect to other than to the extent that any such restriction or requirement would be rendered ineffective pursuant to Sections 9-406, 9-407, 9-408 or 9-409 of the UCC (or any successor provision or provisions) of any relevant jurisdiction or any other applicable law (including the Bankruptcy Code)); (iv) any Equity Interests in and assets of an Unrestricted Subsidiary, an Immaterial Subsidiary or a Captive Insurance Subsidiary or other special purpose entity (except to the extent perfection can be achieved by filing of a UCC financing statement); (v) (A) any motor vehicles and other assets subject to certificates of title (except to the extent a security interest therein can be perfected by the filing of UCC financing statements), (B) letter of credit rights (other than those constituting supporting obligations of other Collateral) with a value of less than $10,000,000 individually (except to the extent a security interest therein can be perfected by the filing of UCC financing statements), and (C) Commercial Tort Claims (as defined in the UCC) with a claim value of less than $10,000,000 individually; (vi) any “intent-to-use” trademark or service mark applications for which a statement of use or an amendment to allege use has not been filed with the United States Patent and Trademark Office (but only until such statement or amendment is filed with the United States Patent and Trademark Office), and solely to the extent, if any, that, and solely during the period, if any, in which, the grant of a security interest therein would impair the validity or enforceability of, or void or cause the abandonment or lapse of, such application or any registration that issues from such intent-to-use application under applicable U.S. law; (vii) those assets to the extent that a security interest in or perfection thereof would result in adverse tax consequences that are not de minimis (other than a result of the application of Sections 951 and/or 956 of the Code (or any successor provisions)) as reasonably determined by the Borrower in good faith; (viii) those assets as to which the Administrative Agent and the Borrower reasonably determine, in writing, that the cost of obtaining a security interest in or perfection thereof are excessive in relation to the benefit to the Lenders of the security to be afforded thereby; (ix) any real property leasehold interests (including any requirement to obtain any landlord waivers, estoppels and consents); (x) [reserved]; (xi) those assets with respect to which the granting of security interests in such assets would be prohibited by any contract permitted under the terms of this Agreement (not entered into in contemplation thereof and solely with respect to assets that are subject to such contract), applicable law or regulation (other than to the extent that any such law, rule, regulation, term, prohibition or condition would be rendered ineffective pursuant to Sections 9-406, 9-407, 9-408 or 9-409 of the UCC (or any successor provision or provisions) of any relevant jurisdiction or any other applicable law (including the Bankruptcy Code) or principles of equity, and other than receivables and Proceeds of any of the foregoing the assignment of which is expressly deemed effective under the UCC or other applicable law notwithstanding such law, rule, regulation, term, prohibition or condition), or would require governmental or third-party (other than any Loan Party) consent,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25" w:name="page326"/>
    <w:bookmarkEnd w:id="325"/>
    <w:p>
      <w:pPr>
        <w:jc w:val="both"/>
        <w:spacing w:after="0" w:line="241" w:lineRule="auto"/>
        <w:rPr>
          <w:sz w:val="20"/>
          <w:szCs w:val="20"/>
          <w:color w:val="auto"/>
        </w:rPr>
      </w:pPr>
      <w:r>
        <w:rPr>
          <w:rFonts w:ascii="Arial" w:cs="Arial" w:eastAsia="Arial" w:hAnsi="Arial"/>
          <w:sz w:val="19"/>
          <w:szCs w:val="19"/>
          <w:color w:val="auto"/>
        </w:rPr>
        <w:t xml:space="preserve">license or authorization or create a right of termination in favor of any Person (other than any Loan Party) party to any such contract (after giving effect to the applicable anti-assignment provisions of the UCC or other applicable law other than Proceeds and receivables thereof, the assignment of which is expressly deemed effective under the UCC or other applicable law notwithstanding such prohibition);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upon the ineffectiveness, lapse or termination of any such law, rule, regulation, term, prohibition, condition or provision the Collateral shall include, and such Person shall be deemed to have granted a security interest in, all such rights and interests as if such law, rule, regulation, term, prohibition, condition or provision had never been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exclusions referred to in this </w:t>
      </w:r>
      <w:r>
        <w:rPr>
          <w:rFonts w:ascii="Arial" w:cs="Arial" w:eastAsia="Arial" w:hAnsi="Arial"/>
          <w:sz w:val="19"/>
          <w:szCs w:val="19"/>
          <w:u w:val="single" w:color="auto"/>
          <w:color w:val="auto"/>
        </w:rPr>
        <w:t>clause (xi)</w:t>
      </w:r>
      <w:r>
        <w:rPr>
          <w:rFonts w:ascii="Arial" w:cs="Arial" w:eastAsia="Arial" w:hAnsi="Arial"/>
          <w:sz w:val="19"/>
          <w:szCs w:val="19"/>
          <w:color w:val="auto"/>
        </w:rPr>
        <w:t xml:space="preserve"> shall not include any Proceeds of any such assets except to the extent such Proceeds constitute Excluded Property; (xii) all owned real property not constituting Material Real Property; (xiii) Margin Stock; and (xiv) any assets (other than Equity Interests in a Foreign Subsidiary) that are located outside of the United States or are governed by or arise under the law of any jurisdiction outside of the United States (other than to the extent no action needs to be taken outside of the United States with respect to any such assets to create or perfect a security interest in any such assets). Notwithstanding anything to the contrary, “Excluded Property” shall not include any Proceeds, substitutions or replacements of any “Excluded Property” referred to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(xiv)</w:t>
      </w:r>
      <w:r>
        <w:rPr>
          <w:rFonts w:ascii="Arial" w:cs="Arial" w:eastAsia="Arial" w:hAnsi="Arial"/>
          <w:sz w:val="19"/>
          <w:szCs w:val="19"/>
          <w:color w:val="auto"/>
        </w:rPr>
        <w:t xml:space="preserve"> (unless such Proceeds, substitutions or replacements would itself or themselves independently constitute “Excluded Property” referred to in any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(xiv)</w:t>
      </w:r>
      <w:r>
        <w:rPr>
          <w:rFonts w:ascii="Arial" w:cs="Arial" w:eastAsia="Arial" w:hAnsi="Arial"/>
          <w:sz w:val="19"/>
          <w:szCs w:val="19"/>
          <w:color w:val="auto"/>
        </w:rPr>
        <w:t>). Each category of Collateral set forth above shall have the meaning set forth in the UCC (to the extent such term is defined in the UCC).</w:t>
      </w:r>
    </w:p>
    <w:p>
      <w:pPr>
        <w:spacing w:after="0" w:line="381"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Subsidiaries</w:t>
      </w:r>
      <w:r>
        <w:rPr>
          <w:rFonts w:ascii="Arial" w:cs="Arial" w:eastAsia="Arial" w:hAnsi="Arial"/>
          <w:sz w:val="19"/>
          <w:szCs w:val="19"/>
          <w:color w:val="auto"/>
        </w:rPr>
        <w:t xml:space="preserve">” means any Subsidiary of any Holding Company that is not itself a Holding Company or the Borrower and that is: (a) listed on </w:t>
      </w:r>
      <w:r>
        <w:rPr>
          <w:rFonts w:ascii="Arial" w:cs="Arial" w:eastAsia="Arial" w:hAnsi="Arial"/>
          <w:sz w:val="19"/>
          <w:szCs w:val="19"/>
          <w:u w:val="single" w:color="auto"/>
          <w:color w:val="auto"/>
        </w:rPr>
        <w:t>Schedule 1.02</w:t>
      </w:r>
      <w:r>
        <w:rPr>
          <w:rFonts w:ascii="Arial" w:cs="Arial" w:eastAsia="Arial" w:hAnsi="Arial"/>
          <w:sz w:val="19"/>
          <w:szCs w:val="19"/>
          <w:color w:val="auto"/>
        </w:rPr>
        <w:t xml:space="preserve"> as of the Closing Date; (b) a CFC or a CFC Holding Company; (c) any not-for-profit Subsidiary; (d) a Joint Venture or a Subsidiary that is not otherwise a wholly-owned Restricted Subsidiary; (e) an Immaterial Subsidiary; (f) an Unrestricted Subsidiary; (g) a Captive Insurance Subsidiary or other special purpose entity; (h) prohibited by any applicable Requirement of Law or contractual obligation from guaranteeing or granting Liens to secure any of the Secured Obligations or with respect to which any consent, approval, license or authorization from any Governmental Authority would be required for the provision of any such guaranty (but in the case of such guaranty being prohibited due to a contractual obligation, such contractual obligation shall have been in place at the Closing Date or at the time such Subsidiary became a Subsidiary and is not created in contemplation of or in connection with such Person becoming a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Restricted Subsidiary shall cease to be an Excluded Subsidiary solely pursuant to this </w:t>
      </w:r>
      <w:r>
        <w:rPr>
          <w:rFonts w:ascii="Arial" w:cs="Arial" w:eastAsia="Arial" w:hAnsi="Arial"/>
          <w:sz w:val="19"/>
          <w:szCs w:val="19"/>
          <w:u w:val="single" w:color="auto"/>
          <w:color w:val="auto"/>
        </w:rPr>
        <w:t>clause (h)</w:t>
      </w:r>
      <w:r>
        <w:rPr>
          <w:rFonts w:ascii="Arial" w:cs="Arial" w:eastAsia="Arial" w:hAnsi="Arial"/>
          <w:sz w:val="19"/>
          <w:szCs w:val="19"/>
          <w:color w:val="auto"/>
        </w:rPr>
        <w:t xml:space="preserve"> if such consent, approval, license or authorization has been obtained (it being understood and agreed that no Loan Party or Restricted Subsidiary shall be required to seek any such consent, approval, license or authorization); (i) with respect to which the Borrower (in consultation with the Administrative Agent) reasonably determines that guaranteeing or granting Liens to secure any of the Secured Obligations would result in material adverse tax consequences; (j) with respect to which the Borrower and the Administrative Agent reasonably agree that the cost and/or burden of providing a guaranty of the Secured Obligations outweighs the benefits to the Lenders; (k) a direct or indirect Subsidiary of an Excluded Subsidiary; (l) a Securitization Subsidiary; (m) organized or incorporated outside of the United States or any state, province, territory or jurisdiction thereof, (n) [reserved] and</w:t>
      </w:r>
    </w:p>
    <w:p>
      <w:pPr>
        <w:spacing w:after="0" w:line="7" w:lineRule="exact"/>
        <w:rPr>
          <w:sz w:val="20"/>
          <w:szCs w:val="20"/>
          <w:color w:val="auto"/>
        </w:rPr>
      </w:pPr>
    </w:p>
    <w:p>
      <w:pPr>
        <w:jc w:val="both"/>
        <w:ind w:firstLine="8"/>
        <w:spacing w:after="0" w:line="245" w:lineRule="auto"/>
        <w:tabs>
          <w:tab w:leader="none" w:pos="310" w:val="left"/>
        </w:tabs>
        <w:numPr>
          <w:ilvl w:val="0"/>
          <w:numId w:val="341"/>
        </w:numPr>
        <w:rPr>
          <w:rFonts w:ascii="Arial" w:cs="Arial" w:eastAsia="Arial" w:hAnsi="Arial"/>
          <w:sz w:val="19"/>
          <w:szCs w:val="19"/>
          <w:color w:val="auto"/>
        </w:rPr>
      </w:pPr>
      <w:r>
        <w:rPr>
          <w:rFonts w:ascii="Arial" w:cs="Arial" w:eastAsia="Arial" w:hAnsi="Arial"/>
          <w:sz w:val="19"/>
          <w:szCs w:val="19"/>
          <w:color w:val="auto"/>
        </w:rPr>
        <w:t>any Restricted Subsidiary acquired pursuant to a Permitted Acquisition or other permitted Investment that, at the time of such Permitted Acquisition or other permitted Investment, has assumed secured Indebtedness permitted hereunder and not incurred in contemplation of such Permitted Acquisition or other Investment and each Restricted Subsidiary that is a Subsidiary thereof that guarantees such Indebtedness, in each case to the extent (and solely for so long as) such secured Indebtedness prohibits such Restricted Subsidiary from becoming a 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Subsidiary shall cease to be an Excluded Subsidiary under this </w:t>
      </w:r>
      <w:r>
        <w:rPr>
          <w:rFonts w:ascii="Arial" w:cs="Arial" w:eastAsia="Arial" w:hAnsi="Arial"/>
          <w:sz w:val="19"/>
          <w:szCs w:val="19"/>
          <w:u w:val="single" w:color="auto"/>
          <w:color w:val="auto"/>
        </w:rPr>
        <w:t>clause (o)</w:t>
      </w:r>
      <w:r>
        <w:rPr>
          <w:rFonts w:ascii="Arial" w:cs="Arial" w:eastAsia="Arial" w:hAnsi="Arial"/>
          <w:sz w:val="19"/>
          <w:szCs w:val="19"/>
          <w:color w:val="auto"/>
        </w:rPr>
        <w:t xml:space="preserve"> if such secured Indebtedness is repaid or becomes unsecured, if such Restricted Subsidiary ceases to be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26" w:name="page327"/>
    <w:bookmarkEnd w:id="326"/>
    <w:p>
      <w:pPr>
        <w:spacing w:after="0"/>
        <w:rPr>
          <w:sz w:val="20"/>
          <w:szCs w:val="20"/>
          <w:color w:val="auto"/>
        </w:rPr>
      </w:pPr>
      <w:r>
        <w:rPr>
          <w:rFonts w:ascii="Arial" w:cs="Arial" w:eastAsia="Arial" w:hAnsi="Arial"/>
          <w:sz w:val="22"/>
          <w:szCs w:val="22"/>
          <w:color w:val="auto"/>
        </w:rPr>
        <w:t>obligor with respect to such secured Indebtedness or such prohibition no longer exists, as applicable).</w:t>
      </w:r>
    </w:p>
    <w:p>
      <w:pPr>
        <w:spacing w:after="0" w:line="17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Loan Party, any Swap Obligation if, and to the extent that, all or a portion of the Guarantee of such Loan Party of, or the grant by such Loan Party of a security interest pursuant to the Security Documents to secure, such Swap Obligation (or any Guarantee thereof) is or becomes illegal or unlawful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at the time the Guarantee of such Loan Party or the grant of such security interest would otherwise have become effective with respect to such related Swap Obligation but for such Loan Party’s failure to constitute an “eligible contract participant” at such time.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Taxes</w:t>
      </w:r>
      <w:r>
        <w:rPr>
          <w:rFonts w:ascii="Arial" w:cs="Arial" w:eastAsia="Arial" w:hAnsi="Arial"/>
          <w:sz w:val="22"/>
          <w:szCs w:val="22"/>
          <w:color w:val="auto"/>
        </w:rPr>
        <w:t>” means, with respect to any Recipient:</w:t>
      </w:r>
    </w:p>
    <w:p>
      <w:pPr>
        <w:spacing w:after="0" w:line="179" w:lineRule="exact"/>
        <w:rPr>
          <w:sz w:val="20"/>
          <w:szCs w:val="20"/>
          <w:color w:val="auto"/>
        </w:rPr>
      </w:pPr>
    </w:p>
    <w:p>
      <w:pPr>
        <w:jc w:val="both"/>
        <w:ind w:firstLine="1304"/>
        <w:spacing w:after="0" w:line="249" w:lineRule="auto"/>
        <w:tabs>
          <w:tab w:leader="none" w:pos="1906" w:val="left"/>
        </w:tabs>
        <w:numPr>
          <w:ilvl w:val="0"/>
          <w:numId w:val="342"/>
        </w:numPr>
        <w:rPr>
          <w:rFonts w:ascii="Arial" w:cs="Arial" w:eastAsia="Arial" w:hAnsi="Arial"/>
          <w:sz w:val="19"/>
          <w:szCs w:val="19"/>
          <w:color w:val="auto"/>
        </w:rPr>
      </w:pPr>
      <w:r>
        <w:rPr>
          <w:rFonts w:ascii="Arial" w:cs="Arial" w:eastAsia="Arial" w:hAnsi="Arial"/>
          <w:sz w:val="19"/>
          <w:szCs w:val="19"/>
          <w:color w:val="auto"/>
        </w:rPr>
        <w:t>Taxes imposed on or measured by such Recipient’s overall net income or profits, and franchise Taxes imposed in lieu of overall net income or profits Taxes, as a result of a present or former connection between the Recipient and the jurisdiction of the Governmental Authority imposing such Tax (other than any such connection arising solely from (i) such Recipient having executed, delivered, enforced, become a party to, performed its obligations under, received payments under, received or perfected a security interest under, and/or engaged in any other transaction pursuant to, any Loan Document, or (ii) such Recipient having sold or assigned an interest in any Loan or Loan Document);</w:t>
      </w:r>
    </w:p>
    <w:p>
      <w:pPr>
        <w:spacing w:after="0" w:line="151" w:lineRule="exact"/>
        <w:rPr>
          <w:rFonts w:ascii="Arial" w:cs="Arial" w:eastAsia="Arial" w:hAnsi="Arial"/>
          <w:sz w:val="19"/>
          <w:szCs w:val="19"/>
          <w:color w:val="auto"/>
        </w:rPr>
      </w:pPr>
    </w:p>
    <w:p>
      <w:pPr>
        <w:ind w:left="1780" w:hanging="476"/>
        <w:spacing w:after="0"/>
        <w:tabs>
          <w:tab w:leader="none" w:pos="1780" w:val="left"/>
        </w:tabs>
        <w:numPr>
          <w:ilvl w:val="0"/>
          <w:numId w:val="342"/>
        </w:numPr>
        <w:rPr>
          <w:rFonts w:ascii="Arial" w:cs="Arial" w:eastAsia="Arial" w:hAnsi="Arial"/>
          <w:sz w:val="22"/>
          <w:szCs w:val="22"/>
          <w:color w:val="auto"/>
        </w:rPr>
      </w:pPr>
      <w:r>
        <w:rPr>
          <w:rFonts w:ascii="Arial" w:cs="Arial" w:eastAsia="Arial" w:hAnsi="Arial"/>
          <w:sz w:val="22"/>
          <w:szCs w:val="22"/>
          <w:color w:val="auto"/>
        </w:rPr>
        <w:t xml:space="preserve">any branch profits Taxes imposed by any jurisdiction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52" w:lineRule="auto"/>
        <w:tabs>
          <w:tab w:leader="none" w:pos="1759" w:val="left"/>
        </w:tabs>
        <w:numPr>
          <w:ilvl w:val="0"/>
          <w:numId w:val="342"/>
        </w:numPr>
        <w:rPr>
          <w:rFonts w:ascii="Arial" w:cs="Arial" w:eastAsia="Arial" w:hAnsi="Arial"/>
          <w:sz w:val="19"/>
          <w:szCs w:val="19"/>
          <w:color w:val="auto"/>
        </w:rPr>
      </w:pPr>
      <w:r>
        <w:rPr>
          <w:rFonts w:ascii="Arial" w:cs="Arial" w:eastAsia="Arial" w:hAnsi="Arial"/>
          <w:sz w:val="19"/>
          <w:szCs w:val="19"/>
          <w:color w:val="auto"/>
        </w:rPr>
        <w:t xml:space="preserve">any United States federal withholding Taxes that are imposed on a Recipient pursuant to a law in effect at the time such Recipient becomes a party to this Agreement (or designates a new lending office) except, in each case, (i) to the extent that such Recipient (or its assignor, if any) was entitled, immediately prior to the designation of a new lending office (or assignment), to receive additional amounts from any Loan Party with respect to such withholding Tax pursuant to Section 2.17 of this Agreement or (ii) if such Recipient is an assignee pursuant to a request by the Borrower under </w:t>
      </w:r>
      <w:r>
        <w:rPr>
          <w:rFonts w:ascii="Arial" w:cs="Arial" w:eastAsia="Arial" w:hAnsi="Arial"/>
          <w:sz w:val="19"/>
          <w:szCs w:val="19"/>
          <w:u w:val="single" w:color="auto"/>
          <w:color w:val="auto"/>
        </w:rPr>
        <w:t>Section 2.19</w:t>
      </w:r>
      <w:r>
        <w:rPr>
          <w:rFonts w:ascii="Arial" w:cs="Arial" w:eastAsia="Arial" w:hAnsi="Arial"/>
          <w:sz w:val="19"/>
          <w:szCs w:val="19"/>
          <w:color w:val="auto"/>
        </w:rPr>
        <w:t>;</w:t>
      </w:r>
    </w:p>
    <w:p>
      <w:pPr>
        <w:spacing w:after="0" w:line="148" w:lineRule="exact"/>
        <w:rPr>
          <w:rFonts w:ascii="Arial" w:cs="Arial" w:eastAsia="Arial" w:hAnsi="Arial"/>
          <w:sz w:val="19"/>
          <w:szCs w:val="19"/>
          <w:color w:val="auto"/>
        </w:rPr>
      </w:pPr>
    </w:p>
    <w:p>
      <w:pPr>
        <w:ind w:left="1780" w:hanging="476"/>
        <w:spacing w:after="0"/>
        <w:tabs>
          <w:tab w:leader="none" w:pos="1780" w:val="left"/>
        </w:tabs>
        <w:numPr>
          <w:ilvl w:val="0"/>
          <w:numId w:val="342"/>
        </w:numPr>
        <w:rPr>
          <w:rFonts w:ascii="Arial" w:cs="Arial" w:eastAsia="Arial" w:hAnsi="Arial"/>
          <w:sz w:val="22"/>
          <w:szCs w:val="22"/>
          <w:color w:val="auto"/>
        </w:rPr>
      </w:pPr>
      <w:r>
        <w:rPr>
          <w:rFonts w:ascii="Arial" w:cs="Arial" w:eastAsia="Arial" w:hAnsi="Arial"/>
          <w:sz w:val="22"/>
          <w:szCs w:val="22"/>
          <w:color w:val="auto"/>
        </w:rPr>
        <w:t xml:space="preserve">any withholding Taxes attributable to a Recipient’s failure to comply with </w:t>
      </w:r>
      <w:r>
        <w:rPr>
          <w:rFonts w:ascii="Arial" w:cs="Arial" w:eastAsia="Arial" w:hAnsi="Arial"/>
          <w:sz w:val="22"/>
          <w:szCs w:val="22"/>
          <w:u w:val="single" w:color="auto"/>
          <w:color w:val="auto"/>
        </w:rPr>
        <w:t>Section 2.17(e)</w:t>
      </w:r>
      <w:r>
        <w:rPr>
          <w:rFonts w:ascii="Arial" w:cs="Arial" w:eastAsia="Arial" w:hAnsi="Arial"/>
          <w:sz w:val="22"/>
          <w:szCs w:val="22"/>
          <w:color w:val="auto"/>
        </w:rPr>
        <w:t>; and</w:t>
      </w:r>
    </w:p>
    <w:p>
      <w:pPr>
        <w:spacing w:after="0" w:line="179" w:lineRule="exact"/>
        <w:rPr>
          <w:rFonts w:ascii="Arial" w:cs="Arial" w:eastAsia="Arial" w:hAnsi="Arial"/>
          <w:sz w:val="22"/>
          <w:szCs w:val="22"/>
          <w:color w:val="auto"/>
        </w:rPr>
      </w:pPr>
    </w:p>
    <w:p>
      <w:pPr>
        <w:ind w:left="1760" w:hanging="456"/>
        <w:spacing w:after="0"/>
        <w:tabs>
          <w:tab w:leader="none" w:pos="1760" w:val="left"/>
        </w:tabs>
        <w:numPr>
          <w:ilvl w:val="0"/>
          <w:numId w:val="342"/>
        </w:numPr>
        <w:rPr>
          <w:rFonts w:ascii="Arial" w:cs="Arial" w:eastAsia="Arial" w:hAnsi="Arial"/>
          <w:sz w:val="22"/>
          <w:szCs w:val="22"/>
          <w:color w:val="auto"/>
        </w:rPr>
      </w:pPr>
      <w:r>
        <w:rPr>
          <w:rFonts w:ascii="Arial" w:cs="Arial" w:eastAsia="Arial" w:hAnsi="Arial"/>
          <w:sz w:val="22"/>
          <w:szCs w:val="22"/>
          <w:color w:val="auto"/>
        </w:rPr>
        <w:t>any U.S. federal withholding Taxes imposed under FATCA.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6711315</wp:posOffset>
            </wp:positionH>
            <wp:positionV relativeFrom="paragraph">
              <wp:posOffset>-703580</wp:posOffset>
            </wp:positionV>
            <wp:extent cx="2762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276225" cy="8255"/>
                    </a:xfrm>
                    <a:prstGeom prst="rect">
                      <a:avLst/>
                    </a:prstGeom>
                    <a:noFill/>
                  </pic:spPr>
                </pic:pic>
              </a:graphicData>
            </a:graphic>
          </wp:anchor>
        </w:drawing>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means that certain Credit Agreement, dated as of April 14, 2017 (as amended, amended and restated, supplemented or otherwise modified from time to time), by and among Borrower, Holdings, the lenders and issuing banks from time to time party thereto and JPMorgan Chase Bank, N.A., as administrative agent.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Commitment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Loans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Term Loans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27" w:name="page328"/>
    <w:bookmarkEnd w:id="327"/>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Revolving Loan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Term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Amendment</w:t>
      </w:r>
      <w:r>
        <w:rPr>
          <w:rFonts w:ascii="Arial" w:cs="Arial" w:eastAsia="Arial" w:hAnsi="Arial"/>
          <w:sz w:val="22"/>
          <w:szCs w:val="22"/>
          <w:color w:val="auto"/>
        </w:rPr>
        <w:t>” means an amendment to this Agreement in form reasonably satisfactory to the Borrower and the Administrative Agent, executed by each of (a) the Holding Companies, (b) the Borrower, (c) the other Loan Parties, (d) the Administrative Agent and (e) each Extending Revolving Loan Lender and Extending Term Lender, as the case may be, in connection with any Extension.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Offer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Closing Date (or any amended or successor version that is substantively comparable and not materially more onerous to comply with) and any current or future Treasury regulations or official administrative interpretations thereof, any agreements entered into pursuant to Section 1471(b)(1) of the Code, and any fiscal or regulatory legislation, rules or practices adopted pursuant to any intergovernmental agreement entered into in connection with the implementation of such sections of the Code.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3.19</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rate shall be less than zero, such rate shall be deemed to be zero for all purposes of this Agreement.</w:t>
      </w:r>
    </w:p>
    <w:p>
      <w:pPr>
        <w:spacing w:after="0" w:line="14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Reserve Bank of New York’s Website</w:t>
      </w:r>
      <w:r>
        <w:rPr>
          <w:rFonts w:ascii="Arial" w:cs="Arial" w:eastAsia="Arial" w:hAnsi="Arial"/>
          <w:sz w:val="22"/>
          <w:szCs w:val="22"/>
          <w:color w:val="auto"/>
        </w:rPr>
        <w:t>” means the website of the Federal Reserve Bank of New York at http://www.newyorkfed.org, or any successor source.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means the Amended and Restated Fee Letter dated August 31, 2018 by and among the Borrower, GS Bank, Barclays, Bank of America, N.A., MLPFS, Credit Suisse AG, KKR Corporate Lending LLC, KKR Corporate Funding LLC, Citizens Bank, N.A., SunTrust Bank and SunTrust Robinson Humphrey, Inc.</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of any Person means the chief financial officer, vice president of finance, principal accounting officer or treasurer of such Person (or, in the case of any Person that is a Foreign Subsidiary, a director of such Person).</w:t>
      </w:r>
    </w:p>
    <w:p>
      <w:pPr>
        <w:spacing w:after="0" w:line="10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Amendment Funding Date</w:t>
      </w:r>
      <w:r>
        <w:rPr>
          <w:rFonts w:ascii="Arial" w:cs="Arial" w:eastAsia="Arial" w:hAnsi="Arial"/>
          <w:sz w:val="22"/>
          <w:szCs w:val="22"/>
          <w:color w:val="auto"/>
        </w:rPr>
        <w:t>” has the meaning assigned to such term in Section III of the First Incremental Credit Facility Amendment.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Incremental Credit Facility Amendment</w:t>
      </w:r>
      <w:r>
        <w:rPr>
          <w:rFonts w:ascii="Arial" w:cs="Arial" w:eastAsia="Arial" w:hAnsi="Arial"/>
          <w:sz w:val="22"/>
          <w:szCs w:val="22"/>
          <w:color w:val="auto"/>
        </w:rPr>
        <w:t>” means the First Incremental Credit Facility Amendment to First Lien Credit Agreement, dated as of November 1, 2019, among the Borrower, Holdings, the other Loan Parties party thereto, the Lenders party thereto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28" w:name="page329"/>
    <w:bookmarkEnd w:id="328"/>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Indebtedness</w:t>
      </w:r>
      <w:r>
        <w:rPr>
          <w:rFonts w:ascii="Arial" w:cs="Arial" w:eastAsia="Arial" w:hAnsi="Arial"/>
          <w:sz w:val="22"/>
          <w:szCs w:val="22"/>
          <w:color w:val="auto"/>
        </w:rPr>
        <w:t>” means Total Indebtedness that is secured by a Lien on the Collateral, except by a Lien that is junior to the Liens on the Collateral securing the Obligations. For the avoidance of doubt, First Lien Indebtedness includes any First Lien Senior Secured Notes, the Term Loans and the Revolving Loans.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Net Leverage Ratio</w:t>
      </w:r>
      <w:r>
        <w:rPr>
          <w:rFonts w:ascii="Arial" w:cs="Arial" w:eastAsia="Arial" w:hAnsi="Arial"/>
          <w:sz w:val="22"/>
          <w:szCs w:val="22"/>
          <w:color w:val="auto"/>
        </w:rPr>
        <w:t>” means, on any date of determination, the ratio of (a) First Lien Indebtedness, less the aggregate amount of Unrestricted Cash, to (b) LTM EBITDA.</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Lien Senior Secured Notes</w:t>
      </w:r>
      <w:r>
        <w:rPr>
          <w:rFonts w:ascii="Arial" w:cs="Arial" w:eastAsia="Arial" w:hAnsi="Arial"/>
          <w:sz w:val="21"/>
          <w:szCs w:val="21"/>
          <w:color w:val="auto"/>
        </w:rPr>
        <w:t xml:space="preserve"> ” means Additional Debt, Term Loan Exchange Notes or Refinancing Notes, in each case that are secured by any Lien except by any Lien that is junior to the Lien securing the Obligations.</w:t>
      </w:r>
    </w:p>
    <w:p>
      <w:pPr>
        <w:spacing w:after="0" w:line="151"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Fixed Charges</w:t>
      </w:r>
      <w:r>
        <w:rPr>
          <w:rFonts w:ascii="Arial" w:cs="Arial" w:eastAsia="Arial" w:hAnsi="Arial"/>
          <w:sz w:val="21"/>
          <w:szCs w:val="21"/>
          <w:color w:val="auto"/>
        </w:rPr>
        <w:t xml:space="preserve">” means, for any period, the sum of: (i) Consolidated Interest Expense for such period, to the extent payable in cash in such period,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(ii) without duplication, all cash dividends or distributions paid (excluding items eliminated in consolidation) on any series of preferred stock or Disqualified Equity Interests during such period.</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Flood Hazard Property</w:t>
      </w:r>
      <w:r>
        <w:rPr>
          <w:rFonts w:ascii="Arial" w:cs="Arial" w:eastAsia="Arial" w:hAnsi="Arial"/>
          <w:sz w:val="22"/>
          <w:szCs w:val="22"/>
          <w:color w:val="auto"/>
        </w:rPr>
        <w:t>” means a Mortgaged Property to the extent any building comprising any part of the Mortgaged Property is located in an area designated by the Federal Emergency Management Agency as having special flood hazards.</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Flood Insurance Laws</w:t>
      </w:r>
      <w:r>
        <w:rPr>
          <w:rFonts w:ascii="Arial" w:cs="Arial" w:eastAsia="Arial" w:hAnsi="Arial"/>
          <w:sz w:val="19"/>
          <w:szCs w:val="19"/>
          <w:color w:val="auto"/>
        </w:rPr>
        <w:t>” means,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statue thereto and (iii) the Biggert-Waters Flood Insurance Reform Act of 2012 as now or hereafter in effect or any successor statute thereto and any and all official rulings and interpretation thereunder or thereof.</w:t>
      </w:r>
    </w:p>
    <w:p>
      <w:pPr>
        <w:spacing w:after="0" w:line="14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Foreign Benefit Event</w:t>
      </w:r>
      <w:r>
        <w:rPr>
          <w:rFonts w:ascii="Arial" w:cs="Arial" w:eastAsia="Arial" w:hAnsi="Arial"/>
          <w:sz w:val="19"/>
          <w:szCs w:val="19"/>
          <w:color w:val="auto"/>
        </w:rPr>
        <w:t>” means, with respect to any Foreign Pension Plan, (a) the existence of unfunded liabilities in excess of the amount permitted under any applicable law, or in excess of the amount that would be permitted absent a waiver from a Governmental Authority, (b) the failure to make the required contributions or payments, under any applicable law, on or before the due date for such contributions or payments, (c) the receipt of a notice by a Governmental Authority relating to the intention to terminate any such Foreign Pension Plan or to appoint a trustee or similar official to administer any such Foreign Pension Plan, or alleging the insolvency of any such Foreign Pension Plan, (d) the incurrence of any liability by any Holding Company or any Subsidiary under applicable law on account of the complete or partial termination of such Foreign Pension Plan or the complete or partial withdrawal of any participating employer therein that would reasonably be expected to result in a Material Adverse Effect, or (e) the occurrence of any transaction that is prohibited under any applicable law and that could reasonably be expected to result in the incurrence of any liability by any Holding Company or any of the Subsidiaries, or the imposition on any Holding Company or any of the Subsidiaries of any fine, excise tax or penalty resulting from any noncompliance with any applicable law, in each case that would reasonably be expected to result in a Material Adverse Effect.</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 Lender that is not a U.S. Person.</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Pension Plan</w:t>
      </w:r>
      <w:r>
        <w:rPr>
          <w:rFonts w:ascii="Arial" w:cs="Arial" w:eastAsia="Arial" w:hAnsi="Arial"/>
          <w:sz w:val="22"/>
          <w:szCs w:val="22"/>
          <w:color w:val="auto"/>
        </w:rPr>
        <w:t>” means any benefit plan that under applicable law other than the laws of the United States or any political subdivision thereof, is required to be funded through a trust or other funding vehicle other than a trust or funding vehicle maintained exclusively by a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29" w:name="page330"/>
    <w:bookmarkEnd w:id="329"/>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that is organized or incorporated under the laws of a jurisdiction other than the United States, any State thereof or the District of Columbia.</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Francisco Partners</w:t>
      </w:r>
      <w:r>
        <w:rPr>
          <w:rFonts w:ascii="Arial" w:cs="Arial" w:eastAsia="Arial" w:hAnsi="Arial"/>
          <w:sz w:val="19"/>
          <w:szCs w:val="19"/>
          <w:color w:val="auto"/>
        </w:rPr>
        <w:t>” means Francisco Partners IV, L.P. and its Controlled Investment Affiliates and associated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funds.</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xml:space="preserve">” means, subject to the limitations set forth in </w:t>
      </w:r>
      <w:r>
        <w:rPr>
          <w:rFonts w:ascii="Arial" w:cs="Arial" w:eastAsia="Arial" w:hAnsi="Arial"/>
          <w:sz w:val="22"/>
          <w:szCs w:val="22"/>
          <w:u w:val="single" w:color="auto"/>
          <w:color w:val="auto"/>
        </w:rPr>
        <w:t>Section 1.04</w:t>
      </w:r>
      <w:r>
        <w:rPr>
          <w:rFonts w:ascii="Arial" w:cs="Arial" w:eastAsia="Arial" w:hAnsi="Arial"/>
          <w:sz w:val="22"/>
          <w:szCs w:val="22"/>
          <w:color w:val="auto"/>
        </w:rPr>
        <w:t>, generally accepted accounting principles in the United States as in effect from time to time.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Governing Body</w:t>
      </w:r>
      <w:r>
        <w:rPr>
          <w:rFonts w:ascii="Arial" w:cs="Arial" w:eastAsia="Arial" w:hAnsi="Arial"/>
          <w:sz w:val="22"/>
          <w:szCs w:val="22"/>
          <w:color w:val="auto"/>
        </w:rPr>
        <w:t>” means the board of directors or other body having the power to direct or cause the direction of the management and policies of a Person that is a corporation, company, partnership, trust, limited liability company, association, Joint Venture or other business entity.</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any other nation or any political subdivision thereof, whether state, county,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9.04(e)</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GS Bank</w:t>
      </w:r>
      <w:r>
        <w:rPr>
          <w:rFonts w:ascii="Arial" w:cs="Arial" w:eastAsia="Arial" w:hAnsi="Arial"/>
          <w:sz w:val="22"/>
          <w:szCs w:val="22"/>
          <w:color w:val="auto"/>
        </w:rPr>
        <w:t>” means Goldman Sachs Bank USA.</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xml:space="preserve"> ”)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the guarantor, direct or indirect,</w:t>
      </w:r>
    </w:p>
    <w:p>
      <w:pPr>
        <w:spacing w:after="0" w:line="2" w:lineRule="exact"/>
        <w:rPr>
          <w:sz w:val="20"/>
          <w:szCs w:val="20"/>
          <w:color w:val="auto"/>
        </w:rPr>
      </w:pPr>
    </w:p>
    <w:p>
      <w:pPr>
        <w:jc w:val="both"/>
        <w:ind w:firstLine="8"/>
        <w:spacing w:after="0"/>
        <w:tabs>
          <w:tab w:leader="none" w:pos="310" w:val="left"/>
        </w:tabs>
        <w:numPr>
          <w:ilvl w:val="0"/>
          <w:numId w:val="343"/>
        </w:numPr>
        <w:rPr>
          <w:rFonts w:ascii="Arial" w:cs="Arial" w:eastAsia="Arial" w:hAnsi="Arial"/>
          <w:sz w:val="19"/>
          <w:szCs w:val="19"/>
          <w:color w:val="auto"/>
        </w:rPr>
      </w:pPr>
      <w:r>
        <w:rPr>
          <w:rFonts w:ascii="Arial" w:cs="Arial" w:eastAsia="Arial" w:hAnsi="Arial"/>
          <w:sz w:val="19"/>
          <w:szCs w:val="19"/>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w:t>
      </w:r>
      <w:r>
        <w:rPr>
          <w:rFonts w:ascii="Arial" w:cs="Arial" w:eastAsia="Arial" w:hAnsi="Arial"/>
          <w:sz w:val="19"/>
          <w:szCs w:val="19"/>
          <w:u w:val="single" w:color="auto"/>
          <w:color w:val="auto"/>
        </w:rPr>
        <w:t>Guarantee</w:t>
      </w:r>
      <w:r>
        <w:rPr>
          <w:rFonts w:ascii="Arial" w:cs="Arial" w:eastAsia="Arial" w:hAnsi="Arial"/>
          <w:sz w:val="19"/>
          <w:szCs w:val="19"/>
          <w:color w:val="auto"/>
        </w:rPr>
        <w:t xml:space="preserve">” does not include (x) endorsements for collection or deposit in the ordinary course of business and (y) standard contractual indemnities or product warranties provided in the ordinary course of business;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amount of any Guarantee shall be deemed to be the lower of (i) an amount equal to the stated or determinable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The term “</w:t>
      </w:r>
      <w:r>
        <w:rPr>
          <w:rFonts w:ascii="Arial" w:cs="Arial" w:eastAsia="Arial" w:hAnsi="Arial"/>
          <w:sz w:val="19"/>
          <w:szCs w:val="19"/>
          <w:u w:val="single" w:color="auto"/>
          <w:color w:val="auto"/>
        </w:rPr>
        <w:t>Guaranteed</w:t>
      </w:r>
      <w:r>
        <w:rPr>
          <w:rFonts w:ascii="Arial" w:cs="Arial" w:eastAsia="Arial" w:hAnsi="Arial"/>
          <w:sz w:val="19"/>
          <w:szCs w:val="19"/>
          <w:color w:val="auto"/>
        </w:rPr>
        <w:t>” has a meaning correlative thereto.</w:t>
      </w:r>
    </w:p>
    <w:p>
      <w:pPr>
        <w:spacing w:after="0" w:line="382"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Guarantors</w:t>
      </w:r>
      <w:r>
        <w:rPr>
          <w:rFonts w:ascii="Arial" w:cs="Arial" w:eastAsia="Arial" w:hAnsi="Arial"/>
          <w:sz w:val="22"/>
          <w:szCs w:val="22"/>
          <w:color w:val="auto"/>
        </w:rPr>
        <w:t xml:space="preserve"> ” means (a) each Holding Company and (b) any Restricted Subsidiary that has Guaranteed the Obligations pursuant to the Guaranty;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30" w:name="page331"/>
    <w:bookmarkEnd w:id="330"/>
    <w:p>
      <w:pPr>
        <w:jc w:val="both"/>
        <w:spacing w:after="0" w:line="232" w:lineRule="auto"/>
        <w:rPr>
          <w:sz w:val="20"/>
          <w:szCs w:val="20"/>
          <w:color w:val="auto"/>
        </w:rPr>
      </w:pPr>
      <w:r>
        <w:rPr>
          <w:rFonts w:ascii="Arial" w:cs="Arial" w:eastAsia="Arial" w:hAnsi="Arial"/>
          <w:sz w:val="22"/>
          <w:szCs w:val="22"/>
          <w:color w:val="auto"/>
        </w:rPr>
        <w:t>anything herein to the contrary, no Restricted Subsidiary that is an Excluded Subsidiary shall be required to Guarantee the Obligations.</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w:t>
      </w:r>
      <w:r>
        <w:rPr>
          <w:rFonts w:ascii="Arial" w:cs="Arial" w:eastAsia="Arial" w:hAnsi="Arial"/>
          <w:sz w:val="19"/>
          <w:szCs w:val="19"/>
          <w:color w:val="auto"/>
        </w:rPr>
        <w:t xml:space="preserve">” means the First Lien Guaranty executed and delivered by the Loan Parties party thereto, together with each supplement to such Guaranty in respect of the Secured Obligations delivered pursuant to </w:t>
      </w:r>
      <w:r>
        <w:rPr>
          <w:rFonts w:ascii="Arial" w:cs="Arial" w:eastAsia="Arial" w:hAnsi="Arial"/>
          <w:sz w:val="19"/>
          <w:szCs w:val="19"/>
          <w:u w:val="single" w:color="auto"/>
          <w:color w:val="auto"/>
        </w:rPr>
        <w:t>Section 5.10</w:t>
      </w:r>
      <w:r>
        <w:rPr>
          <w:rFonts w:ascii="Arial" w:cs="Arial" w:eastAsia="Arial" w:hAnsi="Arial"/>
          <w:sz w:val="19"/>
          <w:szCs w:val="19"/>
          <w:color w:val="auto"/>
        </w:rPr>
        <w:t>.</w:t>
      </w:r>
    </w:p>
    <w:p>
      <w:pPr>
        <w:spacing w:after="0" w:line="10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xml:space="preserve"> ” means all explosive or radioactive substances, materials or wastes and all hazardous or toxic substances, materials, wastes or other pollutants, including petroleum or petroleum distillates, asbestos or asbestos containing materials, polychlorinated biphenyls, radon gas, infectious or medical wastes and all other substances, materials or wastes regulated by or for which liability may be imposed pursuant to any Environmental Law due to their dangerous or deleterious properties or characteristics.</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 Company</w:t>
      </w:r>
      <w:r>
        <w:rPr>
          <w:rFonts w:ascii="Arial" w:cs="Arial" w:eastAsia="Arial" w:hAnsi="Arial"/>
          <w:sz w:val="22"/>
          <w:szCs w:val="22"/>
          <w:color w:val="auto"/>
        </w:rPr>
        <w:t>” means (a) on the Closing Date, Holdings and (b) after the Closing Date, Holdings and any other Subsidiary of Holdings that, directly or indirectly, owns the Borrower.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w:t>
      </w:r>
      <w:r>
        <w:rPr>
          <w:rFonts w:ascii="Arial" w:cs="Arial" w:eastAsia="Arial" w:hAnsi="Arial"/>
          <w:sz w:val="22"/>
          <w:szCs w:val="22"/>
          <w:color w:val="auto"/>
        </w:rPr>
        <w:t>” has the meaning assigned to such term in the recitals to this Agreement.</w:t>
      </w:r>
    </w:p>
    <w:p>
      <w:pPr>
        <w:spacing w:after="0" w:line="17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means, at any date of determination, any Restricted Subsidiary that has been designated by the Borrower in writing to the Administrative Agent as an “</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xml:space="preserve">” for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for purposes of this Agreement, at no time shall (i) the consolidated total assets of all Immaterial Subsidiaries as of the last day of the then most recent fiscal year of the Borrower for which financial statements have been delivered equal or exceed 10.0% of the Consolidated Total Assets of the Borrower and the Restricted Subsidiaries at such date, determined on a Pro Forma Basis or (ii) the consolidated revenues (other than revenues generated from the sale or license of property between any of the Borrower and the Restricted Subsidiaries) of all Immaterial Subsidiaries for the then most recent fiscal year of the Borrower for which financial statements have been delivered equal or exceed 10.0% of the consolidated revenues (other than revenues generated from the sale or license of property between any of the Borrower and the Restricted Subsidiaries) of the Borrower and the Restricted Subsidiaries for such period, determined on a Pro Forma Basis, (b) at any time and from time to time, the Borrower may designate any Restricted Subsidiary as a new Immaterial Subsidiary so long as, after giving effect to such designation, the consolidated assets and consolidated revenues of all Immaterial Subsidiaries do not exceed the limits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at such time of designation and (c) if, as of the Applicable Date of Determination, the consolidated assets or revenues of all Restricted Subsidiaries so designated by the Borrower as “</w:t>
      </w:r>
      <w:r>
        <w:rPr>
          <w:rFonts w:ascii="Arial" w:cs="Arial" w:eastAsia="Arial" w:hAnsi="Arial"/>
          <w:sz w:val="19"/>
          <w:szCs w:val="19"/>
          <w:u w:val="single" w:color="auto"/>
          <w:color w:val="auto"/>
        </w:rPr>
        <w:t>Immaterial Subsidiaries</w:t>
      </w:r>
      <w:r>
        <w:rPr>
          <w:rFonts w:ascii="Arial" w:cs="Arial" w:eastAsia="Arial" w:hAnsi="Arial"/>
          <w:sz w:val="19"/>
          <w:szCs w:val="19"/>
          <w:color w:val="auto"/>
        </w:rPr>
        <w:t xml:space="preserve">” shall have, as of the last day of such fiscal year, exceeded the limits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then within ten (10) Business Days (or such later date as agreed by the Administrative Agent in its reasonable discretion) after the date such financial statements are so delivered (or so required to be delivered), the Borrower shall redesignate one or more Immaterial Subsidiaries, in each case in a written notice to the Administrative Agent, such that, as a result thereof, the consolidated assets and revenues of all Restricted Subsidiaries that are still designated as “</w:t>
      </w:r>
      <w:r>
        <w:rPr>
          <w:rFonts w:ascii="Arial" w:cs="Arial" w:eastAsia="Arial" w:hAnsi="Arial"/>
          <w:sz w:val="19"/>
          <w:szCs w:val="19"/>
          <w:u w:val="single" w:color="auto"/>
          <w:color w:val="auto"/>
        </w:rPr>
        <w:t>Immaterial Subsidiaries</w:t>
      </w:r>
      <w:r>
        <w:rPr>
          <w:rFonts w:ascii="Arial" w:cs="Arial" w:eastAsia="Arial" w:hAnsi="Arial"/>
          <w:sz w:val="19"/>
          <w:szCs w:val="19"/>
          <w:color w:val="auto"/>
        </w:rPr>
        <w:t xml:space="preserve">” do not exceed such limits. Upon any such Restricted Subsidiary ceasing to be an Immaterial Subsidiary pursuant to the preceding sentence, such Restricted Subsidiary, to the extent not otherwise qualifying as an Excluded Subsidiary, shall comply with </w:t>
      </w:r>
      <w:r>
        <w:rPr>
          <w:rFonts w:ascii="Arial" w:cs="Arial" w:eastAsia="Arial" w:hAnsi="Arial"/>
          <w:sz w:val="19"/>
          <w:szCs w:val="19"/>
          <w:u w:val="single" w:color="auto"/>
          <w:color w:val="auto"/>
        </w:rPr>
        <w:t>Section 5.10</w:t>
      </w:r>
      <w:r>
        <w:rPr>
          <w:rFonts w:ascii="Arial" w:cs="Arial" w:eastAsia="Arial" w:hAnsi="Arial"/>
          <w:sz w:val="19"/>
          <w:szCs w:val="19"/>
          <w:color w:val="auto"/>
        </w:rPr>
        <w:t>, to the extent applicable.</w:t>
      </w:r>
    </w:p>
    <w:p>
      <w:pPr>
        <w:spacing w:after="0" w:line="382" w:lineRule="exact"/>
        <w:rPr>
          <w:sz w:val="20"/>
          <w:szCs w:val="20"/>
          <w:color w:val="auto"/>
        </w:rPr>
      </w:pPr>
    </w:p>
    <w:p>
      <w:pPr>
        <w:ind w:left="1300"/>
        <w:spacing w:after="0"/>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Impacted Interest Period</w:t>
      </w:r>
      <w:r>
        <w:rPr>
          <w:rFonts w:ascii="Arial" w:cs="Arial" w:eastAsia="Arial" w:hAnsi="Arial"/>
          <w:sz w:val="21"/>
          <w:szCs w:val="21"/>
          <w:color w:val="FF0000"/>
          <w:strike w:val="1"/>
        </w:rPr>
        <w:t>” has the meaning assigned to such term in the definition of “Eurocurrency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31" w:name="page332"/>
    <w:bookmarkEnd w:id="33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Credit Facility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w:t>
      </w:r>
      <w:r>
        <w:rPr>
          <w:rFonts w:ascii="Arial" w:cs="Arial" w:eastAsia="Arial" w:hAnsi="Arial"/>
          <w:sz w:val="22"/>
          <w:szCs w:val="22"/>
          <w:color w:val="auto"/>
        </w:rPr>
        <w:t>(a).</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Credit Facility Amendment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Facility Closing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Loans</w:t>
      </w:r>
      <w:r>
        <w:rPr>
          <w:rFonts w:ascii="Arial" w:cs="Arial" w:eastAsia="Arial" w:hAnsi="Arial"/>
          <w:sz w:val="19"/>
          <w:szCs w:val="19"/>
          <w:color w:val="auto"/>
        </w:rPr>
        <w:t>” means, collectively, the Incremental Revolving Loans and the Incremental Term Loans.</w:t>
      </w:r>
    </w:p>
    <w:p>
      <w:pPr>
        <w:spacing w:after="0" w:line="21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Revolving Commitment</w:t>
      </w:r>
      <w:r>
        <w:rPr>
          <w:rFonts w:ascii="Arial" w:cs="Arial" w:eastAsia="Arial" w:hAnsi="Arial"/>
          <w:sz w:val="19"/>
          <w:szCs w:val="19"/>
          <w:color w:val="auto"/>
        </w:rPr>
        <w:t xml:space="preserve">” means, with respect to each Lender, the commitment, if any, in respect of an Incremental Revolving Facility under any Incremental Credit Facility Amendment with respect thereto, expressed as an amount representing the maximum principal amount of the Incremental Revolving Facility to be made available by such Lender under such Incremental Credit Facility Amendment, as such commitment may be (a) reduced pursuant to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and (b) reduced or increased from time to time pursuant to assignments by or to such Lender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Facility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2.20(e)</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Loan</w:t>
      </w:r>
      <w:r>
        <w:rPr>
          <w:rFonts w:ascii="Arial" w:cs="Arial" w:eastAsia="Arial" w:hAnsi="Arial"/>
          <w:sz w:val="22"/>
          <w:szCs w:val="22"/>
          <w:color w:val="auto"/>
        </w:rPr>
        <w:t>” means a Loan made under an Incremental Revolving Facility.</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Second Lien Facility</w:t>
      </w:r>
      <w:r>
        <w:rPr>
          <w:rFonts w:ascii="Arial" w:cs="Arial" w:eastAsia="Arial" w:hAnsi="Arial"/>
          <w:sz w:val="22"/>
          <w:szCs w:val="22"/>
          <w:color w:val="auto"/>
        </w:rPr>
        <w:t>” has the meaning assigned to the term “Incremental Credit Facility” in the Second Lien Credit Agreement.</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Term Commitment</w:t>
      </w:r>
      <w:r>
        <w:rPr>
          <w:rFonts w:ascii="Arial" w:cs="Arial" w:eastAsia="Arial" w:hAnsi="Arial"/>
          <w:sz w:val="19"/>
          <w:szCs w:val="19"/>
          <w:color w:val="auto"/>
        </w:rPr>
        <w:t xml:space="preserve">” means, with respect to each Lender, the commitment, if any, of such Lender to make an Incremental Term Loan under any Incremental Credit Facility Amendment with respect thereto, expressed as an amount representing the maximum principal amount of the Incremental Term Loans to be made by such Lender under such Incremental Credit Facility Amendment, as such commitment may be (a) reduced from time to time pursuant to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and (b) reduced or increased from time to time pursuant to assignments by or to such Lender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Facility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w:t>
      </w:r>
      <w:r>
        <w:rPr>
          <w:rFonts w:ascii="Arial" w:cs="Arial" w:eastAsia="Arial" w:hAnsi="Arial"/>
          <w:sz w:val="22"/>
          <w:szCs w:val="22"/>
          <w:color w:val="auto"/>
        </w:rPr>
        <w:t>” means a Loan made under an Incremental Term Facility.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Incurrence-Based Amounts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1.05</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means, without duplication, (a) all obligations of such Person for borrowed money,</w:t>
      </w:r>
    </w:p>
    <w:p>
      <w:pPr>
        <w:spacing w:after="0" w:line="16" w:lineRule="exact"/>
        <w:rPr>
          <w:sz w:val="20"/>
          <w:szCs w:val="20"/>
          <w:color w:val="auto"/>
        </w:rPr>
      </w:pPr>
    </w:p>
    <w:p>
      <w:pPr>
        <w:jc w:val="both"/>
        <w:ind w:firstLine="8"/>
        <w:spacing w:after="0" w:line="217" w:lineRule="auto"/>
        <w:tabs>
          <w:tab w:leader="none" w:pos="310" w:val="left"/>
        </w:tabs>
        <w:numPr>
          <w:ilvl w:val="0"/>
          <w:numId w:val="344"/>
        </w:numPr>
        <w:rPr>
          <w:rFonts w:ascii="Arial" w:cs="Arial" w:eastAsia="Arial" w:hAnsi="Arial"/>
          <w:sz w:val="22"/>
          <w:szCs w:val="22"/>
          <w:color w:val="auto"/>
        </w:rPr>
      </w:pPr>
      <w:r>
        <w:rPr>
          <w:rFonts w:ascii="Arial" w:cs="Arial" w:eastAsia="Arial" w:hAnsi="Arial"/>
          <w:sz w:val="22"/>
          <w:szCs w:val="22"/>
          <w:color w:val="auto"/>
        </w:rPr>
        <w:t>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32" w:name="page333"/>
    <w:bookmarkEnd w:id="332"/>
    <w:p>
      <w:pPr>
        <w:jc w:val="both"/>
        <w:spacing w:after="0" w:line="243" w:lineRule="auto"/>
        <w:rPr>
          <w:sz w:val="20"/>
          <w:szCs w:val="20"/>
          <w:color w:val="auto"/>
        </w:rPr>
      </w:pPr>
      <w:r>
        <w:rPr>
          <w:rFonts w:ascii="Arial" w:cs="Arial" w:eastAsia="Arial" w:hAnsi="Arial"/>
          <w:sz w:val="19"/>
          <w:szCs w:val="19"/>
          <w:color w:val="auto"/>
        </w:rPr>
        <w:t xml:space="preserve">obligations of the type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(k)</w:t>
      </w:r>
      <w:r>
        <w:rPr>
          <w:rFonts w:ascii="Arial" w:cs="Arial" w:eastAsia="Arial" w:hAnsi="Arial"/>
          <w:sz w:val="19"/>
          <w:szCs w:val="19"/>
          <w:color w:val="auto"/>
        </w:rPr>
        <w:t xml:space="preserve"> of this definition of “Indebtedness” of others secured by (or for which the holder of such Indebtedness has an existing unconditional right to be secured by) any Lien on property owned or acquired by such Person, whether or not the Indebtedness secured thereby has been assumed by such Person,</w:t>
      </w:r>
    </w:p>
    <w:p>
      <w:pPr>
        <w:spacing w:after="0" w:line="2" w:lineRule="exact"/>
        <w:rPr>
          <w:sz w:val="20"/>
          <w:szCs w:val="20"/>
          <w:color w:val="auto"/>
        </w:rPr>
      </w:pPr>
    </w:p>
    <w:p>
      <w:pPr>
        <w:jc w:val="both"/>
        <w:ind w:firstLine="8"/>
        <w:spacing w:after="0"/>
        <w:tabs>
          <w:tab w:leader="none" w:pos="276" w:val="left"/>
        </w:tabs>
        <w:numPr>
          <w:ilvl w:val="0"/>
          <w:numId w:val="345"/>
        </w:numPr>
        <w:rPr>
          <w:rFonts w:ascii="Arial" w:cs="Arial" w:eastAsia="Arial" w:hAnsi="Arial"/>
          <w:sz w:val="19"/>
          <w:szCs w:val="19"/>
          <w:color w:val="auto"/>
        </w:rPr>
      </w:pPr>
      <w:r>
        <w:rPr>
          <w:rFonts w:ascii="Arial" w:cs="Arial" w:eastAsia="Arial" w:hAnsi="Arial"/>
          <w:sz w:val="19"/>
          <w:szCs w:val="19"/>
          <w:color w:val="auto"/>
        </w:rPr>
        <w:t xml:space="preserve">all Guarantees by such Person of obligations of the type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(k)</w:t>
      </w:r>
      <w:r>
        <w:rPr>
          <w:rFonts w:ascii="Arial" w:cs="Arial" w:eastAsia="Arial" w:hAnsi="Arial"/>
          <w:sz w:val="19"/>
          <w:szCs w:val="19"/>
          <w:color w:val="auto"/>
        </w:rPr>
        <w:t xml:space="preserve"> of this definition of “Indebtedness” of others, (g) the principal component of Capital Lease Obligations of such Person, (h) all reimbursement obligations of such Person as an account party in respect of letters of credit and letters of guaranty (except to the extent such letters of credit, or letters of guaranty relate to trade payables and such outstanding amounts are satisfied within thirty (30) days of incurrence), (i) all reimbursement obligations of such Person in respect of bankers’ acceptances (except to the extent such bankers’ acceptances relate to trade payables and such outstanding amounts are satisfied within thirty (30) days of incurrence), (j) all obligations of such Person, contingent or otherwise, to purchase, redeem, retire or otherwise acquire for value any Disqualified Equity Interests of such Person to the extent that such purchase, redemption, retirement or other acquisition is required to occur on or prior to the Latest Maturity Date in effect at the time of issuance of such Equity Interests (other than as a result of a Change in Control, asset sale or similar event), and (k) to the extent not otherwise included in this definition, net obligations of such Person under Swap Obligations (the amount of any such obligations to be equal at any time to the net payments under such agreement or arrangement giving rise to such obligation that would be payable by such Person at the termination of such agreement or arrangement);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intercompany Indebtedness and (B) obligations constituting non-recourse Indebtedness shall only constitute “Indebtedness” for purposes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not for any other purpose hereunder. The Indebtedness of any Person shall include the Indebtedness of any partnership in which such Person is a general partner to the extent such Person is liable therefor as a result of such Person’s ownership interest in such entity, except to the extent the terms of such Indebtedness provide that such Person is not liable therefor. Notwithstanding the foregoing, in no event shall the following constitute Indebtedness: (u) deferred obligations owing to the Investors and their Affiliates (including what would otherwise constitute Permitted Investor Payments), (v) amounts owed to dissenting stockholders in connection with, or as a result of, their exercise of appraisal rights and the settlement of any claims or actions (whether actual, contingent or potential) with respect thereto (including any accrued interest), with respect to the Transactions and any permitted Investments to the extent paid when due (unless being properly contested), (w) trade accounts payable, deferred revenues, liabilities associated with customer prepayments and deposits and any such obligations incurred under ERISA, and other accrued obligations (including transfer pricing), in each case incurred in the ordinary course of business, (x) operating leases, (y) customary obligations under employment agreements and deferred compensation and (z) deferred revenue and deferred tax liabilities. Notwithstanding the foregoing, the term “</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shall not include contingent post-closing purchase price adjustments, non-compete or consulting obligations or earn-outs to which the seller in an Acquisition or Investment may become entitled. The amount of Indebtedness of any Person for purposes of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above shall (unless such Indebtedness has been assumed by such Person) be deemed to be equal to the lesser of (i) the aggregate unpaid amount of such Indebtedness and (ii) the fair market value of the property encumbered thereby as determined by such Person in good faith.</w:t>
      </w:r>
    </w:p>
    <w:p>
      <w:pPr>
        <w:spacing w:after="0" w:line="34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9.03</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33" w:name="page334"/>
    <w:bookmarkEnd w:id="333"/>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Revolving Borrowing</w:t>
      </w:r>
      <w:r>
        <w:rPr>
          <w:rFonts w:ascii="Arial" w:cs="Arial" w:eastAsia="Arial" w:hAnsi="Arial"/>
          <w:sz w:val="22"/>
          <w:szCs w:val="22"/>
          <w:color w:val="auto"/>
        </w:rPr>
        <w:t>” means one or more borrowings of Revolving Loans or issuances or deemed issuances of Letters of Credit on the Closing Date as specified in the definition of the term “Permitted Initial Revolving Borrowing”.</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Revolving Commitments</w:t>
      </w:r>
      <w:r>
        <w:rPr>
          <w:rFonts w:ascii="Arial" w:cs="Arial" w:eastAsia="Arial" w:hAnsi="Arial"/>
          <w:sz w:val="19"/>
          <w:szCs w:val="19"/>
          <w:color w:val="auto"/>
        </w:rPr>
        <w:t>” means the Revolving Commitments of the Revolving Lenders as of the Closing</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Revolving Loan</w:t>
      </w:r>
      <w:r>
        <w:rPr>
          <w:rFonts w:ascii="Arial" w:cs="Arial" w:eastAsia="Arial" w:hAnsi="Arial"/>
          <w:sz w:val="22"/>
          <w:szCs w:val="22"/>
          <w:color w:val="auto"/>
        </w:rPr>
        <w:t xml:space="preserve">” means (a) a Revolving Loan made by a Lender to the Borrower in respect of an Initial Revolving Commitment pursuant to </w:t>
      </w:r>
      <w:r>
        <w:rPr>
          <w:rFonts w:ascii="Arial" w:cs="Arial" w:eastAsia="Arial" w:hAnsi="Arial"/>
          <w:sz w:val="22"/>
          <w:szCs w:val="22"/>
          <w:u w:val="single" w:color="auto"/>
          <w:color w:val="auto"/>
        </w:rPr>
        <w:t>Section 2.01(b)</w:t>
      </w:r>
      <w:r>
        <w:rPr>
          <w:rFonts w:ascii="Arial" w:cs="Arial" w:eastAsia="Arial" w:hAnsi="Arial"/>
          <w:sz w:val="22"/>
          <w:szCs w:val="22"/>
          <w:color w:val="auto"/>
        </w:rPr>
        <w:t xml:space="preserve"> and (b) the 2020 Incremental Revolving Loans (other than for purposes of (i) the first paragraph of Section 2.01, (ii) Section 4.01 and (iii) Section 5.09(a)).</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Loan Lender</w:t>
      </w:r>
      <w:r>
        <w:rPr>
          <w:rFonts w:ascii="Arial" w:cs="Arial" w:eastAsia="Arial" w:hAnsi="Arial"/>
          <w:sz w:val="21"/>
          <w:szCs w:val="21"/>
          <w:color w:val="auto"/>
        </w:rPr>
        <w:t xml:space="preserve"> ” shall mean each Term Lender with (a) a Term Commitment to make or otherwise fund an Initial Term Loan hereunder pursuant to </w:t>
      </w:r>
      <w:r>
        <w:rPr>
          <w:rFonts w:ascii="Arial" w:cs="Arial" w:eastAsia="Arial" w:hAnsi="Arial"/>
          <w:sz w:val="21"/>
          <w:szCs w:val="21"/>
          <w:u w:val="single" w:color="auto"/>
          <w:color w:val="auto"/>
        </w:rPr>
        <w:t>Section 2.01(a)</w:t>
      </w:r>
      <w:r>
        <w:rPr>
          <w:rFonts w:ascii="Arial" w:cs="Arial" w:eastAsia="Arial" w:hAnsi="Arial"/>
          <w:sz w:val="21"/>
          <w:szCs w:val="21"/>
          <w:color w:val="auto"/>
        </w:rPr>
        <w:t xml:space="preserve"> on the Closing Date or with outstanding Initial Term Loans or (b) a 2019 Incremental Funding Term Loan Commitment (including each 2019 Incremental Lender).</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Term Loans</w:t>
      </w:r>
      <w:r>
        <w:rPr>
          <w:rFonts w:ascii="Arial" w:cs="Arial" w:eastAsia="Arial" w:hAnsi="Arial"/>
          <w:sz w:val="22"/>
          <w:szCs w:val="22"/>
          <w:color w:val="auto"/>
        </w:rPr>
        <w:t xml:space="preserve">” means (a) the Term Loans made on the Closing Date pursuant to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and (b) the 2019 Incremental Term Loans (other than for purposes of (i) the first paragraph of Section 2.01, (ii) Section 4.01 and (iii) Section 5.09(a)).</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means all rights, priorities and privileges in or to intellectual property, whether arising under United States, multinational or foreign laws or otherwise, including copyrights, patents, trademarks, service marks, trade names, technology, know-how, trade secrets and processes, all registrations and applications for registration of any of the foregoing, and all goodwill associated with any of the foregoing.</w:t>
      </w:r>
    </w:p>
    <w:p>
      <w:pPr>
        <w:spacing w:after="0" w:line="16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Intercompany License Agreement</w:t>
      </w:r>
      <w:r>
        <w:rPr>
          <w:rFonts w:ascii="Arial" w:cs="Arial" w:eastAsia="Arial" w:hAnsi="Arial"/>
          <w:sz w:val="19"/>
          <w:szCs w:val="19"/>
          <w:color w:val="auto"/>
        </w:rPr>
        <w:t xml:space="preserve">” means any cost sharing agreement, commission or royalty agreement, license or sub-license agreement, distribution agreement, services agreement, Intellectual Property rights transfer agreement or any related agreements, in each case where all the parties to such agreement are the Borrower and/or the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agreement between a Loan Party and a non-Loan Party shall be on arm’s length terms.</w:t>
      </w:r>
    </w:p>
    <w:p>
      <w:pPr>
        <w:spacing w:after="0" w:line="14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Coverage Ratio</w:t>
      </w:r>
      <w:r>
        <w:rPr>
          <w:rFonts w:ascii="Arial" w:cs="Arial" w:eastAsia="Arial" w:hAnsi="Arial"/>
          <w:sz w:val="22"/>
          <w:szCs w:val="22"/>
          <w:color w:val="auto"/>
        </w:rPr>
        <w:t>” means, as of any date of determination, the ratio of (a) LTM EBITDA to (b) Consolidated Interest Expense of the Borrower and the Restricted Subsidiaries with respect to their Total Indebtedness for the most recently ended Test Period to the extent paid in cash.</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xml:space="preserve">” means a request by the Borrower to convert or continue a Revolving Loan Borrowing or Term Loan Borrowing in accordance with </w:t>
      </w:r>
      <w:r>
        <w:rPr>
          <w:rFonts w:ascii="Arial" w:cs="Arial" w:eastAsia="Arial" w:hAnsi="Arial"/>
          <w:sz w:val="22"/>
          <w:szCs w:val="22"/>
          <w:u w:val="single" w:color="auto"/>
          <w:color w:val="auto"/>
        </w:rPr>
        <w:t>Section 2.07</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Payment Date</w:t>
      </w:r>
      <w:r>
        <w:rPr>
          <w:rFonts w:ascii="Arial" w:cs="Arial" w:eastAsia="Arial" w:hAnsi="Arial"/>
          <w:sz w:val="21"/>
          <w:szCs w:val="21"/>
          <w:color w:val="auto"/>
        </w:rPr>
        <w:t xml:space="preserve">” means (a) with respect to any ABR Loan (other than a Swingline Loan), (i) the last Business Day of each March, June, September and December and (ii) the Revolving Termination Date or Term Loan Maturity Date, as applicable, (b) </w:t>
      </w:r>
      <w:r>
        <w:rPr>
          <w:rFonts w:ascii="Arial" w:cs="Arial" w:eastAsia="Arial" w:hAnsi="Arial"/>
          <w:sz w:val="21"/>
          <w:szCs w:val="21"/>
          <w:color w:val="FF0000"/>
          <w:strike w:val="1"/>
        </w:rPr>
        <w:t>with respect to any Eurocurrency Loan, (i) the last day of the Interest Period applicable to the Borrowing</w:t>
      </w:r>
      <w:r>
        <w:rPr>
          <w:rFonts w:ascii="Arial" w:cs="Arial" w:eastAsia="Arial" w:hAnsi="Arial"/>
          <w:sz w:val="21"/>
          <w:szCs w:val="21"/>
          <w:color w:val="auto"/>
        </w:rPr>
        <w:t xml:space="preserve"> </w:t>
      </w:r>
      <w:r>
        <w:rPr>
          <w:rFonts w:ascii="Arial" w:cs="Arial" w:eastAsia="Arial" w:hAnsi="Arial"/>
          <w:sz w:val="21"/>
          <w:szCs w:val="21"/>
          <w:color w:val="FF0000"/>
          <w:strike w:val="1"/>
        </w:rPr>
        <w:t>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(ii) the Revolving Termination Date or Term Loan Maturity Date, as applicable,</w:t>
      </w:r>
      <w:r>
        <w:rPr>
          <w:rFonts w:ascii="Arial" w:cs="Arial" w:eastAsia="Arial" w:hAnsi="Arial"/>
          <w:sz w:val="21"/>
          <w:szCs w:val="21"/>
          <w:u w:val="single" w:color="auto"/>
          <w:color w:val="0000FF"/>
          <w:strike w:val="1"/>
        </w:rPr>
        <w:t>[reserved],</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(c) with</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 xml:space="preserve">respect to any Term SOFR Loan, the last day of each Interest Period applicable to such Loan and the Term Loan Maturity Date or Revolving Termination Date, as applicable, of the Credit Facility under which such Loan was made; </w:t>
      </w:r>
      <w:r>
        <w:rPr>
          <w:rFonts w:ascii="Arial" w:cs="Arial" w:eastAsia="Arial" w:hAnsi="Arial"/>
          <w:sz w:val="21"/>
          <w:szCs w:val="21"/>
          <w:u w:val="single" w:color="auto"/>
          <w:color w:val="000000"/>
          <w:strike w:val="1"/>
        </w:rPr>
        <w:t>provided</w:t>
      </w:r>
      <w:r>
        <w:rPr>
          <w:rFonts w:ascii="Arial" w:cs="Arial" w:eastAsia="Arial" w:hAnsi="Arial"/>
          <w:sz w:val="21"/>
          <w:szCs w:val="21"/>
          <w:color w:val="000000"/>
          <w:strike w:val="1"/>
        </w:rPr>
        <w:t xml:space="preserve"> that if any Interest Period for a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34" w:name="page335"/>
    <w:bookmarkEnd w:id="334"/>
    <w:p>
      <w:pPr>
        <w:jc w:val="both"/>
        <w:spacing w:after="0" w:line="214" w:lineRule="auto"/>
        <w:rPr>
          <w:sz w:val="20"/>
          <w:szCs w:val="20"/>
          <w:color w:val="auto"/>
        </w:rPr>
      </w:pPr>
      <w:r>
        <w:rPr>
          <w:rFonts w:ascii="Arial" w:cs="Arial" w:eastAsia="Arial" w:hAnsi="Arial"/>
          <w:sz w:val="22"/>
          <w:szCs w:val="22"/>
          <w:color w:val="auto"/>
        </w:rPr>
        <w:t>Loan exceeds three months, the respective dates that fall every three months after the beginning of such Interest Period shall also be Interest Payment Dates, (d) with respect to any Daily SOFR Loan, each date that is on the numerically corresponding day in each calendar month that is one month (or, at the Borrower’s option, three months) after the borrowing date of such Daily SOFR Loan (or, if there is no such numerically corresponding day in such month, then the last day of such month) and the date on which such Daily SOFR Loan is repaid or converted in full and (e) with respect to any Swingline Loan, the day that such Loan is required to be repaid.</w:t>
      </w:r>
    </w:p>
    <w:p>
      <w:pPr>
        <w:spacing w:after="0" w:line="15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t>
      </w:r>
      <w:r>
        <w:rPr>
          <w:rFonts w:ascii="Arial" w:cs="Arial" w:eastAsia="Arial" w:hAnsi="Arial"/>
          <w:sz w:val="19"/>
          <w:szCs w:val="19"/>
          <w:color w:val="FF0000"/>
          <w:strike w:val="1"/>
        </w:rPr>
        <w:t>(a) with respect to any Eurocurrency Borrowing, the period commencing on the date of</w:t>
      </w:r>
      <w:r>
        <w:rPr>
          <w:rFonts w:ascii="Arial" w:cs="Arial" w:eastAsia="Arial" w:hAnsi="Arial"/>
          <w:sz w:val="19"/>
          <w:szCs w:val="19"/>
          <w:color w:val="auto"/>
        </w:rPr>
        <w:t xml:space="preserve"> </w:t>
      </w:r>
      <w:r>
        <w:rPr>
          <w:rFonts w:ascii="Arial" w:cs="Arial" w:eastAsia="Arial" w:hAnsi="Arial"/>
          <w:sz w:val="19"/>
          <w:szCs w:val="19"/>
          <w:color w:val="FF0000"/>
          <w:strike w:val="1"/>
        </w:rPr>
        <w:t xml:space="preserve">such Borrowing and ending on the numerically corresponding day in the calendar month that is one, two, three or six months thereafter (or 12 months thereafter if, at the time of the relevant Borrowing or conversion or continuation thereof, all Lenders participating therein agree to make an interest period of such duration available), as the Borrower may elect, or, if the Administrative Agent and the Borrower agrees, such other period whose end would coincide with a payment due date on the Term Loans pursuant to </w:t>
      </w:r>
      <w:r>
        <w:rPr>
          <w:rFonts w:ascii="Arial" w:cs="Arial" w:eastAsia="Arial" w:hAnsi="Arial"/>
          <w:sz w:val="19"/>
          <w:szCs w:val="19"/>
          <w:u w:val="single" w:color="auto"/>
          <w:color w:val="FF0000"/>
          <w:strike w:val="1"/>
        </w:rPr>
        <w:t>Section 2.10</w:t>
      </w:r>
      <w:r>
        <w:rPr>
          <w:rFonts w:ascii="Arial" w:cs="Arial" w:eastAsia="Arial" w:hAnsi="Arial"/>
          <w:sz w:val="19"/>
          <w:szCs w:val="19"/>
          <w:color w:val="FF0000"/>
          <w:strike w:val="1"/>
        </w:rPr>
        <w:t xml:space="preserve"> or the payment under Swap Obligations and (b) </w:t>
      </w:r>
      <w:r>
        <w:rPr>
          <w:rFonts w:ascii="Arial" w:cs="Arial" w:eastAsia="Arial" w:hAnsi="Arial"/>
          <w:sz w:val="19"/>
          <w:szCs w:val="19"/>
          <w:color w:val="000000"/>
          <w:strike w:val="1"/>
        </w:rPr>
        <w:t>with respect to any Term SOFR Borrowing,</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the period commencing on the date of such Borrowing and ending on the numerically corresponding day in the calendar month that is one, three or six months thereafter, as the Borrower may elect, or such other period that is twelve months or less requested by the Borrower and consented to by all the Lenders participating in the relevant Borrowing and the Administrative Agent (in the case of each requested Interest Period, subject to availability), or, if the Administrative Agent and the Borrower agrees, such other period whose end would coincide with a payment due date on the Term Loans pursuant to </w:t>
      </w:r>
      <w:r>
        <w:rPr>
          <w:rFonts w:ascii="Arial" w:cs="Arial" w:eastAsia="Arial" w:hAnsi="Arial"/>
          <w:sz w:val="19"/>
          <w:szCs w:val="19"/>
          <w:u w:val="single" w:color="auto"/>
          <w:color w:val="000000"/>
          <w:strike w:val="1"/>
        </w:rPr>
        <w:t>Section 2.10</w:t>
      </w:r>
      <w:r>
        <w:rPr>
          <w:rFonts w:ascii="Arial" w:cs="Arial" w:eastAsia="Arial" w:hAnsi="Arial"/>
          <w:sz w:val="19"/>
          <w:szCs w:val="19"/>
          <w:color w:val="000000"/>
          <w:strike w:val="1"/>
        </w:rPr>
        <w:t xml:space="preserve"> or the payment under Swap Obligations; </w:t>
      </w:r>
      <w:r>
        <w:rPr>
          <w:rFonts w:ascii="Arial" w:cs="Arial" w:eastAsia="Arial" w:hAnsi="Arial"/>
          <w:sz w:val="19"/>
          <w:szCs w:val="19"/>
          <w:u w:val="single" w:color="auto"/>
          <w:color w:val="000000"/>
          <w:strike w:val="1"/>
        </w:rPr>
        <w:t>provided</w:t>
      </w:r>
      <w:r>
        <w:rPr>
          <w:rFonts w:ascii="Arial" w:cs="Arial" w:eastAsia="Arial" w:hAnsi="Arial"/>
          <w:sz w:val="19"/>
          <w:szCs w:val="19"/>
          <w:color w:val="000000"/>
          <w:strike w:val="1"/>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71"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Interpolated Rate</w:t>
      </w:r>
      <w:r>
        <w:rPr>
          <w:rFonts w:ascii="Arial" w:cs="Arial" w:eastAsia="Arial" w:hAnsi="Arial"/>
          <w:sz w:val="21"/>
          <w:szCs w:val="21"/>
          <w:color w:val="FF0000"/>
          <w:strike w:val="1"/>
        </w:rPr>
        <w:t xml:space="preserve">” means, at any time, for any Interest Period, with respect to any Loan in any LIBOR Quoted Currency,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(i) the LIBO Screen Rate for the longest period (for which the LIBO Screen Rate is available for the applicable currency) that is shorter than the Impacted Interest Period and (ii) the LIBO Screen Rate for the shortest period (for which the LIBO Screen Rate is available for the applicable currency) that exceeds the Impacted Interest Period, in each case, at such time; </w:t>
      </w:r>
      <w:r>
        <w:rPr>
          <w:rFonts w:ascii="Arial" w:cs="Arial" w:eastAsia="Arial" w:hAnsi="Arial"/>
          <w:sz w:val="21"/>
          <w:szCs w:val="21"/>
          <w:u w:val="single" w:color="auto"/>
          <w:color w:val="FF0000"/>
          <w:strike w:val="1"/>
        </w:rPr>
        <w:t>provided</w:t>
      </w:r>
      <w:r>
        <w:rPr>
          <w:rFonts w:ascii="Arial" w:cs="Arial" w:eastAsia="Arial" w:hAnsi="Arial"/>
          <w:sz w:val="21"/>
          <w:szCs w:val="21"/>
          <w:color w:val="FF0000"/>
          <w:strike w:val="1"/>
        </w:rPr>
        <w:t>, that if the Interpolated Rate shall be less than zero, such rate shall be deemed to be zero for purposes of this Agreement.</w:t>
      </w:r>
    </w:p>
    <w:p>
      <w:pPr>
        <w:spacing w:after="0" w:line="16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xml:space="preserve">” means (i) any purchase or other acquisition by the Borrower or any of the Restricted Subsidiaries of, or of a beneficial interest in, any Equity Interests or Indebtedness of any other Person (including any Subsidiary), (ii) any loan (by way of guarantee or otherwise) or advance constituting Indebtedness of such other Person (other than accounts receivable, trade credit, prepayments to, or deposits with, vendors), (iii) any other capital contribution by the Borrower or any of the Restricted Subsidiaries to any other Person (including any Subsidiary) or (iv) any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exclude, in the case of the Borrower and the Subsidiaries, their parent companies and their subsidiaries, intercompany advances arising from their cash management, tax, and accounting operations, in each case in the ordinary course of business. The amount of any Investment outstanding as of any time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35" w:name="page336"/>
    <w:bookmarkEnd w:id="335"/>
    <w:p>
      <w:pPr>
        <w:jc w:val="both"/>
        <w:spacing w:after="0"/>
        <w:rPr>
          <w:sz w:val="20"/>
          <w:szCs w:val="20"/>
          <w:color w:val="auto"/>
        </w:rPr>
      </w:pPr>
      <w:r>
        <w:rPr>
          <w:rFonts w:ascii="Arial" w:cs="Arial" w:eastAsia="Arial" w:hAnsi="Arial"/>
          <w:sz w:val="19"/>
          <w:szCs w:val="19"/>
          <w:color w:val="auto"/>
        </w:rPr>
        <w:t xml:space="preserve">the original cost of such Investment (which, in the case of any Investment constituting the contribution of an asset or property, shall be based on the Borrower’s good faith estimate of the fair market value of such asset or property at the time such Investment is made) plus the cost of all additions thereto, without any adjustments for increases or decreases in value, or write-ups, write-downs or write-offs with respect to such Investment, less all Returns received by the Borrower or any Restricted Subsidiary in respect thereof. The amount, as of any date of determination, of (a) any Investment in the form of a loan or an advance shall be the principal amount thereof outstanding on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Returns or amounts increasing the Available Amount), but without any adjustment for write-downs or write-offs (including as a result of forgiveness of any portion thereof) with respect to such loan or advance after the date thereof, (b) any Investment in the form of a transfer of Equity Interests or other non-cash property by the investor to the investee, including any such transfer in the form of a capital contribution, shall be the fair market value of such Equity Interests or other property as of the time of the transfer,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Returns or amounts increasing the Available Amount), but without any other adjustment for increases or decreases in value of, or write-ups, write-downs or write-offs with respect to, such Investment after the date of such Investment, and (c) any Investment (other than any Investment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 the cost of all additions thereto and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do not, in the aggregate, exceed the original cost of such Investment plus the costs of additions thereto and without duplication of Returns or amounts increasing the Available Amount), but without any other adjustment for increases or decreases in value of, or write-ups, write-downs or write-offs with respect to, such Investment after the date of such Investment. For purposes of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if an Investment involves the acquisition of more than one Person, the amount of such Investment shall be allocated among the acquired Persons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pending the final determination of the amounts to be so allocated in accordance with GAAP, such allocation shall be as reasonably determined by a Financial Officer of the Borrower.</w:t>
      </w:r>
    </w:p>
    <w:p>
      <w:pPr>
        <w:spacing w:after="0" w:line="365"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Investor</w:t>
      </w:r>
      <w:r>
        <w:rPr>
          <w:rFonts w:ascii="Arial" w:cs="Arial" w:eastAsia="Arial" w:hAnsi="Arial"/>
          <w:sz w:val="21"/>
          <w:szCs w:val="21"/>
          <w:color w:val="auto"/>
        </w:rPr>
        <w:t>” means (i) Francisco Partners, Spectrum and the New Sponsor and certain other investors designated by Francisco Partners, Spectrum and the New Sponsor on or before the Closing Date, (ii) any Controlled Investment Affiliate of any Person identified in clause (i) above, (iii) any managing director, general partner, limited partner, director, officer or employee of any Person identified in clause (i) above or any of their respective Affiliates (collectively, the “</w:t>
      </w:r>
      <w:r>
        <w:rPr>
          <w:rFonts w:ascii="Arial" w:cs="Arial" w:eastAsia="Arial" w:hAnsi="Arial"/>
          <w:sz w:val="21"/>
          <w:szCs w:val="21"/>
          <w:u w:val="single" w:color="auto"/>
          <w:color w:val="auto"/>
        </w:rPr>
        <w:t>Investor Associates</w:t>
      </w:r>
      <w:r>
        <w:rPr>
          <w:rFonts w:ascii="Arial" w:cs="Arial" w:eastAsia="Arial" w:hAnsi="Arial"/>
          <w:sz w:val="21"/>
          <w:szCs w:val="21"/>
          <w:color w:val="auto"/>
        </w:rPr>
        <w:t>”), (iv) the heirs, executors, administrators, testamentary trustees, legatees or beneficiaries of any Investor Associate and (v) any trust, the beneficiaries of which, or a corporation or partnership, the stockholders or partners of which, include only an Investor Associate, his or her spouse, parents, siblings, members of his or her immediate family (including adopted children and step children) and/or direct lineal descendants.</w:t>
      </w:r>
    </w:p>
    <w:p>
      <w:pPr>
        <w:spacing w:after="0" w:line="16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means any transaction whereby, or upon the consummation of which, Holdings’ or the Public Company’s common Equity Interests are, or may thereafter be, offered or sold (whether through an initial primary underwritten public offering or otherwise) pursuant to an effective registration statement filed with the SEC in accordance with the Securities Act,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36" w:name="page337"/>
    <w:bookmarkEnd w:id="336"/>
    <w:p>
      <w:pPr>
        <w:spacing w:after="0"/>
        <w:rPr>
          <w:sz w:val="20"/>
          <w:szCs w:val="20"/>
          <w:color w:val="auto"/>
        </w:rPr>
      </w:pPr>
      <w:r>
        <w:rPr>
          <w:rFonts w:ascii="Arial" w:cs="Arial" w:eastAsia="Arial" w:hAnsi="Arial"/>
          <w:sz w:val="22"/>
          <w:szCs w:val="22"/>
          <w:color w:val="auto"/>
        </w:rPr>
        <w:t>the equivalent registration documents filed with the equivalent authority in the applicable foreign jurisdiction.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17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ISP</w:t>
      </w:r>
      <w:r>
        <w:rPr>
          <w:rFonts w:ascii="Arial" w:cs="Arial" w:eastAsia="Arial" w:hAnsi="Arial"/>
          <w:sz w:val="19"/>
          <w:szCs w:val="19"/>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0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Issuing Bank</w:t>
      </w:r>
      <w:r>
        <w:rPr>
          <w:rFonts w:ascii="Arial" w:cs="Arial" w:eastAsia="Arial" w:hAnsi="Arial"/>
          <w:sz w:val="19"/>
          <w:szCs w:val="19"/>
          <w:color w:val="auto"/>
        </w:rPr>
        <w:t xml:space="preserve"> ” means, as the context may require, (a) GS Bank, Barclays, Bank of America, N.A., Credit Suisse AG, Citizens Bank, N.A. and SunTrust Bank and (b) each other Lender appointed as an Issuing Bank pursuant to </w:t>
      </w:r>
      <w:r>
        <w:rPr>
          <w:rFonts w:ascii="Arial" w:cs="Arial" w:eastAsia="Arial" w:hAnsi="Arial"/>
          <w:sz w:val="19"/>
          <w:szCs w:val="19"/>
          <w:u w:val="single" w:color="auto"/>
          <w:color w:val="auto"/>
        </w:rPr>
        <w:t>Section 2.05(p)</w:t>
      </w:r>
      <w:r>
        <w:rPr>
          <w:rFonts w:ascii="Arial" w:cs="Arial" w:eastAsia="Arial" w:hAnsi="Arial"/>
          <w:sz w:val="19"/>
          <w:szCs w:val="19"/>
          <w:color w:val="auto"/>
        </w:rPr>
        <w:t xml:space="preserve">, each in its capacity as an issuer of Letters of Credit hereunder, and its successors in such capacity as provided in </w:t>
      </w:r>
      <w:r>
        <w:rPr>
          <w:rFonts w:ascii="Arial" w:cs="Arial" w:eastAsia="Arial" w:hAnsi="Arial"/>
          <w:sz w:val="19"/>
          <w:szCs w:val="19"/>
          <w:u w:val="single" w:color="auto"/>
          <w:color w:val="auto"/>
        </w:rPr>
        <w:t>Section 2.05(k)</w:t>
      </w:r>
      <w:r>
        <w:rPr>
          <w:rFonts w:ascii="Arial" w:cs="Arial" w:eastAsia="Arial" w:hAnsi="Arial"/>
          <w:sz w:val="19"/>
          <w:szCs w:val="19"/>
          <w:color w:val="auto"/>
        </w:rPr>
        <w:t>. Any Issuing Bank may, with the consent of the Borrower, arrange for one or more Letters of Credit to be issued by an Affiliate of such Issuing Bank, in which case the term “</w:t>
      </w:r>
      <w:r>
        <w:rPr>
          <w:rFonts w:ascii="Arial" w:cs="Arial" w:eastAsia="Arial" w:hAnsi="Arial"/>
          <w:sz w:val="19"/>
          <w:szCs w:val="19"/>
          <w:u w:val="single" w:color="auto"/>
          <w:color w:val="auto"/>
        </w:rPr>
        <w:t>Issuing Bank</w:t>
      </w:r>
      <w:r>
        <w:rPr>
          <w:rFonts w:ascii="Arial" w:cs="Arial" w:eastAsia="Arial" w:hAnsi="Arial"/>
          <w:sz w:val="19"/>
          <w:szCs w:val="19"/>
          <w:color w:val="auto"/>
        </w:rPr>
        <w:t>” includes any such Affiliate with respect to Letters of Credit issued by such Affiliate. Any Issuing Bank may cause Letters of Credit to be issued by unaffiliated financial institutions and such Letters of Credit shall be treated as issued by such Issuing Bank for all purposes under the Loan Documents.</w:t>
      </w:r>
    </w:p>
    <w:p>
      <w:pPr>
        <w:spacing w:after="0" w:line="15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Bookrunners</w:t>
      </w:r>
      <w:r>
        <w:rPr>
          <w:rFonts w:ascii="Arial" w:cs="Arial" w:eastAsia="Arial" w:hAnsi="Arial"/>
          <w:sz w:val="22"/>
          <w:szCs w:val="22"/>
          <w:color w:val="auto"/>
        </w:rPr>
        <w:t>” means GS Bank, Barclays, MLPFS, Citizens Bank, N.A., Credit Suisse Loan Funding LLC, KKR Capital Markets LLC and SunTrust Humphrey Robinson, Inc., each in its capacity as joint bookrunner in respect of the credit facilities provided herein.</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Lead Arrangers</w:t>
      </w:r>
      <w:r>
        <w:rPr>
          <w:rFonts w:ascii="Arial" w:cs="Arial" w:eastAsia="Arial" w:hAnsi="Arial"/>
          <w:sz w:val="22"/>
          <w:szCs w:val="22"/>
          <w:color w:val="auto"/>
        </w:rPr>
        <w:t>” means GS Bank, Barclays, MLPFS, Citizens Bank, N.A., Credit Suisse Loan Funding LLC, KKR Capital Markets LLC and SunTrust Humphrey Robinson, Inc., each in its capacity as a joint lead arranger in respect of the credit facilities provided herein.</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w:t>
      </w:r>
      <w:r>
        <w:rPr>
          <w:rFonts w:ascii="Arial" w:cs="Arial" w:eastAsia="Arial" w:hAnsi="Arial"/>
          <w:sz w:val="22"/>
          <w:szCs w:val="22"/>
          <w:color w:val="auto"/>
        </w:rPr>
        <w:t>” means a joint venture, partnership or similar arrangement, whether in corporate, partnership or other legal form.</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9.17</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Latest Maturity Date</w:t>
      </w:r>
      <w:r>
        <w:rPr>
          <w:rFonts w:ascii="Arial" w:cs="Arial" w:eastAsia="Arial" w:hAnsi="Arial"/>
          <w:sz w:val="21"/>
          <w:szCs w:val="21"/>
          <w:color w:val="auto"/>
        </w:rPr>
        <w:t>” means, at any date of determination, the latest maturity date applicable to any Loan or Commitment hereunder at such time, including the latest maturity date of any Incremental Term Loan, Incremental Revolving Commitment, Incremental Revolving Loan, Extended Term Loan, Extended Revolving Commitment, Extended Revolving Loan, Other Term Loan, any Other Term Commitment, any Other Revolving Loan or any Other Revolving Commitment, in each case as extended in accordance with this Agreement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an Issuing Bank pursuant to a Letter of Credit.</w:t>
      </w:r>
    </w:p>
    <w:p>
      <w:pPr>
        <w:spacing w:after="0" w:line="17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Exposure</w:t>
      </w:r>
      <w:r>
        <w:rPr>
          <w:rFonts w:ascii="Arial" w:cs="Arial" w:eastAsia="Arial" w:hAnsi="Arial"/>
          <w:sz w:val="21"/>
          <w:szCs w:val="21"/>
          <w:color w:val="auto"/>
        </w:rPr>
        <w:t>” means, at any time, the sum of (a) the aggregate undrawn amount of all outstanding Letters of Credit denominated in Dollars at such time and (b) the aggregate amount of all LC Disbursements in respect of Letters of Credit made in Dollars that have not yet been reimbursed by or on behalf of the Borrower at such time. The LC Exposure of any Revolving Lender shall be its Applicable Percentage of the aggregate LC Exposure at such time.</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Sublimit</w:t>
      </w:r>
      <w:r>
        <w:rPr>
          <w:rFonts w:ascii="Arial" w:cs="Arial" w:eastAsia="Arial" w:hAnsi="Arial"/>
          <w:sz w:val="22"/>
          <w:szCs w:val="22"/>
          <w:color w:val="auto"/>
        </w:rPr>
        <w:t>” means the lesser of (x) $10,000,000 and (y) the aggregate amount of Revolving Commitments. The LC Sublimit is part of, and not in addition to,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37" w:name="page338"/>
    <w:bookmarkEnd w:id="337"/>
    <w:p>
      <w:pPr>
        <w:jc w:val="both"/>
        <w:spacing w:after="0" w:line="247" w:lineRule="auto"/>
        <w:rPr>
          <w:sz w:val="20"/>
          <w:szCs w:val="20"/>
          <w:color w:val="auto"/>
        </w:rPr>
      </w:pPr>
      <w:r>
        <w:rPr>
          <w:rFonts w:ascii="Arial" w:cs="Arial" w:eastAsia="Arial" w:hAnsi="Arial"/>
          <w:sz w:val="21"/>
          <w:szCs w:val="21"/>
          <w:color w:val="auto"/>
        </w:rPr>
        <w:t>Credit Facility. The LC Sublimit with respect to each Revolving Lender that is an Issuing Bank shall be no greater than its pro rata allocation with respect to the aggregate LC Sublimit in accordance with their Applicable Percentage.</w:t>
      </w:r>
    </w:p>
    <w:p>
      <w:pPr>
        <w:spacing w:after="0" w:line="15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LCA Election</w:t>
      </w:r>
      <w:r>
        <w:rPr>
          <w:rFonts w:ascii="Arial" w:cs="Arial" w:eastAsia="Arial" w:hAnsi="Arial"/>
          <w:sz w:val="22"/>
          <w:szCs w:val="22"/>
          <w:color w:val="auto"/>
        </w:rPr>
        <w:t>” means the Borrower’s election to exercise its right to designate any acquisition (or similar Investment) as a Limited Condition Acquisition pursuant to the terms hereof.</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LCA Test Date</w:t>
      </w:r>
      <w:r>
        <w:rPr>
          <w:rFonts w:ascii="Arial" w:cs="Arial" w:eastAsia="Arial" w:hAnsi="Arial"/>
          <w:sz w:val="19"/>
          <w:szCs w:val="19"/>
          <w:color w:val="auto"/>
        </w:rPr>
        <w:t>” means the date on which the definitive agreement for any such Limited Condition Acquisition is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entered into.</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Counterparty</w:t>
      </w:r>
      <w:r>
        <w:rPr>
          <w:rFonts w:ascii="Arial" w:cs="Arial" w:eastAsia="Arial" w:hAnsi="Arial"/>
          <w:sz w:val="22"/>
          <w:szCs w:val="22"/>
          <w:color w:val="auto"/>
        </w:rPr>
        <w:t>” means any counterparty to a Secured Swap Agreement or Secured Cash Management</w:t>
      </w:r>
    </w:p>
    <w:p>
      <w:pPr>
        <w:spacing w:after="0"/>
        <w:rPr>
          <w:sz w:val="20"/>
          <w:szCs w:val="20"/>
          <w:color w:val="auto"/>
        </w:rPr>
      </w:pPr>
      <w:r>
        <w:rPr>
          <w:rFonts w:ascii="Arial" w:cs="Arial" w:eastAsia="Arial" w:hAnsi="Arial"/>
          <w:sz w:val="22"/>
          <w:szCs w:val="22"/>
          <w:color w:val="auto"/>
        </w:rPr>
        <w:t>Agreement.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Financing Source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9.04(d)</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means the Persons who are “Lenders” under this Agreement on the Closing Date, any Additional Lenders, any Additional Refinancing Lenders and any other Person that shall have become a party hereto as a Lender pursuant to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other than any such Person that ceases to be a party hereto pursuant to </w:t>
      </w:r>
      <w:r>
        <w:rPr>
          <w:rFonts w:ascii="Arial" w:cs="Arial" w:eastAsia="Arial" w:hAnsi="Arial"/>
          <w:sz w:val="22"/>
          <w:szCs w:val="22"/>
          <w:u w:val="single" w:color="auto"/>
          <w:color w:val="auto"/>
        </w:rPr>
        <w:t>Section 9.04</w:t>
      </w:r>
      <w:r>
        <w:rPr>
          <w:rFonts w:ascii="Arial" w:cs="Arial" w:eastAsia="Arial" w:hAnsi="Arial"/>
          <w:sz w:val="22"/>
          <w:szCs w:val="22"/>
          <w:color w:val="auto"/>
        </w:rPr>
        <w:t>. Unless the context requires otherwise, the term “Lenders” includes the Swingline Lenders.</w:t>
      </w:r>
    </w:p>
    <w:p>
      <w:pPr>
        <w:spacing w:after="0" w:line="161"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w:t>
      </w:r>
      <w:r>
        <w:rPr>
          <w:rFonts w:ascii="Arial" w:cs="Arial" w:eastAsia="Arial" w:hAnsi="Arial"/>
          <w:sz w:val="21"/>
          <w:szCs w:val="21"/>
          <w:color w:val="auto"/>
        </w:rPr>
        <w:t xml:space="preserve">” means (a) any letter of credit issued pursuant to this Agreement or (b) any guarantee, indemnity or other instrument (including bank acceptances and bank guarantees), in each case in a form requested by the Borrower and agreed by the applicable Issuing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GS Bank, Barclays, Bank of America, N.A., Credit Suisse AG, Citizens Bank, N.A. or SunTrust Bank be required to issue letters of credit (other than standby letters of credit), bank acceptances, bank guarantees, indemnitees or other instruments.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Application</w:t>
      </w:r>
      <w:r>
        <w:rPr>
          <w:rFonts w:ascii="Arial" w:cs="Arial" w:eastAsia="Arial" w:hAnsi="Arial"/>
          <w:sz w:val="22"/>
          <w:szCs w:val="22"/>
          <w:color w:val="auto"/>
        </w:rPr>
        <w:t>” means an application and agreement for the issuance or amendment of a Letter of Credit in the form from time to time in use by the applicable Issuing Bank.</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Expiration Date</w:t>
      </w:r>
      <w:r>
        <w:rPr>
          <w:rFonts w:ascii="Arial" w:cs="Arial" w:eastAsia="Arial" w:hAnsi="Arial"/>
          <w:sz w:val="19"/>
          <w:szCs w:val="19"/>
          <w:color w:val="auto"/>
        </w:rPr>
        <w:t>” means the fifth Business Day prior to the Revolving Termination Date (unless cash collateralized or backstopped pursuant to arrangements reasonably satisfactory to the Issuing Bank thereof).</w:t>
      </w:r>
    </w:p>
    <w:p>
      <w:pPr>
        <w:spacing w:after="0" w:line="105"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LIBO Screen Rate</w:t>
      </w:r>
      <w:r>
        <w:rPr>
          <w:rFonts w:ascii="Arial" w:cs="Arial" w:eastAsia="Arial" w:hAnsi="Arial"/>
          <w:sz w:val="21"/>
          <w:szCs w:val="21"/>
          <w:color w:val="FF0000"/>
          <w:strike w:val="1"/>
        </w:rPr>
        <w:t>” means the London interbank offered rate administered by the ICE Benchmark Association Limited (or any other Person that takes over the administration of such rate) for the applicable LIBOR Quoted Currency for a period equal in length to such Interest Period as displayed on pages LIBOR01 or LIBOR02 of the Reuters screen or, in the event such rate does not appear on either of such Reuters pages, on any successor or substitute page on such screen that displays such rate, or on the appropriate page of such other information service that publishes such rate as shall be selected by the Administrative Agent from time to time in its reasonable discretion.</w:t>
      </w:r>
    </w:p>
    <w:p>
      <w:pPr>
        <w:spacing w:after="0" w:line="16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LIBOR Quoted Currency</w:t>
      </w:r>
      <w:r>
        <w:rPr>
          <w:rFonts w:ascii="Arial" w:cs="Arial" w:eastAsia="Arial" w:hAnsi="Arial"/>
          <w:sz w:val="22"/>
          <w:szCs w:val="22"/>
          <w:color w:val="FF0000"/>
          <w:strike w:val="1"/>
        </w:rPr>
        <w:t>” means Dollars, Euros and Sterling, in each case, as long as there is a published LIBOR rate with respect thereto.</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with respect to any asset, (a) any mortgage, deed of trust, lien, pledge, charge, assignment by way of security, hypothecation, security interest or similar encumbrance given in the nature of a security interest in, on or of such asset and (b) the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38" w:name="page339"/>
    <w:bookmarkEnd w:id="338"/>
    <w:p>
      <w:pPr>
        <w:jc w:val="both"/>
        <w:spacing w:after="0" w:line="223" w:lineRule="auto"/>
        <w:rPr>
          <w:sz w:val="20"/>
          <w:szCs w:val="20"/>
          <w:color w:val="auto"/>
        </w:rPr>
      </w:pPr>
      <w:r>
        <w:rPr>
          <w:rFonts w:ascii="Arial" w:cs="Arial" w:eastAsia="Arial" w:hAnsi="Arial"/>
          <w:sz w:val="22"/>
          <w:szCs w:val="22"/>
          <w:color w:val="auto"/>
        </w:rPr>
        <w:t>of a vendor or a lessor under any conditional sale agreement, capital lease or title retention agreement (or any financing lease having substantially the same economic effect as any of the foregoing) relating to such asset, whether or not filed, recorded or otherwise perfected under applicable law.</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Condition Acquisition</w:t>
      </w:r>
      <w:r>
        <w:rPr>
          <w:rFonts w:ascii="Arial" w:cs="Arial" w:eastAsia="Arial" w:hAnsi="Arial"/>
          <w:sz w:val="22"/>
          <w:szCs w:val="22"/>
          <w:color w:val="auto"/>
        </w:rPr>
        <w:t>” means any Permitted Acquisition (or similar Investment) by any Holding Company or one or more of the Restricted Subsidiaries, the consummation of which is not conditioned on the availability of, or on obtaining, third-party financing.</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means this Agreement, the Fee Letter, each Incremental Credit Facility Amendment, each Refinancing Amendment, each Extension Amendment, the Guaranty, the Second Lien Intercreditor Agreement, each Security Document, and each schedule, exhibit or annex to any of the foregoing, any letter of credit application, any agreement designating an additional Issuing Bank as contemplated by </w:t>
      </w:r>
      <w:r>
        <w:rPr>
          <w:rFonts w:ascii="Arial" w:cs="Arial" w:eastAsia="Arial" w:hAnsi="Arial"/>
          <w:sz w:val="22"/>
          <w:szCs w:val="22"/>
          <w:u w:val="single" w:color="auto"/>
          <w:color w:val="auto"/>
        </w:rPr>
        <w:t>Section 2.05(p)</w:t>
      </w:r>
      <w:r>
        <w:rPr>
          <w:rFonts w:ascii="Arial" w:cs="Arial" w:eastAsia="Arial" w:hAnsi="Arial"/>
          <w:sz w:val="22"/>
          <w:szCs w:val="22"/>
          <w:color w:val="auto"/>
        </w:rPr>
        <w:t>, and any Notes issued by the Borrower pursuant hereto.</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Party</w:t>
      </w:r>
      <w:r>
        <w:rPr>
          <w:rFonts w:ascii="Arial" w:cs="Arial" w:eastAsia="Arial" w:hAnsi="Arial"/>
          <w:sz w:val="22"/>
          <w:szCs w:val="22"/>
          <w:color w:val="auto"/>
        </w:rPr>
        <w:t>” means (a) the Borrower and (b) each Guarantor.</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Term Loans, the Revolving Loans, the Swingline Loans, the Other Revolving Loans and any other loans made by any Lenders to the Borrower pursuant to this Agreement, any Incremental Credit Facility Amendment, Extension Amendment or any Refinancing Amendment.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LTM EBITDA</w:t>
      </w:r>
      <w:r>
        <w:rPr>
          <w:rFonts w:ascii="Arial" w:cs="Arial" w:eastAsia="Arial" w:hAnsi="Arial"/>
          <w:sz w:val="22"/>
          <w:szCs w:val="22"/>
          <w:color w:val="auto"/>
        </w:rPr>
        <w:t>” means, at any time, Consolidated EBITDA of the Borrower and its Restricted Subsidiaries for the trailing four (4) quarter period most recently ended, as of the Applicable Date of Determination.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has the meaning assigned to such term in Regulation U of the Board.</w:t>
      </w:r>
    </w:p>
    <w:p>
      <w:pPr>
        <w:spacing w:after="0" w:line="17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Market Capitalization</w:t>
      </w:r>
      <w:r>
        <w:rPr>
          <w:rFonts w:ascii="Arial" w:cs="Arial" w:eastAsia="Arial" w:hAnsi="Arial"/>
          <w:sz w:val="21"/>
          <w:szCs w:val="21"/>
          <w:color w:val="auto"/>
        </w:rPr>
        <w:t>” means, with respect to the making of any Restricted Payment, an amount equal to (a) the total number of issued and outstanding shares of Equity Interests of Holdings or any direct or indirect parent company on the date of declaration of such Restricted Payment multiplied by (b) the arithmetic mean of the closing prices per share of such Equity Interests on the principal securities exchange on which such Equity Interests are listed for the thirty (30) consecutive trading days immediately preceding the date of declaration of such Restricted Payment.</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on the Closing Date, a Parent Material Adverse Effect or (b) after the Closing Date, a material and adverse effect on (i) the business, assets, results of operations or financial condition, in each case, of Holdings and its Restricted Subsidiaries, taken as a whole, (ii) the rights and remedies (taken as a whole) available to the Administrative Agent under the Loan Documents or (iii) the ability of the Loan Parties (taken as a whole) to perform their payment obligations under the Loan Documents.</w:t>
      </w:r>
    </w:p>
    <w:p>
      <w:pPr>
        <w:spacing w:after="0" w:line="158"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Indebtedness</w:t>
      </w:r>
      <w:r>
        <w:rPr>
          <w:rFonts w:ascii="Arial" w:cs="Arial" w:eastAsia="Arial" w:hAnsi="Arial"/>
          <w:sz w:val="22"/>
          <w:szCs w:val="22"/>
          <w:color w:val="auto"/>
        </w:rPr>
        <w:t xml:space="preserve">” means any Indebtedness (other than the Loans and Letters of Credit) of the Borrower or any Restricted Subsidiary in an outstanding principal amount exceeding the greater of (a) $25,000,000 and (b) 25% of LTM EBITDA for the most recently ended Test Period at such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any Receivables Facility or Qualified Securitization Financing be considered Material Indebtedness for any purpose. For purposes of determining Material Indebtedness, the “principal amount” of the obligations in respect of any Swap Agreement at any time shall be the maximum aggregate amount (giving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39" w:name="page340"/>
    <w:bookmarkEnd w:id="339"/>
    <w:p>
      <w:pPr>
        <w:jc w:val="both"/>
        <w:spacing w:after="0" w:line="232" w:lineRule="auto"/>
        <w:rPr>
          <w:sz w:val="20"/>
          <w:szCs w:val="20"/>
          <w:color w:val="auto"/>
        </w:rPr>
      </w:pPr>
      <w:r>
        <w:rPr>
          <w:rFonts w:ascii="Arial" w:cs="Arial" w:eastAsia="Arial" w:hAnsi="Arial"/>
          <w:sz w:val="22"/>
          <w:szCs w:val="22"/>
          <w:color w:val="auto"/>
        </w:rPr>
        <w:t>effect to any netting agreements) that the Borrower or such Restricted Subsidiary would be required to pay if such Swap Agreement were terminated at such time.</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Real Property</w:t>
      </w:r>
      <w:r>
        <w:rPr>
          <w:rFonts w:ascii="Arial" w:cs="Arial" w:eastAsia="Arial" w:hAnsi="Arial"/>
          <w:sz w:val="22"/>
          <w:szCs w:val="22"/>
          <w:color w:val="auto"/>
        </w:rPr>
        <w:t xml:space="preserve">” means any real property and improvements thereto owned in fee simple by a Loan Party and which has a fair market value (estimated in good faith by such Loan Party) in excess of $10,000,000 as of the time such property is acquired (or, if such property is owned by a Person at the time it becomes a Loan Party pursuant to </w:t>
      </w:r>
      <w:r>
        <w:rPr>
          <w:rFonts w:ascii="Arial" w:cs="Arial" w:eastAsia="Arial" w:hAnsi="Arial"/>
          <w:sz w:val="22"/>
          <w:szCs w:val="22"/>
          <w:u w:val="single" w:color="auto"/>
          <w:color w:val="auto"/>
        </w:rPr>
        <w:t>Section 5.10</w:t>
      </w:r>
      <w:r>
        <w:rPr>
          <w:rFonts w:ascii="Arial" w:cs="Arial" w:eastAsia="Arial" w:hAnsi="Arial"/>
          <w:sz w:val="22"/>
          <w:szCs w:val="22"/>
          <w:color w:val="auto"/>
        </w:rPr>
        <w:t>, as of such date).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Subsidiary</w:t>
      </w:r>
      <w:r>
        <w:rPr>
          <w:rFonts w:ascii="Arial" w:cs="Arial" w:eastAsia="Arial" w:hAnsi="Arial"/>
          <w:sz w:val="19"/>
          <w:szCs w:val="19"/>
          <w:color w:val="auto"/>
        </w:rPr>
        <w:t>” means, at any date of determination, each Restricted Subsidiary that is not an Immaterial</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Subsidiary.</w:t>
      </w:r>
    </w:p>
    <w:p>
      <w:pPr>
        <w:spacing w:after="0" w:line="161"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Maturity Limitation Excluded Amount</w:t>
      </w:r>
      <w:r>
        <w:rPr>
          <w:rFonts w:ascii="Arial" w:cs="Arial" w:eastAsia="Arial" w:hAnsi="Arial"/>
          <w:sz w:val="21"/>
          <w:szCs w:val="21"/>
          <w:color w:val="auto"/>
        </w:rPr>
        <w:t xml:space="preserve">” means, at any date of determination, a principal amount of Indebtedness in the form of Incremental Credit Facilities, Other Term Loans, Other Revolving Loans, Other Revolving Commitments, Additional Debt, Term Loan Exchange Notes, Refinancing Notes or any Permitted Refinancing of the foregoing (or any combination of the foregoing) (each, “ </w:t>
      </w:r>
      <w:r>
        <w:rPr>
          <w:rFonts w:ascii="Arial" w:cs="Arial" w:eastAsia="Arial" w:hAnsi="Arial"/>
          <w:sz w:val="21"/>
          <w:szCs w:val="21"/>
          <w:u w:val="single" w:color="auto"/>
          <w:color w:val="auto"/>
        </w:rPr>
        <w:t>Subject Indebtedness</w:t>
      </w:r>
      <w:r>
        <w:rPr>
          <w:rFonts w:ascii="Arial" w:cs="Arial" w:eastAsia="Arial" w:hAnsi="Arial"/>
          <w:sz w:val="21"/>
          <w:szCs w:val="21"/>
          <w:color w:val="auto"/>
        </w:rPr>
        <w:t>”) not to exceed, in the aggregate for all such Subject Indebtedness elected by the Borrowers to have been incurred in reliance on the Maturity Limitation Excluded Amount, $100,000,000, which Subject Indebtedness shall, at the election of the Borrowers, not be required to comply with any limitations on maturity date, Weighted Average Life to Maturity, scheduled amortization, mandatory commitment reductions or mandatory prepayment or redemption features, in each case that would otherwise be applicable to such Subject Indebtedness pursuant to the terms of this Agreement.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Additional Debt Amount</w:t>
      </w:r>
      <w:r>
        <w:rPr>
          <w:rFonts w:ascii="Arial" w:cs="Arial" w:eastAsia="Arial" w:hAnsi="Arial"/>
          <w:sz w:val="22"/>
          <w:szCs w:val="22"/>
          <w:color w:val="auto"/>
        </w:rPr>
        <w:t>” means, at any date of determination, the sum of:</w:t>
      </w:r>
    </w:p>
    <w:p>
      <w:pPr>
        <w:spacing w:after="0" w:line="179" w:lineRule="exact"/>
        <w:rPr>
          <w:sz w:val="20"/>
          <w:szCs w:val="20"/>
          <w:color w:val="auto"/>
        </w:rPr>
      </w:pPr>
    </w:p>
    <w:p>
      <w:pPr>
        <w:jc w:val="both"/>
        <w:ind w:firstLine="1304"/>
        <w:spacing w:after="0"/>
        <w:tabs>
          <w:tab w:leader="none" w:pos="1605" w:val="left"/>
        </w:tabs>
        <w:numPr>
          <w:ilvl w:val="0"/>
          <w:numId w:val="346"/>
        </w:numPr>
        <w:rPr>
          <w:rFonts w:ascii="Arial" w:cs="Arial" w:eastAsia="Arial" w:hAnsi="Arial"/>
          <w:sz w:val="19"/>
          <w:szCs w:val="19"/>
          <w:color w:val="auto"/>
        </w:rPr>
      </w:pPr>
      <w:r>
        <w:rPr>
          <w:rFonts w:ascii="Arial" w:cs="Arial" w:eastAsia="Arial" w:hAnsi="Arial"/>
          <w:sz w:val="19"/>
          <w:szCs w:val="19"/>
          <w:color w:val="auto"/>
        </w:rPr>
        <w:t xml:space="preserve">(i) the greater of (x) $100,000,000 and (y) 100% of LTM EBITDA calculated on a Pro Forma Basis,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amount of any Additional Debt or Incremental Facilities incurred in reliance on this clause (i),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amount of any Incremental Second Lien Facility and/or Second Lien Additional Debt, in each case, incurred in reliance on clause (i) of the Second Lien Unrestricted Amount,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(x) the par value of any voluntary prepayments made pursuant to </w:t>
      </w:r>
      <w:r>
        <w:rPr>
          <w:rFonts w:ascii="Arial" w:cs="Arial" w:eastAsia="Arial" w:hAnsi="Arial"/>
          <w:sz w:val="19"/>
          <w:szCs w:val="19"/>
          <w:u w:val="single" w:color="auto"/>
          <w:color w:val="auto"/>
        </w:rPr>
        <w:t>Section 2.11(a)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payments or purchases of Revolving Loans are accompanied by permanent reductions of the Revolving Commitments), repurchases of Term Loans pursuant to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payments made pursuant to </w:t>
      </w:r>
      <w:r>
        <w:rPr>
          <w:rFonts w:ascii="Arial" w:cs="Arial" w:eastAsia="Arial" w:hAnsi="Arial"/>
          <w:sz w:val="19"/>
          <w:szCs w:val="19"/>
          <w:u w:val="single" w:color="auto"/>
          <w:color w:val="auto"/>
        </w:rPr>
        <w:t>Section 9.02(c)</w:t>
      </w:r>
      <w:r>
        <w:rPr>
          <w:rFonts w:ascii="Arial" w:cs="Arial" w:eastAsia="Arial" w:hAnsi="Arial"/>
          <w:sz w:val="19"/>
          <w:szCs w:val="19"/>
          <w:color w:val="auto"/>
        </w:rPr>
        <w:t xml:space="preserve"> or voluntary prepayments or redemptions of Additional Debt, Other Term Loans, Other Revolving Loans, Extended Term Loans, Extended Revolving Loans, Term Loan Exchange Notes, Refinancing Notes or any Permitted Refinancing of the foregoing, in each case to the extent secured on a pari passu basis with the Term Loans (and in the case of any such Indebtedness consisting of revolving indebtedness, to the extent accompanied by permanent reductions of the associated revolving commitments) and effected after the Closing Date that are not financed with the proceeds of long-term Indebtedness (other than Revolving Loans or other revolving indebtedness) and that do not reduce the amount of any payment otherwise due pursuant to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by operation of the proviso to such clause) and (y) the par value of any voluntary prepayments of the Second Lien Facility, any Incremental Second Lien Facility and Second Lien Additional Debt, to the extent such prepaid Second Lien Facility and/or Indebtedness were incurred under the Second Lien Unrestricted Amount (this clause (ii), together with clause (i), the “</w:t>
      </w:r>
      <w:r>
        <w:rPr>
          <w:rFonts w:ascii="Arial" w:cs="Arial" w:eastAsia="Arial" w:hAnsi="Arial"/>
          <w:sz w:val="19"/>
          <w:szCs w:val="19"/>
          <w:u w:val="single" w:color="auto"/>
          <w:color w:val="auto"/>
        </w:rPr>
        <w:t>Unrestricted Amount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amount of any Additional Debt and/or Incremental Credit Facilities incurred in reliance on clause (ii) of the Unrestricted Amount, less the amount of any Second Lien Additional Debt and/or Second Lien Incremental Facility incurred in reliance on clause (ii) of the Second Lien Unrestricted Amount; </w:t>
      </w:r>
      <w:r>
        <w:rPr>
          <w:rFonts w:ascii="Arial" w:cs="Arial" w:eastAsia="Arial" w:hAnsi="Arial"/>
          <w:sz w:val="19"/>
          <w:szCs w:val="19"/>
          <w:u w:val="single" w:color="auto"/>
          <w:color w:val="auto"/>
        </w:rPr>
        <w:t>plus</w:t>
      </w:r>
    </w:p>
    <w:p>
      <w:pPr>
        <w:spacing w:after="0" w:line="171" w:lineRule="exact"/>
        <w:rPr>
          <w:rFonts w:ascii="Arial" w:cs="Arial" w:eastAsia="Arial" w:hAnsi="Arial"/>
          <w:sz w:val="19"/>
          <w:szCs w:val="19"/>
          <w:color w:val="auto"/>
        </w:rPr>
      </w:pPr>
    </w:p>
    <w:p>
      <w:pPr>
        <w:ind w:firstLine="1304"/>
        <w:spacing w:after="0" w:line="232" w:lineRule="auto"/>
        <w:tabs>
          <w:tab w:leader="none" w:pos="1632" w:val="left"/>
        </w:tabs>
        <w:numPr>
          <w:ilvl w:val="0"/>
          <w:numId w:val="346"/>
        </w:numPr>
        <w:rPr>
          <w:rFonts w:ascii="Arial" w:cs="Arial" w:eastAsia="Arial" w:hAnsi="Arial"/>
          <w:sz w:val="22"/>
          <w:szCs w:val="22"/>
          <w:color w:val="auto"/>
        </w:rPr>
      </w:pPr>
      <w:r>
        <w:rPr>
          <w:rFonts w:ascii="Arial" w:cs="Arial" w:eastAsia="Arial" w:hAnsi="Arial"/>
          <w:sz w:val="22"/>
          <w:szCs w:val="22"/>
          <w:color w:val="auto"/>
        </w:rPr>
        <w:t>an unlimited amount if after giving effect to the incurrence of such Additional Debt or Incremental Credit Facility and the application of the proceeds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40" w:name="page341"/>
    <w:bookmarkEnd w:id="340"/>
    <w:p>
      <w:pPr>
        <w:jc w:val="both"/>
        <w:ind w:firstLine="1556"/>
        <w:spacing w:after="0" w:line="252" w:lineRule="auto"/>
        <w:tabs>
          <w:tab w:leader="none" w:pos="1815" w:val="left"/>
        </w:tabs>
        <w:numPr>
          <w:ilvl w:val="0"/>
          <w:numId w:val="347"/>
        </w:numPr>
        <w:rPr>
          <w:rFonts w:ascii="Arial" w:cs="Arial" w:eastAsia="Arial" w:hAnsi="Arial"/>
          <w:sz w:val="19"/>
          <w:szCs w:val="19"/>
          <w:color w:val="auto"/>
        </w:rPr>
      </w:pPr>
      <w:r>
        <w:rPr>
          <w:rFonts w:ascii="Arial" w:cs="Arial" w:eastAsia="Arial" w:hAnsi="Arial"/>
          <w:sz w:val="19"/>
          <w:szCs w:val="19"/>
          <w:color w:val="auto"/>
        </w:rPr>
        <w:t>if such Incremental Credit Facility or Additional Debt is secured on a pari passu basis with the Obligations, the First Lien Net Leverage Ratio, calculated on a Pro Forma Basis as of the Applicable Date of Determination, either (x) is no greater than 5.20 to 1.00 or (y) if such Indebtedness is incurred in connection with a Permitted Acquisition or other permitted Investment, either (A) is no greater than 5.20 to 1.00 or (B) is no greater than the First Lien Net Leverage Ratio in effect immediately prior to the applicable Permitted Acquisition or other permitted Investment,</w:t>
      </w:r>
    </w:p>
    <w:p>
      <w:pPr>
        <w:spacing w:after="0" w:line="149" w:lineRule="exact"/>
        <w:rPr>
          <w:sz w:val="20"/>
          <w:szCs w:val="20"/>
          <w:color w:val="auto"/>
        </w:rPr>
      </w:pPr>
    </w:p>
    <w:p>
      <w:pPr>
        <w:jc w:val="both"/>
        <w:ind w:firstLine="1522"/>
        <w:spacing w:after="0" w:line="252" w:lineRule="auto"/>
        <w:tabs>
          <w:tab w:leader="none" w:pos="1833" w:val="left"/>
        </w:tabs>
        <w:numPr>
          <w:ilvl w:val="0"/>
          <w:numId w:val="348"/>
        </w:numPr>
        <w:rPr>
          <w:rFonts w:ascii="Arial" w:cs="Arial" w:eastAsia="Arial" w:hAnsi="Arial"/>
          <w:sz w:val="19"/>
          <w:szCs w:val="19"/>
          <w:color w:val="auto"/>
        </w:rPr>
      </w:pPr>
      <w:r>
        <w:rPr>
          <w:rFonts w:ascii="Arial" w:cs="Arial" w:eastAsia="Arial" w:hAnsi="Arial"/>
          <w:sz w:val="19"/>
          <w:szCs w:val="19"/>
          <w:color w:val="auto"/>
        </w:rPr>
        <w:t>if such Incremental Credit Facility or Additional Debt is secured on a junior lien basis to the Obligations, the Senior Secured Net Leverage Ratio, calculated on a Pro Forma Basis as of the Applicable Date of Determination, either (x) is no greater than 7.00 to 1.00 or (y) if such Indebtedness is incurred in connection with a Permitted Acquisition or other permitted Investment, either (A) is no greater than 7.00 to 1.00 or (B) is no greater than the Senior Secured Net Leverage Ratio in effect immediately prior to the applicable Permitted Acquisition or other permitted Investment,</w:t>
      </w:r>
    </w:p>
    <w:p>
      <w:pPr>
        <w:spacing w:after="0" w:line="148" w:lineRule="exact"/>
        <w:rPr>
          <w:rFonts w:ascii="Arial" w:cs="Arial" w:eastAsia="Arial" w:hAnsi="Arial"/>
          <w:sz w:val="19"/>
          <w:szCs w:val="19"/>
          <w:color w:val="auto"/>
        </w:rPr>
      </w:pPr>
    </w:p>
    <w:p>
      <w:pPr>
        <w:jc w:val="both"/>
        <w:ind w:firstLine="1556"/>
        <w:spacing w:after="0" w:line="221" w:lineRule="auto"/>
        <w:tabs>
          <w:tab w:leader="none" w:pos="1935" w:val="left"/>
        </w:tabs>
        <w:numPr>
          <w:ilvl w:val="1"/>
          <w:numId w:val="348"/>
        </w:numPr>
        <w:rPr>
          <w:rFonts w:ascii="Arial" w:cs="Arial" w:eastAsia="Arial" w:hAnsi="Arial"/>
          <w:sz w:val="21"/>
          <w:szCs w:val="21"/>
          <w:color w:val="auto"/>
        </w:rPr>
      </w:pPr>
      <w:r>
        <w:rPr>
          <w:rFonts w:ascii="Arial" w:cs="Arial" w:eastAsia="Arial" w:hAnsi="Arial"/>
          <w:sz w:val="21"/>
          <w:szCs w:val="21"/>
          <w:color w:val="auto"/>
        </w:rPr>
        <w:t>if such Incremental Credit Facility or Additional Debt is unsecured or is secured by assets not constituting Collateral, either (I) the Total Net Leverage Ratio, calculated on a Pro Forma Basis as of the Applicable Date of Determination, either (x) is no greater than 7.00 to 1.00 or (y) if such Indebtedness is incurred in connection with a Permitted Acquisition or other permitted Investment, either (A) is no greater than 7.00 to 1.00 or (B) is no greater than the Total Net Leverage Ratio in effect immediately prior to the applicable Permitted Acquisition or other permitted Investment or (II) the Interest Coverage Ratio, calculated on a Pro Forma Basis as of the Applicable Date of Determination, either (x) is no less than 2.00 to 1.00 or (y) if such Indebtedness is incurred in connection with a Permitted Acquisition or other permitted Investment, either (A) is no less than 2.00 to 1.00 or (B) is no less than the Interest Coverage Ratio in effect immediately prior to the applicable Permitted Acquisition or other permitted Investment;</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to the extent the proceeds of any Additional Debt or Incremental Credit Facility are intended to be applied to finance a Limited Condition Acquisition, at the election of the Borrower, the First Lien Net Leverage Ratio, Senior Secured Net Leverage Ratio, Total Leverage Ratio or Interest Coverage Ratio, as the case may be, shall instead be tested in accordance with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(ii) all Additional Debt and Incremental Credit Facilities in each case established on such date shall be assumed to be fully drawn for purposes of the calculation of the First Lien Net Leverage Ratio, Senior Secured Net Leverage Ratio or Total Leverage Ratio, as applicable, (iii) the proceeds of such Additional Debt or Incremental Credit Facilities then being incurred at the time of determination are not included as Unrestricted Cash for purposes of calculating the First Lien Net Leverage Ratio, Senior Secured Net Leverage Ratio or Total Leverage Ratio;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the proceeds of such Additional Debt or Incremental Loans are to be used to prepay Indebtedness, the use of such proceeds for the prepayment of such Indebtedness may be calculated on a Pro Forma Basis, (iv) Additional Debt and Incremental Credit Facilities (x) at the election of the Borrower, may be incurred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prior to utilization of any capacity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and (y) amounts incurred under the Revolving Credit Facility (or any other Revolving Commitments) or amounts incurred in reliance on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in each case, concurrently with amounts incurred in reliance on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shall not be included as Indebtedness in the First Lien Net Leverage Ratio, Senior Secured Net Leverage Ratio, Total Leverage Ratio or Interest Coverage Ratio, as applicable, for purposes of calculating any amounts that may be incurred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on the same day and (v) if all or any portion of any Incremental Credit Facility or Additional Debt was originally incurred or issued in reliance on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and thereafter such amount could have been incurred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such amount of such Incremental Credit Facility or Additional Debt shall automatically be reclassified as having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41" w:name="page342"/>
    <w:bookmarkEnd w:id="341"/>
    <w:p>
      <w:pPr>
        <w:spacing w:after="0"/>
        <w:rPr>
          <w:sz w:val="20"/>
          <w:szCs w:val="20"/>
          <w:color w:val="auto"/>
        </w:rPr>
      </w:pPr>
      <w:r>
        <w:rPr>
          <w:rFonts w:ascii="Arial" w:cs="Arial" w:eastAsia="Arial" w:hAnsi="Arial"/>
          <w:sz w:val="22"/>
          <w:szCs w:val="22"/>
          <w:color w:val="auto"/>
        </w:rPr>
        <w:t xml:space="preserve">incurred pursuant to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above and thereafter shall not count as utilization of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above.</w:t>
      </w:r>
    </w:p>
    <w:p>
      <w:pPr>
        <w:spacing w:after="0" w:line="179"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Accrual of interest or dividends, the accretion of accreted value, the accretion or amortization of original issue discount and the payment of interest, premium, fees or expenses, in the form of additional Indebtedness, Disqualified Equity Interests or preferred stock on any Incremental Credit Facility or Additional Debt incurred pursuant to the Unrestricted Amount shall not reduce the amount available to be incurred pursuant to the Unrestricted Amount.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9.13</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MFN Adjustment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2.20(a)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Extension Condition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MLPFS</w:t>
      </w:r>
      <w:r>
        <w:rPr>
          <w:rFonts w:ascii="Arial" w:cs="Arial" w:eastAsia="Arial" w:hAnsi="Arial"/>
          <w:sz w:val="22"/>
          <w:szCs w:val="22"/>
          <w:color w:val="auto"/>
        </w:rPr>
        <w:t>” means Merrill Lynch, Pierce, Fenner &amp; Smith, together with its designated affiliates (or any other registered broker-dealer wholly-owned by Bank of America Corporation to which all or substantially all of Bank America Corporation’s or any of its subsidiaries’ investment banking, commercial lending services or related businesses may be transferred following the date of this Agreement).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 Policy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5.10(d)</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Property</w:t>
      </w:r>
      <w:r>
        <w:rPr>
          <w:rFonts w:ascii="Arial" w:cs="Arial" w:eastAsia="Arial" w:hAnsi="Arial"/>
          <w:sz w:val="22"/>
          <w:szCs w:val="22"/>
          <w:color w:val="auto"/>
        </w:rPr>
        <w:t xml:space="preserve">” means, each parcel of Material Real Property owned by a Loan Party with respect to which a Mortgage is granted pursuant to </w:t>
      </w: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5.11</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Mortgages</w:t>
      </w:r>
      <w:r>
        <w:rPr>
          <w:rFonts w:ascii="Arial" w:cs="Arial" w:eastAsia="Arial" w:hAnsi="Arial"/>
          <w:sz w:val="22"/>
          <w:szCs w:val="22"/>
          <w:color w:val="auto"/>
        </w:rPr>
        <w:t xml:space="preserve">” means a mortgage, deed of trust, or other security document granting a Lien on any Mortgaged Property to secure the Secured Obligations. Each Mortgage shall be substantially in the form attached as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hereto or otherwise in form and substance approved by the Administrative Agent in its reasonable discretion, or at the Administrative Agent’s option, in the case of an Additional Mortgaged Property, an amendment to an existing Mortgage, in form satisfactory to the Administrative Agent in its reasonable discretion, adding such Additional Mortgaged Property to the real property encumbered by such existing Mortgage.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Proceeds</w:t>
      </w:r>
      <w:r>
        <w:rPr>
          <w:rFonts w:ascii="Arial" w:cs="Arial" w:eastAsia="Arial" w:hAnsi="Arial"/>
          <w:sz w:val="19"/>
          <w:szCs w:val="19"/>
          <w:color w:val="auto"/>
        </w:rPr>
        <w:t xml:space="preserve">” means, with respect to any event, (a) the cash proceeds received in respect of such event, including (x) in the case of a Disposition of an asset (including pursuant to a Sale Leaseback transaction or a casualty or a condemnation or similar proceeding), any cash received in respect of any non-cash proceeds (including any cash payments received by way of deferred payment of principal pursuant to a note or installment receivable or purchase price adjustment or earn-out, but excluding any reasonable interest payments), but only as and when received, (y) in the case of a casualty, cash insurance proceeds, and (z) in the case of a condemnation or similar event, cash condemnation awards and similar payments received in connection therewith,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sum of (i) all reasonable fees and expenses (including commissions, discounts, transfer taxes and legal, accounting and other professional and transactional fees) paid or payable by the Holding Companies and the Restricted Subsidiaries to third parties in connection with such event, (ii) in the case of a Disposition of an asset (including pursuant to a Sale Leaseback transaction or a casualty or a condemnation or similar proceeding), the amount of payments required to be made in respect of Indebtedness (other than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42" w:name="page343"/>
    <w:bookmarkEnd w:id="342"/>
    <w:p>
      <w:pPr>
        <w:jc w:val="both"/>
        <w:spacing w:after="0" w:line="241" w:lineRule="auto"/>
        <w:rPr>
          <w:sz w:val="20"/>
          <w:szCs w:val="20"/>
          <w:color w:val="auto"/>
        </w:rPr>
      </w:pPr>
      <w:r>
        <w:rPr>
          <w:rFonts w:ascii="Arial" w:cs="Arial" w:eastAsia="Arial" w:hAnsi="Arial"/>
          <w:sz w:val="19"/>
          <w:szCs w:val="19"/>
          <w:color w:val="auto"/>
        </w:rPr>
        <w:t xml:space="preserve">other Indebtedness for borrowed money that is secured on a pari passu or junior lien basis with the Loans) secured by such asset or otherwise subject to mandatory prepayment (other than under this Agreement) as a result of such event, or which by applicable law is required to be repaid out of the proceeds of such Disposition, casualty, condemnation or similar proceeding, in each case, to the extent permitted to be paid pursuant to the terms of this Agreement, (iii) the amount of all taxes (or, without duplication, Restricted Payments in respect of such taxes) paid (or reasonably estimated to be payable or accrued as a liability under GAAP) by (or attributable to the ownership of) Holdings and the Restricted Subsidiaries as a result of such event, (iv) the amount of any reserves established by Holdings or the applicable Restricted Subsidiaries to fund liabilities estimated to be payable as a result of such event (as determined in good faith by a Responsible Officer of the Borrower), (v) in the case of any Disposition or casualty or condemnation or similar proceeding by a non-wholly owned Restricted Subsidiary, the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portion of the Net Proceeds thereof (calculated without regard to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attributable to minority interests and not available for distribution to or for the account of the Borrower or a wholly owned Restricted Subsidiary as a result thereof and (vi) any funded escrow established pursuant to the documents evidencing any such sale or disposition to secure any indemnification obligations or adjustments to the purchase price or other similar obligations associated with any such sale or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funds shall constitute Net Proceeds immediately upon their release from escrow unless applied to satisfy such obligations.</w:t>
      </w:r>
    </w:p>
    <w:p>
      <w:pPr>
        <w:spacing w:after="0" w:line="16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Sponsor</w:t>
      </w:r>
      <w:r>
        <w:rPr>
          <w:rFonts w:ascii="Arial" w:cs="Arial" w:eastAsia="Arial" w:hAnsi="Arial"/>
          <w:sz w:val="22"/>
          <w:szCs w:val="22"/>
          <w:color w:val="auto"/>
        </w:rPr>
        <w:t>” means the Purchaser, its Affiliates and any funds, partnerships or other co-investment vehicles managed, advised or controlled by the foregoing or their respective Affiliates (other than Holdings, Borrower or Subsidiaries or any other portfolio company).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9.02(c)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Nonrenewal Notice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2.05(c)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 Otherwise Applied</w:t>
      </w:r>
      <w:r>
        <w:rPr>
          <w:rFonts w:ascii="Arial" w:cs="Arial" w:eastAsia="Arial" w:hAnsi="Arial"/>
          <w:sz w:val="19"/>
          <w:szCs w:val="19"/>
          <w:color w:val="auto"/>
        </w:rPr>
        <w:t xml:space="preserve">” means, with reference to any amount of proceeds of the type described in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or</w:t>
      </w:r>
    </w:p>
    <w:p>
      <w:pPr>
        <w:spacing w:after="0" w:line="16" w:lineRule="exact"/>
        <w:rPr>
          <w:sz w:val="20"/>
          <w:szCs w:val="20"/>
          <w:color w:val="auto"/>
        </w:rPr>
      </w:pPr>
    </w:p>
    <w:p>
      <w:pPr>
        <w:jc w:val="both"/>
        <w:ind w:firstLine="8"/>
        <w:spacing w:after="0" w:line="224" w:lineRule="auto"/>
        <w:tabs>
          <w:tab w:leader="none" w:pos="315" w:val="left"/>
        </w:tabs>
        <w:numPr>
          <w:ilvl w:val="0"/>
          <w:numId w:val="349"/>
        </w:numPr>
        <w:rPr>
          <w:rFonts w:ascii="Arial" w:cs="Arial" w:eastAsia="Arial" w:hAnsi="Arial"/>
          <w:sz w:val="21"/>
          <w:szCs w:val="21"/>
          <w:u w:val="single" w:color="auto"/>
          <w:color w:val="auto"/>
        </w:rPr>
      </w:pPr>
      <w:r>
        <w:rPr>
          <w:rFonts w:ascii="Arial" w:cs="Arial" w:eastAsia="Arial" w:hAnsi="Arial"/>
          <w:sz w:val="21"/>
          <w:szCs w:val="21"/>
          <w:color w:val="auto"/>
        </w:rPr>
        <w:t xml:space="preserve">of the definition of “Available Amount” or in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of the definition of “Available Excluded Contribution Amount”, that such amount was not previously applied (nor committed to be applied,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commitment remains outstanding or has not otherwise terminated or expired) pursuant to </w:t>
      </w:r>
      <w:r>
        <w:rPr>
          <w:rFonts w:ascii="Arial" w:cs="Arial" w:eastAsia="Arial" w:hAnsi="Arial"/>
          <w:sz w:val="21"/>
          <w:szCs w:val="21"/>
          <w:u w:val="single" w:color="auto"/>
          <w:color w:val="auto"/>
        </w:rPr>
        <w:t>Sections 6.01(aa)(1)</w:t>
      </w:r>
      <w:r>
        <w:rPr>
          <w:rFonts w:ascii="Arial" w:cs="Arial" w:eastAsia="Arial" w:hAnsi="Arial"/>
          <w:sz w:val="21"/>
          <w:szCs w:val="21"/>
          <w:color w:val="auto"/>
        </w:rPr>
        <w:t xml:space="preserve">, </w:t>
      </w:r>
      <w:r>
        <w:rPr>
          <w:rFonts w:ascii="Arial" w:cs="Arial" w:eastAsia="Arial" w:hAnsi="Arial"/>
          <w:sz w:val="21"/>
          <w:szCs w:val="21"/>
          <w:u w:val="single" w:color="auto"/>
          <w:color w:val="auto"/>
        </w:rPr>
        <w:t>6.04(z)</w:t>
      </w:r>
      <w:r>
        <w:rPr>
          <w:rFonts w:ascii="Arial" w:cs="Arial" w:eastAsia="Arial" w:hAnsi="Arial"/>
          <w:sz w:val="21"/>
          <w:szCs w:val="21"/>
          <w:color w:val="auto"/>
        </w:rPr>
        <w:t xml:space="preserve">, </w:t>
      </w:r>
      <w:r>
        <w:rPr>
          <w:rFonts w:ascii="Arial" w:cs="Arial" w:eastAsia="Arial" w:hAnsi="Arial"/>
          <w:sz w:val="21"/>
          <w:szCs w:val="21"/>
          <w:u w:val="single" w:color="auto"/>
          <w:color w:val="auto"/>
        </w:rPr>
        <w:t>6.04(dd)</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6.06(a)(ii)</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6.06(a)(v)</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6.06(a)(x)(ii)</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6.06(a)(xiv)(B)</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6.06(a)(xv)</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6.06(a)(xix)</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6.06(b)(vi)(B)</w:t>
      </w:r>
      <w:r>
        <w:rPr>
          <w:rFonts w:ascii="Arial" w:cs="Arial" w:eastAsia="Arial" w:hAnsi="Arial"/>
          <w:sz w:val="21"/>
          <w:szCs w:val="21"/>
          <w:color w:val="auto"/>
        </w:rPr>
        <w:t xml:space="preserve">, </w:t>
      </w:r>
      <w:r>
        <w:rPr>
          <w:rFonts w:ascii="Arial" w:cs="Arial" w:eastAsia="Arial" w:hAnsi="Arial"/>
          <w:sz w:val="21"/>
          <w:szCs w:val="21"/>
          <w:u w:val="single" w:color="auto"/>
          <w:color w:val="auto"/>
        </w:rPr>
        <w:t>6.06(b)(vii)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6.06(b)(ix)(ii)</w:t>
      </w:r>
      <w:r>
        <w:rPr>
          <w:rFonts w:ascii="Arial" w:cs="Arial" w:eastAsia="Arial" w:hAnsi="Arial"/>
          <w:sz w:val="21"/>
          <w:szCs w:val="21"/>
          <w:color w:val="auto"/>
        </w:rPr>
        <w: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means a Term Note or a Revolving Note, as the context may require.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17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xml:space="preserve">” means, for any day, the greater of (a) the Federal Funds Rate in effect on such day and (b) the Overnight Bank Funding Rate in effect on such day (or for any day that is not a Business Day, for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none of such rates are published for any day that is a Business Day, the term “</w:t>
      </w:r>
      <w:r>
        <w:rPr>
          <w:rFonts w:ascii="Arial" w:cs="Arial" w:eastAsia="Arial" w:hAnsi="Arial"/>
          <w:sz w:val="19"/>
          <w:szCs w:val="19"/>
          <w:u w:val="single" w:color="auto"/>
          <w:color w:val="auto"/>
        </w:rPr>
        <w:t>NYFRB Rate</w:t>
      </w:r>
      <w:r>
        <w:rPr>
          <w:rFonts w:ascii="Arial" w:cs="Arial" w:eastAsia="Arial" w:hAnsi="Arial"/>
          <w:sz w:val="19"/>
          <w:szCs w:val="19"/>
          <w:color w:val="auto"/>
        </w:rPr>
        <w:t xml:space="preserve">” shall mean the rate for a federal funds transaction quoted at 11:00 a.m., New York City time, on such day received by the Administrative Agent from a federal funds broker of recognized standing selected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any of the aforesaid rates shall be less than zero, such rate shall be deemed to be zero for purposes of this Agreement.</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means all obligations of every nature of each Loan Party, including obligations from time to time owed to the Administrative Agent, the Collateral Agent, any other Agent, any Joint Lead Arranger, any Joint Bookrunner, the Issuing Banks, the Lenders or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43" w:name="page344"/>
    <w:bookmarkEnd w:id="343"/>
    <w:p>
      <w:pPr>
        <w:jc w:val="both"/>
        <w:spacing w:after="0" w:line="221" w:lineRule="auto"/>
        <w:rPr>
          <w:sz w:val="20"/>
          <w:szCs w:val="20"/>
          <w:color w:val="auto"/>
        </w:rPr>
      </w:pPr>
      <w:r>
        <w:rPr>
          <w:rFonts w:ascii="Arial" w:cs="Arial" w:eastAsia="Arial" w:hAnsi="Arial"/>
          <w:sz w:val="21"/>
          <w:szCs w:val="21"/>
          <w:color w:val="auto"/>
        </w:rPr>
        <w:t>them, arising under any Loan Document, whether for principal, interest (including interest which, but for the filing of a petition in bankruptcy with respect to such Loan Party, would have accrued on any such obligation, whether or not a claim is allowed against such Loan Party for such interest in the related bankruptcy proceeding), prepayment premiums, reimbursement of amounts drawn under Letters of Credit issued for the account of a Holding Company, the Borrower and/or any Restricted Subsidiary, fees (including fees which, but for the filing of a petition in bankruptcy with respect to such Loan Party, would have accrued on any such obligation, whether or not a claim is allowed against such Loan Party for such fees in the related bankruptcy proceeding), expenses (including expenses which, but for the filing of a petition in bankruptcy solely with respect to such Loan Party, would have accrued on any such obligation, whether or not a claim is allowed against such Loan Party for such expenses in the related bankruptcy proceeding), indemnification or otherwise.</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Organizational Documents</w:t>
      </w:r>
      <w:r>
        <w:rPr>
          <w:rFonts w:ascii="Arial" w:cs="Arial" w:eastAsia="Arial" w:hAnsi="Arial"/>
          <w:sz w:val="21"/>
          <w:szCs w:val="21"/>
          <w:color w:val="auto"/>
        </w:rPr>
        <w:t>” of any Person means the charter, memorandum and articles of association, constitution, articles, partnership agreement, or certificate of organization, incorporation or registration, amalgamation, continuance or amendment and bylaws or other organizational or governing or constitutive documents of such Person.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Applicable Indebtedness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2.11(c)</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Revolving Commitments</w:t>
      </w:r>
      <w:r>
        <w:rPr>
          <w:rFonts w:ascii="Arial" w:cs="Arial" w:eastAsia="Arial" w:hAnsi="Arial"/>
          <w:sz w:val="19"/>
          <w:szCs w:val="19"/>
          <w:color w:val="auto"/>
        </w:rPr>
        <w:t xml:space="preserve">” means, with respect to each Additional Refinancing Lender, the commitment, if any, of such Additional Refinancing Lender to make one or more Classes of Other Revolving Loans under any Refinancing Amendment, expressed as an amount representing the maximum principal amount of the Other Revolving Loans to be made by such Lender under such Refinancing Amendment, as such commitment may be (a) reduced pursuant to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and (b) reduced or increased from time to time pursuant to assignments by or to such Lender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Revolving Loans</w:t>
      </w:r>
      <w:r>
        <w:rPr>
          <w:rFonts w:ascii="Arial" w:cs="Arial" w:eastAsia="Arial" w:hAnsi="Arial"/>
          <w:sz w:val="21"/>
          <w:szCs w:val="21"/>
          <w:color w:val="auto"/>
        </w:rPr>
        <w:t>” means the Revolving Loans made pursuant to any Other Revolving Commitment.</w:t>
      </w:r>
    </w:p>
    <w:p>
      <w:pPr>
        <w:spacing w:after="0" w:line="19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 means any and all present or future recording, stamp, documentary, excise, transfer, sales, property, intangible, filing or similar Taxes, charges or levies arising from any payment made under any Loan Document or from the execution, delivery, performance, registration or enforcement of, or from the registration, receipt or perfection of a security interest under, or otherwise with respect to, any Loan Document.</w:t>
      </w:r>
    </w:p>
    <w:p>
      <w:pPr>
        <w:spacing w:after="0" w:line="161"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Term Commitments</w:t>
      </w:r>
      <w:r>
        <w:rPr>
          <w:rFonts w:ascii="Arial" w:cs="Arial" w:eastAsia="Arial" w:hAnsi="Arial"/>
          <w:sz w:val="21"/>
          <w:szCs w:val="21"/>
          <w:color w:val="auto"/>
        </w:rPr>
        <w:t xml:space="preserve">” means, with respect to each Additional Refinancing Lender, the commitment, if any, of such Additional Refinancing Lender to make one or more Classes of Other Term Loans under any Refinancing Amendment, expressed as an amount representing the maximum principal amount of the Other Term Loans to be made by such Lender under such Refinancing Amendment, as such commitment may be (a) reduced pursuant to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and (b) reduced or increased from time to time pursuant to assignments by or to such Lender pursuant to </w:t>
      </w:r>
      <w:r>
        <w:rPr>
          <w:rFonts w:ascii="Arial" w:cs="Arial" w:eastAsia="Arial" w:hAnsi="Arial"/>
          <w:sz w:val="21"/>
          <w:szCs w:val="21"/>
          <w:u w:val="single" w:color="auto"/>
          <w:color w:val="auto"/>
        </w:rPr>
        <w:t>Section 9.04</w:t>
      </w:r>
      <w:r>
        <w:rPr>
          <w:rFonts w:ascii="Arial" w:cs="Arial" w:eastAsia="Arial" w:hAnsi="Arial"/>
          <w:sz w:val="21"/>
          <w:szCs w:val="21"/>
          <w:color w:val="auto"/>
        </w:rPr>
        <w: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Term Loans</w:t>
      </w:r>
      <w:r>
        <w:rPr>
          <w:rFonts w:ascii="Arial" w:cs="Arial" w:eastAsia="Arial" w:hAnsi="Arial"/>
          <w:sz w:val="19"/>
          <w:szCs w:val="19"/>
          <w:color w:val="auto"/>
        </w:rPr>
        <w:t>” means one or more Classes of Term Loans made pursuant to or that result from a Refinancing</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Amendment.</w:t>
      </w:r>
    </w:p>
    <w:p>
      <w:pPr>
        <w:spacing w:after="0" w:line="16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means, for any day, the rate comprised of both overnight federal funds and overnight eurocurrency borrowings by U.S.-managed banking offices of depository institutions, as such composite rate shall be determined by the NYFRB as set forth on its public website from time to time, and published on the next succeeding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44" w:name="page345"/>
    <w:bookmarkEnd w:id="344"/>
    <w:p>
      <w:pPr>
        <w:jc w:val="both"/>
        <w:spacing w:after="0" w:line="232" w:lineRule="auto"/>
        <w:rPr>
          <w:sz w:val="20"/>
          <w:szCs w:val="20"/>
          <w:color w:val="auto"/>
        </w:rPr>
      </w:pPr>
      <w:r>
        <w:rPr>
          <w:rFonts w:ascii="Arial" w:cs="Arial" w:eastAsia="Arial" w:hAnsi="Arial"/>
          <w:sz w:val="22"/>
          <w:szCs w:val="22"/>
          <w:color w:val="auto"/>
        </w:rPr>
        <w:t>Day by the NYFRB as an overnight bank funding rate (from and after such date as the NYFRB shall commence to publish such composite rate).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 Entity</w:t>
      </w:r>
      <w:r>
        <w:rPr>
          <w:rFonts w:ascii="Arial" w:cs="Arial" w:eastAsia="Arial" w:hAnsi="Arial"/>
          <w:sz w:val="21"/>
          <w:szCs w:val="21"/>
          <w:color w:val="auto"/>
        </w:rPr>
        <w:t>” means any Person of which Holdings at any time is or becomes a subsidiary on or after the</w:t>
      </w:r>
    </w:p>
    <w:p>
      <w:pPr>
        <w:spacing w:after="0"/>
        <w:rPr>
          <w:sz w:val="20"/>
          <w:szCs w:val="20"/>
          <w:color w:val="auto"/>
        </w:rPr>
      </w:pPr>
      <w:r>
        <w:rPr>
          <w:rFonts w:ascii="Arial" w:cs="Arial" w:eastAsia="Arial" w:hAnsi="Arial"/>
          <w:sz w:val="22"/>
          <w:szCs w:val="22"/>
          <w:color w:val="auto"/>
        </w:rPr>
        <w:t>Closing Date.</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Material Adverse Effect</w:t>
      </w:r>
      <w:r>
        <w:rPr>
          <w:rFonts w:ascii="Arial" w:cs="Arial" w:eastAsia="Arial" w:hAnsi="Arial"/>
          <w:sz w:val="22"/>
          <w:szCs w:val="22"/>
          <w:color w:val="auto"/>
        </w:rPr>
        <w:t>” means a “Parent Material Adverse Effect”, as defined in the Recapitalization</w:t>
      </w:r>
    </w:p>
    <w:p>
      <w:pPr>
        <w:spacing w:after="0"/>
        <w:rPr>
          <w:sz w:val="20"/>
          <w:szCs w:val="20"/>
          <w:color w:val="auto"/>
        </w:rPr>
      </w:pPr>
      <w:r>
        <w:rPr>
          <w:rFonts w:ascii="Arial" w:cs="Arial" w:eastAsia="Arial" w:hAnsi="Arial"/>
          <w:sz w:val="22"/>
          <w:szCs w:val="22"/>
          <w:color w:val="auto"/>
        </w:rPr>
        <w:t>Agreement.</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Pari Passu Intercreditor Agreement</w:t>
      </w:r>
      <w:r>
        <w:rPr>
          <w:rFonts w:ascii="Arial" w:cs="Arial" w:eastAsia="Arial" w:hAnsi="Arial"/>
          <w:sz w:val="22"/>
          <w:szCs w:val="22"/>
          <w:color w:val="auto"/>
        </w:rPr>
        <w:t xml:space="preserve">” means a customary intercreditor agreement substantially in the form annexed hereto as </w:t>
      </w:r>
      <w:r>
        <w:rPr>
          <w:rFonts w:ascii="Arial" w:cs="Arial" w:eastAsia="Arial" w:hAnsi="Arial"/>
          <w:sz w:val="22"/>
          <w:szCs w:val="22"/>
          <w:u w:val="single" w:color="auto"/>
          <w:color w:val="auto"/>
        </w:rPr>
        <w:t>Exhibit K</w:t>
      </w:r>
      <w:r>
        <w:rPr>
          <w:rFonts w:ascii="Arial" w:cs="Arial" w:eastAsia="Arial" w:hAnsi="Arial"/>
          <w:sz w:val="22"/>
          <w:szCs w:val="22"/>
          <w:color w:val="auto"/>
        </w:rPr>
        <w: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Member State</w:t>
      </w:r>
      <w:r>
        <w:rPr>
          <w:rFonts w:ascii="Arial" w:cs="Arial" w:eastAsia="Arial" w:hAnsi="Arial"/>
          <w:sz w:val="22"/>
          <w:szCs w:val="22"/>
          <w:color w:val="auto"/>
        </w:rPr>
        <w:t>” means each state so described in any EMU Legislation.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Periodic Term SOFR Determination Day</w:t>
      </w:r>
      <w:r>
        <w:rPr>
          <w:rFonts w:ascii="Arial" w:cs="Arial" w:eastAsia="Arial" w:hAnsi="Arial"/>
          <w:sz w:val="21"/>
          <w:szCs w:val="21"/>
          <w:color w:val="auto"/>
        </w:rPr>
        <w:t>” has the meaning assigned to such term in the definition of “Term</w:t>
      </w:r>
    </w:p>
    <w:p>
      <w:pPr>
        <w:spacing w:after="0"/>
        <w:rPr>
          <w:sz w:val="20"/>
          <w:szCs w:val="20"/>
          <w:color w:val="auto"/>
        </w:rPr>
      </w:pPr>
      <w:r>
        <w:rPr>
          <w:rFonts w:ascii="Arial" w:cs="Arial" w:eastAsia="Arial" w:hAnsi="Arial"/>
          <w:sz w:val="22"/>
          <w:szCs w:val="22"/>
          <w:color w:val="auto"/>
        </w:rPr>
        <w:t>SOFR”.</w:t>
      </w:r>
    </w:p>
    <w:p>
      <w:pPr>
        <w:spacing w:after="0" w:line="16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w:t>
      </w:r>
      <w:r>
        <w:rPr>
          <w:rFonts w:ascii="Arial" w:cs="Arial" w:eastAsia="Arial" w:hAnsi="Arial"/>
          <w:sz w:val="19"/>
          <w:szCs w:val="19"/>
          <w:color w:val="auto"/>
        </w:rPr>
        <w:t>” means any Acquisition by any Restricted Subsidiary if (a) immediately before and immediately after giving pro forma effect to the consummation of such Acquisition, no Event of Default has occurred and is continuing or would immediately result therefrom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Limited Condition Acquisition, at the election of the Borrower,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shall instead only be tested on the relevant LCA Test Date and no Event of Default under </w:t>
      </w:r>
      <w:r>
        <w:rPr>
          <w:rFonts w:ascii="Arial" w:cs="Arial" w:eastAsia="Arial" w:hAnsi="Arial"/>
          <w:sz w:val="19"/>
          <w:szCs w:val="19"/>
          <w:u w:val="single" w:color="auto"/>
          <w:color w:val="auto"/>
        </w:rPr>
        <w:t>Sections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7.01(i)</w:t>
      </w:r>
      <w:r>
        <w:rPr>
          <w:rFonts w:ascii="Arial" w:cs="Arial" w:eastAsia="Arial" w:hAnsi="Arial"/>
          <w:sz w:val="19"/>
          <w:szCs w:val="19"/>
          <w:color w:val="auto"/>
        </w:rPr>
        <w:t xml:space="preserve"> shall have occurred and be continuing or would exist after giving effect thereto at the time such acquisition is consummated), (b) all actions required to be taken with respect to such acquired or newly formed Restricted Subsidiary (other than any Excluded Subsidiary) or such acquired assets (other than Excluded Property)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will be taken in accordance therewith (to the extent required) and (c) after giving effect to such Acquisition, the Borrower and the Restricted Subsidiaries are in compliance with </w:t>
      </w:r>
      <w:r>
        <w:rPr>
          <w:rFonts w:ascii="Arial" w:cs="Arial" w:eastAsia="Arial" w:hAnsi="Arial"/>
          <w:sz w:val="19"/>
          <w:szCs w:val="19"/>
          <w:u w:val="single" w:color="auto"/>
          <w:color w:val="auto"/>
        </w:rPr>
        <w:t>Section 6.10</w:t>
      </w:r>
      <w:r>
        <w:rPr>
          <w:rFonts w:ascii="Arial" w:cs="Arial" w:eastAsia="Arial" w:hAnsi="Arial"/>
          <w:sz w:val="19"/>
          <w:szCs w:val="19"/>
          <w:color w:val="auto"/>
        </w:rPr>
        <w: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Debt Exchange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2.25(a)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Debt Exchange Offer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2.25(a)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means:</w:t>
      </w:r>
    </w:p>
    <w:p>
      <w:pPr>
        <w:spacing w:after="0" w:line="179" w:lineRule="exact"/>
        <w:rPr>
          <w:sz w:val="20"/>
          <w:szCs w:val="20"/>
          <w:color w:val="auto"/>
        </w:rPr>
      </w:pPr>
    </w:p>
    <w:p>
      <w:pPr>
        <w:jc w:val="both"/>
        <w:ind w:firstLine="1304"/>
        <w:spacing w:after="0" w:line="268" w:lineRule="auto"/>
        <w:tabs>
          <w:tab w:leader="none" w:pos="1774" w:val="left"/>
        </w:tabs>
        <w:numPr>
          <w:ilvl w:val="0"/>
          <w:numId w:val="350"/>
        </w:numPr>
        <w:rPr>
          <w:rFonts w:ascii="Arial" w:cs="Arial" w:eastAsia="Arial" w:hAnsi="Arial"/>
          <w:sz w:val="19"/>
          <w:szCs w:val="19"/>
          <w:color w:val="auto"/>
        </w:rPr>
      </w:pPr>
      <w:r>
        <w:rPr>
          <w:rFonts w:ascii="Arial" w:cs="Arial" w:eastAsia="Arial" w:hAnsi="Arial"/>
          <w:sz w:val="19"/>
          <w:szCs w:val="19"/>
          <w:color w:val="auto"/>
        </w:rPr>
        <w:t>Liens imposed by law for taxes, assessments or other governmental charges or levies that (i) are not overdue by more than thirty (30) days, (ii) are being contested in good faith and are subject to appropriate reserves to the extent required under GAAP or (iii) the non-payment of which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45" w:name="page346"/>
    <w:bookmarkEnd w:id="345"/>
    <w:p>
      <w:pPr>
        <w:jc w:val="both"/>
        <w:ind w:firstLine="1304"/>
        <w:spacing w:after="0" w:line="214" w:lineRule="auto"/>
        <w:tabs>
          <w:tab w:leader="none" w:pos="1982" w:val="left"/>
        </w:tabs>
        <w:numPr>
          <w:ilvl w:val="0"/>
          <w:numId w:val="351"/>
        </w:numPr>
        <w:rPr>
          <w:rFonts w:ascii="Arial" w:cs="Arial" w:eastAsia="Arial" w:hAnsi="Arial"/>
          <w:sz w:val="22"/>
          <w:szCs w:val="22"/>
          <w:color w:val="auto"/>
        </w:rPr>
      </w:pPr>
      <w:r>
        <w:rPr>
          <w:rFonts w:ascii="Arial" w:cs="Arial" w:eastAsia="Arial" w:hAnsi="Arial"/>
          <w:sz w:val="22"/>
          <w:szCs w:val="22"/>
          <w:color w:val="auto"/>
        </w:rPr>
        <w:t>carriers’, warehousemen’s, supplier’s, construction contractor’s, workmen, mechanic’s, materialmen’s, repairmen’s, landlords’ and other like Liens imposed by law or contract, arising in the ordinary course of business and securing obligations (i) that are not overdue by more than thirty (30) days (or, if more than thirty (30) days overdue, are unfiled and no other action has been taken with respect to such Lien), (ii) are being contested in good faith and are subject to appropriate reserves to the extent required under GAAP or (iii) the non-payment of which could not reasonably be expected to result in a Material Adverse Effect;</w:t>
      </w:r>
    </w:p>
    <w:p>
      <w:pPr>
        <w:spacing w:after="0" w:line="158" w:lineRule="exact"/>
        <w:rPr>
          <w:rFonts w:ascii="Arial" w:cs="Arial" w:eastAsia="Arial" w:hAnsi="Arial"/>
          <w:sz w:val="22"/>
          <w:szCs w:val="22"/>
          <w:color w:val="auto"/>
        </w:rPr>
      </w:pPr>
    </w:p>
    <w:p>
      <w:pPr>
        <w:ind w:firstLine="1304"/>
        <w:spacing w:after="0" w:line="232" w:lineRule="auto"/>
        <w:tabs>
          <w:tab w:leader="none" w:pos="1994" w:val="left"/>
        </w:tabs>
        <w:numPr>
          <w:ilvl w:val="0"/>
          <w:numId w:val="351"/>
        </w:numPr>
        <w:rPr>
          <w:rFonts w:ascii="Arial" w:cs="Arial" w:eastAsia="Arial" w:hAnsi="Arial"/>
          <w:sz w:val="22"/>
          <w:szCs w:val="22"/>
          <w:color w:val="auto"/>
        </w:rPr>
      </w:pPr>
      <w:r>
        <w:rPr>
          <w:rFonts w:ascii="Arial" w:cs="Arial" w:eastAsia="Arial" w:hAnsi="Arial"/>
          <w:sz w:val="22"/>
          <w:szCs w:val="22"/>
          <w:color w:val="auto"/>
        </w:rPr>
        <w:t>Liens, pledges and deposits made in the ordinary course of business in compliance with workers’ compensation, unemployment insurance and other social security laws or regulations;</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886" w:val="left"/>
        </w:tabs>
        <w:numPr>
          <w:ilvl w:val="0"/>
          <w:numId w:val="351"/>
        </w:numPr>
        <w:rPr>
          <w:rFonts w:ascii="Arial" w:cs="Arial" w:eastAsia="Arial" w:hAnsi="Arial"/>
          <w:sz w:val="19"/>
          <w:szCs w:val="19"/>
          <w:color w:val="auto"/>
        </w:rPr>
      </w:pPr>
      <w:r>
        <w:rPr>
          <w:rFonts w:ascii="Arial" w:cs="Arial" w:eastAsia="Arial" w:hAnsi="Arial"/>
          <w:sz w:val="19"/>
          <w:szCs w:val="19"/>
          <w:color w:val="auto"/>
        </w:rPr>
        <w:t xml:space="preserve">(i) Liens, pledges and deposits to secure the performance of bids, government contracts, trade contracts (other than for borrowed money), leases, statutory obligations, deductibles, co-payment, co-insurance, retentions, premiums, reimbursement obligations or similar obligations to providers of insurance, self-insurance or reinsurance obligations, surety, stay, customs and appeal or similar bonds, performance bonds and other obligations of a like nature (including those to secure health, safety and environmental obligations) and other similar obligations and (ii) obligations in respect of letters of credit or bank guarantees that have been posted to support payment of the items set forth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(d)</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ind w:firstLine="1304"/>
        <w:spacing w:after="0" w:line="232" w:lineRule="auto"/>
        <w:tabs>
          <w:tab w:leader="none" w:pos="1815" w:val="left"/>
        </w:tabs>
        <w:numPr>
          <w:ilvl w:val="0"/>
          <w:numId w:val="351"/>
        </w:numPr>
        <w:rPr>
          <w:rFonts w:ascii="Arial" w:cs="Arial" w:eastAsia="Arial" w:hAnsi="Arial"/>
          <w:sz w:val="22"/>
          <w:szCs w:val="22"/>
          <w:color w:val="auto"/>
        </w:rPr>
      </w:pPr>
      <w:r>
        <w:rPr>
          <w:rFonts w:ascii="Arial" w:cs="Arial" w:eastAsia="Arial" w:hAnsi="Arial"/>
          <w:sz w:val="22"/>
          <w:szCs w:val="22"/>
          <w:color w:val="auto"/>
        </w:rPr>
        <w:t xml:space="preserve">attachment or judgment liens in respect of judgments or decrees that do not constitute an Event of Default under </w:t>
      </w:r>
      <w:r>
        <w:rPr>
          <w:rFonts w:ascii="Arial" w:cs="Arial" w:eastAsia="Arial" w:hAnsi="Arial"/>
          <w:sz w:val="22"/>
          <w:szCs w:val="22"/>
          <w:u w:val="single" w:color="auto"/>
          <w:color w:val="auto"/>
        </w:rPr>
        <w:t>Section 7.01(j)</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881" w:val="left"/>
        </w:tabs>
        <w:numPr>
          <w:ilvl w:val="0"/>
          <w:numId w:val="351"/>
        </w:numPr>
        <w:rPr>
          <w:rFonts w:ascii="Arial" w:cs="Arial" w:eastAsia="Arial" w:hAnsi="Arial"/>
          <w:sz w:val="22"/>
          <w:szCs w:val="22"/>
          <w:color w:val="auto"/>
        </w:rPr>
      </w:pPr>
      <w:r>
        <w:rPr>
          <w:rFonts w:ascii="Arial" w:cs="Arial" w:eastAsia="Arial" w:hAnsi="Arial"/>
          <w:sz w:val="22"/>
          <w:szCs w:val="22"/>
          <w:color w:val="auto"/>
        </w:rPr>
        <w:t>easements, zoning restrictions, rights-of-way, encroachments, minor defects or irregularities in title and similar encumbrances on real property imposed by law or arising in the ordinary course of business and that individually or in the aggregate do not materially interfere with the ordinary conduct of business of Holdings and the Restricted Subsidiaries, taken as a whole;</w:t>
      </w:r>
    </w:p>
    <w:p>
      <w:pPr>
        <w:spacing w:after="0" w:line="160" w:lineRule="exact"/>
        <w:rPr>
          <w:rFonts w:ascii="Arial" w:cs="Arial" w:eastAsia="Arial" w:hAnsi="Arial"/>
          <w:sz w:val="22"/>
          <w:szCs w:val="22"/>
          <w:color w:val="auto"/>
        </w:rPr>
      </w:pPr>
    </w:p>
    <w:p>
      <w:pPr>
        <w:ind w:left="1780" w:hanging="476"/>
        <w:spacing w:after="0"/>
        <w:tabs>
          <w:tab w:leader="none" w:pos="1780" w:val="left"/>
        </w:tabs>
        <w:numPr>
          <w:ilvl w:val="0"/>
          <w:numId w:val="351"/>
        </w:numPr>
        <w:rPr>
          <w:rFonts w:ascii="Arial" w:cs="Arial" w:eastAsia="Arial" w:hAnsi="Arial"/>
          <w:sz w:val="22"/>
          <w:szCs w:val="22"/>
          <w:color w:val="auto"/>
        </w:rPr>
      </w:pPr>
      <w:r>
        <w:rPr>
          <w:rFonts w:ascii="Arial" w:cs="Arial" w:eastAsia="Arial" w:hAnsi="Arial"/>
          <w:sz w:val="22"/>
          <w:szCs w:val="22"/>
          <w:color w:val="auto"/>
        </w:rPr>
        <w:t>customary rights of first refusal and tag, drag and similar rights in Joint Venture agreements;</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351"/>
        </w:numPr>
        <w:rPr>
          <w:rFonts w:ascii="Arial" w:cs="Arial" w:eastAsia="Arial" w:hAnsi="Arial"/>
          <w:sz w:val="19"/>
          <w:szCs w:val="19"/>
          <w:color w:val="auto"/>
        </w:rPr>
      </w:pPr>
      <w:r>
        <w:rPr>
          <w:rFonts w:ascii="Arial" w:cs="Arial" w:eastAsia="Arial" w:hAnsi="Arial"/>
          <w:sz w:val="19"/>
          <w:szCs w:val="19"/>
          <w:color w:val="auto"/>
        </w:rPr>
        <w:t xml:space="preserve">Liens on Cash Equivalents described in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the definition of the term “Cash Equivalents”; and</w:t>
      </w:r>
    </w:p>
    <w:p>
      <w:pPr>
        <w:spacing w:after="0" w:line="213" w:lineRule="exact"/>
        <w:rPr>
          <w:rFonts w:ascii="Arial" w:cs="Arial" w:eastAsia="Arial" w:hAnsi="Arial"/>
          <w:sz w:val="19"/>
          <w:szCs w:val="19"/>
          <w:color w:val="auto"/>
        </w:rPr>
      </w:pPr>
    </w:p>
    <w:p>
      <w:pPr>
        <w:ind w:left="1740" w:hanging="436"/>
        <w:spacing w:after="0"/>
        <w:tabs>
          <w:tab w:leader="none" w:pos="1740" w:val="left"/>
        </w:tabs>
        <w:numPr>
          <w:ilvl w:val="0"/>
          <w:numId w:val="351"/>
        </w:numPr>
        <w:rPr>
          <w:rFonts w:ascii="Arial" w:cs="Arial" w:eastAsia="Arial" w:hAnsi="Arial"/>
          <w:sz w:val="19"/>
          <w:szCs w:val="19"/>
          <w:color w:val="auto"/>
        </w:rPr>
      </w:pPr>
      <w:r>
        <w:rPr>
          <w:rFonts w:ascii="Arial" w:cs="Arial" w:eastAsia="Arial" w:hAnsi="Arial"/>
          <w:sz w:val="19"/>
          <w:szCs w:val="19"/>
          <w:color w:val="auto"/>
        </w:rPr>
        <w:t>with respect to any Foreign Subsidiary, other Liens and privileges arising mandatorily by any Requirement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Law.</w:t>
      </w:r>
    </w:p>
    <w:p>
      <w:pPr>
        <w:spacing w:after="0" w:line="161"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First Priority Replacement Debt</w:t>
      </w:r>
      <w:r>
        <w:rPr>
          <w:rFonts w:ascii="Arial" w:cs="Arial" w:eastAsia="Arial" w:hAnsi="Arial"/>
          <w:sz w:val="21"/>
          <w:szCs w:val="21"/>
          <w:color w:val="auto"/>
        </w:rPr>
        <w:t xml:space="preserve">” means any secured Indebtedness (including any Registered Equivalent Notes) incurred by the Borrower and/or the other Loan Parties in the form of one or more series of senior secured notes or senior secured loans (or revolving commitments in respect thereof, with the revolving commitments deemed loans in the full amount of such commitment);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Indebtedness may only be secured by assets consisting of Collateral on a </w:t>
      </w:r>
      <w:r>
        <w:rPr>
          <w:rFonts w:ascii="Arial" w:cs="Arial" w:eastAsia="Arial" w:hAnsi="Arial"/>
          <w:sz w:val="21"/>
          <w:szCs w:val="21"/>
          <w:i w:val="1"/>
          <w:iCs w:val="1"/>
          <w:color w:val="auto"/>
        </w:rPr>
        <w:t xml:space="preserve">pari passu </w:t>
      </w:r>
      <w:r>
        <w:rPr>
          <w:rFonts w:ascii="Arial" w:cs="Arial" w:eastAsia="Arial" w:hAnsi="Arial"/>
          <w:sz w:val="21"/>
          <w:szCs w:val="21"/>
          <w:color w:val="auto"/>
        </w:rPr>
        <w:t>basis (but without regard to the control of remedies) with the Initial Term Loans and/or Initial Revolving</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Commitments to the extent secured, (ii) such Indebtedness satisfies the requirements set forth in </w:t>
      </w:r>
      <w:r>
        <w:rPr>
          <w:rFonts w:ascii="Arial" w:cs="Arial" w:eastAsia="Arial" w:hAnsi="Arial"/>
          <w:sz w:val="21"/>
          <w:szCs w:val="21"/>
          <w:u w:val="single" w:color="auto"/>
          <w:color w:val="auto"/>
        </w:rPr>
        <w:t>clauses (u)</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(y)</w:t>
      </w:r>
      <w:r>
        <w:rPr>
          <w:rFonts w:ascii="Arial" w:cs="Arial" w:eastAsia="Arial" w:hAnsi="Arial"/>
          <w:sz w:val="21"/>
          <w:szCs w:val="21"/>
          <w:color w:val="auto"/>
        </w:rPr>
        <w:t xml:space="preserve"> of the definition of “Credit Agreement Refinancing Indebtedness,” (iii) either the security agreements relating to such Indebtedness are substantially the same as the applicable Security Documents (with such differences as are reasonably satisfactory to the Borrower and the Administrative Agent) or all security therefor shall be granted pursuant to documentation that is not more restrictive than the Security Documents in any material respect, in each case taken as a whole (as determined by the Borrower), (iv) except to the extent constituting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46" w:name="page347"/>
    <w:bookmarkEnd w:id="346"/>
    <w:p>
      <w:pPr>
        <w:jc w:val="both"/>
        <w:spacing w:after="0" w:line="221" w:lineRule="auto"/>
        <w:rPr>
          <w:sz w:val="20"/>
          <w:szCs w:val="20"/>
          <w:color w:val="auto"/>
        </w:rPr>
      </w:pPr>
      <w:r>
        <w:rPr>
          <w:rFonts w:ascii="Arial" w:cs="Arial" w:eastAsia="Arial" w:hAnsi="Arial"/>
          <w:sz w:val="21"/>
          <w:szCs w:val="21"/>
          <w:color w:val="auto"/>
        </w:rPr>
        <w:t xml:space="preserve">Indebtedness incurred in reliance on the Maturity Limitation Excluded Amount, such Indebtedness does not require any scheduled payment of principal or mandatory redemption or redemption at the option of the holders thereof (except for redemptions in respect of asset sales or similar events (which may be offered to prepay such Indebtedness in accordance with </w:t>
      </w:r>
      <w:r>
        <w:rPr>
          <w:rFonts w:ascii="Arial" w:cs="Arial" w:eastAsia="Arial" w:hAnsi="Arial"/>
          <w:sz w:val="21"/>
          <w:szCs w:val="21"/>
          <w:u w:val="single" w:color="auto"/>
          <w:color w:val="auto"/>
        </w:rPr>
        <w:t>Section 2.11(c)</w:t>
      </w:r>
      <w:r>
        <w:rPr>
          <w:rFonts w:ascii="Arial" w:cs="Arial" w:eastAsia="Arial" w:hAnsi="Arial"/>
          <w:sz w:val="21"/>
          <w:szCs w:val="21"/>
          <w:color w:val="auto"/>
        </w:rPr>
        <w:t xml:space="preserve">), changes in control and AHYDO Catch-Up Payments) prior to the Latest Maturity Date in effect as of the time such Indebtedness is incurred, and (v) the secured parties thereunder, or a trustee or collateral agent or other Senior Representative on their behalf, shall have become a party to a Pari Passu Intercreditor Agreement, which shall be entered into prior to or concurrently with the first issuance of Permitted First Priority Replacement Debt in accordance with the terms thereof to provide for the sharing of the Collateral on a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basis among the holders of the Secured Obligations and the holders of such Permitted First Priority Replacement Debt.</w:t>
      </w:r>
    </w:p>
    <w:p>
      <w:pPr>
        <w:spacing w:after="0" w:line="15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Holders</w:t>
      </w:r>
      <w:r>
        <w:rPr>
          <w:rFonts w:ascii="Arial" w:cs="Arial" w:eastAsia="Arial" w:hAnsi="Arial"/>
          <w:sz w:val="21"/>
          <w:szCs w:val="21"/>
          <w:color w:val="auto"/>
        </w:rPr>
        <w:t xml:space="preserve">” means (1) the Investors and management and their respective Affiliates, and (2) any Person with which the Persons described in clause (1) form a “group” (within the meaning of Section 13(d)(3) or Section 14(d)(2) of the Exchange Act or any successor provision);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such “group” under clause (2), the Investors have beneficial ownership of more than 50% of the economic interests and total voting power of such “group”.</w:t>
      </w:r>
    </w:p>
    <w:p>
      <w:pPr>
        <w:spacing w:after="0" w:line="15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Initial Revolving Borrowing</w:t>
      </w:r>
      <w:r>
        <w:rPr>
          <w:rFonts w:ascii="Arial" w:cs="Arial" w:eastAsia="Arial" w:hAnsi="Arial"/>
          <w:sz w:val="19"/>
          <w:szCs w:val="19"/>
          <w:color w:val="auto"/>
        </w:rPr>
        <w:t>” means one or more Borrowings of Revolving Loans that may be used on the Closing Date directly or indirectly to (i) cash collateralize letters of credit of the Borrower or its Restricted Subsidiaries outstanding on the Closing Date, (ii) finance any amount of original issue discount or upfront fees imposed pursuant to the “flex” provisions of the Fee Letter, (iii) fund working capital needs of the Borrower and its Restricted Subsidiaries and (iv) finance Transaction Costs and other general corporate purposes, in the case of this clause (iv), in an amount up to $10,000,000.</w:t>
      </w:r>
    </w:p>
    <w:p>
      <w:pPr>
        <w:spacing w:after="0" w:line="149"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Investor Payments</w:t>
      </w:r>
      <w:r>
        <w:rPr>
          <w:rFonts w:ascii="Arial" w:cs="Arial" w:eastAsia="Arial" w:hAnsi="Arial"/>
          <w:sz w:val="19"/>
          <w:szCs w:val="19"/>
          <w:color w:val="auto"/>
        </w:rPr>
        <w:t>” means (a) management or consulting fees paid to the Investors or any of their Affiliates in an aggregate amount per calendar year not to exceed the greater of (x) $5,000,000 and (y) 5.0% of LTM EBITDA calculated on a Pro Forma Basis as of the Applicable Date of Determination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management fee and non-arm’s length consulting fees, no Event of Default under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shall have occurred and be continuing or shall immediately result therefrom;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amounts not paid pursuant to the previous proviso or otherwise shall accrue and may be paid when no Event of Default under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is continuing or would immediately result therefrom), (b) out-of-pocket costs and expenses incurred by the Investors or any of their Affiliates in connection with management, monitoring, consultancy, transaction, advisory and other services provided to Holdings and the Subsidiaries or their appointees serving on the board of directors of Holdings or any of the Subsidiaries and compensation to be paid (or accrued) to directors of Holdings or any of the Subsidiaries, (c) customary indemnities owed to Investors or any of their Affiliates,</w:t>
      </w:r>
    </w:p>
    <w:p>
      <w:pPr>
        <w:spacing w:after="0" w:line="2" w:lineRule="exact"/>
        <w:rPr>
          <w:sz w:val="20"/>
          <w:szCs w:val="20"/>
          <w:color w:val="auto"/>
        </w:rPr>
      </w:pPr>
    </w:p>
    <w:p>
      <w:pPr>
        <w:jc w:val="both"/>
        <w:ind w:firstLine="8"/>
        <w:spacing w:after="0" w:line="221" w:lineRule="auto"/>
        <w:tabs>
          <w:tab w:leader="none" w:pos="329" w:val="left"/>
        </w:tabs>
        <w:numPr>
          <w:ilvl w:val="0"/>
          <w:numId w:val="352"/>
        </w:numPr>
        <w:rPr>
          <w:rFonts w:ascii="Arial" w:cs="Arial" w:eastAsia="Arial" w:hAnsi="Arial"/>
          <w:sz w:val="21"/>
          <w:szCs w:val="21"/>
          <w:color w:val="auto"/>
        </w:rPr>
      </w:pPr>
      <w:r>
        <w:rPr>
          <w:rFonts w:ascii="Arial" w:cs="Arial" w:eastAsia="Arial" w:hAnsi="Arial"/>
          <w:sz w:val="21"/>
          <w:szCs w:val="21"/>
          <w:color w:val="auto"/>
        </w:rPr>
        <w:t>customary amounts paid to the Investors or any of their Affiliates in connection with sponsoring, structuring, arranging or closing Permitted Acquisitions, other Investments or other transactions consummated after the Closing Date and (e) the payment to the New Sponsor (or any management company of the New Sponsor) for services rendered pursuant to the Services Agreement in an aggregate amount in any fiscal year not to exceed the greater of (x) $2,000,000 and (y) 2% of LTM EBITDA for the Test Period ending on the last day of such fiscal year determined on a Pro Forma Basis, and the payment of indemnities and expenses pursuant to the Services Agreement.</w:t>
      </w:r>
    </w:p>
    <w:p>
      <w:pPr>
        <w:spacing w:after="0" w:line="160"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Refinancing</w:t>
      </w:r>
      <w:r>
        <w:rPr>
          <w:rFonts w:ascii="Arial" w:cs="Arial" w:eastAsia="Arial" w:hAnsi="Arial"/>
          <w:sz w:val="21"/>
          <w:szCs w:val="21"/>
          <w:color w:val="auto"/>
        </w:rPr>
        <w:t xml:space="preserve">” means modifications, replacements, restructurings, refinancings, refundings, renewals, amendments, restatements or extensions of all or any portion of Indebtedness (including any type of debt facility or debt security);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subject to </w:t>
      </w:r>
      <w:r>
        <w:rPr>
          <w:rFonts w:ascii="Arial" w:cs="Arial" w:eastAsia="Arial" w:hAnsi="Arial"/>
          <w:sz w:val="21"/>
          <w:szCs w:val="21"/>
          <w:u w:val="single" w:color="auto"/>
          <w:color w:val="auto"/>
        </w:rPr>
        <w:t>Section 1.06(b)</w:t>
      </w:r>
      <w:r>
        <w:rPr>
          <w:rFonts w:ascii="Arial" w:cs="Arial" w:eastAsia="Arial" w:hAnsi="Arial"/>
          <w:sz w:val="21"/>
          <w:szCs w:val="21"/>
          <w:color w:val="auto"/>
        </w:rPr>
        <w:t xml:space="preserve">, the amount of such Indebtedness is not increased (unless the additional amount is permitted pursuant to another provision of </w:t>
      </w:r>
      <w:r>
        <w:rPr>
          <w:rFonts w:ascii="Arial" w:cs="Arial" w:eastAsia="Arial" w:hAnsi="Arial"/>
          <w:sz w:val="21"/>
          <w:szCs w:val="21"/>
          <w:u w:val="single" w:color="auto"/>
          <w:color w:val="auto"/>
        </w:rPr>
        <w:t>Section 6.01</w:t>
      </w:r>
      <w:r>
        <w:rPr>
          <w:rFonts w:ascii="Arial" w:cs="Arial" w:eastAsia="Arial" w:hAnsi="Arial"/>
          <w:sz w:val="21"/>
          <w:szCs w:val="21"/>
          <w:color w:val="auto"/>
        </w:rPr>
        <w:t>) at the time of such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47" w:name="page348"/>
    <w:bookmarkEnd w:id="347"/>
    <w:p>
      <w:pPr>
        <w:jc w:val="both"/>
        <w:spacing w:after="0"/>
        <w:rPr>
          <w:sz w:val="20"/>
          <w:szCs w:val="20"/>
          <w:color w:val="auto"/>
        </w:rPr>
      </w:pPr>
      <w:r>
        <w:rPr>
          <w:rFonts w:ascii="Arial" w:cs="Arial" w:eastAsia="Arial" w:hAnsi="Arial"/>
          <w:sz w:val="19"/>
          <w:szCs w:val="19"/>
          <w:color w:val="auto"/>
        </w:rPr>
        <w:t xml:space="preserve">replacement, restructuring, refinancing, refunding, renewal, amendment, restatement or extension except by an amount equal to the existing unutilized commitments thereunder, accrued but unpaid interest thereon and a reasonable premium paid, and fees and expenses reasonably incurred, in connection with such modification, replacement, restructuring, refinancing, refunding, renewal, amendment, restatement or extension (including any fees and original issue discount incurred in respect of such resulting Indebtedness), (b) the direct and contingent obligors of such Indebtedness shall not be expanded as a result of or in connection with such modification, replacement, restructuring, refinancing, refunding, renewal, amendment, restatement or extension (other than to the extent (i) any such additional obligors are or will become a Loan Party, (ii) none of such obligors on the Indebtedness being modified, replaced, restructured, refinanced, refunded, renewed, amended, restated or extended are Loan Parties or (iii) as otherwise permitted by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(c) to the extent such Indebtedness being so modified, replaced, restructured, refinanced, refunded, renewed, amended, restated or extended is subordinated in right of payment and/or Lien priority to any of the Obligations, such modification, replacement, restructuring, refinancing, refunding, renewal, amendment, restatement or extension is subordinated in right of payment and/or Lien priority (or, in the case of Lien subordination, not secured) to such Obligations on terms (taken as a whole) at least as favorable to the Lenders as those contained in the documentation governing the Indebtedness being so modified, replaced, restructured, refinanced, refunded, renewed, amended, restated or extended (as determined in good faith by the Borrower) or otherwise reasonably acceptable to the Administrative Agent, except to the extent otherwise permitted hereunder and, to the extent such Indebtedness being so modified, replaced, restructured, refinanced, refunded, renewed, amended, restated or extended is unsecured, such modification, replacement, restructuring, refinancing, refunding, renewal, amendment, restatement or extension is unsecured, unless such Lien would otherwise be permitted hereunder (other than to the extent such Indebtedness being so modified, replaced, restructured, refinanced, refunded, renewed, amended, restated or extended was required hereunder to be unsecured when issued or incurred), and (d) other than with respect to Indebtedness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and Subject Indebtedness incurred in reliance on the Maturity Limitation Excluded Amount, such modification, replacement, restructuring, refinancing, refunding, renewal, amendment, restatement or extension has (i) a final maturity date equal to or later than the final maturity date of the Indebtedness being modified, replaced, restructured, refinanced, refunded, renewed, amended, restated or extended and (ii) a Weighted Average Life to Maturity no shorter than the Weighted Average Life to Maturity of the Indebtedness being modified, replaced, restructured, refinanced, refunded, renewed, amended, restated or extended. Without limiting the foregoing, the terms and conditions of any Permitted Refinancing in respect of any Additional Debt or Credit Agreement Refinancing Indebtedness shall satisfy the requirements set forth in the respective definitions thereof with respect to the terms and conditions thereof.</w:t>
      </w:r>
    </w:p>
    <w:p>
      <w:pPr>
        <w:spacing w:after="0" w:line="36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Repricing Amendment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9.02</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Sale Leaseback</w:t>
      </w:r>
      <w:r>
        <w:rPr>
          <w:rFonts w:ascii="Arial" w:cs="Arial" w:eastAsia="Arial" w:hAnsi="Arial"/>
          <w:sz w:val="19"/>
          <w:szCs w:val="19"/>
          <w:color w:val="auto"/>
        </w:rPr>
        <w:t xml:space="preserve">” means any Sale Leaseback with respect to the sale, transfer or Disposition of real property or other property consummated by the Borrower or any of the Restricted Subsidiaries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Sale Leaseback that is not between (i) a Loan Party and another Loan Party or (ii) a Restricted Subsidiary that is not a Loan Party and another Restricted Subsidiary that is not a Loan Party must be, in each case, consummated for fair value as determined at the time of consummation in good faith by the Borrower or such Restricted Subsidiary (which such determination may take into account any retained interest or other Investment of the Borrower or such Restricted Subsidiary in connection with, and any other material economic terms of, such Sale Leaseback).</w:t>
      </w:r>
    </w:p>
    <w:p>
      <w:pPr>
        <w:spacing w:after="0" w:line="15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Permitted Second Priority Replacement Debt</w:t>
      </w:r>
      <w:r>
        <w:rPr>
          <w:rFonts w:ascii="Arial" w:cs="Arial" w:eastAsia="Arial" w:hAnsi="Arial"/>
          <w:sz w:val="22"/>
          <w:szCs w:val="22"/>
          <w:color w:val="auto"/>
        </w:rPr>
        <w:t>” means secured Indebtedness (including any Registered Equivalent Notes) incurred by the Borrower and/or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48" w:name="page349"/>
    <w:bookmarkEnd w:id="348"/>
    <w:p>
      <w:pPr>
        <w:jc w:val="both"/>
        <w:spacing w:after="0" w:line="242" w:lineRule="auto"/>
        <w:rPr>
          <w:sz w:val="20"/>
          <w:szCs w:val="20"/>
          <w:color w:val="auto"/>
        </w:rPr>
      </w:pPr>
      <w:r>
        <w:rPr>
          <w:rFonts w:ascii="Arial" w:cs="Arial" w:eastAsia="Arial" w:hAnsi="Arial"/>
          <w:sz w:val="19"/>
          <w:szCs w:val="19"/>
          <w:color w:val="auto"/>
        </w:rPr>
        <w:t xml:space="preserve">Parties in the form of one or more series of second lien secured notes or second lien secured loans (or revolving commitments in respect thereof, with the revolving commitments deemed to be loans in the full amount of such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Indebtedness may only be secured by assets consisting of Collateral on a second lien basis vis-à-vis the Initial Term Loans and/or Initial Revolving Commitments to the extent secured, (ii) such Indebtedness satisfies the requirements set forth in </w:t>
      </w:r>
      <w:r>
        <w:rPr>
          <w:rFonts w:ascii="Arial" w:cs="Arial" w:eastAsia="Arial" w:hAnsi="Arial"/>
          <w:sz w:val="19"/>
          <w:szCs w:val="19"/>
          <w:u w:val="single" w:color="auto"/>
          <w:color w:val="auto"/>
        </w:rPr>
        <w:t>clauses</w:t>
      </w:r>
    </w:p>
    <w:p>
      <w:pPr>
        <w:spacing w:after="0" w:line="1" w:lineRule="exact"/>
        <w:rPr>
          <w:sz w:val="20"/>
          <w:szCs w:val="20"/>
          <w:color w:val="auto"/>
        </w:rPr>
      </w:pPr>
    </w:p>
    <w:p>
      <w:pPr>
        <w:jc w:val="both"/>
        <w:ind w:firstLine="8"/>
        <w:spacing w:after="0" w:line="218" w:lineRule="auto"/>
        <w:tabs>
          <w:tab w:leader="none" w:pos="317" w:val="left"/>
        </w:tabs>
        <w:numPr>
          <w:ilvl w:val="0"/>
          <w:numId w:val="353"/>
        </w:numPr>
        <w:rPr>
          <w:rFonts w:ascii="Arial" w:cs="Arial" w:eastAsia="Arial" w:hAnsi="Arial"/>
          <w:sz w:val="21"/>
          <w:szCs w:val="21"/>
          <w:u w:val="single" w:color="auto"/>
          <w:color w:val="auto"/>
        </w:rPr>
      </w:pPr>
      <w:r>
        <w:rPr>
          <w:rFonts w:ascii="Arial" w:cs="Arial" w:eastAsia="Arial" w:hAnsi="Arial"/>
          <w:sz w:val="21"/>
          <w:szCs w:val="21"/>
          <w:color w:val="auto"/>
        </w:rPr>
        <w:t xml:space="preserve">through </w:t>
      </w:r>
      <w:r>
        <w:rPr>
          <w:rFonts w:ascii="Arial" w:cs="Arial" w:eastAsia="Arial" w:hAnsi="Arial"/>
          <w:sz w:val="21"/>
          <w:szCs w:val="21"/>
          <w:u w:val="single" w:color="auto"/>
          <w:color w:val="auto"/>
        </w:rPr>
        <w:t>(y)</w:t>
      </w:r>
      <w:r>
        <w:rPr>
          <w:rFonts w:ascii="Arial" w:cs="Arial" w:eastAsia="Arial" w:hAnsi="Arial"/>
          <w:sz w:val="21"/>
          <w:szCs w:val="21"/>
          <w:color w:val="auto"/>
        </w:rPr>
        <w:t xml:space="preserve"> of the definition of “Credit Agreement Refinancing Indebtedness”, (iii) either the security agreements relating to such Indebtedness are substantially the same as the applicable Security Documents (with such differences as are reasonably satisfactory to the Borrower and the Administrative Agent) or all security therefor shall be granted pursuant to documentation that is not more restrictive than the Security Documents in any material respect, in each case taken as a whole (as determined by the Borrower), (iv) except to the extent constituting Subject Indebtedness incurred in reliance on the Maturity Limitation Excluded Amount, such Indebtedness does not require any scheduled payment of principal or mandatory redemption or redemption at the option of the holders thereof (except for redemptions in respect of asset sales, changes in control or similar events and AHYDO Catch-Up Payments) prior to the Latest Maturity Date in effect as of the time such Indebtedness is incurred, and (v) the secured parties thereunder, or a trustee or collateral agent or other Senior Representative on their behalf, shall have become party to a Second Lien Intercreditor Agreement.</w:t>
      </w:r>
    </w:p>
    <w:p>
      <w:pPr>
        <w:spacing w:after="0" w:line="16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Permitted Unsecured Replacement Debt</w:t>
      </w:r>
      <w:r>
        <w:rPr>
          <w:rFonts w:ascii="Arial" w:cs="Arial" w:eastAsia="Arial" w:hAnsi="Arial"/>
          <w:sz w:val="19"/>
          <w:szCs w:val="19"/>
          <w:color w:val="auto"/>
        </w:rPr>
        <w:t xml:space="preserve">” means unsecured Indebtedness (including any Registered Equivalent Notes) incurred by the Borrower and/or the other Loan Parties in the form of one or more series of unsecured notes or loans (or revolving commitments in respect thereof, with the revolving commitments deemed to be loans in the full amount of such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Indebtedness satisfies the requirements set forth in </w:t>
      </w:r>
      <w:r>
        <w:rPr>
          <w:rFonts w:ascii="Arial" w:cs="Arial" w:eastAsia="Arial" w:hAnsi="Arial"/>
          <w:sz w:val="19"/>
          <w:szCs w:val="19"/>
          <w:u w:val="single" w:color="auto"/>
          <w:color w:val="auto"/>
        </w:rPr>
        <w:t>clauses (u)</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(y)</w:t>
      </w:r>
      <w:r>
        <w:rPr>
          <w:rFonts w:ascii="Arial" w:cs="Arial" w:eastAsia="Arial" w:hAnsi="Arial"/>
          <w:sz w:val="19"/>
          <w:szCs w:val="19"/>
          <w:color w:val="auto"/>
        </w:rPr>
        <w:t xml:space="preserve"> of the definition of “Credit Agreement Refinancing Indebtedness”, (ii) such Indebtedness (including any guarantee thereof) is not secured by any Lien on any property or assets of the Holding Companies, the Borrower or any Subsidiary, and (iii) except to the extent constituting Subject Indebtedness incurred in reliance on the Maturity Limitation Excluded Amount, such Indebtedness does not require any scheduled payment of principal or mandatory redemption or redemption at the option of the holders thereof (except for redemptions in respect of asset sales, changes in control or similar events on the date of issuance and AHYDO Catch-Up Payments) prior to the Latest Maturity Date in effect as of the time such unsecured notes are incurred.</w:t>
      </w:r>
    </w:p>
    <w:p>
      <w:pPr>
        <w:spacing w:after="0" w:line="15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company, limited liability company, trust, joint venture, association, company, partnership, Governmental Authority or other entity.</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(other than a Multiemployer Plan) subject to the provisions of Title IV of ERISA or Section 412 of the Code or Section 302 of ERISA, and in respect of which any Holding Companies, the Borrower or any ERISA Affiliate is (or, if such plan were terminated, would under Section 4069 of ERISA be deemed to be) an “</w:t>
      </w:r>
      <w:r>
        <w:rPr>
          <w:rFonts w:ascii="Arial" w:cs="Arial" w:eastAsia="Arial" w:hAnsi="Arial"/>
          <w:sz w:val="22"/>
          <w:szCs w:val="22"/>
          <w:u w:val="single" w:color="auto"/>
          <w:color w:val="auto"/>
        </w:rPr>
        <w:t>employer</w:t>
      </w:r>
      <w:r>
        <w:rPr>
          <w:rFonts w:ascii="Arial" w:cs="Arial" w:eastAsia="Arial" w:hAnsi="Arial"/>
          <w:sz w:val="22"/>
          <w:szCs w:val="22"/>
          <w:color w:val="auto"/>
        </w:rPr>
        <w:t>” as defined in Section 3(5) of ERISA.</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Planned Expenditures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clause (b)(xi)</w:t>
      </w:r>
      <w:r>
        <w:rPr>
          <w:rFonts w:ascii="Arial" w:cs="Arial" w:eastAsia="Arial" w:hAnsi="Arial"/>
          <w:sz w:val="19"/>
          <w:szCs w:val="19"/>
          <w:color w:val="auto"/>
        </w:rPr>
        <w:t xml:space="preserve"> of the definition of “Excess Cash</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Flow”.</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Prepayment Event</w:t>
      </w:r>
      <w:r>
        <w:rPr>
          <w:rFonts w:ascii="Arial" w:cs="Arial" w:eastAsia="Arial" w:hAnsi="Arial"/>
          <w:sz w:val="22"/>
          <w:szCs w:val="22"/>
          <w:color w:val="auto"/>
        </w:rPr>
        <w:t>” means:</w:t>
      </w:r>
    </w:p>
    <w:p>
      <w:pPr>
        <w:spacing w:after="0" w:line="179" w:lineRule="exact"/>
        <w:rPr>
          <w:sz w:val="20"/>
          <w:szCs w:val="20"/>
          <w:color w:val="auto"/>
        </w:rPr>
      </w:pPr>
    </w:p>
    <w:p>
      <w:pPr>
        <w:ind w:firstLine="1304"/>
        <w:spacing w:after="0" w:line="232" w:lineRule="auto"/>
        <w:tabs>
          <w:tab w:leader="none" w:pos="1775" w:val="left"/>
        </w:tabs>
        <w:numPr>
          <w:ilvl w:val="0"/>
          <w:numId w:val="354"/>
        </w:numPr>
        <w:rPr>
          <w:rFonts w:ascii="Arial" w:cs="Arial" w:eastAsia="Arial" w:hAnsi="Arial"/>
          <w:sz w:val="22"/>
          <w:szCs w:val="22"/>
          <w:color w:val="auto"/>
        </w:rPr>
      </w:pPr>
      <w:r>
        <w:rPr>
          <w:rFonts w:ascii="Arial" w:cs="Arial" w:eastAsia="Arial" w:hAnsi="Arial"/>
          <w:sz w:val="22"/>
          <w:szCs w:val="22"/>
          <w:color w:val="auto"/>
        </w:rPr>
        <w:t>any Disposition (including pursuant to a Sale Leaseback transaction and by way of merger, amalgamation or consolidation) of any property or asset of any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49" w:name="page350"/>
    <w:bookmarkEnd w:id="349"/>
    <w:p>
      <w:pPr>
        <w:spacing w:after="0" w:line="247" w:lineRule="auto"/>
        <w:rPr>
          <w:sz w:val="20"/>
          <w:szCs w:val="20"/>
          <w:color w:val="auto"/>
        </w:rPr>
      </w:pPr>
      <w:r>
        <w:rPr>
          <w:rFonts w:ascii="Arial" w:cs="Arial" w:eastAsia="Arial" w:hAnsi="Arial"/>
          <w:sz w:val="21"/>
          <w:szCs w:val="21"/>
          <w:color w:val="auto"/>
        </w:rPr>
        <w:t xml:space="preserve">Company or any Restricted Subsidiary permitted pursuant to </w:t>
      </w:r>
      <w:r>
        <w:rPr>
          <w:rFonts w:ascii="Arial" w:cs="Arial" w:eastAsia="Arial" w:hAnsi="Arial"/>
          <w:sz w:val="21"/>
          <w:szCs w:val="21"/>
          <w:u w:val="single" w:color="auto"/>
          <w:color w:val="auto"/>
        </w:rPr>
        <w:t>clause (i)(y)</w:t>
      </w:r>
      <w:r>
        <w:rPr>
          <w:rFonts w:ascii="Arial" w:cs="Arial" w:eastAsia="Arial" w:hAnsi="Arial"/>
          <w:sz w:val="21"/>
          <w:szCs w:val="21"/>
          <w:color w:val="auto"/>
        </w:rPr>
        <w:t xml:space="preserve">, </w:t>
      </w:r>
      <w:r>
        <w:rPr>
          <w:rFonts w:ascii="Arial" w:cs="Arial" w:eastAsia="Arial" w:hAnsi="Arial"/>
          <w:sz w:val="21"/>
          <w:szCs w:val="21"/>
          <w:u w:val="single" w:color="auto"/>
          <w:color w:val="auto"/>
        </w:rPr>
        <w:t>(j)</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Section 6.05</w:t>
      </w:r>
      <w:r>
        <w:rPr>
          <w:rFonts w:ascii="Arial" w:cs="Arial" w:eastAsia="Arial" w:hAnsi="Arial"/>
          <w:sz w:val="21"/>
          <w:szCs w:val="21"/>
          <w:color w:val="auto"/>
        </w:rPr>
        <w:t xml:space="preserve"> resulting in aggregate Net Proceeds exceeding $5,000,000 in the case of any single transaction or series of related transactions;</w:t>
      </w:r>
    </w:p>
    <w:p>
      <w:pPr>
        <w:spacing w:after="0" w:line="151" w:lineRule="exact"/>
        <w:rPr>
          <w:sz w:val="20"/>
          <w:szCs w:val="20"/>
          <w:color w:val="auto"/>
        </w:rPr>
      </w:pPr>
    </w:p>
    <w:p>
      <w:pPr>
        <w:jc w:val="both"/>
        <w:ind w:firstLine="1304"/>
        <w:spacing w:after="0" w:line="223" w:lineRule="auto"/>
        <w:tabs>
          <w:tab w:leader="none" w:pos="1796" w:val="left"/>
        </w:tabs>
        <w:numPr>
          <w:ilvl w:val="0"/>
          <w:numId w:val="355"/>
        </w:numPr>
        <w:rPr>
          <w:rFonts w:ascii="Arial" w:cs="Arial" w:eastAsia="Arial" w:hAnsi="Arial"/>
          <w:sz w:val="22"/>
          <w:szCs w:val="22"/>
          <w:color w:val="auto"/>
        </w:rPr>
      </w:pPr>
      <w:r>
        <w:rPr>
          <w:rFonts w:ascii="Arial" w:cs="Arial" w:eastAsia="Arial" w:hAnsi="Arial"/>
          <w:sz w:val="22"/>
          <w:szCs w:val="22"/>
          <w:color w:val="auto"/>
        </w:rPr>
        <w:t>any casualty or other insured damage to, or any taking under power of eminent domain or by condemnation or similar proceeding of, any property or asset of any Holding Company or any Restricted Subsidiary with a fair market value immediately prior to such event, equal to or greater than $5,000,000; or</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06" w:val="left"/>
        </w:tabs>
        <w:numPr>
          <w:ilvl w:val="0"/>
          <w:numId w:val="355"/>
        </w:numPr>
        <w:rPr>
          <w:rFonts w:ascii="Arial" w:cs="Arial" w:eastAsia="Arial" w:hAnsi="Arial"/>
          <w:sz w:val="22"/>
          <w:szCs w:val="22"/>
          <w:color w:val="auto"/>
        </w:rPr>
      </w:pPr>
      <w:r>
        <w:rPr>
          <w:rFonts w:ascii="Arial" w:cs="Arial" w:eastAsia="Arial" w:hAnsi="Arial"/>
          <w:sz w:val="22"/>
          <w:szCs w:val="22"/>
          <w:color w:val="auto"/>
        </w:rPr>
        <w:t xml:space="preserve">the incurrence by any Holding Company or any Restricted Subsidiary of any Indebtedness, other than Indebtedness permitted under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or otherwise permitted by the Required Lenders (other than Credit Agreement Refinancing Indebtedness).</w:t>
      </w:r>
    </w:p>
    <w:p>
      <w:pPr>
        <w:spacing w:after="0" w:line="15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Basis</w:t>
      </w:r>
      <w:r>
        <w:rPr>
          <w:rFonts w:ascii="Arial" w:cs="Arial" w:eastAsia="Arial" w:hAnsi="Arial"/>
          <w:sz w:val="19"/>
          <w:szCs w:val="19"/>
          <w:color w:val="auto"/>
        </w:rPr>
        <w:t xml:space="preserve">” means, with respect to the calculation of the First Lien Net Leverage Ratio, the Senior Secured Net Leverage Ratio, the Total Leverage Ratio, the Interest Coverage Ratio, the amount of Consolidated EBITDA or Consolidated Total Assets or any other financial test or ratio hereunder (other than clause (b) in the definition of “Available Amount”), for purposes of determining the permissibility of asset sales, prepayments required pursuant to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the Applicable Margin and the commitment fees payable pursuant to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and for any other specified purpose hereunder, and for purposes of determining compliance with the covenant under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in each case as of any date, that such calculation shall give pro forma effect to the Transactions and all Specified Transactions (and the application of the proceeds from any such asset sale or debt incurrence) that have occurred during the relevant testing period for which such financial test or ratio is being calculated and, except as set forth in the proviso below, during the period immediately following the Applicable Date of Determination therefor and prior to or simultaneously with the event for which the calculation of any such ratio on such date of determination is made, including pro forma adjustments arising out of events which are attributable to the Transactions or the proposed Specified Transaction, including giving effect to those specified in accordance with the definition of “Consolidated EBITDA,” in each case as certified on behalf of the Borrower by a Financial Officer of the Borrower, using, for purposes of determining such compliance with a financial test or ratio (including any incurrence test), the historical financial statements of all entities, divisions or lines or assets so acquired or sold and the consolidated financial statements of the Holding Companies and/or any of the Restricted Subsidiaries, calculated as if the Transactions or such Specified Transaction, and all other Specified Transactions that have been consummated during the relevant period, and any Indebtedness incurred or repaid in connection therewith, had been consummated (and the change in Consolidated EBITDA resulting therefrom) and incurred or repaid at the beginning of such period and Consolidated Total Assets shall be calculated after giving effect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in this definition to the contrary, when calculating the First Lien Net Leverage Ratio for purposes of the definition of “Applicable Margin” and the definition of “Required Percentage” and when calculating the First Lien Net Leverage Ratio for purposes of determining actual compliance (and not pro forma compliance or compliance on a Pro Forma Basis)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 in each case, the events described in this definition that occurred after the Applicable Date of Determination shall not be given pro forma effect.</w:t>
      </w:r>
    </w:p>
    <w:p>
      <w:pPr>
        <w:spacing w:after="0" w:line="37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Whenever pro forma effect is to be given to the Transactions or a Specified Transaction, the pro forma calculations shall be made in good faith by a Financial Officer of the Borrower (including adjustments for costs and charges arising out of the Transactions or the proposed Specified Transaction and the “run rate” cost savings and synergies resulting from the Transactions or such Specified Transaction that have been or are reasonably anticipated to be realizable (“run rate” means the full recurring benefit for a Test Period that is associated with any action taken or expected to be taken or for which a plan for realization has been established (including any savings expected to result from the elimination of a public target’s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50" w:name="page351"/>
    <w:bookmarkEnd w:id="350"/>
    <w:p>
      <w:pPr>
        <w:jc w:val="both"/>
        <w:spacing w:after="0" w:line="242" w:lineRule="auto"/>
        <w:rPr>
          <w:sz w:val="20"/>
          <w:szCs w:val="20"/>
          <w:color w:val="auto"/>
        </w:rPr>
      </w:pPr>
      <w:r>
        <w:rPr>
          <w:rFonts w:ascii="Arial" w:cs="Arial" w:eastAsia="Arial" w:hAnsi="Arial"/>
          <w:sz w:val="19"/>
          <w:szCs w:val="19"/>
          <w:color w:val="auto"/>
        </w:rPr>
        <w:t xml:space="preserve">costs with public company requirements), net of the amount of actual benefits realized during such Test Period from such actions), and any such adjustments included in the initial pro forma calculations shall continue to apply to subsequent calculations of such financial ratios or tests, including during any subsequent Test Periods in which the effects thereof are expected to be realizable);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amounts are (i) projected by the Borrower in good faith to result from actions taken, or with respect to which substantial steps are reasonably expected to have been taken, within twenty-four (24) months after, without duplication, the end of the Test Period in which the Transactions or applicable Specified Transaction is initiated or a plan for realization thereof shall have been established, (ii) determined on a basis consistent with Article 11 of Regulation S-X promulgated under the Exchange Act and as interpreted by the staff of the Securities and Exchange Commission (or any successor agency) or (iii) set forth in a quality of earnings report provided to the Administrative Agent and prepared by financial advisors that are reasonably acceptable to the Administrative Agent (it being understood and agreed that any of the “Big Four” accounting firms and Alvarez and Marsal are acceptable to the Administrative Agent) and (B) no amounts shall be added pursuant to this paragraph to the extent duplicative of any amounts that are otherwise added back in computing Consolidated EBITDA for such Test Period or would not be permitted to be added as a result of any cap.</w:t>
      </w:r>
    </w:p>
    <w:p>
      <w:pPr>
        <w:spacing w:after="0" w:line="16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If any Indebtedness bears a floating rate of interest and is being given pro forma effect, the interest on such Indebtedness shall be calculated as if the rate in effect on the date of the event for which the calculation is made had been the applicable rate for the entire Test Period (taking into account any interest hedging arrangements applicable to such Indebtedness). Interest on a Capital Lease Obligation shall be deemed to accrue at an interest rate reasonably determined by a Financial Officer of the Borrower to be the rate of interest implicit in such Capital Lease Obligation in accordance with GAAP.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applicable Borrower or the applicable Restricted Subsidiary may designate.</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Forma Financial Statements</w:t>
      </w:r>
      <w:r>
        <w:rPr>
          <w:rFonts w:ascii="Arial" w:cs="Arial" w:eastAsia="Arial" w:hAnsi="Arial"/>
          <w:sz w:val="22"/>
          <w:szCs w:val="22"/>
          <w:color w:val="auto"/>
        </w:rPr>
        <w:t>” means a pro forma combined balance sheet of Parent as of the last day of the most recently completed four-fiscal quarter period ended at least 45 days prior to the Closing Date, prepared after giving effect to the Transactions as if the Transactions had occurred as of such date.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Change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9.02(c)</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PTE</w:t>
      </w:r>
      <w:r>
        <w:rPr>
          <w:rFonts w:ascii="Arial" w:cs="Arial" w:eastAsia="Arial" w:hAnsi="Arial"/>
          <w:sz w:val="22"/>
          <w:szCs w:val="22"/>
          <w:color w:val="auto"/>
        </w:rPr>
        <w:t>” shall mean a prohibited transaction class exemption issues by the U.S. Department of Labor, as any such exemption may be amended from time to time.</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Company</w:t>
      </w:r>
      <w:r>
        <w:rPr>
          <w:rFonts w:ascii="Arial" w:cs="Arial" w:eastAsia="Arial" w:hAnsi="Arial"/>
          <w:sz w:val="22"/>
          <w:szCs w:val="22"/>
          <w:color w:val="auto"/>
        </w:rPr>
        <w:t>” means, after the completion of an IPO, the Person whose Equity Interests are subject to an effective registration statement filed with the SEC or the equivalent registration documents filed with the equivalent authority in the applicable foreign jurisdiction, as applicable (such Person being only either Holdings or a corporation or other legal entity which then owns, directly or indirectly, 100% of the outstanding Equity Interests of Holdings (other than qualifying directors’ and other similar shares)).</w:t>
      </w:r>
    </w:p>
    <w:p>
      <w:pPr>
        <w:spacing w:after="0" w:line="15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Company Costs</w:t>
      </w:r>
      <w:r>
        <w:rPr>
          <w:rFonts w:ascii="Arial" w:cs="Arial" w:eastAsia="Arial" w:hAnsi="Arial"/>
          <w:sz w:val="19"/>
          <w:szCs w:val="19"/>
          <w:color w:val="auto"/>
        </w:rPr>
        <w:t>” means any costs, fees and expenses associated with, in anticipation of, or in preparation for, compliance with the requirements of the Sarbanes-Oxley Act of 2002 and the rules and regulations promulgated in connection therewith and costs, fees and expenses relating to compliance with the provisions of the Securities Act and the Exchange Act (as applicable to companies with equity or debt securities held by the public), the rules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51" w:name="page352"/>
    <w:bookmarkEnd w:id="351"/>
    <w:p>
      <w:pPr>
        <w:jc w:val="both"/>
        <w:spacing w:after="0" w:line="268" w:lineRule="auto"/>
        <w:rPr>
          <w:sz w:val="20"/>
          <w:szCs w:val="20"/>
          <w:color w:val="auto"/>
        </w:rPr>
      </w:pPr>
      <w:r>
        <w:rPr>
          <w:rFonts w:ascii="Arial" w:cs="Arial" w:eastAsia="Arial" w:hAnsi="Arial"/>
          <w:sz w:val="19"/>
          <w:szCs w:val="19"/>
          <w:color w:val="auto"/>
        </w:rPr>
        <w:t>national securities exchanges for companies with listed equity or debt securities, directors’ or managers’ compensation, fees and expense reimbursements, charges relating to investor relations, shareholder meetings and reports to shareholders and debtholders, directors’ and officers’ insurance and other executive costs, legal and other professional fees and listing fees.</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Equity Interests</w:t>
      </w:r>
      <w:r>
        <w:rPr>
          <w:rFonts w:ascii="Arial" w:cs="Arial" w:eastAsia="Arial" w:hAnsi="Arial"/>
          <w:sz w:val="22"/>
          <w:szCs w:val="22"/>
          <w:color w:val="auto"/>
        </w:rPr>
        <w:t>” means any Equity Interests other than Disqualified Equity Interests.</w:t>
      </w:r>
    </w:p>
    <w:p>
      <w:pPr>
        <w:spacing w:after="0" w:line="17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Securitization Financing</w:t>
      </w:r>
      <w:r>
        <w:rPr>
          <w:rFonts w:ascii="Arial" w:cs="Arial" w:eastAsia="Arial" w:hAnsi="Arial"/>
          <w:sz w:val="21"/>
          <w:szCs w:val="21"/>
          <w:color w:val="auto"/>
        </w:rPr>
        <w:t>” means any Securitization Facility of a Securitization Subsidiary that meets the following conditions: (i) the Borrower shall have determined in good faith that such Securitization Facility (including financing terms, covenants, termination events and other provisions) is in the aggregate economically fair and reasonable to the Borrower and the Restricted Subsidiaries; (ii) all sales of Securitization Assets and related assets by the Borrower or any Restricted Subsidiary to a Securitization Subsidiary or any other Person are made at fair market value (as determined in good faith by the Borrower); (iii) the financing terms, covenants, termination events and other provisions thereof shall be on market terms (as determined in good faith by the Borrower) and may include Standard Securitization Undertakings; and (iv) the obligations under such Securitization Facility are non-recourse (except for customary representations, warranties, covenants and indemnities made in connection with such facilities) to any Holding Company, the Borrower or any Restricted Subsidiary (other than a Securitization Subsidiary).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Recapitalization Agreement</w:t>
      </w:r>
      <w:r>
        <w:rPr>
          <w:rFonts w:ascii="Arial" w:cs="Arial" w:eastAsia="Arial" w:hAnsi="Arial"/>
          <w:sz w:val="21"/>
          <w:szCs w:val="21"/>
          <w:color w:val="auto"/>
        </w:rPr>
        <w:t>” has the meaning assigned to such term in the recitals to this Agreement.</w:t>
      </w:r>
    </w:p>
    <w:p>
      <w:pPr>
        <w:spacing w:after="0" w:line="19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Assets</w:t>
      </w:r>
      <w:r>
        <w:rPr>
          <w:rFonts w:ascii="Arial" w:cs="Arial" w:eastAsia="Arial" w:hAnsi="Arial"/>
          <w:sz w:val="19"/>
          <w:szCs w:val="19"/>
          <w:color w:val="auto"/>
        </w:rPr>
        <w:t>” means (a) any accounts receivable owed to the Borrower or any Restricted Subsidiary subject to a Receivables Facility and the proceeds thereof and (b) all collateral securing such accounts receivable (including any collateral over any bank account or collection account), all contracts and contract rights, guarantees or other obligations in respect of such accounts receivable, all records with respect to such accounts receivable and any other assets customarily transferred together with accounts receivable in connection with a non-recourse accounts receivable factoring arrangement and which are sold, conveyed, assigned, charged or otherwise transferred or pledged by the Borrower or a Restricted Subsidiary to a commercial bank or an Affiliate thereof in connection with a Receivables Facility.</w:t>
      </w:r>
    </w:p>
    <w:p>
      <w:pPr>
        <w:spacing w:after="0" w:line="15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Facility</w:t>
      </w:r>
      <w:r>
        <w:rPr>
          <w:rFonts w:ascii="Arial" w:cs="Arial" w:eastAsia="Arial" w:hAnsi="Arial"/>
          <w:sz w:val="19"/>
          <w:szCs w:val="19"/>
          <w:color w:val="auto"/>
        </w:rPr>
        <w:t>” means an arrangement between the Borrower or a Restricted Subsidiary and a commercial bank or an Affiliate thereof pursuant to which (a) the Borrower or such Restricted Subsidiary, as applicable, sells (directly or indirectly) to such commercial bank (or such Affiliate) accounts receivable owing by customers, together with Receivables Assets related thereto, at a maximum discount, for each such account receivable, not to exceed 10.0% of the face value thereof, (b) the obligations of the Borrower or such Restricted Subsidiary, as applicable, thereunder are non-recourse (except for Securitization Repurchase Obligations) to the Borrower and such Restricted Subsidiary and (c) the financing terms, covenants, termination events and other provisions thereof shall be on market terms (as determined in good faith by the Borrower) and may include Standard Securitization Undertakings, and shall include any guaranty in respect of such arrangement.</w:t>
      </w:r>
    </w:p>
    <w:p>
      <w:pPr>
        <w:spacing w:after="0" w:line="15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Recipient</w:t>
      </w:r>
      <w:r>
        <w:rPr>
          <w:rFonts w:ascii="Arial" w:cs="Arial" w:eastAsia="Arial" w:hAnsi="Arial"/>
          <w:sz w:val="22"/>
          <w:szCs w:val="22"/>
          <w:color w:val="auto"/>
        </w:rPr>
        <w:t>” means, as applicable, (a) the Administrative Agent, (b) any Lender, (c) any Issuing Bank or (d) solely for U.S. federal withholding Tax purposes, any Beneficial Owner.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 Notice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6.06</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52" w:name="page353"/>
    <w:bookmarkEnd w:id="352"/>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Refinanced Term Loans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9.02(d)</w:t>
      </w:r>
      <w:r>
        <w:rPr>
          <w:rFonts w:ascii="Arial" w:cs="Arial" w:eastAsia="Arial" w:hAnsi="Arial"/>
          <w:sz w:val="22"/>
          <w:szCs w:val="22"/>
          <w:color w:val="auto"/>
        </w:rPr>
        <w:t>.</w:t>
      </w:r>
    </w:p>
    <w:p>
      <w:pPr>
        <w:spacing w:after="0" w:line="179" w:lineRule="exact"/>
        <w:rPr>
          <w:sz w:val="20"/>
          <w:szCs w:val="20"/>
          <w:color w:val="auto"/>
        </w:rPr>
      </w:pPr>
    </w:p>
    <w:p>
      <w:pPr>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Amendment</w:t>
      </w:r>
      <w:r>
        <w:rPr>
          <w:rFonts w:ascii="Arial" w:cs="Arial" w:eastAsia="Arial" w:hAnsi="Arial"/>
          <w:sz w:val="19"/>
          <w:szCs w:val="19"/>
          <w:color w:val="auto"/>
        </w:rPr>
        <w:t>” means an amendment to this Agreement in form reasonably satisfactory to the Borrower and the Administrative Agent and executed by each of (a) Holdings, (b) the Borrower, (c) the Administrative Agent and</w:t>
      </w:r>
    </w:p>
    <w:p>
      <w:pPr>
        <w:ind w:firstLine="8"/>
        <w:spacing w:after="0" w:line="224" w:lineRule="auto"/>
        <w:tabs>
          <w:tab w:leader="none" w:pos="33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 xml:space="preserve">each Additional Refinancing Lender that agrees to provide any portion of the Credit Agreement Refinancing Indebtedness being incurred pursuant thereto, in accordance with </w:t>
      </w:r>
      <w:r>
        <w:rPr>
          <w:rFonts w:ascii="Arial" w:cs="Arial" w:eastAsia="Arial" w:hAnsi="Arial"/>
          <w:sz w:val="22"/>
          <w:szCs w:val="22"/>
          <w:u w:val="single" w:color="auto"/>
          <w:color w:val="auto"/>
        </w:rPr>
        <w:t>Section 2.21</w:t>
      </w:r>
      <w:r>
        <w:rPr>
          <w:rFonts w:ascii="Arial" w:cs="Arial" w:eastAsia="Arial" w:hAnsi="Arial"/>
          <w:sz w:val="22"/>
          <w:szCs w:val="22"/>
          <w:color w:val="auto"/>
        </w:rPr>
        <w:t>.</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Notes</w:t>
      </w:r>
      <w:r>
        <w:rPr>
          <w:rFonts w:ascii="Arial" w:cs="Arial" w:eastAsia="Arial" w:hAnsi="Arial"/>
          <w:sz w:val="22"/>
          <w:szCs w:val="22"/>
          <w:color w:val="auto"/>
        </w:rPr>
        <w:t>” means Permitted First Priority Replacement Debt, Permitted Second Priority Replacement Debt and Permitted Unsecured Replacement Debt, in each case in the form of notes, in each case to the extent constituting Credit Agreement Refinancing Indebtedness.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w:t>
      </w:r>
      <w:r>
        <w:rPr>
          <w:rFonts w:ascii="Arial" w:cs="Arial" w:eastAsia="Arial" w:hAnsi="Arial"/>
          <w:sz w:val="22"/>
          <w:szCs w:val="22"/>
          <w:color w:val="auto"/>
        </w:rPr>
        <w:t>(b).</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Equivalent Notes</w:t>
      </w:r>
      <w:r>
        <w:rPr>
          <w:rFonts w:ascii="Arial" w:cs="Arial" w:eastAsia="Arial" w:hAnsi="Arial"/>
          <w:sz w:val="22"/>
          <w:szCs w:val="22"/>
          <w:color w:val="auto"/>
        </w:rPr>
        <w:t>” 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Parties</w:t>
      </w:r>
      <w:r>
        <w:rPr>
          <w:rFonts w:ascii="Arial" w:cs="Arial" w:eastAsia="Arial" w:hAnsi="Arial"/>
          <w:sz w:val="21"/>
          <w:szCs w:val="21"/>
          <w:color w:val="auto"/>
        </w:rPr>
        <w:t>” means, with respect to any specified Person, such Person’s Affiliates and the respective partners, directors, officers, employees, trustees, agents and advisors of such Person and such Person’s Affiliates.</w:t>
      </w:r>
    </w:p>
    <w:p>
      <w:pPr>
        <w:spacing w:after="0" w:line="15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Event</w:t>
      </w:r>
      <w:r>
        <w:rPr>
          <w:rFonts w:ascii="Arial" w:cs="Arial" w:eastAsia="Arial" w:hAnsi="Arial"/>
          <w:sz w:val="22"/>
          <w:szCs w:val="22"/>
          <w:color w:val="auto"/>
        </w:rPr>
        <w:t>” has the meaning set forth in the definition of “Term SOFR.”</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release, spill, emission, leaking, dumping, injection, pouring, deposit, disposal, discharge, dispersal, leaching or migration into or through the environment (including ambient air, surface water, groundwater, land surface or subsurface strata).</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Term Loans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9.02(d)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w:t>
      </w:r>
      <w:r>
        <w:rPr>
          <w:rFonts w:ascii="Arial" w:cs="Arial" w:eastAsia="Arial" w:hAnsi="Arial"/>
          <w:sz w:val="22"/>
          <w:szCs w:val="22"/>
          <w:color w:val="auto"/>
        </w:rPr>
        <w:t>” has the meaning assigned to such term in the recitals to this Agreement.</w:t>
      </w:r>
    </w:p>
    <w:p>
      <w:pPr>
        <w:spacing w:after="0" w:line="17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Repricing Transaction</w:t>
      </w:r>
      <w:r>
        <w:rPr>
          <w:rFonts w:ascii="Arial" w:cs="Arial" w:eastAsia="Arial" w:hAnsi="Arial"/>
          <w:sz w:val="21"/>
          <w:szCs w:val="21"/>
          <w:color w:val="auto"/>
        </w:rPr>
        <w:t xml:space="preserve"> ” means any repayment, prepayment, refinancing, conversion or replacement of all or a portion of the Initial Term Loans (i) with the proceeds of a broadly syndicated first lien secured term loans (or a Permitted Repricing Amendment) the primary purpose of which is to reduce the effective Yield applicable to the Initial Term Loans (and such Yield is reduced) or (ii) in connection with a mandatory prepayment with the proceeds of Indebtedness having an effective Yield that is less than the Yield of the Initial Term Loans being repaid, refinanced, substituted or replaced, including, in each case, as may be effected by an amendment of any provisions of this Agreement relating to the Applicable Margin or the Alternate Base Rate or </w:t>
      </w:r>
      <w:r>
        <w:rPr>
          <w:rFonts w:ascii="Arial" w:cs="Arial" w:eastAsia="Arial" w:hAnsi="Arial"/>
          <w:sz w:val="21"/>
          <w:szCs w:val="21"/>
          <w:color w:val="FF0000"/>
          <w:strike w:val="1"/>
        </w:rPr>
        <w:t>Eurocurrency Rate</w:t>
      </w:r>
      <w:r>
        <w:rPr>
          <w:rFonts w:ascii="Arial" w:cs="Arial" w:eastAsia="Arial" w:hAnsi="Arial"/>
          <w:sz w:val="21"/>
          <w:szCs w:val="21"/>
          <w:u w:val="single" w:color="auto"/>
          <w:color w:val="0000FF"/>
        </w:rPr>
        <w:t>Term SOFR</w:t>
      </w:r>
      <w:r>
        <w:rPr>
          <w:rFonts w:ascii="Arial" w:cs="Arial" w:eastAsia="Arial" w:hAnsi="Arial"/>
          <w:sz w:val="21"/>
          <w:szCs w:val="21"/>
          <w:color w:val="auto"/>
        </w:rPr>
        <w:t xml:space="preserve"> “floors” for, or Yield of, the Initial Term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 </w:t>
      </w:r>
      <w:r>
        <w:rPr>
          <w:rFonts w:ascii="Arial" w:cs="Arial" w:eastAsia="Arial" w:hAnsi="Arial"/>
          <w:sz w:val="21"/>
          <w:szCs w:val="21"/>
          <w:u w:val="single" w:color="auto"/>
          <w:color w:val="auto"/>
        </w:rPr>
        <w:t>Repricing Transaction</w:t>
      </w:r>
      <w:r>
        <w:rPr>
          <w:rFonts w:ascii="Arial" w:cs="Arial" w:eastAsia="Arial" w:hAnsi="Arial"/>
          <w:sz w:val="21"/>
          <w:szCs w:val="21"/>
          <w:color w:val="auto"/>
        </w:rPr>
        <w:t>” shall not include any repayment, prepayment, refinancing, replacement or amendment in connection with (v) a Change in Control, (w) an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53" w:name="page354"/>
    <w:bookmarkEnd w:id="353"/>
    <w:p>
      <w:pPr>
        <w:spacing w:after="0"/>
        <w:rPr>
          <w:sz w:val="20"/>
          <w:szCs w:val="20"/>
          <w:color w:val="auto"/>
        </w:rPr>
      </w:pPr>
      <w:r>
        <w:rPr>
          <w:rFonts w:ascii="Arial" w:cs="Arial" w:eastAsia="Arial" w:hAnsi="Arial"/>
          <w:sz w:val="19"/>
          <w:szCs w:val="19"/>
          <w:color w:val="auto"/>
        </w:rPr>
        <w:t>(x) a sale of all or substantially all of the assets of Holdings, (y) a Transformative Acquisition or (z) a Transformative Disposition.</w:t>
      </w:r>
    </w:p>
    <w:p>
      <w:pPr>
        <w:spacing w:after="0" w:line="214"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Lenders</w:t>
      </w:r>
      <w:r>
        <w:rPr>
          <w:rFonts w:ascii="Arial" w:cs="Arial" w:eastAsia="Arial" w:hAnsi="Arial"/>
          <w:sz w:val="21"/>
          <w:szCs w:val="21"/>
          <w:color w:val="auto"/>
        </w:rPr>
        <w:t xml:space="preserve">” means, at any time, Lenders (other than Defaulting Lenders) having Revolving Exposures, Term Loans and unused Commitments representing more than 50% of the aggregate Revolving Exposures, outstanding Term Loans and unused Commitments at such time (calculated, in each case, using the Exchange Rate in effect on the applicable date of determination);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any Required Lenders’ vote, (v) Term Loans held by Affiliated Lenders shall be treated in accordance with </w:t>
      </w:r>
      <w:r>
        <w:rPr>
          <w:rFonts w:ascii="Arial" w:cs="Arial" w:eastAsia="Arial" w:hAnsi="Arial"/>
          <w:sz w:val="21"/>
          <w:szCs w:val="21"/>
          <w:u w:val="single" w:color="auto"/>
          <w:color w:val="auto"/>
        </w:rPr>
        <w:t>Section 9.02(j)</w:t>
      </w:r>
      <w:r>
        <w:rPr>
          <w:rFonts w:ascii="Arial" w:cs="Arial" w:eastAsia="Arial" w:hAnsi="Arial"/>
          <w:sz w:val="21"/>
          <w:szCs w:val="21"/>
          <w:color w:val="auto"/>
        </w:rPr>
        <w:t>, (w) Term Loans held by Affiliated Lenders shall be excluded in determining whether the Required Lenders have consented to any amendment or waiver, but thereafter deemed to have consented with respect to prevailing votes, (x) Loans held by Affiliated Institutional Lenders may not account for more than 49.9% of the amounts included in determining whether the Required Lenders have consented to any amendment or waiver, (y) no Defaulting Lender shall be included in the calculation of Required Lenders and (z) in the event of any vote requiring the approval of the Required Lenders, the consenting Required Lenders must include at least two (2) unaffiliated Lenders (to the extent there are at least two (2) unaffiliated Lenders at the time of such vote).</w:t>
      </w:r>
    </w:p>
    <w:p>
      <w:pPr>
        <w:spacing w:after="0" w:line="168"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Required Percentage</w:t>
      </w:r>
      <w:r>
        <w:rPr>
          <w:rFonts w:ascii="Arial" w:cs="Arial" w:eastAsia="Arial" w:hAnsi="Arial"/>
          <w:sz w:val="19"/>
          <w:szCs w:val="19"/>
          <w:color w:val="auto"/>
        </w:rPr>
        <w:t xml:space="preserve">” means, with respect to any fiscal year of the Borrower, (a) 50%, if the First Lien Net Leverage Ratio at the end of such fiscal year is greater than 5.00 to 1.00, (b) 25.0%, if the First Lien Net Leverage Ratio at the end of such fiscal year is less than or equal to 5.00 to 1.00 but greater than 4.50 to 1.00 and (c) 0%, if the First Lien Net Leverage Ratio at the end of such fiscal year is less than or equal to 4.50 to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prepayments are made after the end of such fiscal year and prior to the date that is thirty (30) Business Days after the end of such fiscal year, the Required Percentage shall be recalculated as of the date of such prepayment to give effect thereto.</w:t>
      </w:r>
    </w:p>
    <w:p>
      <w:pPr>
        <w:spacing w:after="0" w:line="152"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Revolving Lenders</w:t>
      </w:r>
      <w:r>
        <w:rPr>
          <w:rFonts w:ascii="Arial" w:cs="Arial" w:eastAsia="Arial" w:hAnsi="Arial"/>
          <w:sz w:val="22"/>
          <w:szCs w:val="22"/>
          <w:color w:val="auto"/>
        </w:rPr>
        <w:t xml:space="preserve"> ” means, at any time, Revolving Lenders (other than Defaulting Lenders) having Revolving Exposures and unused Revolving Commitments representing more than 50% of the aggregate Revolving Exposures and unused Revolving Commitments at such time (calculated, in each case, using the Exchange Rate in effect on the applicable date of determination);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any Required Revolving Lenders’ vote, no Defaulting Lender shall be included in the calculation of Required Revolving Lenders.</w:t>
      </w:r>
    </w:p>
    <w:p>
      <w:pPr>
        <w:spacing w:after="0" w:line="15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Requirement of Law</w:t>
      </w:r>
      <w:r>
        <w:rPr>
          <w:rFonts w:ascii="Arial" w:cs="Arial" w:eastAsia="Arial" w:hAnsi="Arial"/>
          <w:sz w:val="19"/>
          <w:szCs w:val="19"/>
          <w:color w:val="auto"/>
        </w:rPr>
        <w:t>” means, with respect to any Person, any statute, law, treaty, rule, regulation, order, executive order, ordinance, decree, writ, injunction or determination of any arbitrator or court or other Governmental Authority, in each case applicable to or binding upon such Person or any of its property or to which such Person or any of its property is subject.</w:t>
      </w:r>
    </w:p>
    <w:p>
      <w:pPr>
        <w:spacing w:after="0" w:line="13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of any Person means the chief executive officer, president or any Financial Officer of such Person, and any other officer (or, in the case of any such Person that is a Foreign Subsidiary, director or managing partner or similar official) of such Person with responsibility for the administration of the obligations of such Person under this Agreement.</w:t>
      </w:r>
    </w:p>
    <w:p>
      <w:pPr>
        <w:spacing w:after="0" w:line="132"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w:t>
      </w:r>
      <w:r>
        <w:rPr>
          <w:rFonts w:ascii="Arial" w:cs="Arial" w:eastAsia="Arial" w:hAnsi="Arial"/>
          <w:sz w:val="21"/>
          <w:szCs w:val="21"/>
          <w:color w:val="auto"/>
        </w:rPr>
        <w:t>” 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cancelation or termination of any Equity Interests in the Borrower or any Restricted Subsidiary, or any option, warrant or other right to acquire any such Equity Interests in the Borrower or any Restricted Subsidiary, in each case whether pursuant to a Division or otherwise, other than the payment of compensation in the ordinary course of business to holders of any such Equity Interests who are employees of the Borrower or any Restricted Subsidiary and other than payments of intercompany indebtedness permitted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54" w:name="page355"/>
    <w:bookmarkEnd w:id="354"/>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any Subsidiary other than an Unrestricted Subsidiary.</w:t>
      </w:r>
    </w:p>
    <w:p>
      <w:pPr>
        <w:spacing w:after="0" w:line="17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Retained Declined Proceeds</w:t>
      </w:r>
      <w:r>
        <w:rPr>
          <w:rFonts w:ascii="Arial" w:cs="Arial" w:eastAsia="Arial" w:hAnsi="Arial"/>
          <w:sz w:val="21"/>
          <w:szCs w:val="21"/>
          <w:color w:val="auto"/>
        </w:rPr>
        <w:t>” means any Declined Proceeds for which a lender under the Second Lien Credit Agreement or the definitive documentation for any other Indebtedness secured on a pari passu basis with the Second Lien Obligations (subject to any prepayment requirements under the Second Lien Credit Agreement or such other definitive documentation) rejects such amount of any mandatory prepayment required to be made under the Second Lien Credit Agreement or such other definitive documentation, which may be retained by the Borrower.</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Return</w:t>
      </w:r>
      <w:r>
        <w:rPr>
          <w:rFonts w:ascii="Arial" w:cs="Arial" w:eastAsia="Arial" w:hAnsi="Arial"/>
          <w:sz w:val="22"/>
          <w:szCs w:val="22"/>
          <w:color w:val="auto"/>
        </w:rPr>
        <w:t>” means, with respect to any Investment, any dividend, distribution, repayment of principal, income, profit (from a disposition or otherwise) and any other amount received or realized in respect thereof in each case that represents a return of capital.</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Availability Period</w:t>
      </w:r>
      <w:r>
        <w:rPr>
          <w:rFonts w:ascii="Arial" w:cs="Arial" w:eastAsia="Arial" w:hAnsi="Arial"/>
          <w:sz w:val="22"/>
          <w:szCs w:val="22"/>
          <w:color w:val="auto"/>
        </w:rPr>
        <w:t>” means the period from and including the Closing Date to but excluding the earlier of the Revolving Termination Date and the date of termination of the Revolving Commitments.</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Commitment</w:t>
      </w:r>
      <w:r>
        <w:rPr>
          <w:rFonts w:ascii="Arial" w:cs="Arial" w:eastAsia="Arial" w:hAnsi="Arial"/>
          <w:sz w:val="19"/>
          <w:szCs w:val="19"/>
          <w:color w:val="auto"/>
        </w:rPr>
        <w:t xml:space="preserve">” with respect to each Lender, means the commitment, if any, of such Lender to make Revolving Loans and to acquire participations in Letters of Credit hereunder, expressed as an amount representing the maximum principal aggregate amount of such Lender’s Revolving Exposure hereunder, as such commitment may be (a) reduced from time to time pursuant to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 (b) reduced or increased from time to time pursuant to assignments by or to such Lender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(c) increased from time to time pursuant to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The initial amount of each Lender’s Revolving Commitment is set forth on </w:t>
      </w:r>
      <w:r>
        <w:rPr>
          <w:rFonts w:ascii="Arial" w:cs="Arial" w:eastAsia="Arial" w:hAnsi="Arial"/>
          <w:sz w:val="19"/>
          <w:szCs w:val="19"/>
          <w:u w:val="single" w:color="auto"/>
          <w:color w:val="auto"/>
        </w:rPr>
        <w:t>Schedule 2.01(b)</w:t>
      </w:r>
      <w:r>
        <w:rPr>
          <w:rFonts w:ascii="Arial" w:cs="Arial" w:eastAsia="Arial" w:hAnsi="Arial"/>
          <w:sz w:val="19"/>
          <w:szCs w:val="19"/>
          <w:color w:val="auto"/>
        </w:rPr>
        <w:t xml:space="preserve"> or in the Assignment and Assumption pursuant to which such Lender shall have assumed its Revolving Commitment, as the case may be. References to the “Revolving Commitments” shall mean the Revolving Commitment of each Lender taken together. The initial aggregate principal amount of the Lenders’ Revolving Commitments on the Closing Date is $40,000,000.</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Facilities</w:t>
      </w:r>
      <w:r>
        <w:rPr>
          <w:rFonts w:ascii="Arial" w:cs="Arial" w:eastAsia="Arial" w:hAnsi="Arial"/>
          <w:sz w:val="19"/>
          <w:szCs w:val="19"/>
          <w:color w:val="auto"/>
        </w:rPr>
        <w:t>” means the “Revolving Commitments” and the extensions of credit made thereunder.</w:t>
      </w:r>
    </w:p>
    <w:p>
      <w:pPr>
        <w:spacing w:after="0" w:line="214"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Exposure</w:t>
      </w:r>
      <w:r>
        <w:rPr>
          <w:rFonts w:ascii="Arial" w:cs="Arial" w:eastAsia="Arial" w:hAnsi="Arial"/>
          <w:sz w:val="22"/>
          <w:szCs w:val="22"/>
          <w:color w:val="auto"/>
        </w:rPr>
        <w:t>” means, as to each Revolving Lender, the sum of (a) the aggregate principal amount of the Revolving Loans denominated in Dollars outstanding at such time, (b) the LC Exposure at such time and (c) the Swingline Exposure at such time. The Revolving Exposure of any Lender at any time shall be its Applicable Percentage of the aggregate Revolving Exposure at such time.</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Lender</w:t>
      </w:r>
      <w:r>
        <w:rPr>
          <w:rFonts w:ascii="Arial" w:cs="Arial" w:eastAsia="Arial" w:hAnsi="Arial"/>
          <w:sz w:val="22"/>
          <w:szCs w:val="22"/>
          <w:color w:val="auto"/>
        </w:rPr>
        <w:t>” means a Lender with a Revolving Commitment or, if the Revolving Commitments have terminated or expired, a Lender with Revolving Exposure.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Note</w:t>
      </w:r>
      <w:r>
        <w:rPr>
          <w:rFonts w:ascii="Arial" w:cs="Arial" w:eastAsia="Arial" w:hAnsi="Arial"/>
          <w:sz w:val="22"/>
          <w:szCs w:val="22"/>
          <w:color w:val="auto"/>
        </w:rPr>
        <w:t xml:space="preserve">” means a promissory note of the Borrower evidencing Revolving Loans made or held by a Revolving Lender, substantially in the form of </w:t>
      </w:r>
      <w:r>
        <w:rPr>
          <w:rFonts w:ascii="Arial" w:cs="Arial" w:eastAsia="Arial" w:hAnsi="Arial"/>
          <w:sz w:val="22"/>
          <w:szCs w:val="22"/>
          <w:u w:val="single" w:color="auto"/>
          <w:color w:val="auto"/>
        </w:rPr>
        <w:t>Exhibit F-2</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Termination Date</w:t>
      </w:r>
      <w:r>
        <w:rPr>
          <w:rFonts w:ascii="Arial" w:cs="Arial" w:eastAsia="Arial" w:hAnsi="Arial"/>
          <w:sz w:val="21"/>
          <w:szCs w:val="21"/>
          <w:color w:val="auto"/>
        </w:rPr>
        <w:t>” means the sixth anniversary of the Closing Date (or if such anniversary is not a Business Day, the next preceding Business Day), but, as to any specific Revolving Commitment, as the maturity of such Revolving Commitment shall have been extended by the holder thereof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55" w:name="page356"/>
    <w:bookmarkEnd w:id="355"/>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Sale Leaseback</w:t>
      </w:r>
      <w:r>
        <w:rPr>
          <w:rFonts w:ascii="Arial" w:cs="Arial" w:eastAsia="Arial" w:hAnsi="Arial"/>
          <w:sz w:val="21"/>
          <w:szCs w:val="21"/>
          <w:color w:val="auto"/>
        </w:rPr>
        <w:t>” means any transaction or series of related transactions pursuant to which the Borrower or any of the Restricted Subsidiaries (a) sells, transfers or otherwise disposes of any property, real or personal, whether now owned or hereafter acquired, and (b) as part of such transaction, thereafter rents or leases such property that it intends to use for substantially the same purpose or purposes as the property being sold, transferred or disposed.</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3.19</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S&amp;P Global Ratings, or any successor thereto.</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or any Governmental Authority succeeding to any of its principal functions.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 Effective Date</w:t>
      </w:r>
      <w:r>
        <w:rPr>
          <w:rFonts w:ascii="Arial" w:cs="Arial" w:eastAsia="Arial" w:hAnsi="Arial"/>
          <w:sz w:val="22"/>
          <w:szCs w:val="22"/>
          <w:color w:val="auto"/>
        </w:rPr>
        <w:t>” has the meaning assigned to such term in Section III of the Second Incremental Credit Facility Amendment.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Incremental Credit Facility Amendment</w:t>
      </w:r>
      <w:r>
        <w:rPr>
          <w:rFonts w:ascii="Arial" w:cs="Arial" w:eastAsia="Arial" w:hAnsi="Arial"/>
          <w:sz w:val="22"/>
          <w:szCs w:val="22"/>
          <w:color w:val="auto"/>
        </w:rPr>
        <w:t>” means the Second Incremental Credit Facility Amendment to First Lien Credit Agreement, dated as of May 12, 2020, among the Borrower, Holdings, the other Loan Parties party thereto, the Lenders party thereto and the Administrative Agent.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Additional Debt</w:t>
      </w:r>
      <w:r>
        <w:rPr>
          <w:rFonts w:ascii="Arial" w:cs="Arial" w:eastAsia="Arial" w:hAnsi="Arial"/>
          <w:sz w:val="22"/>
          <w:szCs w:val="22"/>
          <w:color w:val="auto"/>
        </w:rPr>
        <w:t>” has the meaning assigned to the term “Additional Debt” in the Second Lien Credit Agreement (as in effect on the date hereof).</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Agent</w:t>
      </w:r>
      <w:r>
        <w:rPr>
          <w:rFonts w:ascii="Arial" w:cs="Arial" w:eastAsia="Arial" w:hAnsi="Arial"/>
          <w:sz w:val="22"/>
          <w:szCs w:val="22"/>
          <w:color w:val="auto"/>
        </w:rPr>
        <w:t>” means has the meaning assigned to the term “Administrative Agent” in the Second Lien Credit Agreement.</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Credit Agreement</w:t>
      </w:r>
      <w:r>
        <w:rPr>
          <w:rFonts w:ascii="Arial" w:cs="Arial" w:eastAsia="Arial" w:hAnsi="Arial"/>
          <w:sz w:val="22"/>
          <w:szCs w:val="22"/>
          <w:color w:val="auto"/>
        </w:rPr>
        <w:t>” means that certain second lien credit agreement dated the date hereof (as amended, restated, supplemented or otherwise modified from time to time to time), by and among Merger Sub, the Target, Holdings, the other guarantors from time to time party thereto, the lenders party thereto from time to time and the Second Lien Agent, as administrative agent and collateral agent.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Lien Facility</w:t>
      </w:r>
      <w:r>
        <w:rPr>
          <w:rFonts w:ascii="Arial" w:cs="Arial" w:eastAsia="Arial" w:hAnsi="Arial"/>
          <w:sz w:val="19"/>
          <w:szCs w:val="19"/>
          <w:color w:val="auto"/>
        </w:rPr>
        <w:t>” has the meaning assigned to the term “Term Loans” in the Second Lien Credit Agreement.</w:t>
      </w:r>
    </w:p>
    <w:p>
      <w:pPr>
        <w:spacing w:after="0" w:line="21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Lien Intercreditor Agreement</w:t>
      </w:r>
      <w:r>
        <w:rPr>
          <w:rFonts w:ascii="Arial" w:cs="Arial" w:eastAsia="Arial" w:hAnsi="Arial"/>
          <w:sz w:val="19"/>
          <w:szCs w:val="19"/>
          <w:color w:val="auto"/>
        </w:rPr>
        <w:t xml:space="preserve">” means the intercreditor agreement in substantially the form of </w:t>
      </w:r>
      <w:r>
        <w:rPr>
          <w:rFonts w:ascii="Arial" w:cs="Arial" w:eastAsia="Arial" w:hAnsi="Arial"/>
          <w:sz w:val="19"/>
          <w:szCs w:val="19"/>
          <w:u w:val="single" w:color="auto"/>
          <w:color w:val="auto"/>
        </w:rPr>
        <w:t>Exhibit L</w:t>
      </w:r>
      <w:r>
        <w:rPr>
          <w:rFonts w:ascii="Arial" w:cs="Arial" w:eastAsia="Arial" w:hAnsi="Arial"/>
          <w:sz w:val="19"/>
          <w:szCs w:val="19"/>
          <w:color w:val="auto"/>
        </w:rPr>
        <w:t xml:space="preserve"> among the Collateral Agent, the Loan Parties and the Second Lien Agent, dated as of the date hereof, as may be amended, amended and restated or otherwise modified (including amendments to add one or more Senior Representatives for holders of Permitted Second Priority Replacement Debt as parties thereto in accordance with the terms hereof).</w:t>
      </w:r>
    </w:p>
    <w:p>
      <w:pPr>
        <w:spacing w:after="0" w:line="14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Loan Documents</w:t>
      </w:r>
      <w:r>
        <w:rPr>
          <w:rFonts w:ascii="Arial" w:cs="Arial" w:eastAsia="Arial" w:hAnsi="Arial"/>
          <w:sz w:val="22"/>
          <w:szCs w:val="22"/>
          <w:color w:val="auto"/>
        </w:rPr>
        <w:t>” has the meaning assigned to the term “Loan Documents” in the Second Lien Credit Agreement.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Loans</w:t>
      </w:r>
      <w:r>
        <w:rPr>
          <w:rFonts w:ascii="Arial" w:cs="Arial" w:eastAsia="Arial" w:hAnsi="Arial"/>
          <w:sz w:val="22"/>
          <w:szCs w:val="22"/>
          <w:color w:val="auto"/>
        </w:rPr>
        <w:t>” has the meaning assigned to the term “Loans” in the Second Lien Credit Agreement (as in effect on the date hereof).</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Obligations</w:t>
      </w:r>
      <w:r>
        <w:rPr>
          <w:rFonts w:ascii="Arial" w:cs="Arial" w:eastAsia="Arial" w:hAnsi="Arial"/>
          <w:sz w:val="22"/>
          <w:szCs w:val="22"/>
          <w:color w:val="auto"/>
        </w:rPr>
        <w:t>” has the meaning assigned to the term “Obligations” (as in effect on the date hereof and as amended, amended and restated, supplemented, waived, modified or refinanced to the extent not prohibited by this Agreement or the Second Lien Intercreditor Agreement) in the Second Lien Credit Agreement (as in effect on the date hereof and as amended, restated, supplemented, modified or refinanced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56" w:name="page357"/>
    <w:bookmarkEnd w:id="356"/>
    <w:p>
      <w:pPr>
        <w:jc w:val="both"/>
        <w:spacing w:after="0" w:line="232" w:lineRule="auto"/>
        <w:rPr>
          <w:sz w:val="20"/>
          <w:szCs w:val="20"/>
          <w:color w:val="auto"/>
        </w:rPr>
      </w:pPr>
      <w:r>
        <w:rPr>
          <w:rFonts w:ascii="Arial" w:cs="Arial" w:eastAsia="Arial" w:hAnsi="Arial"/>
          <w:sz w:val="22"/>
          <w:szCs w:val="22"/>
          <w:color w:val="auto"/>
        </w:rPr>
        <w:t>time to the extent not prohibited by this Agreement or the Second Lien Intercreditor Agreement). If the context requires, Second Lien Obligations shall mean any guarantees by Loan Parties of Second Lien Obligations.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Subject Amount</w:t>
      </w:r>
      <w:r>
        <w:rPr>
          <w:rFonts w:ascii="Arial" w:cs="Arial" w:eastAsia="Arial" w:hAnsi="Arial"/>
          <w:sz w:val="22"/>
          <w:szCs w:val="22"/>
          <w:color w:val="auto"/>
        </w:rPr>
        <w:t>” has the meaning assigned to the term “Subject Amount” in the Second Lien Credit Agreement, as in effect on the date hereof.</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Unrestricted Amount</w:t>
      </w:r>
      <w:r>
        <w:rPr>
          <w:rFonts w:ascii="Arial" w:cs="Arial" w:eastAsia="Arial" w:hAnsi="Arial"/>
          <w:sz w:val="22"/>
          <w:szCs w:val="22"/>
          <w:color w:val="auto"/>
        </w:rPr>
        <w:t>” has the meaning assigned to the term “Unrestricted Amount” in the Second Lien Credit Agreement, as in effect on the date hereof.</w:t>
      </w:r>
    </w:p>
    <w:p>
      <w:pPr>
        <w:spacing w:after="0" w:line="15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Cash Management Agreement</w:t>
      </w:r>
      <w:r>
        <w:rPr>
          <w:rFonts w:ascii="Arial" w:cs="Arial" w:eastAsia="Arial" w:hAnsi="Arial"/>
          <w:sz w:val="19"/>
          <w:szCs w:val="19"/>
          <w:color w:val="auto"/>
        </w:rPr>
        <w:t xml:space="preserve">” means any Cash Management Agreement that (a) is in effect on the Closing Date between any Holding Company and/or any Restricted Subsidiary and a counterparty (i) that is an Agent, a Lender, a Joint Lead Arranger or an Affiliate of an Agent, a Lender or a Joint Lead Arranger, (ii) whose long-term senior unsecured debt rating is A/A2 by S&amp;P or Moody’s (or their equivalent) or higher or (iii) that has been approved in writing by the Administrative Agent or (b) is entered into after the Closing Date by any Holding Company and/or any Restricted Subsidiary with any counterparty (i) that is an Agent, a Lender, or a Joint Lead Arranger or an Affiliate of an Agent, a Lender or a Joint Lead Arranger at the time such arrangement is entered into, (ii) whose long-term senior unsecured debt rating is A/A2 by S&amp;P or Moody’s (or their equivalent) or higher or (iii) that has been approved in writing by the Administrative Agent and, in the case of each of </w:t>
      </w:r>
      <w:r>
        <w:rPr>
          <w:rFonts w:ascii="Arial" w:cs="Arial" w:eastAsia="Arial" w:hAnsi="Arial"/>
          <w:sz w:val="19"/>
          <w:szCs w:val="19"/>
          <w:u w:val="single" w:color="auto"/>
          <w:color w:val="auto"/>
        </w:rPr>
        <w:t>clauses (a)(ii) and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(b)(ii) and (iii)</w:t>
      </w:r>
      <w:r>
        <w:rPr>
          <w:rFonts w:ascii="Arial" w:cs="Arial" w:eastAsia="Arial" w:hAnsi="Arial"/>
          <w:sz w:val="19"/>
          <w:szCs w:val="19"/>
          <w:color w:val="auto"/>
        </w:rPr>
        <w:t xml:space="preserve"> hereof, (x) the Borrower designates in writing to the Administrative Agent that such Cash Management Agreement shall be a Secured Cash Management Agreement and (y) the applicable counterparty shall have appointed the Administrative Agent and the Collateral Agent as its agents under the applicable Loan Documents and agreed to be bound by the provisions of Article VIII in favor of the Agent as if it were a Lender, including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9.03(c)</w:t>
      </w:r>
      <w:r>
        <w:rPr>
          <w:rFonts w:ascii="Arial" w:cs="Arial" w:eastAsia="Arial" w:hAnsi="Arial"/>
          <w:sz w:val="19"/>
          <w:szCs w:val="19"/>
          <w:color w:val="auto"/>
        </w:rPr>
        <w:t xml:space="preserve">, and shall have been deemed to have made the representations and warranties set forth in </w:t>
      </w:r>
      <w:r>
        <w:rPr>
          <w:rFonts w:ascii="Arial" w:cs="Arial" w:eastAsia="Arial" w:hAnsi="Arial"/>
          <w:sz w:val="19"/>
          <w:szCs w:val="19"/>
          <w:u w:val="single" w:color="auto"/>
          <w:color w:val="auto"/>
        </w:rPr>
        <w:t>Section 8.07</w:t>
      </w:r>
      <w:r>
        <w:rPr>
          <w:rFonts w:ascii="Arial" w:cs="Arial" w:eastAsia="Arial" w:hAnsi="Arial"/>
          <w:sz w:val="19"/>
          <w:szCs w:val="19"/>
          <w:color w:val="auto"/>
        </w:rPr>
        <w:t xml:space="preserve"> in favor of the Agents, in each case, pursuant to a writing substantially in the form of </w:t>
      </w:r>
      <w:r>
        <w:rPr>
          <w:rFonts w:ascii="Arial" w:cs="Arial" w:eastAsia="Arial" w:hAnsi="Arial"/>
          <w:sz w:val="19"/>
          <w:szCs w:val="19"/>
          <w:u w:val="single" w:color="auto"/>
          <w:color w:val="auto"/>
        </w:rPr>
        <w:t>Exhibit M</w:t>
      </w:r>
      <w:r>
        <w:rPr>
          <w:rFonts w:ascii="Arial" w:cs="Arial" w:eastAsia="Arial" w:hAnsi="Arial"/>
          <w:sz w:val="19"/>
          <w:szCs w:val="19"/>
          <w:color w:val="auto"/>
        </w:rPr>
        <w:t xml:space="preserve"> or otherwise reasonably satisfactory to the Borrower and the Administrative Agent.</w:t>
      </w:r>
    </w:p>
    <w:p>
      <w:pPr>
        <w:spacing w:after="0" w:line="38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Cash Management Obligations</w:t>
      </w:r>
      <w:r>
        <w:rPr>
          <w:rFonts w:ascii="Arial" w:cs="Arial" w:eastAsia="Arial" w:hAnsi="Arial"/>
          <w:sz w:val="22"/>
          <w:szCs w:val="22"/>
          <w:color w:val="auto"/>
        </w:rPr>
        <w:t>” means all Cash Management Obligations under any Secured Cash Management Agreement.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Obligations</w:t>
      </w:r>
      <w:r>
        <w:rPr>
          <w:rFonts w:ascii="Arial" w:cs="Arial" w:eastAsia="Arial" w:hAnsi="Arial"/>
          <w:sz w:val="22"/>
          <w:szCs w:val="22"/>
          <w:color w:val="auto"/>
        </w:rPr>
        <w:t>” means, collectively, the (a) Obligations, (b) the Secured Swap Obligations and (c) the Secured Cash Management Obligations.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means, collectively, the Administrative Agent, the Collateral Agent, the Lenders (including, for the avoidance of doubt, the Issuing Banks) and the Lender Counterparties.</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Swap Agreements</w:t>
      </w:r>
      <w:r>
        <w:rPr>
          <w:rFonts w:ascii="Arial" w:cs="Arial" w:eastAsia="Arial" w:hAnsi="Arial"/>
          <w:sz w:val="19"/>
          <w:szCs w:val="19"/>
          <w:color w:val="auto"/>
        </w:rPr>
        <w:t xml:space="preserve">” means any Swap Agreement that (a) is in effect on the Closing Date between any Holding Company and/or any Restricted Subsidiary and a counterparty: (i) that is an Agent or a Lender or an Affiliate of an Agent or a Lender as of the Closing Date, (ii) whose long-term senior unsecured debt rating is A/A2 by S&amp;P or Moody’s (or their equivalent) or higher or (iii) that has been approved in writing by the Administrative Agent or (b) is entered into after the Closing Date by any Holding Company and/or any Restricted Subsidiary with any counterparty: (i) that is an Agent or a Lender or an Affiliate of an Agent or a Lender at the time such Swap Agreement is entered into, (ii) whose long-term senior unsecured debt rating is A/A2 by S&amp;P or Moody’s (or their equivalent) or higher or (iii) that has been approved in writing by the Administrative Agent and, in the case of each of </w:t>
      </w:r>
      <w:r>
        <w:rPr>
          <w:rFonts w:ascii="Arial" w:cs="Arial" w:eastAsia="Arial" w:hAnsi="Arial"/>
          <w:sz w:val="19"/>
          <w:szCs w:val="19"/>
          <w:u w:val="single" w:color="auto"/>
          <w:color w:val="auto"/>
        </w:rPr>
        <w:t>clauses (a)(ii)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hereof, the Borrower designates in writing to the Administrative Agent that such Swap Agreement shall be a Secured Swap Agreement (for the avoidance of doubt,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57" w:name="page358"/>
    <w:bookmarkEnd w:id="357"/>
    <w:p>
      <w:pPr>
        <w:jc w:val="both"/>
        <w:spacing w:after="0" w:line="232" w:lineRule="auto"/>
        <w:rPr>
          <w:sz w:val="20"/>
          <w:szCs w:val="20"/>
          <w:color w:val="auto"/>
        </w:rPr>
      </w:pPr>
      <w:r>
        <w:rPr>
          <w:rFonts w:ascii="Arial" w:cs="Arial" w:eastAsia="Arial" w:hAnsi="Arial"/>
          <w:sz w:val="22"/>
          <w:szCs w:val="22"/>
          <w:color w:val="auto"/>
        </w:rPr>
        <w:t>Borrower may provide one notice to the Administrative Agent designating all Swap Agreements entered into under a specified Master Agreement as Secured Swap Agreements).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Swap Obligations</w:t>
      </w:r>
      <w:r>
        <w:rPr>
          <w:rFonts w:ascii="Arial" w:cs="Arial" w:eastAsia="Arial" w:hAnsi="Arial"/>
          <w:sz w:val="22"/>
          <w:szCs w:val="22"/>
          <w:color w:val="auto"/>
        </w:rPr>
        <w:t>” means all Swap Obligations (other than Excluded Swap Obligations) under any Secured Swap Agreement.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U.S. Securities Act of 1933, as amended, and the rules and regulations of the SEC promulgated thereunder, as amended.</w:t>
      </w:r>
    </w:p>
    <w:p>
      <w:pPr>
        <w:spacing w:after="0" w:line="15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Securitization Asset</w:t>
      </w:r>
      <w:r>
        <w:rPr>
          <w:rFonts w:ascii="Arial" w:cs="Arial" w:eastAsia="Arial" w:hAnsi="Arial"/>
          <w:sz w:val="21"/>
          <w:szCs w:val="21"/>
          <w:color w:val="auto"/>
        </w:rPr>
        <w:t xml:space="preserve">” means (a) any accounts receivable or related assets and the proceeds thereof, in each case subject to a Securitization Facility, and (b) all collateral securing such receivable or asset, all contracts and contract rights, guaranties or other obligations in respect of such receivable or asset, lockbox accounts and records with respect to such account or asset and any other assets customarily transferred (or in respect of which security interests are customarily granted), together with accounts or assets in a securitization financing and which in the case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are sold, conveyed, assigned or otherwise transferred or pledged by the Borrower or any Restricted Subsidiary of a Holding Company in connection with a Qualified Securitization Financing.</w:t>
      </w:r>
    </w:p>
    <w:p>
      <w:pPr>
        <w:spacing w:after="0" w:line="16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Securitization Facility</w:t>
      </w:r>
      <w:r>
        <w:rPr>
          <w:rFonts w:ascii="Arial" w:cs="Arial" w:eastAsia="Arial" w:hAnsi="Arial"/>
          <w:sz w:val="19"/>
          <w:szCs w:val="19"/>
          <w:color w:val="auto"/>
        </w:rPr>
        <w:t>” means any transaction or series of securitization financings that may be entered into by the Borrower or any Restricted Subsidiary pursuant to which the Borrower or any Restricted Subsidiary may sell, convey or otherwise transfer, or may grant a security interest in, Securitization Assets to either (a) a Person that is not a Restricted Subsidiary or (b) a Securitization Subsidiary that in turn sells such Securitization Assets to a Person that is not a Restricted Subsidiary, or may grant a security interest in, any Securitization Assets of the Holding Companies or any of the Subsidiaries.</w:t>
      </w:r>
    </w:p>
    <w:p>
      <w:pPr>
        <w:spacing w:after="0" w:line="14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Securitization Fees</w:t>
      </w:r>
      <w:r>
        <w:rPr>
          <w:rFonts w:ascii="Arial" w:cs="Arial" w:eastAsia="Arial" w:hAnsi="Arial"/>
          <w:sz w:val="22"/>
          <w:szCs w:val="22"/>
          <w:color w:val="auto"/>
        </w:rPr>
        <w:t>” means distributions or payments made directly or by means of discounts with respect to any Securitization Asset or participation interest therein issued or sold in connection with, and other fees and expenses (including reasonable fees and expenses of legal counsel) paid to a Person that is not a Restricted Subsidiary in connection with, any Qualified Securitization Financing or a Receivables Facility.</w:t>
      </w:r>
    </w:p>
    <w:p>
      <w:pPr>
        <w:spacing w:after="0" w:line="161"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Securitization Repurchase Obligation</w:t>
      </w:r>
      <w:r>
        <w:rPr>
          <w:rFonts w:ascii="Arial" w:cs="Arial" w:eastAsia="Arial" w:hAnsi="Arial"/>
          <w:sz w:val="19"/>
          <w:szCs w:val="19"/>
          <w:color w:val="auto"/>
        </w:rPr>
        <w:t>” means any obligation of a seller (or any guaranty of such obligation) of Securitization Assets or Receivables Assets in a Qualified Securitization Financing or a Receivables Facility to repurchase Securitization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4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Securitization Subsidiary</w:t>
      </w:r>
      <w:r>
        <w:rPr>
          <w:rFonts w:ascii="Arial" w:cs="Arial" w:eastAsia="Arial" w:hAnsi="Arial"/>
          <w:sz w:val="22"/>
          <w:szCs w:val="22"/>
          <w:color w:val="auto"/>
        </w:rPr>
        <w:t>” means any Subsidiary of the Borrower in each case formed for the purpose of and that solely engages in one or more Qualified Securitization Financings and other activities reasonably related thereto or another Person formed for the purpose of engaging in a Qualified Securitization Financing in which the Borrower or any Subsidiary of the Borrower makes an Investment and to which the Borrower or any Subsidiary of the Borrower transfers Securitization Assets and related assets.</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means the First Lien Security Agreement dated as of the Closing Date (as amended, restated, supplemented or otherwise modified from time to time to time), among the Borrower, the other Loan Parties party thereto from time to time and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58" w:name="page359"/>
    <w:bookmarkEnd w:id="358"/>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Documents</w:t>
      </w:r>
      <w:r>
        <w:rPr>
          <w:rFonts w:ascii="Arial" w:cs="Arial" w:eastAsia="Arial" w:hAnsi="Arial"/>
          <w:sz w:val="22"/>
          <w:szCs w:val="22"/>
          <w:color w:val="auto"/>
        </w:rPr>
        <w:t xml:space="preserve">” means each of the Security Agreement, the Mortgages (if any), each of the agreements listed on </w:t>
      </w:r>
      <w:r>
        <w:rPr>
          <w:rFonts w:ascii="Arial" w:cs="Arial" w:eastAsia="Arial" w:hAnsi="Arial"/>
          <w:sz w:val="22"/>
          <w:szCs w:val="22"/>
          <w:u w:val="single" w:color="auto"/>
          <w:color w:val="auto"/>
        </w:rPr>
        <w:t>Schedule 5.11</w:t>
      </w:r>
      <w:r>
        <w:rPr>
          <w:rFonts w:ascii="Arial" w:cs="Arial" w:eastAsia="Arial" w:hAnsi="Arial"/>
          <w:sz w:val="22"/>
          <w:szCs w:val="22"/>
          <w:color w:val="auto"/>
        </w:rPr>
        <w:t xml:space="preserve"> executed and delivered by the Loan Parties party thereto and the Collateral Agent on the Closing Date, and each other security agreement or other instrument or document executed and delivered pursuant to </w:t>
      </w: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5.11</w:t>
      </w:r>
      <w:r>
        <w:rPr>
          <w:rFonts w:ascii="Arial" w:cs="Arial" w:eastAsia="Arial" w:hAnsi="Arial"/>
          <w:sz w:val="22"/>
          <w:szCs w:val="22"/>
          <w:color w:val="auto"/>
        </w:rPr>
        <w:t xml:space="preserve"> to secure the Secured Obligations.</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Representative</w:t>
      </w:r>
      <w:r>
        <w:rPr>
          <w:rFonts w:ascii="Arial" w:cs="Arial" w:eastAsia="Arial" w:hAnsi="Arial"/>
          <w:sz w:val="22"/>
          <w:szCs w:val="22"/>
          <w:color w:val="auto"/>
        </w:rPr>
        <w:t>” means, with respect to any series of Permitted First Priority Replacement Debt or Permitted Second Priority Replacement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61"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Secured Net Leverage Ratio</w:t>
      </w:r>
      <w:r>
        <w:rPr>
          <w:rFonts w:ascii="Arial" w:cs="Arial" w:eastAsia="Arial" w:hAnsi="Arial"/>
          <w:sz w:val="19"/>
          <w:szCs w:val="19"/>
          <w:color w:val="auto"/>
        </w:rPr>
        <w:t>” means, on any date of determination, the ratio of (a) Total Indebtedness as of such date that is secured by a Lien on the Collateral, less the aggregate amount of Unrestricted Cash, to (b) LTM EBITDA.</w:t>
      </w:r>
    </w:p>
    <w:p>
      <w:pPr>
        <w:spacing w:after="0" w:line="10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Services Agreement</w:t>
      </w:r>
      <w:r>
        <w:rPr>
          <w:rFonts w:ascii="Arial" w:cs="Arial" w:eastAsia="Arial" w:hAnsi="Arial"/>
          <w:sz w:val="22"/>
          <w:szCs w:val="22"/>
          <w:color w:val="auto"/>
        </w:rPr>
        <w:t>” shall mean that certain Services Agreement, dated as of the date hereof, by and among Parent, Holdings, the Borrower and Silver Lake Management Company V, L.L.C.</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xml:space="preserve"> ”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59" w:lineRule="exact"/>
        <w:rPr>
          <w:sz w:val="20"/>
          <w:szCs w:val="20"/>
          <w:color w:val="auto"/>
        </w:rPr>
      </w:pPr>
    </w:p>
    <w:p>
      <w:pPr>
        <w:ind w:left="1300" w:right="1500"/>
        <w:spacing w:after="0" w:line="4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Determination Date</w:t>
      </w:r>
      <w:r>
        <w:rPr>
          <w:rFonts w:ascii="Arial" w:cs="Arial" w:eastAsia="Arial" w:hAnsi="Arial"/>
          <w:sz w:val="19"/>
          <w:szCs w:val="19"/>
          <w:color w:val="auto"/>
        </w:rPr>
        <w:t>” has the meaning set forth in the definition of “Daily Simple SOFR.” “</w:t>
      </w:r>
      <w:r>
        <w:rPr>
          <w:rFonts w:ascii="Arial" w:cs="Arial" w:eastAsia="Arial" w:hAnsi="Arial"/>
          <w:sz w:val="19"/>
          <w:szCs w:val="19"/>
          <w:u w:val="single" w:color="auto"/>
          <w:color w:val="auto"/>
        </w:rPr>
        <w:t>SOFR Rate Day</w:t>
      </w:r>
      <w:r>
        <w:rPr>
          <w:rFonts w:ascii="Arial" w:cs="Arial" w:eastAsia="Arial" w:hAnsi="Arial"/>
          <w:sz w:val="19"/>
          <w:szCs w:val="19"/>
          <w:color w:val="auto"/>
        </w:rPr>
        <w:t>” has the meaning set forth in the definition of “Daily Simple SOFR.”</w:t>
      </w:r>
    </w:p>
    <w:p>
      <w:pPr>
        <w:spacing w:after="0" w:line="1"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Software</w:t>
      </w:r>
      <w:r>
        <w:rPr>
          <w:rFonts w:ascii="Arial" w:cs="Arial" w:eastAsia="Arial" w:hAnsi="Arial"/>
          <w:sz w:val="22"/>
          <w:szCs w:val="22"/>
          <w:color w:val="auto"/>
        </w:rPr>
        <w:t>” means any and all computer programs, including any and all software implementations of algorithms, models and methodologies, whether in source code or object code; databases and compilations, including any and all data and collections of data, whether machine readable or otherwise; descriptions, flow-charts and other work product used to design, plan, organize and develop any of the foregoing, screens, user interfaces, report formats, firmware, development tools, templates, menus, buttons and icons; and all documentation including user manuals and other training documentation related to any of the foregoing.</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Solvency Certificate</w:t>
      </w:r>
      <w:r>
        <w:rPr>
          <w:rFonts w:ascii="Arial" w:cs="Arial" w:eastAsia="Arial" w:hAnsi="Arial"/>
          <w:sz w:val="22"/>
          <w:szCs w:val="22"/>
          <w:color w:val="auto"/>
        </w:rPr>
        <w:t xml:space="preserve">” means the solvency certificate executed and delivered by a Financial Officer of the Borrower on the Closing Date,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with respect to Holdings and its Restricted Subsidiaries, on a consolidated basis, that as of the date of determination: (i) the present fair saleable value of the assets of Holdings and its Restricted Subsidiaries, taken as a whole (determined on a going concern basis), is greater than (A) the total amount of debts and liabilities (including subordinated, contingent and un-liquidated liabilities) of Holdings and its Restricted Subsidiaries, taken as a whole, and (B) the amount that will be required to pay the probable liability, on a consolidated basis, of their debts and other liabilities as such debts and liabilities become absolute and matured; (ii) Holdings and its Restricted Subsidiaries, taken as a whole, are able to pay all debts and liabilities (including subordinated, contingent and un-liquidated liabilities) as such debts and liabilities become absolute and matured and (iii) Holdings and its Restricted Subsidiaries, taken as a whole, do not have unreasonably small capital with which to conduct the business in which they are engaged as such business is then conducted and is proposed to be conducted following such date of determination. For the purposes hereof,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59" w:name="page360"/>
    <w:bookmarkEnd w:id="359"/>
    <w:p>
      <w:pPr>
        <w:jc w:val="both"/>
        <w:spacing w:after="0" w:line="223" w:lineRule="auto"/>
        <w:rPr>
          <w:sz w:val="20"/>
          <w:szCs w:val="20"/>
          <w:color w:val="auto"/>
        </w:rPr>
      </w:pPr>
      <w:r>
        <w:rPr>
          <w:rFonts w:ascii="Arial" w:cs="Arial" w:eastAsia="Arial" w:hAnsi="Arial"/>
          <w:sz w:val="22"/>
          <w:szCs w:val="22"/>
          <w:color w:val="auto"/>
        </w:rPr>
        <w:t>computing the amount of contingent or unliquidated liabilities at any time, such liabilities shall be computed as the amount that, in light of all of the facts and circumstances existing at such time, represents the amount that can reasonably be expected to become an actual or matured liability.</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Incremental Term Facility</w:t>
      </w:r>
      <w:r>
        <w:rPr>
          <w:rFonts w:ascii="Arial" w:cs="Arial" w:eastAsia="Arial" w:hAnsi="Arial"/>
          <w:sz w:val="19"/>
          <w:szCs w:val="19"/>
          <w:color w:val="auto"/>
        </w:rPr>
        <w:t>” means Incremental Term Loans and/or Additional Debt up to the aggregate principal amount not to exceed the greater of (A) $50,000,000 and (B) 50.0% of LTM EBITDA calculated on a Pro Forma Basis as of the Applicable Date of Determination and specified by Borrower in its sole discretion from time to time.</w:t>
      </w:r>
    </w:p>
    <w:p>
      <w:pPr>
        <w:spacing w:after="0" w:line="13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Recapitalization Agreement Representations</w:t>
      </w:r>
      <w:r>
        <w:rPr>
          <w:rFonts w:ascii="Arial" w:cs="Arial" w:eastAsia="Arial" w:hAnsi="Arial"/>
          <w:sz w:val="19"/>
          <w:szCs w:val="19"/>
          <w:color w:val="auto"/>
        </w:rPr>
        <w:t>” means the representations made by or on behalf of Borrower, its Subsidiaries or their respective businesses in the Recapitalization Agreement as are material to the interests of the Lenders, but only to the extent that the Purchaser or its applicable Affiliates have the right (taking into account any applicable cure provisions) to terminate its (or their) obligations under the Recapitalization Agreement or decline to consummate the Closing Date Recapitalization as a result of a breach of any such representations in the Recapitalization Agreement.</w:t>
      </w:r>
    </w:p>
    <w:p>
      <w:pPr>
        <w:spacing w:after="0" w:line="14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Representations</w:t>
      </w:r>
      <w:r>
        <w:rPr>
          <w:rFonts w:ascii="Arial" w:cs="Arial" w:eastAsia="Arial" w:hAnsi="Arial"/>
          <w:sz w:val="21"/>
          <w:szCs w:val="21"/>
          <w:color w:val="auto"/>
        </w:rPr>
        <w:t xml:space="preserve">” means the representations and warranties made by the Borrower and the other Loan Parties, as applicable, set forth in </w:t>
      </w:r>
      <w:r>
        <w:rPr>
          <w:rFonts w:ascii="Arial" w:cs="Arial" w:eastAsia="Arial" w:hAnsi="Arial"/>
          <w:sz w:val="21"/>
          <w:szCs w:val="21"/>
          <w:u w:val="single" w:color="auto"/>
          <w:color w:val="auto"/>
        </w:rPr>
        <w:t>Sections 3.01(a)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(c)(ii)</w:t>
      </w:r>
      <w:r>
        <w:rPr>
          <w:rFonts w:ascii="Arial" w:cs="Arial" w:eastAsia="Arial" w:hAnsi="Arial"/>
          <w:sz w:val="21"/>
          <w:szCs w:val="21"/>
          <w:color w:val="auto"/>
        </w:rPr>
        <w:t xml:space="preserve"> (solely with respect to the Borrower and the Guarantors and subject to the proviso in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a), as they relate to due authorization, execution, delivery and performance of the Loan Documents), </w:t>
      </w:r>
      <w:r>
        <w:rPr>
          <w:rFonts w:ascii="Arial" w:cs="Arial" w:eastAsia="Arial" w:hAnsi="Arial"/>
          <w:sz w:val="21"/>
          <w:szCs w:val="21"/>
          <w:u w:val="single" w:color="auto"/>
          <w:color w:val="auto"/>
        </w:rPr>
        <w:t>Section 3.02</w:t>
      </w:r>
      <w:r>
        <w:rPr>
          <w:rFonts w:ascii="Arial" w:cs="Arial" w:eastAsia="Arial" w:hAnsi="Arial"/>
          <w:sz w:val="21"/>
          <w:szCs w:val="21"/>
          <w:color w:val="auto"/>
        </w:rPr>
        <w:t xml:space="preserve"> (in each case relating to the entering into and performance of the Loan Documents), </w:t>
      </w:r>
      <w:r>
        <w:rPr>
          <w:rFonts w:ascii="Arial" w:cs="Arial" w:eastAsia="Arial" w:hAnsi="Arial"/>
          <w:sz w:val="21"/>
          <w:szCs w:val="21"/>
          <w:u w:val="single" w:color="auto"/>
          <w:color w:val="auto"/>
        </w:rPr>
        <w:t>Section 3.03(b)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3.08</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3.14</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3.15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3.16</w:t>
      </w:r>
      <w:r>
        <w:rPr>
          <w:rFonts w:ascii="Arial" w:cs="Arial" w:eastAsia="Arial" w:hAnsi="Arial"/>
          <w:sz w:val="21"/>
          <w:szCs w:val="21"/>
          <w:color w:val="auto"/>
        </w:rPr>
        <w:t xml:space="preserve"> , </w:t>
      </w:r>
      <w:r>
        <w:rPr>
          <w:rFonts w:ascii="Arial" w:cs="Arial" w:eastAsia="Arial" w:hAnsi="Arial"/>
          <w:sz w:val="21"/>
          <w:szCs w:val="21"/>
          <w:u w:val="single" w:color="auto"/>
          <w:color w:val="auto"/>
        </w:rPr>
        <w:t>Section 3.18</w:t>
      </w:r>
      <w:r>
        <w:rPr>
          <w:rFonts w:ascii="Arial" w:cs="Arial" w:eastAsia="Arial" w:hAnsi="Arial"/>
          <w:sz w:val="21"/>
          <w:szCs w:val="21"/>
          <w:color w:val="auto"/>
        </w:rPr>
        <w:t xml:space="preserve"> (subject to the proviso in </w:t>
      </w:r>
      <w:r>
        <w:rPr>
          <w:rFonts w:ascii="Arial" w:cs="Arial" w:eastAsia="Arial" w:hAnsi="Arial"/>
          <w:sz w:val="21"/>
          <w:szCs w:val="21"/>
          <w:u w:val="single" w:color="auto"/>
          <w:color w:val="auto"/>
        </w:rPr>
        <w:t>Section 4.01(a)</w:t>
      </w:r>
      <w:r>
        <w:rPr>
          <w:rFonts w:ascii="Arial" w:cs="Arial" w:eastAsia="Arial" w:hAnsi="Arial"/>
          <w:sz w:val="21"/>
          <w:szCs w:val="21"/>
          <w:color w:val="auto"/>
        </w:rPr>
        <w:t xml:space="preserve"> and without giving effect to any representation regarding priority of such security interest), Section 3.19(a)(i) (solely as it relates to use of proceeds of the Loans and Letters of Credit in violation of sanctions administered or enforced by the U.S. Department of the Treasury’s Office of Foreign Assets Control), </w:t>
      </w:r>
      <w:r>
        <w:rPr>
          <w:rFonts w:ascii="Arial" w:cs="Arial" w:eastAsia="Arial" w:hAnsi="Arial"/>
          <w:sz w:val="21"/>
          <w:szCs w:val="21"/>
          <w:u w:val="single" w:color="auto"/>
          <w:color w:val="auto"/>
        </w:rPr>
        <w:t>Section 3.19(b)</w:t>
      </w:r>
      <w:r>
        <w:rPr>
          <w:rFonts w:ascii="Arial" w:cs="Arial" w:eastAsia="Arial" w:hAnsi="Arial"/>
          <w:sz w:val="21"/>
          <w:szCs w:val="21"/>
          <w:color w:val="auto"/>
        </w:rPr>
        <w:t xml:space="preserve"> (solely as it relates to use of proceeds of the Loans and Letters of Credit or in violation of FCPA) and </w:t>
      </w:r>
      <w:r>
        <w:rPr>
          <w:rFonts w:ascii="Arial" w:cs="Arial" w:eastAsia="Arial" w:hAnsi="Arial"/>
          <w:sz w:val="21"/>
          <w:szCs w:val="21"/>
          <w:u w:val="single" w:color="auto"/>
          <w:color w:val="auto"/>
        </w:rPr>
        <w:t>Section 3.19(c)</w:t>
      </w:r>
      <w:r>
        <w:rPr>
          <w:rFonts w:ascii="Arial" w:cs="Arial" w:eastAsia="Arial" w:hAnsi="Arial"/>
          <w:sz w:val="21"/>
          <w:szCs w:val="21"/>
          <w:color w:val="auto"/>
        </w:rPr>
        <w:t xml:space="preserve"> (solely as it relates to use of proceeds of the Loans and Letters of Credit in violation of the Patriot Act).</w:t>
      </w:r>
    </w:p>
    <w:p>
      <w:pPr>
        <w:spacing w:after="0" w:line="162"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Specified Transaction</w:t>
      </w:r>
      <w:r>
        <w:rPr>
          <w:rFonts w:ascii="Arial" w:cs="Arial" w:eastAsia="Arial" w:hAnsi="Arial"/>
          <w:sz w:val="21"/>
          <w:szCs w:val="21"/>
          <w:color w:val="auto"/>
        </w:rPr>
        <w:t>” means any (a) disposition of all or substantially all the assets of or all or a majority of the Equity Interests of any Restricted Subsidiary or of any product line, business unit, line of business or division of the Borrower or any of the Restricted Subsidiaries of the Borrower for which historical financial statements are available, (b) Permitted Acquisition, (c) Investment that results in a Person becoming a Restricted Subsidiary (which, for purposes hereof, shall be deemed to also include (1) the merger, consolidation, liquidation or similar amalgamation of any Person into the Borrower or any Restricted Subsidiary, so long as the applicable Borrower or such Restricted Subsidiary is the surviving Person, and (2) the transfer of all or substantially all of the assets of a Person to the Borrower or any Restricted Subsidiary), (d) designation of any Restricted Subsidiary as an Unrestricted Subsidiary, or of any Unrestricted Subsidiary as a Restricted Subsidiary, (e) the proposed incurrence of Indebtedness or making of a Restricted Payment or payment in respect of Indebtedness in respect of which compliance with any financial ratio is by the terms of this Agreement required to be calculated on a Pro Forma Basis or (f) any operating improvements, restructurings, cost saving or other business optimization initiatives and other similar initiatives and transactions.</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Spectrum</w:t>
      </w:r>
      <w:r>
        <w:rPr>
          <w:rFonts w:ascii="Arial" w:cs="Arial" w:eastAsia="Arial" w:hAnsi="Arial"/>
          <w:sz w:val="19"/>
          <w:szCs w:val="19"/>
          <w:color w:val="auto"/>
        </w:rPr>
        <w:t>” means Spectrum Equity Management, L.P. and its Controlled Investment Affiliates and associated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funds.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Sponsor</w:t>
      </w:r>
      <w:r>
        <w:rPr>
          <w:rFonts w:ascii="Arial" w:cs="Arial" w:eastAsia="Arial" w:hAnsi="Arial"/>
          <w:sz w:val="19"/>
          <w:szCs w:val="19"/>
          <w:color w:val="auto"/>
        </w:rPr>
        <w:t>” means each individually or collectively: (i) Francisco Partners, (ii) Spectrum and (iii) the New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60" w:name="page361"/>
    <w:bookmarkEnd w:id="36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SPV</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Securitization Undertakings</w:t>
      </w:r>
      <w:r>
        <w:rPr>
          <w:rFonts w:ascii="Arial" w:cs="Arial" w:eastAsia="Arial" w:hAnsi="Arial"/>
          <w:sz w:val="19"/>
          <w:szCs w:val="19"/>
          <w:color w:val="auto"/>
        </w:rPr>
        <w:t>” means representations, warranties, covenants and indemnities entered into by the Borrower or any Subsidiary of the Borrower which the Borrower has determined in good faith to be customary in a Securitization Facility, including those relating to the servicing of the assets of a Securitization Subsidiary, it being understood that any Securitization Repurchase Obligation shall be deemed to be a Standard Securitization Undertaking or, in the case of a Receivables Facility, a non-credit related recourse accounts receivables factoring arrangement.</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means the lawful currency of the United Kingdom.</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Subject Indebtedness</w:t>
      </w:r>
      <w:r>
        <w:rPr>
          <w:rFonts w:ascii="Arial" w:cs="Arial" w:eastAsia="Arial" w:hAnsi="Arial"/>
          <w:sz w:val="19"/>
          <w:szCs w:val="19"/>
          <w:color w:val="auto"/>
        </w:rPr>
        <w:t>” has the meaning assigned to such term in the definition of “Maturity Limitation Excluded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Amount”.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Subject Loans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2.11(i)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Subject Transactions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clause 1(g)</w:t>
      </w:r>
      <w:r>
        <w:rPr>
          <w:rFonts w:ascii="Arial" w:cs="Arial" w:eastAsia="Arial" w:hAnsi="Arial"/>
          <w:sz w:val="19"/>
          <w:szCs w:val="19"/>
          <w:color w:val="auto"/>
        </w:rPr>
        <w:t xml:space="preserve"> of the definition of “Consolidated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EBITDA”.</w:t>
      </w:r>
    </w:p>
    <w:p>
      <w:pPr>
        <w:spacing w:after="0" w:line="16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Subordinated Indebtedness</w:t>
      </w:r>
      <w:r>
        <w:rPr>
          <w:rFonts w:ascii="Arial" w:cs="Arial" w:eastAsia="Arial" w:hAnsi="Arial"/>
          <w:sz w:val="21"/>
          <w:szCs w:val="21"/>
          <w:color w:val="auto"/>
        </w:rPr>
        <w:t>” means Indebtedness incurred by a Loan Party that is contractually subordinated in right of payment to the prior payment of all Obligations of such Loan Party under the Loan Documents.</w:t>
      </w:r>
    </w:p>
    <w:p>
      <w:pPr>
        <w:spacing w:after="0" w:line="15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(the “</w:t>
      </w:r>
      <w:r>
        <w:rPr>
          <w:rFonts w:ascii="Arial" w:cs="Arial" w:eastAsia="Arial" w:hAnsi="Arial"/>
          <w:sz w:val="22"/>
          <w:szCs w:val="22"/>
          <w:u w:val="single" w:color="auto"/>
          <w:color w:val="auto"/>
        </w:rPr>
        <w:t>parent</w:t>
      </w:r>
      <w:r>
        <w:rPr>
          <w:rFonts w:ascii="Arial" w:cs="Arial" w:eastAsia="Arial" w:hAnsi="Arial"/>
          <w:sz w:val="22"/>
          <w:szCs w:val="22"/>
          <w:color w:val="auto"/>
        </w:rPr>
        <w:t>”) at any date, any corporation, company, limited liability company, partnership, association or other entity of which securities or other ownership interests representing more than 50% of the ordinary voting power for the election of the members of the governing body or, in the case of a partnership, more than 50% of the general partnership interests are, as of such date, owned or controlled by the parent and/or one or more subsidiaries of the parent.</w:t>
      </w:r>
    </w:p>
    <w:p>
      <w:pPr>
        <w:spacing w:after="0" w:line="158"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means any existing and future direct or indirect subsidiary of Holdings;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reference to a Subsidiary of Holdings or the Borrower shall refer solely to the subsidiaries of Holdings or the Borrower, as applicable.</w:t>
      </w:r>
    </w:p>
    <w:p>
      <w:pPr>
        <w:spacing w:after="0" w:line="105" w:lineRule="exact"/>
        <w:rPr>
          <w:sz w:val="20"/>
          <w:szCs w:val="20"/>
          <w:color w:val="auto"/>
        </w:rPr>
      </w:pPr>
    </w:p>
    <w:p>
      <w:pPr>
        <w:ind w:left="1300" w:right="1120"/>
        <w:spacing w:after="0" w:line="4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Successor Alternative Benchmark Rate</w:t>
      </w:r>
      <w:r>
        <w:rPr>
          <w:rFonts w:ascii="Arial" w:cs="Arial" w:eastAsia="Arial" w:hAnsi="Arial"/>
          <w:sz w:val="21"/>
          <w:szCs w:val="21"/>
          <w:color w:val="auto"/>
        </w:rPr>
        <w:t>” has the meaning set forth in the definition of “Term SOFR.” “</w:t>
      </w:r>
      <w:r>
        <w:rPr>
          <w:rFonts w:ascii="Arial" w:cs="Arial" w:eastAsia="Arial" w:hAnsi="Arial"/>
          <w:sz w:val="21"/>
          <w:szCs w:val="21"/>
          <w:u w:val="single" w:color="auto"/>
          <w:color w:val="auto"/>
        </w:rPr>
        <w:t>Successor Holdings</w:t>
      </w:r>
      <w:r>
        <w:rPr>
          <w:rFonts w:ascii="Arial" w:cs="Arial" w:eastAsia="Arial" w:hAnsi="Arial"/>
          <w:sz w:val="21"/>
          <w:szCs w:val="21"/>
          <w:color w:val="auto"/>
        </w:rPr>
        <w:t xml:space="preserve">” has the meaning assigned to such term in </w:t>
      </w:r>
      <w:r>
        <w:rPr>
          <w:rFonts w:ascii="Arial" w:cs="Arial" w:eastAsia="Arial" w:hAnsi="Arial"/>
          <w:sz w:val="21"/>
          <w:szCs w:val="21"/>
          <w:u w:val="single" w:color="auto"/>
          <w:color w:val="auto"/>
        </w:rPr>
        <w:t>Section 6.14(d)(i)</w:t>
      </w:r>
      <w:r>
        <w:rPr>
          <w:rFonts w:ascii="Arial" w:cs="Arial" w:eastAsia="Arial" w:hAnsi="Arial"/>
          <w:sz w:val="21"/>
          <w:szCs w:val="21"/>
          <w:color w:val="auto"/>
        </w:rPr>
        <w:t>.</w:t>
      </w:r>
    </w:p>
    <w:p>
      <w:pPr>
        <w:spacing w:after="0" w:line="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Agreement</w:t>
      </w:r>
      <w:r>
        <w:rPr>
          <w:rFonts w:ascii="Arial" w:cs="Arial" w:eastAsia="Arial" w:hAnsi="Arial"/>
          <w:sz w:val="19"/>
          <w:szCs w:val="19"/>
          <w:color w:val="auto"/>
        </w:rPr>
        <w:t>” means (a) any and all rate swap transactions, basis swaps, credit derivative transactions, forward rate transactions, commodity swaps, commodity options, forward contracts, future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repurchase agreements, reverse repurchase agreements, sell buy back and buy sell back agreements, and securities lending and borrowing agreements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61" w:name="page362"/>
    <w:bookmarkEnd w:id="361"/>
    <w:p>
      <w:pPr>
        <w:jc w:val="both"/>
        <w:spacing w:after="0" w:line="298" w:lineRule="auto"/>
        <w:rPr>
          <w:sz w:val="20"/>
          <w:szCs w:val="20"/>
          <w:color w:val="auto"/>
        </w:rPr>
      </w:pPr>
      <w:r>
        <w:rPr>
          <w:rFonts w:ascii="Arial" w:cs="Arial" w:eastAsia="Arial" w:hAnsi="Arial"/>
          <w:sz w:val="19"/>
          <w:szCs w:val="19"/>
          <w:color w:val="auto"/>
        </w:rPr>
        <w:t>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05"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means, with respect to any Person, any obligation to pay or perform under any agreement, contract or transaction that constitutes a “swap” within the meaning of Section 1a(47) of the Commodity Exchange Act.</w:t>
      </w:r>
    </w:p>
    <w:p>
      <w:pPr>
        <w:spacing w:after="0" w:line="105"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Termination Value</w:t>
      </w:r>
      <w:r>
        <w:rPr>
          <w:rFonts w:ascii="Arial" w:cs="Arial" w:eastAsia="Arial" w:hAnsi="Arial"/>
          <w:sz w:val="21"/>
          <w:szCs w:val="21"/>
          <w:color w:val="auto"/>
        </w:rPr>
        <w:t xml:space="preserve">” means, in respect of any one or more Secured Swap Agreements, after taking into account the effect of any legally enforceable netting agreement relating to such Secured Swap Agreements, (a) for any date on or after the date such Secured Swap Agreements have been closed out and termination value(s) determined in accordance therewith, such termination value(s), and (b) for any date prior to the date referenced in </w:t>
      </w:r>
      <w:r>
        <w:rPr>
          <w:rFonts w:ascii="Arial" w:cs="Arial" w:eastAsia="Arial" w:hAnsi="Arial"/>
          <w:sz w:val="21"/>
          <w:szCs w:val="21"/>
          <w:u w:val="single" w:color="auto"/>
          <w:color w:val="auto"/>
        </w:rPr>
        <w:t>clause (a)</w:t>
      </w:r>
      <w:r>
        <w:rPr>
          <w:rFonts w:ascii="Arial" w:cs="Arial" w:eastAsia="Arial" w:hAnsi="Arial"/>
          <w:sz w:val="21"/>
          <w:szCs w:val="21"/>
          <w:color w:val="auto"/>
        </w:rPr>
        <w:t>, the amount(s) determined as the mark to market value(s) for such Secured Swap Agreements, as determined by the Lender Counterparty and the Borrower in accordance with the terms thereof and in accordance with customary methods for calculating mark-to-market values under similar arrangements by the Lender Counterparty and the Borrower.</w:t>
      </w:r>
    </w:p>
    <w:p>
      <w:pPr>
        <w:spacing w:after="0" w:line="16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Exposure</w:t>
      </w:r>
      <w:r>
        <w:rPr>
          <w:rFonts w:ascii="Arial" w:cs="Arial" w:eastAsia="Arial" w:hAnsi="Arial"/>
          <w:sz w:val="22"/>
          <w:szCs w:val="22"/>
          <w:color w:val="auto"/>
        </w:rPr>
        <w:t>” means, at any time, the aggregate principal amount of all Swingline Loans outstanding at such time. The Swingline Exposure of any Lender at any time shall be its Applicable Percentage of the total Swingline Exposure at such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means Barclays, in its capacity as lender of Swingline Loans hereunder.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Section 2.04(a)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w:t>
      </w:r>
      <w:r>
        <w:rPr>
          <w:rFonts w:ascii="Arial" w:cs="Arial" w:eastAsia="Arial" w:hAnsi="Arial"/>
          <w:sz w:val="19"/>
          <w:szCs w:val="19"/>
          <w:color w:val="auto"/>
        </w:rPr>
        <w:t>” means, as to any Person, any lease (including leases that may be terminated by the lessee at any time) of any property (whether real, personal or mixed) that is designed to permit the lessee (a) to treat such lease as an operating lease, or not to reflect the leased property on the lessee’s balance sheet, under GAAP and (b) to claim depreciation on such property for U.S. federal income tax purposes, other than any such lease under which such Person is the lessor.</w:t>
      </w:r>
    </w:p>
    <w:p>
      <w:pPr>
        <w:spacing w:after="0" w:line="144"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Synthetic Lease Obligations</w:t>
      </w:r>
      <w:r>
        <w:rPr>
          <w:rFonts w:ascii="Arial" w:cs="Arial" w:eastAsia="Arial" w:hAnsi="Arial"/>
          <w:sz w:val="22"/>
          <w:szCs w:val="22"/>
          <w:color w:val="auto"/>
        </w:rPr>
        <w:t>” of any Person means the obligations of such Person to pay rent or other amounts under any Synthetic Lease, and the amount of such obligations shall be equal to the sum (without duplication) of (a) the capitalized amount thereof that would appear on a balance sheet of such Person in accordance with GAAP if such obligations were accounted for as Capital Lease Obligations and (b) the amount payable by such Person as the purchase price for the property subject to such lease assuming the lessee exercises the option to purchase such property at the end of the term of such lease.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Person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present or future local, domestic or foreign taxes, levies, imposts, duties, deductions, assessments, fees, other charges or withholdings imposed by any Governmental Authority, including any interest, additions to tax or penalties applicable thereto.</w:t>
      </w:r>
    </w:p>
    <w:p>
      <w:pPr>
        <w:spacing w:after="0" w:line="15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Commitment</w:t>
      </w:r>
      <w:r>
        <w:rPr>
          <w:rFonts w:ascii="Arial" w:cs="Arial" w:eastAsia="Arial" w:hAnsi="Arial"/>
          <w:sz w:val="21"/>
          <w:szCs w:val="21"/>
          <w:color w:val="auto"/>
        </w:rPr>
        <w:t xml:space="preserve">” means, with respect to each Term Lender, the commitment of such Term Lender to make a Term Loan hereunder on the Closing Date, expressed as an amount representing the maximum principal amount of the Term Loans to be made by such Term Lender hereunder, as such commitment may be (a) reduced from time to time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2.08</w:t>
      </w:r>
      <w:r>
        <w:rPr>
          <w:rFonts w:ascii="Arial" w:cs="Arial" w:eastAsia="Arial" w:hAnsi="Arial"/>
          <w:sz w:val="21"/>
          <w:szCs w:val="21"/>
          <w:color w:val="auto"/>
        </w:rPr>
        <w:t xml:space="preserve"> and (b) reduced or increased from time to time pursuant to assignments by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62" w:name="page363"/>
    <w:bookmarkEnd w:id="362"/>
    <w:p>
      <w:pPr>
        <w:jc w:val="both"/>
        <w:spacing w:after="0" w:line="247" w:lineRule="auto"/>
        <w:rPr>
          <w:sz w:val="20"/>
          <w:szCs w:val="20"/>
          <w:color w:val="auto"/>
        </w:rPr>
      </w:pPr>
      <w:r>
        <w:rPr>
          <w:rFonts w:ascii="Arial" w:cs="Arial" w:eastAsia="Arial" w:hAnsi="Arial"/>
          <w:sz w:val="21"/>
          <w:szCs w:val="21"/>
          <w:color w:val="auto"/>
        </w:rPr>
        <w:t xml:space="preserve">such Term Lender pursuant to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The initial amount of each Term Lender’s Term Commitment is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2.01(a)</w:t>
      </w:r>
      <w:r>
        <w:rPr>
          <w:rFonts w:ascii="Arial" w:cs="Arial" w:eastAsia="Arial" w:hAnsi="Arial"/>
          <w:sz w:val="21"/>
          <w:szCs w:val="21"/>
          <w:color w:val="auto"/>
        </w:rPr>
        <w:t>. The aggregate principal amount of the Term Commitments as of the Closing Date is $545,000,000.</w:t>
      </w:r>
    </w:p>
    <w:p>
      <w:pPr>
        <w:spacing w:after="0" w:line="151"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Date</w:t>
      </w:r>
      <w:r>
        <w:rPr>
          <w:rFonts w:ascii="Arial" w:cs="Arial" w:eastAsia="Arial" w:hAnsi="Arial"/>
          <w:sz w:val="21"/>
          <w:szCs w:val="21"/>
          <w:color w:val="auto"/>
        </w:rPr>
        <w:t xml:space="preserve">” means the date upon which (i) all of the Obligations (other than (A) as set forth in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and (B) contingent indemnification obligations not yet due and payable) have been paid in full, (ii) all Letters of Credit have been cancelled, Cash Collateralized or otherwise backstopped on terms reasonably satisfactory to the applicable Issuing Bank (including by “</w:t>
      </w:r>
      <w:r>
        <w:rPr>
          <w:rFonts w:ascii="Arial" w:cs="Arial" w:eastAsia="Arial" w:hAnsi="Arial"/>
          <w:sz w:val="21"/>
          <w:szCs w:val="21"/>
          <w:u w:val="single" w:color="auto"/>
          <w:color w:val="auto"/>
        </w:rPr>
        <w:t>grandfathering</w:t>
      </w:r>
      <w:r>
        <w:rPr>
          <w:rFonts w:ascii="Arial" w:cs="Arial" w:eastAsia="Arial" w:hAnsi="Arial"/>
          <w:sz w:val="21"/>
          <w:szCs w:val="21"/>
          <w:color w:val="auto"/>
        </w:rPr>
        <w:t>” on terms reasonably acceptable to the applicable Issuing Bank of the applicable Letters of Credit into a future credit facility) and (iii) all Commitments have expired or been terminated.</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Lender</w:t>
      </w:r>
      <w:r>
        <w:rPr>
          <w:rFonts w:ascii="Arial" w:cs="Arial" w:eastAsia="Arial" w:hAnsi="Arial"/>
          <w:sz w:val="22"/>
          <w:szCs w:val="22"/>
          <w:color w:val="auto"/>
        </w:rPr>
        <w:t>” means a Lender with an outstanding Term Commitment or an outstanding Term Loan.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Exchange Effective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2.25(a)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Exchange Notes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2.25(a)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Maturity Date</w:t>
      </w:r>
      <w:r>
        <w:rPr>
          <w:rFonts w:ascii="Arial" w:cs="Arial" w:eastAsia="Arial" w:hAnsi="Arial"/>
          <w:sz w:val="19"/>
          <w:szCs w:val="19"/>
          <w:color w:val="auto"/>
        </w:rPr>
        <w:t xml:space="preserve"> ” means, with respect to (a) the Initial Term Loans, the seventh anniversary of the Closing Date (or if such anniversary is not a Business Day, the next preceding Business Day) and (b) any Incremental Term Loan, Other Term Loan or Extended Term Loan, as provided in the respective documentation therefor, but, as to any specific Term Loan, as the maturity of such Term Loan shall have been extended by the holder thereof in accordance with the terms hereof.</w:t>
      </w:r>
    </w:p>
    <w:p>
      <w:pPr>
        <w:spacing w:after="0" w:line="14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Loans</w:t>
      </w:r>
      <w:r>
        <w:rPr>
          <w:rFonts w:ascii="Arial" w:cs="Arial" w:eastAsia="Arial" w:hAnsi="Arial"/>
          <w:sz w:val="19"/>
          <w:szCs w:val="19"/>
          <w:color w:val="auto"/>
        </w:rPr>
        <w:t xml:space="preserve">” means the Initial Term Loans made hereunder on the Closing Date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and, if and as applicable after the Closing Date, any other Initial Term Loans (including the 2019 Incremental Term Loans), Extended Term Loans, Incremental Term Loans, Other Term Loans or Refinanced Term Loans, as the context may require.</w:t>
      </w:r>
    </w:p>
    <w:p>
      <w:pPr>
        <w:spacing w:after="0" w:line="13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Note</w:t>
      </w:r>
      <w:r>
        <w:rPr>
          <w:rFonts w:ascii="Arial" w:cs="Arial" w:eastAsia="Arial" w:hAnsi="Arial"/>
          <w:sz w:val="22"/>
          <w:szCs w:val="22"/>
          <w:color w:val="auto"/>
        </w:rPr>
        <w:t xml:space="preserve">” means a promissory note of the Borrower payable to any Lender or its registered assigns, in substantially the form of </w:t>
      </w:r>
      <w:r>
        <w:rPr>
          <w:rFonts w:ascii="Arial" w:cs="Arial" w:eastAsia="Arial" w:hAnsi="Arial"/>
          <w:sz w:val="22"/>
          <w:szCs w:val="22"/>
          <w:u w:val="single" w:color="auto"/>
          <w:color w:val="auto"/>
        </w:rPr>
        <w:t>Exhibit F-1</w:t>
      </w:r>
      <w:r>
        <w:rPr>
          <w:rFonts w:ascii="Arial" w:cs="Arial" w:eastAsia="Arial" w:hAnsi="Arial"/>
          <w:sz w:val="22"/>
          <w:szCs w:val="22"/>
          <w:color w:val="auto"/>
        </w:rPr>
        <w:t xml:space="preserve"> hereto, evidencing the aggregate Indebtedness of the Borrower to such Lender resulting from the Term Loans made by such Lender.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 means,</w:t>
      </w:r>
    </w:p>
    <w:p>
      <w:pPr>
        <w:spacing w:after="0" w:line="179" w:lineRule="exact"/>
        <w:rPr>
          <w:sz w:val="20"/>
          <w:szCs w:val="20"/>
          <w:color w:val="auto"/>
        </w:rPr>
      </w:pPr>
    </w:p>
    <w:p>
      <w:pPr>
        <w:jc w:val="both"/>
        <w:ind w:firstLine="1304"/>
        <w:spacing w:after="0" w:line="243" w:lineRule="auto"/>
        <w:tabs>
          <w:tab w:leader="none" w:pos="1940" w:val="left"/>
        </w:tabs>
        <w:numPr>
          <w:ilvl w:val="0"/>
          <w:numId w:val="357"/>
        </w:numPr>
        <w:rPr>
          <w:rFonts w:ascii="Arial" w:cs="Arial" w:eastAsia="Arial" w:hAnsi="Arial"/>
          <w:sz w:val="19"/>
          <w:szCs w:val="19"/>
          <w:color w:val="auto"/>
        </w:rPr>
      </w:pPr>
      <w:r>
        <w:rPr>
          <w:rFonts w:ascii="Arial" w:cs="Arial" w:eastAsia="Arial" w:hAnsi="Arial"/>
          <w:sz w:val="19"/>
          <w:szCs w:val="19"/>
          <w:color w:val="auto"/>
        </w:rPr>
        <w:t>for any calculation with respect to a Term SOFR Loan</w:t>
      </w:r>
      <w:r>
        <w:rPr>
          <w:rFonts w:ascii="Arial" w:cs="Arial" w:eastAsia="Arial" w:hAnsi="Arial"/>
          <w:sz w:val="19"/>
          <w:szCs w:val="19"/>
          <w:color w:val="FF0000"/>
          <w:strike w:val="1"/>
        </w:rPr>
        <w:t>,</w:t>
      </w:r>
      <w:r>
        <w:rPr>
          <w:rFonts w:ascii="Arial" w:cs="Arial" w:eastAsia="Arial" w:hAnsi="Arial"/>
          <w:sz w:val="19"/>
          <w:szCs w:val="19"/>
          <w:color w:val="auto"/>
        </w:rPr>
        <w:t xml:space="preserve">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as of 5:00 p.m. (New York City time) on any Periodic Term SOFR Determination Day the Term SOFR Reference Rate for the applicable tenor has not been published by the Term SOFR Administrator, then, at the option of the Borrower communicated to the Administrative Agent in writing on such Periodic Term SOFR Determination Day, (i)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Periodic Term SOFR Determination Day or (ii) Term SOFR shall be deemed to equal Daily Simple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63" w:name="page364"/>
    <w:bookmarkEnd w:id="363"/>
    <w:p>
      <w:pPr>
        <w:spacing w:after="0" w:line="298" w:lineRule="auto"/>
        <w:rPr>
          <w:sz w:val="20"/>
          <w:szCs w:val="20"/>
          <w:color w:val="auto"/>
        </w:rPr>
      </w:pPr>
      <w:r>
        <w:rPr>
          <w:rFonts w:ascii="Arial" w:cs="Arial" w:eastAsia="Arial" w:hAnsi="Arial"/>
          <w:sz w:val="19"/>
          <w:szCs w:val="19"/>
          <w:color w:val="auto"/>
        </w:rPr>
        <w:t>for each day the applicable Loan remains outstanding and, in each case, to the extent determined in accordance with this proviso, adequate and reasonable means shall be deemed to exist for ascertaining the Term SOFR for such Interest Period, and</w:t>
      </w:r>
    </w:p>
    <w:p>
      <w:pPr>
        <w:spacing w:after="0" w:line="105" w:lineRule="exact"/>
        <w:rPr>
          <w:sz w:val="20"/>
          <w:szCs w:val="20"/>
          <w:color w:val="auto"/>
        </w:rPr>
      </w:pPr>
    </w:p>
    <w:p>
      <w:pPr>
        <w:jc w:val="both"/>
        <w:ind w:firstLine="1304"/>
        <w:spacing w:after="0" w:line="244" w:lineRule="auto"/>
        <w:tabs>
          <w:tab w:leader="none" w:pos="1807" w:val="left"/>
        </w:tabs>
        <w:numPr>
          <w:ilvl w:val="0"/>
          <w:numId w:val="358"/>
        </w:numPr>
        <w:rPr>
          <w:rFonts w:ascii="Arial" w:cs="Arial" w:eastAsia="Arial" w:hAnsi="Arial"/>
          <w:sz w:val="19"/>
          <w:szCs w:val="19"/>
          <w:color w:val="auto"/>
        </w:rPr>
      </w:pPr>
      <w:r>
        <w:rPr>
          <w:rFonts w:ascii="Arial" w:cs="Arial" w:eastAsia="Arial" w:hAnsi="Arial"/>
          <w:sz w:val="19"/>
          <w:szCs w:val="19"/>
          <w:color w:val="auto"/>
        </w:rPr>
        <w:t xml:space="preserve">for any calculation with respect to an ABR Loan on any day, the Term SOFR Reference Rate for a tenor of one month on the day (such day, the “Base Rate Term SOFR Determination Day”) that is two (2) U.S. Government Securities Business Days prior to such day, as such rate is published by the Term SOFR Administrator;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as of 5:00 p.m. (New York City time) on any Base Rate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Base Rate Term SOFR Determination Day;</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(i) the Borrower and the Administrative Agent reasonably determine in good faith that an interest rate is not ascertainable pursuant to the foregoing provisions of this definition and the inability to ascertain such rate is unlikely to be temporary, (ii) the Relevant Governmental Body has made a public statement identifying a specific date after which all tenors of Term SOFR (including any forward-looking term rate thereof) shall or will no longer be representative or made available, or used for determining the interest rate of loans denominated in Dollars, or shall or will otherwise cease,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of clauses (i) and (ii), at the time of such statement, there is no successor administrator that is reasonably satisfactory to the Administrative Agent that will continue to provide such representative tenor(s) of Term SOFR or (iii) if at any time Term SOFR is determined pursuant to clause (ii) of the proviso to clause (a) above, the Borrower and the Administrative Agent determine that syndicated loans in the United States are being incurred or converted to a term rate (whether or not based on SOFR) (any such even or circumstance in the foregoing clauses (i) - (iii) of this proviso, a “</w:t>
      </w:r>
      <w:r>
        <w:rPr>
          <w:rFonts w:ascii="Arial" w:cs="Arial" w:eastAsia="Arial" w:hAnsi="Arial"/>
          <w:sz w:val="19"/>
          <w:szCs w:val="19"/>
          <w:u w:val="single" w:color="auto"/>
          <w:color w:val="auto"/>
        </w:rPr>
        <w:t>Replacement Event</w:t>
      </w:r>
      <w:r>
        <w:rPr>
          <w:rFonts w:ascii="Arial" w:cs="Arial" w:eastAsia="Arial" w:hAnsi="Arial"/>
          <w:sz w:val="19"/>
          <w:szCs w:val="19"/>
          <w:color w:val="auto"/>
        </w:rPr>
        <w:t>”), “Term SOFR” shall be an alternate rate of interest established by the Administrative Agent and the Borrower that is generally accepted as one of the then prevailing market conventions for determining a rate of interest for similar syndicated loans in the United States at such time, which shall include (A) the spread or method for determining a spread or other adjustment or modification that is generally accepted as the then prevailing market convention for determining such spread, method, adjustment or modification and (B) other adjustments to such alternate rate and this Agreement (x) to not increase or decrease pricing in effect at the time of selection of such alternate rate (but for the avoidance of doubt which would not reduce the Applicable Margin) and (y) other changes necessary to reflect the available interest periods for such alternate rate for similar syndicated leveraged loans of this type in the United States at such time (any such rate, the “</w:t>
      </w:r>
      <w:r>
        <w:rPr>
          <w:rFonts w:ascii="Arial" w:cs="Arial" w:eastAsia="Arial" w:hAnsi="Arial"/>
          <w:sz w:val="19"/>
          <w:szCs w:val="19"/>
          <w:u w:val="single" w:color="auto"/>
          <w:color w:val="auto"/>
        </w:rPr>
        <w:t>Successor Alternative Benchmark Rate</w:t>
      </w:r>
      <w:r>
        <w:rPr>
          <w:rFonts w:ascii="Arial" w:cs="Arial" w:eastAsia="Arial" w:hAnsi="Arial"/>
          <w:sz w:val="19"/>
          <w:szCs w:val="19"/>
          <w:color w:val="auto"/>
        </w:rPr>
        <w:t xml:space="preserve">”). The Administrative Agent and the Borrower shall be entitled to enter into an amendment to this Agreement to reflect such alternate rate of interest and such other related changes to this Agreement as may be applicable (and amend this Agreement from time to time to update any such terms to reflect evolving market conventions) and, notwithstanding anything to the contrary in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w:t>
      </w:r>
      <w:r>
        <w:rPr>
          <w:rFonts w:ascii="Arial" w:cs="Arial" w:eastAsia="Arial" w:hAnsi="Arial"/>
          <w:sz w:val="19"/>
          <w:szCs w:val="19"/>
          <w:i w:val="1"/>
          <w:iCs w:val="1"/>
          <w:color w:val="auto"/>
        </w:rPr>
        <w:t>Waivers</w:t>
      </w:r>
      <w:r>
        <w:rPr>
          <w:rFonts w:ascii="Arial" w:cs="Arial" w:eastAsia="Arial" w:hAnsi="Arial"/>
          <w:sz w:val="19"/>
          <w:szCs w:val="19"/>
          <w:color w:val="auto"/>
        </w:rPr>
        <w:t xml:space="preserve">, </w:t>
      </w:r>
      <w:r>
        <w:rPr>
          <w:rFonts w:ascii="Arial" w:cs="Arial" w:eastAsia="Arial" w:hAnsi="Arial"/>
          <w:sz w:val="19"/>
          <w:szCs w:val="19"/>
          <w:i w:val="1"/>
          <w:iCs w:val="1"/>
          <w:color w:val="auto"/>
        </w:rPr>
        <w:t>Amendments</w:t>
      </w:r>
      <w:r>
        <w:rPr>
          <w:rFonts w:ascii="Arial" w:cs="Arial" w:eastAsia="Arial" w:hAnsi="Arial"/>
          <w:sz w:val="19"/>
          <w:szCs w:val="19"/>
          <w:color w:val="auto"/>
        </w:rPr>
        <w:t xml:space="preserve">), such amendment shall, in each case, become effective without any further action or consent of any other party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a Successor Alternative Benchmark Rate has not been established pursuant to the immediately preceding proviso after the Borrower and the Administrative Agent have reached such a determination, the Borrower and the Required Lenders may select a different alternate rate as long as it is reasonably practicable for the Administrative Agent to administer such different rate and, upon not less than fifteen (15) Business Days’ prior written notice to the Administrative Agent, the Required Lenders and the Borrower shall enter into an amendment to this Agreement to reflect such alternate rate of interest and such other related changes to this Agreement as may be applicable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64" w:name="page365"/>
    <w:bookmarkEnd w:id="364"/>
    <w:p>
      <w:pPr>
        <w:jc w:val="both"/>
        <w:spacing w:after="0" w:line="252" w:lineRule="auto"/>
        <w:rPr>
          <w:sz w:val="20"/>
          <w:szCs w:val="20"/>
          <w:color w:val="auto"/>
        </w:rPr>
      </w:pPr>
      <w:r>
        <w:rPr>
          <w:rFonts w:ascii="Arial" w:cs="Arial" w:eastAsia="Arial" w:hAnsi="Arial"/>
          <w:sz w:val="19"/>
          <w:szCs w:val="19"/>
          <w:color w:val="auto"/>
        </w:rPr>
        <w:t xml:space="preserve">notwithstanding anything to the contrary in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w:t>
      </w:r>
      <w:r>
        <w:rPr>
          <w:rFonts w:ascii="Arial" w:cs="Arial" w:eastAsia="Arial" w:hAnsi="Arial"/>
          <w:sz w:val="19"/>
          <w:szCs w:val="19"/>
          <w:i w:val="1"/>
          <w:iCs w:val="1"/>
          <w:color w:val="auto"/>
        </w:rPr>
        <w:t>Waivers, Amendments</w:t>
      </w:r>
      <w:r>
        <w:rPr>
          <w:rFonts w:ascii="Arial" w:cs="Arial" w:eastAsia="Arial" w:hAnsi="Arial"/>
          <w:sz w:val="19"/>
          <w:szCs w:val="19"/>
          <w:color w:val="auto"/>
        </w:rPr>
        <w:t xml:space="preserve"> ), such amendment shall become effective without any further action or consent of any other party to this Agreement. For the avoidance of doubt, if a Replacement Event occurs, the Applicable Margin for any Loan shall be determined in accordance with the proviso to clause (a) or (b) of this definition, as applicable, until the date a Successor Alternative Benchmark Rate or other alternate term rate determined pursuant to the proviso above has been established in accordance with the requirements of this definition.</w:t>
      </w:r>
    </w:p>
    <w:p>
      <w:pPr>
        <w:spacing w:after="0" w:line="14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u w:val="single" w:color="auto"/>
          <w:color w:val="0000FF"/>
        </w:rPr>
        <w:t>“Term SOFR Adjustment” means for any calculation, (i</w:t>
      </w:r>
      <w:r>
        <w:rPr>
          <w:rFonts w:ascii="Arial" w:cs="Arial" w:eastAsia="Arial" w:hAnsi="Arial"/>
          <w:sz w:val="19"/>
          <w:szCs w:val="19"/>
          <w:u w:val="single" w:color="auto"/>
          <w:color w:val="008000"/>
        </w:rPr>
        <w:t>) with respect to Revolving Loans,</w:t>
      </w:r>
      <w:r>
        <w:rPr>
          <w:rFonts w:ascii="Arial" w:cs="Arial" w:eastAsia="Arial" w:hAnsi="Arial"/>
          <w:sz w:val="19"/>
          <w:szCs w:val="19"/>
          <w:u w:val="single" w:color="auto"/>
          <w:color w:val="0000FF"/>
        </w:rPr>
        <w:t xml:space="preserve"> 0.00% per annum, and (ii) with respect to a Term Loans, a percentage per annum as set forth below </w:t>
      </w:r>
      <w:r>
        <w:rPr>
          <w:rFonts w:ascii="Arial" w:cs="Arial" w:eastAsia="Arial" w:hAnsi="Arial"/>
          <w:sz w:val="19"/>
          <w:szCs w:val="19"/>
          <w:u w:val="single" w:color="auto"/>
          <w:color w:val="008000"/>
        </w:rPr>
        <w:t>for the applicable Interest Period</w:t>
      </w:r>
      <w:r>
        <w:rPr>
          <w:rFonts w:ascii="Arial" w:cs="Arial" w:eastAsia="Arial" w:hAnsi="Arial"/>
          <w:sz w:val="19"/>
          <w:szCs w:val="19"/>
          <w:u w:val="single" w:color="auto"/>
          <w:color w:val="0000FF"/>
        </w:rPr>
        <w:t xml:space="preserve"> therefor:</w:t>
      </w:r>
    </w:p>
    <w:p>
      <w:pPr>
        <w:spacing w:after="0" w:line="147" w:lineRule="exact"/>
        <w:rPr>
          <w:sz w:val="20"/>
          <w:szCs w:val="20"/>
          <w:color w:val="auto"/>
        </w:rPr>
      </w:pPr>
    </w:p>
    <w:tbl>
      <w:tblPr>
        <w:tblLayout w:type="fixed"/>
        <w:tblInd w:w="1230" w:type="dxa"/>
        <w:tblCellMar>
          <w:top w:w="0" w:type="dxa"/>
          <w:left w:w="0" w:type="dxa"/>
          <w:bottom w:w="0" w:type="dxa"/>
          <w:right w:w="0" w:type="dxa"/>
        </w:tblCellMar>
      </w:tblPr>
      <w:tr>
        <w:trPr>
          <w:trHeight w:val="229"/>
        </w:trPr>
        <w:tc>
          <w:tcPr>
            <w:tcW w:w="3380" w:type="dxa"/>
            <w:vAlign w:val="bottom"/>
            <w:tcBorders>
              <w:top w:val="single" w:sz="8" w:color="auto"/>
              <w:left w:val="single" w:sz="8" w:color="auto"/>
              <w:bottom w:val="single" w:sz="8" w:color="auto"/>
              <w:right w:val="single" w:sz="8" w:color="auto"/>
            </w:tcBorders>
            <w:gridSpan w:val="8"/>
            <w:shd w:val="clear" w:color="auto" w:fill="E6E6FA"/>
          </w:tcPr>
          <w:p>
            <w:pPr>
              <w:jc w:val="center"/>
              <w:ind w:right="20"/>
              <w:spacing w:after="0"/>
              <w:rPr>
                <w:sz w:val="20"/>
                <w:szCs w:val="20"/>
                <w:color w:val="auto"/>
              </w:rPr>
            </w:pPr>
            <w:r>
              <w:rPr>
                <w:rFonts w:ascii="Arial" w:cs="Arial" w:eastAsia="Arial" w:hAnsi="Arial"/>
                <w:sz w:val="16"/>
                <w:szCs w:val="16"/>
                <w:b w:val="1"/>
                <w:bCs w:val="1"/>
                <w:color w:val="0000FF"/>
                <w:w w:val="92"/>
              </w:rPr>
              <w:t>Interest Period</w:t>
            </w:r>
          </w:p>
        </w:tc>
        <w:tc>
          <w:tcPr>
            <w:tcW w:w="3460" w:type="dxa"/>
            <w:vAlign w:val="bottom"/>
            <w:tcBorders>
              <w:top w:val="single" w:sz="8" w:color="auto"/>
              <w:bottom w:val="single" w:sz="8" w:color="auto"/>
              <w:right w:val="single" w:sz="8" w:color="auto"/>
            </w:tcBorders>
            <w:gridSpan w:val="5"/>
            <w:shd w:val="clear" w:color="auto" w:fill="E6E6FA"/>
          </w:tcPr>
          <w:p>
            <w:pPr>
              <w:jc w:val="center"/>
              <w:ind w:right="20"/>
              <w:spacing w:after="0"/>
              <w:rPr>
                <w:sz w:val="20"/>
                <w:szCs w:val="20"/>
                <w:color w:val="auto"/>
              </w:rPr>
            </w:pPr>
            <w:r>
              <w:rPr>
                <w:rFonts w:ascii="Arial" w:cs="Arial" w:eastAsia="Arial" w:hAnsi="Arial"/>
                <w:sz w:val="16"/>
                <w:szCs w:val="16"/>
                <w:b w:val="1"/>
                <w:bCs w:val="1"/>
                <w:color w:val="0000FF"/>
                <w:w w:val="88"/>
              </w:rPr>
              <w:t>Percentage</w:t>
            </w:r>
          </w:p>
        </w:tc>
      </w:tr>
      <w:tr>
        <w:trPr>
          <w:trHeight w:val="209"/>
        </w:trPr>
        <w:tc>
          <w:tcPr>
            <w:tcW w:w="1160" w:type="dxa"/>
            <w:vAlign w:val="bottom"/>
            <w:tcBorders>
              <w:left w:val="single" w:sz="8" w:color="auto"/>
              <w:bottom w:val="single" w:sz="8" w:color="auto"/>
            </w:tcBorders>
            <w:shd w:val="clear" w:color="auto" w:fill="E6E6FA"/>
          </w:tcPr>
          <w:p>
            <w:pPr>
              <w:spacing w:after="0"/>
              <w:rPr>
                <w:sz w:val="18"/>
                <w:szCs w:val="18"/>
                <w:color w:val="auto"/>
              </w:rPr>
            </w:pPr>
          </w:p>
        </w:tc>
        <w:tc>
          <w:tcPr>
            <w:tcW w:w="80" w:type="dxa"/>
            <w:vAlign w:val="bottom"/>
            <w:tcBorders>
              <w:bottom w:val="single" w:sz="8" w:color="auto"/>
            </w:tcBorders>
            <w:shd w:val="clear" w:color="auto" w:fill="E6E6FA"/>
          </w:tcPr>
          <w:p>
            <w:pPr>
              <w:spacing w:after="0"/>
              <w:rPr>
                <w:sz w:val="18"/>
                <w:szCs w:val="18"/>
                <w:color w:val="auto"/>
              </w:rPr>
            </w:pPr>
          </w:p>
        </w:tc>
        <w:tc>
          <w:tcPr>
            <w:tcW w:w="80" w:type="dxa"/>
            <w:vAlign w:val="bottom"/>
            <w:tcBorders>
              <w:bottom w:val="single" w:sz="8" w:color="auto"/>
            </w:tcBorders>
            <w:shd w:val="clear" w:color="auto" w:fill="E6E6FA"/>
          </w:tcPr>
          <w:p>
            <w:pPr>
              <w:spacing w:after="0"/>
              <w:rPr>
                <w:sz w:val="18"/>
                <w:szCs w:val="18"/>
                <w:color w:val="auto"/>
              </w:rPr>
            </w:pPr>
          </w:p>
        </w:tc>
        <w:tc>
          <w:tcPr>
            <w:tcW w:w="2060" w:type="dxa"/>
            <w:vAlign w:val="bottom"/>
            <w:tcBorders>
              <w:bottom w:val="single" w:sz="8" w:color="auto"/>
              <w:right w:val="single" w:sz="8" w:color="auto"/>
            </w:tcBorders>
            <w:gridSpan w:val="5"/>
            <w:shd w:val="clear" w:color="auto" w:fill="E6E6FA"/>
          </w:tcPr>
          <w:p>
            <w:pPr>
              <w:jc w:val="center"/>
              <w:ind w:right="1340"/>
              <w:spacing w:after="0" w:line="169" w:lineRule="exact"/>
              <w:rPr>
                <w:sz w:val="20"/>
                <w:szCs w:val="20"/>
                <w:color w:val="auto"/>
              </w:rPr>
            </w:pPr>
            <w:r>
              <w:rPr>
                <w:rFonts w:ascii="Arial" w:cs="Arial" w:eastAsia="Arial" w:hAnsi="Arial"/>
                <w:sz w:val="16"/>
                <w:szCs w:val="16"/>
                <w:color w:val="0000FF"/>
                <w:w w:val="90"/>
              </w:rPr>
              <w:t>One month</w:t>
            </w:r>
          </w:p>
        </w:tc>
        <w:tc>
          <w:tcPr>
            <w:tcW w:w="1940" w:type="dxa"/>
            <w:vAlign w:val="bottom"/>
            <w:tcBorders>
              <w:bottom w:val="single" w:sz="8" w:color="auto"/>
            </w:tcBorders>
            <w:gridSpan w:val="3"/>
            <w:shd w:val="clear" w:color="auto" w:fill="E6E6FA"/>
          </w:tcPr>
          <w:p>
            <w:pPr>
              <w:jc w:val="center"/>
              <w:ind w:left="1439"/>
              <w:spacing w:after="0" w:line="169" w:lineRule="exact"/>
              <w:rPr>
                <w:sz w:val="20"/>
                <w:szCs w:val="20"/>
                <w:color w:val="auto"/>
              </w:rPr>
            </w:pPr>
            <w:r>
              <w:rPr>
                <w:rFonts w:ascii="Arial" w:cs="Arial" w:eastAsia="Arial" w:hAnsi="Arial"/>
                <w:sz w:val="16"/>
                <w:szCs w:val="16"/>
                <w:color w:val="0000FF"/>
                <w:w w:val="92"/>
              </w:rPr>
              <w:t>0.</w:t>
            </w:r>
            <w:r>
              <w:rPr>
                <w:rFonts w:ascii="Arial" w:cs="Arial" w:eastAsia="Arial" w:hAnsi="Arial"/>
                <w:sz w:val="16"/>
                <w:szCs w:val="16"/>
                <w:u w:val="single" w:color="auto"/>
                <w:color w:val="0000FF"/>
                <w:w w:val="92"/>
              </w:rPr>
              <w:t>10%</w:t>
            </w:r>
          </w:p>
        </w:tc>
        <w:tc>
          <w:tcPr>
            <w:tcW w:w="160" w:type="dxa"/>
            <w:vAlign w:val="bottom"/>
            <w:tcBorders>
              <w:bottom w:val="single" w:sz="8" w:color="auto"/>
            </w:tcBorders>
            <w:shd w:val="clear" w:color="auto" w:fill="E6E6FA"/>
          </w:tcPr>
          <w:p>
            <w:pPr>
              <w:spacing w:after="0"/>
              <w:rPr>
                <w:sz w:val="18"/>
                <w:szCs w:val="18"/>
                <w:color w:val="auto"/>
              </w:rPr>
            </w:pPr>
          </w:p>
        </w:tc>
        <w:tc>
          <w:tcPr>
            <w:tcW w:w="1360" w:type="dxa"/>
            <w:vAlign w:val="bottom"/>
            <w:tcBorders>
              <w:bottom w:val="single" w:sz="8" w:color="auto"/>
              <w:right w:val="single" w:sz="8" w:color="auto"/>
            </w:tcBorders>
            <w:shd w:val="clear" w:color="auto" w:fill="E6E6FA"/>
          </w:tcPr>
          <w:p>
            <w:pPr>
              <w:spacing w:after="0"/>
              <w:rPr>
                <w:sz w:val="18"/>
                <w:szCs w:val="18"/>
                <w:color w:val="auto"/>
              </w:rPr>
            </w:pPr>
          </w:p>
        </w:tc>
      </w:tr>
      <w:tr>
        <w:trPr>
          <w:trHeight w:val="209"/>
        </w:trPr>
        <w:tc>
          <w:tcPr>
            <w:tcW w:w="1160" w:type="dxa"/>
            <w:vAlign w:val="bottom"/>
            <w:tcBorders>
              <w:left w:val="single" w:sz="8" w:color="auto"/>
              <w:bottom w:val="single" w:sz="8" w:color="auto"/>
            </w:tcBorders>
            <w:shd w:val="clear" w:color="auto" w:fill="E6E6FA"/>
          </w:tcPr>
          <w:p>
            <w:pPr>
              <w:spacing w:after="0"/>
              <w:rPr>
                <w:sz w:val="18"/>
                <w:szCs w:val="18"/>
                <w:color w:val="auto"/>
              </w:rPr>
            </w:pPr>
          </w:p>
        </w:tc>
        <w:tc>
          <w:tcPr>
            <w:tcW w:w="80" w:type="dxa"/>
            <w:vAlign w:val="bottom"/>
            <w:tcBorders>
              <w:bottom w:val="single" w:sz="8" w:color="auto"/>
            </w:tcBorders>
            <w:shd w:val="clear" w:color="auto" w:fill="E6E6FA"/>
          </w:tcPr>
          <w:p>
            <w:pPr>
              <w:spacing w:after="0"/>
              <w:rPr>
                <w:sz w:val="18"/>
                <w:szCs w:val="18"/>
                <w:color w:val="auto"/>
              </w:rPr>
            </w:pPr>
          </w:p>
        </w:tc>
        <w:tc>
          <w:tcPr>
            <w:tcW w:w="2140" w:type="dxa"/>
            <w:vAlign w:val="bottom"/>
            <w:tcBorders>
              <w:bottom w:val="single" w:sz="8" w:color="auto"/>
              <w:right w:val="single" w:sz="8" w:color="auto"/>
            </w:tcBorders>
            <w:gridSpan w:val="6"/>
            <w:shd w:val="clear" w:color="auto" w:fill="E6E6FA"/>
          </w:tcPr>
          <w:p>
            <w:pPr>
              <w:jc w:val="center"/>
              <w:ind w:right="1240"/>
              <w:spacing w:after="0" w:line="169" w:lineRule="exact"/>
              <w:rPr>
                <w:sz w:val="20"/>
                <w:szCs w:val="20"/>
                <w:color w:val="auto"/>
              </w:rPr>
            </w:pPr>
            <w:r>
              <w:rPr>
                <w:rFonts w:ascii="Arial" w:cs="Arial" w:eastAsia="Arial" w:hAnsi="Arial"/>
                <w:sz w:val="16"/>
                <w:szCs w:val="16"/>
                <w:color w:val="0000FF"/>
                <w:w w:val="91"/>
              </w:rPr>
              <w:t>Three months</w:t>
            </w:r>
          </w:p>
        </w:tc>
        <w:tc>
          <w:tcPr>
            <w:tcW w:w="1940" w:type="dxa"/>
            <w:vAlign w:val="bottom"/>
            <w:tcBorders>
              <w:bottom w:val="single" w:sz="8" w:color="auto"/>
            </w:tcBorders>
            <w:gridSpan w:val="3"/>
            <w:shd w:val="clear" w:color="auto" w:fill="E6E6FA"/>
          </w:tcPr>
          <w:p>
            <w:pPr>
              <w:jc w:val="center"/>
              <w:ind w:left="1439"/>
              <w:spacing w:after="0" w:line="169" w:lineRule="exact"/>
              <w:rPr>
                <w:sz w:val="20"/>
                <w:szCs w:val="20"/>
                <w:color w:val="auto"/>
              </w:rPr>
            </w:pPr>
            <w:r>
              <w:rPr>
                <w:rFonts w:ascii="Arial" w:cs="Arial" w:eastAsia="Arial" w:hAnsi="Arial"/>
                <w:sz w:val="16"/>
                <w:szCs w:val="16"/>
                <w:color w:val="0000FF"/>
                <w:w w:val="92"/>
              </w:rPr>
              <w:t>0.</w:t>
            </w:r>
            <w:r>
              <w:rPr>
                <w:rFonts w:ascii="Arial" w:cs="Arial" w:eastAsia="Arial" w:hAnsi="Arial"/>
                <w:sz w:val="16"/>
                <w:szCs w:val="16"/>
                <w:u w:val="single" w:color="auto"/>
                <w:color w:val="0000FF"/>
                <w:w w:val="92"/>
              </w:rPr>
              <w:t>15%</w:t>
            </w:r>
          </w:p>
        </w:tc>
        <w:tc>
          <w:tcPr>
            <w:tcW w:w="160" w:type="dxa"/>
            <w:vAlign w:val="bottom"/>
            <w:tcBorders>
              <w:bottom w:val="single" w:sz="8" w:color="auto"/>
            </w:tcBorders>
            <w:shd w:val="clear" w:color="auto" w:fill="E6E6FA"/>
          </w:tcPr>
          <w:p>
            <w:pPr>
              <w:spacing w:after="0"/>
              <w:rPr>
                <w:sz w:val="18"/>
                <w:szCs w:val="18"/>
                <w:color w:val="auto"/>
              </w:rPr>
            </w:pPr>
          </w:p>
        </w:tc>
        <w:tc>
          <w:tcPr>
            <w:tcW w:w="1360" w:type="dxa"/>
            <w:vAlign w:val="bottom"/>
            <w:tcBorders>
              <w:bottom w:val="single" w:sz="8" w:color="auto"/>
              <w:right w:val="single" w:sz="8" w:color="auto"/>
            </w:tcBorders>
            <w:shd w:val="clear" w:color="auto" w:fill="E6E6FA"/>
          </w:tcPr>
          <w:p>
            <w:pPr>
              <w:spacing w:after="0"/>
              <w:rPr>
                <w:sz w:val="18"/>
                <w:szCs w:val="18"/>
                <w:color w:val="auto"/>
              </w:rPr>
            </w:pPr>
          </w:p>
        </w:tc>
      </w:tr>
      <w:tr>
        <w:trPr>
          <w:trHeight w:val="210"/>
        </w:trPr>
        <w:tc>
          <w:tcPr>
            <w:tcW w:w="1160" w:type="dxa"/>
            <w:vAlign w:val="bottom"/>
            <w:tcBorders>
              <w:left w:val="single" w:sz="8" w:color="auto"/>
              <w:bottom w:val="single" w:sz="8" w:color="auto"/>
            </w:tcBorders>
            <w:shd w:val="clear" w:color="auto" w:fill="E6E6FA"/>
          </w:tcPr>
          <w:p>
            <w:pPr>
              <w:spacing w:after="0"/>
              <w:rPr>
                <w:sz w:val="18"/>
                <w:szCs w:val="18"/>
                <w:color w:val="auto"/>
              </w:rPr>
            </w:pPr>
          </w:p>
        </w:tc>
        <w:tc>
          <w:tcPr>
            <w:tcW w:w="80" w:type="dxa"/>
            <w:vAlign w:val="bottom"/>
            <w:tcBorders>
              <w:bottom w:val="single" w:sz="8" w:color="auto"/>
            </w:tcBorders>
            <w:shd w:val="clear" w:color="auto" w:fill="E6E6FA"/>
          </w:tcPr>
          <w:p>
            <w:pPr>
              <w:spacing w:after="0"/>
              <w:rPr>
                <w:sz w:val="18"/>
                <w:szCs w:val="18"/>
                <w:color w:val="auto"/>
              </w:rPr>
            </w:pPr>
          </w:p>
        </w:tc>
        <w:tc>
          <w:tcPr>
            <w:tcW w:w="80" w:type="dxa"/>
            <w:vAlign w:val="bottom"/>
            <w:tcBorders>
              <w:bottom w:val="single" w:sz="8" w:color="auto"/>
            </w:tcBorders>
            <w:shd w:val="clear" w:color="auto" w:fill="E6E6FA"/>
          </w:tcPr>
          <w:p>
            <w:pPr>
              <w:spacing w:after="0"/>
              <w:rPr>
                <w:sz w:val="18"/>
                <w:szCs w:val="18"/>
                <w:color w:val="auto"/>
              </w:rPr>
            </w:pPr>
          </w:p>
        </w:tc>
        <w:tc>
          <w:tcPr>
            <w:tcW w:w="2060" w:type="dxa"/>
            <w:vAlign w:val="bottom"/>
            <w:tcBorders>
              <w:bottom w:val="single" w:sz="8" w:color="auto"/>
              <w:right w:val="single" w:sz="8" w:color="auto"/>
            </w:tcBorders>
            <w:gridSpan w:val="5"/>
            <w:shd w:val="clear" w:color="auto" w:fill="E6E6FA"/>
          </w:tcPr>
          <w:p>
            <w:pPr>
              <w:jc w:val="center"/>
              <w:ind w:right="1320"/>
              <w:spacing w:after="0" w:line="169" w:lineRule="exact"/>
              <w:rPr>
                <w:sz w:val="20"/>
                <w:szCs w:val="20"/>
                <w:color w:val="auto"/>
              </w:rPr>
            </w:pPr>
            <w:r>
              <w:rPr>
                <w:rFonts w:ascii="Arial" w:cs="Arial" w:eastAsia="Arial" w:hAnsi="Arial"/>
                <w:sz w:val="16"/>
                <w:szCs w:val="16"/>
                <w:color w:val="0000FF"/>
                <w:w w:val="93"/>
              </w:rPr>
              <w:t>Six months</w:t>
            </w:r>
          </w:p>
        </w:tc>
        <w:tc>
          <w:tcPr>
            <w:tcW w:w="1940" w:type="dxa"/>
            <w:vAlign w:val="bottom"/>
            <w:tcBorders>
              <w:bottom w:val="single" w:sz="8" w:color="auto"/>
            </w:tcBorders>
            <w:gridSpan w:val="3"/>
            <w:shd w:val="clear" w:color="auto" w:fill="E6E6FA"/>
          </w:tcPr>
          <w:p>
            <w:pPr>
              <w:jc w:val="center"/>
              <w:ind w:left="1439"/>
              <w:spacing w:after="0" w:line="169" w:lineRule="exact"/>
              <w:rPr>
                <w:sz w:val="20"/>
                <w:szCs w:val="20"/>
                <w:color w:val="auto"/>
              </w:rPr>
            </w:pPr>
            <w:r>
              <w:rPr>
                <w:rFonts w:ascii="Arial" w:cs="Arial" w:eastAsia="Arial" w:hAnsi="Arial"/>
                <w:sz w:val="16"/>
                <w:szCs w:val="16"/>
                <w:color w:val="0000FF"/>
                <w:w w:val="92"/>
              </w:rPr>
              <w:t>0.</w:t>
            </w:r>
            <w:r>
              <w:rPr>
                <w:rFonts w:ascii="Arial" w:cs="Arial" w:eastAsia="Arial" w:hAnsi="Arial"/>
                <w:sz w:val="16"/>
                <w:szCs w:val="16"/>
                <w:u w:val="single" w:color="auto"/>
                <w:color w:val="0000FF"/>
                <w:w w:val="92"/>
              </w:rPr>
              <w:t>25%</w:t>
            </w:r>
          </w:p>
        </w:tc>
        <w:tc>
          <w:tcPr>
            <w:tcW w:w="160" w:type="dxa"/>
            <w:vAlign w:val="bottom"/>
            <w:tcBorders>
              <w:bottom w:val="single" w:sz="8" w:color="auto"/>
            </w:tcBorders>
            <w:shd w:val="clear" w:color="auto" w:fill="E6E6FA"/>
          </w:tcPr>
          <w:p>
            <w:pPr>
              <w:spacing w:after="0"/>
              <w:rPr>
                <w:sz w:val="18"/>
                <w:szCs w:val="18"/>
                <w:color w:val="auto"/>
              </w:rPr>
            </w:pPr>
          </w:p>
        </w:tc>
        <w:tc>
          <w:tcPr>
            <w:tcW w:w="1360" w:type="dxa"/>
            <w:vAlign w:val="bottom"/>
            <w:tcBorders>
              <w:bottom w:val="single" w:sz="8" w:color="auto"/>
              <w:right w:val="single" w:sz="8" w:color="auto"/>
            </w:tcBorders>
            <w:shd w:val="clear" w:color="auto" w:fill="E6E6FA"/>
          </w:tcPr>
          <w:p>
            <w:pPr>
              <w:spacing w:after="0"/>
              <w:rPr>
                <w:sz w:val="18"/>
                <w:szCs w:val="18"/>
                <w:color w:val="auto"/>
              </w:rPr>
            </w:pPr>
          </w:p>
        </w:tc>
      </w:tr>
    </w:tbl>
    <w:p>
      <w:pPr>
        <w:spacing w:after="0" w:line="6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Term SOFR Administrator</w:t>
      </w:r>
      <w:r>
        <w:rPr>
          <w:rFonts w:ascii="Arial" w:cs="Arial" w:eastAsia="Arial" w:hAnsi="Arial"/>
          <w:sz w:val="21"/>
          <w:szCs w:val="21"/>
          <w:color w:val="auto"/>
        </w:rPr>
        <w:t>” means CME Group Benchmark Administration Limited (CBA) (or a successor administrator of the Term SOFR Reference Rate as mutually agreed by the Administrative Agent and the Borrower).</w:t>
      </w:r>
    </w:p>
    <w:p>
      <w:pPr>
        <w:spacing w:after="0" w:line="151"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Borrowing</w:t>
      </w:r>
      <w:r>
        <w:rPr>
          <w:rFonts w:ascii="Arial" w:cs="Arial" w:eastAsia="Arial" w:hAnsi="Arial"/>
          <w:sz w:val="19"/>
          <w:szCs w:val="19"/>
          <w:color w:val="auto"/>
        </w:rPr>
        <w:t xml:space="preserve">” means a Loan that bears interest at a rate based on Adjusted Term SOFR, except any Borrowing bearing interest at Adjusted Term SOFR pursuant to </w:t>
      </w:r>
      <w:r>
        <w:rPr>
          <w:rFonts w:ascii="Arial" w:cs="Arial" w:eastAsia="Arial" w:hAnsi="Arial"/>
          <w:sz w:val="19"/>
          <w:szCs w:val="19"/>
          <w:u w:val="single" w:color="auto"/>
          <w:color w:val="auto"/>
        </w:rPr>
        <w:t>clause (iii)</w:t>
      </w:r>
      <w:r>
        <w:rPr>
          <w:rFonts w:ascii="Arial" w:cs="Arial" w:eastAsia="Arial" w:hAnsi="Arial"/>
          <w:sz w:val="19"/>
          <w:szCs w:val="19"/>
          <w:u w:val="single" w:color="auto"/>
          <w:color w:val="FF0000"/>
          <w:strike w:val="1"/>
        </w:rPr>
        <w:t>(y)</w:t>
      </w:r>
      <w:r>
        <w:rPr>
          <w:rFonts w:ascii="Arial" w:cs="Arial" w:eastAsia="Arial" w:hAnsi="Arial"/>
          <w:sz w:val="19"/>
          <w:szCs w:val="19"/>
          <w:color w:val="auto"/>
        </w:rPr>
        <w:t xml:space="preserve"> of the definition of “Alternate Base Rate”.</w:t>
      </w:r>
    </w:p>
    <w:p>
      <w:pPr>
        <w:spacing w:after="0" w:line="10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Loan</w:t>
      </w:r>
      <w:r>
        <w:rPr>
          <w:rFonts w:ascii="Arial" w:cs="Arial" w:eastAsia="Arial" w:hAnsi="Arial"/>
          <w:sz w:val="22"/>
          <w:szCs w:val="22"/>
          <w:color w:val="auto"/>
        </w:rPr>
        <w:t xml:space="preserve">” means any Loan (or any one or more portions thereof) that bears interest based on Adjusted Term SOFR, except any Loan bearing interest at Adjusted Term SOFR pursuant to </w:t>
      </w:r>
      <w:r>
        <w:rPr>
          <w:rFonts w:ascii="Arial" w:cs="Arial" w:eastAsia="Arial" w:hAnsi="Arial"/>
          <w:sz w:val="22"/>
          <w:szCs w:val="22"/>
          <w:u w:val="single" w:color="auto"/>
          <w:color w:val="auto"/>
        </w:rPr>
        <w:t>clause (iii)</w:t>
      </w:r>
      <w:r>
        <w:rPr>
          <w:rFonts w:ascii="Arial" w:cs="Arial" w:eastAsia="Arial" w:hAnsi="Arial"/>
          <w:sz w:val="22"/>
          <w:szCs w:val="22"/>
          <w:u w:val="single" w:color="auto"/>
          <w:color w:val="FF0000"/>
          <w:strike w:val="1"/>
        </w:rPr>
        <w:t>(y)</w:t>
      </w:r>
      <w:r>
        <w:rPr>
          <w:rFonts w:ascii="Arial" w:cs="Arial" w:eastAsia="Arial" w:hAnsi="Arial"/>
          <w:sz w:val="22"/>
          <w:szCs w:val="22"/>
          <w:color w:val="auto"/>
        </w:rPr>
        <w:t xml:space="preserve"> of the definition of “Alternate Base Rate”.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Reference Rate</w:t>
      </w:r>
      <w:r>
        <w:rPr>
          <w:rFonts w:ascii="Arial" w:cs="Arial" w:eastAsia="Arial" w:hAnsi="Arial"/>
          <w:sz w:val="22"/>
          <w:szCs w:val="22"/>
          <w:color w:val="auto"/>
        </w:rPr>
        <w:t>” means the forward-looking term rate based on SOFR.</w:t>
      </w:r>
    </w:p>
    <w:p>
      <w:pPr>
        <w:spacing w:after="0" w:line="17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Test Period</w:t>
      </w:r>
      <w:r>
        <w:rPr>
          <w:rFonts w:ascii="Arial" w:cs="Arial" w:eastAsia="Arial" w:hAnsi="Arial"/>
          <w:sz w:val="19"/>
          <w:szCs w:val="19"/>
          <w:color w:val="auto"/>
        </w:rPr>
        <w:t xml:space="preserve">” means, at any date of determination, the most recently completed four consecutive fiscal quarters of the Borrower ending on or prior to such date for which financial statements have been or are required to be furnished to the Administrative Agent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5.01(b)</w:t>
      </w:r>
      <w:r>
        <w:rPr>
          <w:rFonts w:ascii="Arial" w:cs="Arial" w:eastAsia="Arial" w:hAnsi="Arial"/>
          <w:sz w:val="19"/>
          <w:szCs w:val="19"/>
          <w:color w:val="auto"/>
        </w:rPr>
        <w:t xml:space="preserve">, as applicable, or so long as the initial delivery of financial statements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as applicable, has occurred prior to such date, at the option of the Borrower, in the case of any transaction the permissibility of which requires a calculation on a Pro Forma Basis, the last day of the most recently ended fiscal quarter prior to the date of such determination for which internal financial statements are available.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Title Company</w:t>
      </w:r>
      <w:r>
        <w:rPr>
          <w:rFonts w:ascii="Arial" w:cs="Arial" w:eastAsia="Arial" w:hAnsi="Arial"/>
          <w:sz w:val="19"/>
          <w:szCs w:val="19"/>
          <w:color w:val="auto"/>
        </w:rPr>
        <w:t>” means one or more title insurance companies reasonably satisfactory to the Administrative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16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Indebtedness</w:t>
      </w:r>
      <w:r>
        <w:rPr>
          <w:rFonts w:ascii="Arial" w:cs="Arial" w:eastAsia="Arial" w:hAnsi="Arial"/>
          <w:sz w:val="19"/>
          <w:szCs w:val="19"/>
          <w:color w:val="auto"/>
        </w:rPr>
        <w:t>” means, as of any date, the aggregate outstanding principal amount of Indebtedness for borrowed money, Indebtedness evidenced by bonds, debentures, notes, loan agreement or similar instruments of the Borrower and the Restricted Subsidiaries, on a consolidated basis, and letters of credit, bankers’ acceptances and similar facilities that have been drawn but not yet reimbursed. Total Indebtedness shall exclude, for the avoidance of doubt, Capital Lease Obligations, purchase money Indebtedness, Indebtedness in respect of any undrawn letters of credit or banker’s acceptances, Receivables Facility or Qualified Securitization Financing (except to the extent that any such Receivables Facility or Qualified Securitization Financing constitutes Indebtedness for borrowed money, as determined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65" w:name="page366"/>
    <w:bookmarkEnd w:id="365"/>
    <w:p>
      <w:pPr>
        <w:spacing w:after="0"/>
        <w:rPr>
          <w:sz w:val="20"/>
          <w:szCs w:val="20"/>
          <w:color w:val="auto"/>
        </w:rPr>
      </w:pPr>
      <w:r>
        <w:rPr>
          <w:rFonts w:ascii="Arial" w:cs="Arial" w:eastAsia="Arial" w:hAnsi="Arial"/>
          <w:sz w:val="22"/>
          <w:szCs w:val="22"/>
          <w:color w:val="auto"/>
        </w:rPr>
        <w:t>accordance with GAAP, of the Borrower and the Restricted Subsidiaries) or Cash Management Services.</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Net Leverage Ratio</w:t>
      </w:r>
      <w:r>
        <w:rPr>
          <w:rFonts w:ascii="Arial" w:cs="Arial" w:eastAsia="Arial" w:hAnsi="Arial"/>
          <w:sz w:val="22"/>
          <w:szCs w:val="22"/>
          <w:color w:val="auto"/>
        </w:rPr>
        <w:t xml:space="preserve"> ” means, on any date of determination, the ratio of (a) Total Indebtedness, less the aggregate amount of Unrestricted Cash, to (b) LTM EBITDA.</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 Costs</w:t>
      </w:r>
      <w:r>
        <w:rPr>
          <w:rFonts w:ascii="Arial" w:cs="Arial" w:eastAsia="Arial" w:hAnsi="Arial"/>
          <w:sz w:val="21"/>
          <w:szCs w:val="21"/>
          <w:color w:val="auto"/>
        </w:rPr>
        <w:t>” means all premiums, fees, costs and expenses incurred or payable by or on behalf of Holdings or any Restricted Subsidiary in connection with the Transactions (including any bonuses and any loan forgiveness and associated tax gross up payments and fees, costs and transition services) or in connection with the negotiation, execution, delivery and performance of the Loan Documents and the transactions contemplated thereby, including to fund any original issue discount, upfront fees or legal fees and to grant and perfect any security interests.</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(a) the borrowing of the Loans hereunder on the Closing Date, (b) the borrowing of the Second Lien Loans under the Second Lien Loan Documents on the Closing Date, (c) the Closing Date Recapitalization, (d) the Closing Date Distribution, (e) the Closing Date Refinancing and (f) the payment of Transaction Costs.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Transformative Acquisition</w:t>
      </w:r>
      <w:r>
        <w:rPr>
          <w:rFonts w:ascii="Arial" w:cs="Arial" w:eastAsia="Arial" w:hAnsi="Arial"/>
          <w:sz w:val="22"/>
          <w:szCs w:val="22"/>
          <w:color w:val="auto"/>
        </w:rPr>
        <w:t>” means any Acquisition by any Holding Company or any Restricted Subsidiary that</w:t>
      </w:r>
    </w:p>
    <w:p>
      <w:pPr>
        <w:jc w:val="both"/>
        <w:ind w:firstLine="8"/>
        <w:spacing w:after="0" w:line="212" w:lineRule="auto"/>
        <w:tabs>
          <w:tab w:leader="none" w:pos="325" w:val="left"/>
        </w:tabs>
        <w:numPr>
          <w:ilvl w:val="0"/>
          <w:numId w:val="359"/>
        </w:numPr>
        <w:rPr>
          <w:rFonts w:ascii="Arial" w:cs="Arial" w:eastAsia="Arial" w:hAnsi="Arial"/>
          <w:sz w:val="22"/>
          <w:szCs w:val="22"/>
          <w:color w:val="auto"/>
        </w:rPr>
      </w:pPr>
      <w:r>
        <w:rPr>
          <w:rFonts w:ascii="Arial" w:cs="Arial" w:eastAsia="Arial" w:hAnsi="Arial"/>
          <w:sz w:val="22"/>
          <w:szCs w:val="22"/>
          <w:color w:val="auto"/>
        </w:rPr>
        <w:t>is not permitted by the terms of the Loan Documents immediately prior to the consummation of such Acquisition, (b) if permitted by the terms of the Loan Documents immediately prior to the consummation of such Acquisition, would not provide the Borrower and the Restricted Subsidiaries with adequate flexibility under the Loan Documents for the continuation and/or expansion of their combined operations following such consummation, as determined by the Borrower acting in good faith or (c) is for consideration the aggregate value of which exceeds $100,000,000.</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Transformative Disposition</w:t>
      </w:r>
      <w:r>
        <w:rPr>
          <w:rFonts w:ascii="Arial" w:cs="Arial" w:eastAsia="Arial" w:hAnsi="Arial"/>
          <w:sz w:val="22"/>
          <w:szCs w:val="22"/>
          <w:color w:val="auto"/>
        </w:rPr>
        <w:t>” means any disposition by any Holding Company or any Restricted Subsidiary that</w:t>
      </w:r>
    </w:p>
    <w:p>
      <w:pPr>
        <w:jc w:val="both"/>
        <w:ind w:firstLine="8"/>
        <w:spacing w:after="0" w:line="251" w:lineRule="auto"/>
        <w:tabs>
          <w:tab w:leader="none" w:pos="315" w:val="left"/>
        </w:tabs>
        <w:numPr>
          <w:ilvl w:val="0"/>
          <w:numId w:val="360"/>
        </w:numPr>
        <w:rPr>
          <w:rFonts w:ascii="Arial" w:cs="Arial" w:eastAsia="Arial" w:hAnsi="Arial"/>
          <w:sz w:val="19"/>
          <w:szCs w:val="19"/>
          <w:color w:val="auto"/>
        </w:rPr>
      </w:pPr>
      <w:r>
        <w:rPr>
          <w:rFonts w:ascii="Arial" w:cs="Arial" w:eastAsia="Arial" w:hAnsi="Arial"/>
          <w:sz w:val="19"/>
          <w:szCs w:val="19"/>
          <w:color w:val="auto"/>
        </w:rPr>
        <w:t>is not permitted by the terms of the Loan Documents immediately prior to the consummation of such Acquisition or (b) if permitted by the terms of the Loan Documents immediately prior to the consummation of such disposition, would not provide the Borrower and the Restricted Subsidiaries with adequate flexibility under the Loan Documents for the continuation and/or expansion of its operations following such consummation, as determined by the Borrower acting in good faith.</w:t>
      </w:r>
    </w:p>
    <w:p>
      <w:pPr>
        <w:spacing w:after="0" w:line="14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xml:space="preserve">,” when used in reference to any Loan or Borrowing, refers to whether the rate of interest on such Loan, or on the Loans comprising such Borrowing, is determined by reference to Adjusted </w:t>
      </w:r>
      <w:r>
        <w:rPr>
          <w:rFonts w:ascii="Arial" w:cs="Arial" w:eastAsia="Arial" w:hAnsi="Arial"/>
          <w:sz w:val="22"/>
          <w:szCs w:val="22"/>
          <w:color w:val="FF0000"/>
          <w:strike w:val="1"/>
        </w:rPr>
        <w:t>Eurocurrency, Adjusted</w:t>
      </w:r>
      <w:r>
        <w:rPr>
          <w:rFonts w:ascii="Arial" w:cs="Arial" w:eastAsia="Arial" w:hAnsi="Arial"/>
          <w:sz w:val="22"/>
          <w:szCs w:val="22"/>
          <w:color w:val="auto"/>
        </w:rPr>
        <w:t xml:space="preserve"> Term SOFR or the Alternate Base Rate.</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xml:space="preserve">” means the Uniform Commercial Code as in effect from time to time in the State of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by reason of mandatory provisions of law, any or all of the perfection or priority of, or remedies with respect to, any Collateral is governed by the Uniform Commercial Code as enacted and in effect in a jurisdiction other than the State of New York, the term “UCC” shall mean the Uniform Commercial Code as enacted and in effect in such other jurisdiction solely for purposes of the provisions hereof relating to such perfection, priority or remedies.</w:t>
      </w:r>
    </w:p>
    <w:p>
      <w:pPr>
        <w:spacing w:after="0" w:line="14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Unaudited Financial Statements</w:t>
      </w:r>
      <w:r>
        <w:rPr>
          <w:rFonts w:ascii="Arial" w:cs="Arial" w:eastAsia="Arial" w:hAnsi="Arial"/>
          <w:sz w:val="21"/>
          <w:szCs w:val="21"/>
          <w:color w:val="auto"/>
        </w:rPr>
        <w:t>” means the unaudited consolidated balance sheets and the related statements of income of Parent and its Subsidiaries for the fiscal quarter ended June 30, 2018 and each subsequent fiscal quarter ended and at least 45 days prior to the Closing Date, in each case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66" w:name="page367"/>
    <w:bookmarkEnd w:id="366"/>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Undisclosed Administration</w:t>
      </w:r>
      <w:r>
        <w:rPr>
          <w:rFonts w:ascii="Arial" w:cs="Arial" w:eastAsia="Arial" w:hAnsi="Arial"/>
          <w:sz w:val="19"/>
          <w:szCs w:val="19"/>
          <w:color w:val="auto"/>
        </w:rPr>
        <w:t>” means in relation to a Lender or its parent company the appointment of an administrator, provisional liquidator, conservator, receiver, trustee, custodian or other similar official by a supervisory authority or regulator under or based on the law in the country where such Lender or such parent company, as the case may be, is subject to home jurisdiction supervision if applicable law requires that such appointment is not to be publicly disclosed.</w:t>
      </w:r>
    </w:p>
    <w:p>
      <w:pPr>
        <w:spacing w:after="0" w:line="14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Unfunded Pension Liability</w:t>
      </w:r>
      <w:r>
        <w:rPr>
          <w:rFonts w:ascii="Arial" w:cs="Arial" w:eastAsia="Arial" w:hAnsi="Arial"/>
          <w:sz w:val="22"/>
          <w:szCs w:val="22"/>
          <w:color w:val="auto"/>
        </w:rPr>
        <w:t>” means, with respect to any Plan at any time, the amount of any of its unfunded benefit liabilities as defined in Section 4001(a)(18) of ERISA.</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and “</w:t>
      </w:r>
      <w:r>
        <w:rPr>
          <w:rFonts w:ascii="Arial" w:cs="Arial" w:eastAsia="Arial" w:hAnsi="Arial"/>
          <w:sz w:val="22"/>
          <w:szCs w:val="22"/>
          <w:u w:val="single" w:color="auto"/>
          <w:color w:val="auto"/>
        </w:rPr>
        <w:t>U.S.</w:t>
      </w:r>
      <w:r>
        <w:rPr>
          <w:rFonts w:ascii="Arial" w:cs="Arial" w:eastAsia="Arial" w:hAnsi="Arial"/>
          <w:sz w:val="22"/>
          <w:szCs w:val="22"/>
          <w:color w:val="auto"/>
        </w:rPr>
        <w:t>” each mean the United States of America.</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Amount</w:t>
      </w:r>
      <w:r>
        <w:rPr>
          <w:rFonts w:ascii="Arial" w:cs="Arial" w:eastAsia="Arial" w:hAnsi="Arial"/>
          <w:sz w:val="19"/>
          <w:szCs w:val="19"/>
          <w:color w:val="auto"/>
        </w:rPr>
        <w:t>” has the meaning assigned to such term in the definition of “Maximum Additional Debt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Amount”.</w:t>
      </w:r>
    </w:p>
    <w:p>
      <w:pPr>
        <w:spacing w:after="0" w:line="161"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Cash</w:t>
      </w:r>
      <w:r>
        <w:rPr>
          <w:rFonts w:ascii="Arial" w:cs="Arial" w:eastAsia="Arial" w:hAnsi="Arial"/>
          <w:sz w:val="19"/>
          <w:szCs w:val="19"/>
          <w:color w:val="auto"/>
        </w:rPr>
        <w:t xml:space="preserve">” means, as of any date, the sum of (i) unrestricted cash and Cash Equivalents of Borrower and its Restricted Subsidiaries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cash and Cash Equivalents of Borrower and its Restricted Subsidiaries as of such date restricted in favor of the Credit Facilities (which may also include cash and Cash Equivalents of the Borrower and its Restricted Subsidiaries securing other Indebtedness secured by a permitted Lien on the Collateral that is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junior to the Liens on the Collateral securing the Credit Facilities), in each case, to be determined in accordance with GAAP.</w:t>
      </w:r>
    </w:p>
    <w:p>
      <w:pPr>
        <w:spacing w:after="0" w:line="14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means (a) a Subsidiary of Holdings designated as an “</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xml:space="preserve">” on </w:t>
      </w:r>
      <w:r>
        <w:rPr>
          <w:rFonts w:ascii="Arial" w:cs="Arial" w:eastAsia="Arial" w:hAnsi="Arial"/>
          <w:sz w:val="22"/>
          <w:szCs w:val="22"/>
          <w:u w:val="single" w:color="auto"/>
          <w:color w:val="auto"/>
        </w:rPr>
        <w:t>Schedule 1.04</w:t>
      </w:r>
      <w:r>
        <w:rPr>
          <w:rFonts w:ascii="Arial" w:cs="Arial" w:eastAsia="Arial" w:hAnsi="Arial"/>
          <w:sz w:val="22"/>
          <w:szCs w:val="22"/>
          <w:color w:val="auto"/>
        </w:rPr>
        <w:t xml:space="preserve"> and any Subsidiary designated as an “</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xml:space="preserve">” from time to time pursuant to </w:t>
      </w:r>
      <w:r>
        <w:rPr>
          <w:rFonts w:ascii="Arial" w:cs="Arial" w:eastAsia="Arial" w:hAnsi="Arial"/>
          <w:sz w:val="22"/>
          <w:szCs w:val="22"/>
          <w:u w:val="single" w:color="auto"/>
          <w:color w:val="auto"/>
        </w:rPr>
        <w:t>Section 5.12</w:t>
      </w:r>
      <w:r>
        <w:rPr>
          <w:rFonts w:ascii="Arial" w:cs="Arial" w:eastAsia="Arial" w:hAnsi="Arial"/>
          <w:sz w:val="22"/>
          <w:szCs w:val="22"/>
          <w:color w:val="auto"/>
        </w:rPr>
        <w:t xml:space="preserve"> and (b) any Subsidiary of an Unrestricted Subsidiary.</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Government Securities Business Day</w:t>
      </w:r>
      <w:r>
        <w:rPr>
          <w:rFonts w:ascii="Arial" w:cs="Arial" w:eastAsia="Arial" w:hAnsi="Arial"/>
          <w:sz w:val="21"/>
          <w:szCs w:val="21"/>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 “United States person” within the meaning of Section 7701(a)(30) of the Code.</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Prime Rate</w:t>
      </w:r>
      <w:r>
        <w:rPr>
          <w:rFonts w:ascii="Arial" w:cs="Arial" w:eastAsia="Arial" w:hAnsi="Arial"/>
          <w:sz w:val="22"/>
          <w:szCs w:val="22"/>
          <w:color w:val="auto"/>
        </w:rPr>
        <w:t xml:space="preserve">” means the rate of interest published by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(eastern edition), from time to time, as the “U.S. Prime Rate”.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Certificate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2.17(e)(ii)(D)</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Weighted Average Life to Maturity</w:t>
      </w:r>
      <w:r>
        <w:rPr>
          <w:rFonts w:ascii="Arial" w:cs="Arial" w:eastAsia="Arial" w:hAnsi="Arial"/>
          <w:sz w:val="21"/>
          <w:szCs w:val="21"/>
          <w:color w:val="auto"/>
        </w:rPr>
        <w:t>” means, when applied to any amortizing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Subsidiary</w:t>
      </w:r>
      <w:r>
        <w:rPr>
          <w:rFonts w:ascii="Arial" w:cs="Arial" w:eastAsia="Arial" w:hAnsi="Arial"/>
          <w:sz w:val="19"/>
          <w:szCs w:val="19"/>
          <w:color w:val="auto"/>
        </w:rPr>
        <w:t xml:space="preserve">” or “ </w:t>
      </w:r>
      <w:r>
        <w:rPr>
          <w:rFonts w:ascii="Arial" w:cs="Arial" w:eastAsia="Arial" w:hAnsi="Arial"/>
          <w:sz w:val="19"/>
          <w:szCs w:val="19"/>
          <w:u w:val="single" w:color="auto"/>
          <w:color w:val="auto"/>
        </w:rPr>
        <w:t>wholly owned subsidiary</w:t>
      </w:r>
      <w:r>
        <w:rPr>
          <w:rFonts w:ascii="Arial" w:cs="Arial" w:eastAsia="Arial" w:hAnsi="Arial"/>
          <w:sz w:val="19"/>
          <w:szCs w:val="19"/>
          <w:color w:val="auto"/>
        </w:rPr>
        <w:t xml:space="preserve"> ” means, with respect to any Person at any date, a subsidiary of such Person of which securities or other ownership interests representing 100% of the Equity Interests (other than (x) directors’ qualifying shares and (y) shares issued to foreign nationals to the extent required by applicable law) are, as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67" w:name="page368"/>
    <w:bookmarkEnd w:id="367"/>
    <w:p>
      <w:pPr>
        <w:jc w:val="both"/>
        <w:spacing w:after="0" w:line="223" w:lineRule="auto"/>
        <w:rPr>
          <w:sz w:val="20"/>
          <w:szCs w:val="20"/>
          <w:color w:val="auto"/>
        </w:rPr>
      </w:pPr>
      <w:r>
        <w:rPr>
          <w:rFonts w:ascii="Arial" w:cs="Arial" w:eastAsia="Arial" w:hAnsi="Arial"/>
          <w:sz w:val="22"/>
          <w:szCs w:val="22"/>
          <w:color w:val="auto"/>
        </w:rPr>
        <w:t>date, owned, controlled or held by such Person or one or more wholly owned subsidiaries of such Person or by such Person and one or more wholly owned subsidiaries of such Person. For the avoidance of doubt, “</w:t>
      </w:r>
      <w:r>
        <w:rPr>
          <w:rFonts w:ascii="Arial" w:cs="Arial" w:eastAsia="Arial" w:hAnsi="Arial"/>
          <w:sz w:val="22"/>
          <w:szCs w:val="22"/>
          <w:u w:val="single" w:color="auto"/>
          <w:color w:val="auto"/>
        </w:rPr>
        <w:t>wholly owned Restricted Subsidiary</w:t>
      </w:r>
      <w:r>
        <w:rPr>
          <w:rFonts w:ascii="Arial" w:cs="Arial" w:eastAsia="Arial" w:hAnsi="Arial"/>
          <w:sz w:val="22"/>
          <w:szCs w:val="22"/>
          <w:color w:val="auto"/>
        </w:rPr>
        <w:t>” means a wholly owned Subsidiary that is a Restricted Subsidiary.</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32"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Yield</w:t>
      </w:r>
      <w:r>
        <w:rPr>
          <w:rFonts w:ascii="Arial" w:cs="Arial" w:eastAsia="Arial" w:hAnsi="Arial"/>
          <w:sz w:val="21"/>
          <w:szCs w:val="21"/>
          <w:color w:val="auto"/>
        </w:rPr>
        <w:t xml:space="preserve">” means, with respect to any Loan, Revolving Commitment, or Repricing Transaction, as the case may be, on any date of determination as calculated by the Administrative Agent, (a) any interest rate margin (giving effect to any amendments to the Applicable Margin on the Initial Term Loans that becomes effective subsequent to the Closing Date but prior to the applicable date of determination), (b) increases in interest rate floors (but only to the extent that an increase in the interest rate floor with respect to Initial Term Loans or the implementation of an interest floor with respect to Initial Revolving Loans, as the case may be, would cause an increase in the interest rate then in effect at the time of determination hereunder, and, in such case, then the interest rate floor (but not the interest rate margin solely for determinations under this </w:t>
      </w:r>
      <w:r>
        <w:rPr>
          <w:rFonts w:ascii="Arial" w:cs="Arial" w:eastAsia="Arial" w:hAnsi="Arial"/>
          <w:sz w:val="21"/>
          <w:szCs w:val="21"/>
          <w:u w:val="single" w:color="auto"/>
          <w:color w:val="auto"/>
        </w:rPr>
        <w:t>clause (b)</w:t>
      </w:r>
      <w:r>
        <w:rPr>
          <w:rFonts w:ascii="Arial" w:cs="Arial" w:eastAsia="Arial" w:hAnsi="Arial"/>
          <w:sz w:val="21"/>
          <w:szCs w:val="21"/>
          <w:color w:val="auto"/>
        </w:rPr>
        <w:t>) applicable to such Initial Term Loans and Initial Revolving Loans, as the case may be, shall be increased to the extent of such differential between interest rate floors), (c) original issue discount and (d) upfront fees paid generally to all Persons providing such Loan or Commitment (with original issue discount and upfront fees being equated to interest based on the shorter of (x) the Weighted Average Life to Maturity of such Loans and (y) four years), but exclusive of any arrangement, commitment, structuring, underwriting, ticking, amendment or similar fee paid or payable to the Joint Lead Arrangers (or their Affiliates) in their capacities as such in connection with the Initial Term Loans or to one or more arrangers (or their Affiliates) in their capacities as such to any Incremental Credit Facility.</w:t>
      </w:r>
    </w:p>
    <w:p>
      <w:pPr>
        <w:spacing w:after="0" w:line="16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u w:val="single" w:color="auto"/>
          <w:color w:val="auto"/>
        </w:rPr>
        <w:t>Section 1.02 Classification of Loans and Borrowings</w:t>
      </w:r>
      <w:r>
        <w:rPr>
          <w:rFonts w:ascii="Arial" w:cs="Arial" w:eastAsia="Arial" w:hAnsi="Arial"/>
          <w:sz w:val="22"/>
          <w:szCs w:val="22"/>
          <w:color w:val="auto"/>
        </w:rPr>
        <w:t>. For purposes of this Agreement, Loans may be classified and referred to by Class (</w:t>
      </w:r>
      <w:r>
        <w:rPr>
          <w:rFonts w:ascii="Arial" w:cs="Arial" w:eastAsia="Arial" w:hAnsi="Arial"/>
          <w:sz w:val="22"/>
          <w:szCs w:val="22"/>
          <w:u w:val="single" w:color="auto"/>
          <w:color w:val="auto"/>
        </w:rPr>
        <w:t>e.g.</w:t>
      </w:r>
      <w:r>
        <w:rPr>
          <w:rFonts w:ascii="Arial" w:cs="Arial" w:eastAsia="Arial" w:hAnsi="Arial"/>
          <w:sz w:val="22"/>
          <w:szCs w:val="22"/>
          <w:color w:val="auto"/>
        </w:rPr>
        <w:t>, a “Revolving Loan”) or by Type (</w:t>
      </w:r>
      <w:r>
        <w:rPr>
          <w:rFonts w:ascii="Arial" w:cs="Arial" w:eastAsia="Arial" w:hAnsi="Arial"/>
          <w:sz w:val="22"/>
          <w:szCs w:val="22"/>
          <w:u w:val="single" w:color="auto"/>
          <w:color w:val="auto"/>
        </w:rPr>
        <w:t>e.g.</w:t>
      </w:r>
      <w:r>
        <w:rPr>
          <w:rFonts w:ascii="Arial" w:cs="Arial" w:eastAsia="Arial" w:hAnsi="Arial"/>
          <w:sz w:val="22"/>
          <w:szCs w:val="22"/>
          <w:color w:val="auto"/>
        </w:rPr>
        <w:t>, a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Loan”) or by Class and Type (</w:t>
      </w:r>
      <w:r>
        <w:rPr>
          <w:rFonts w:ascii="Arial" w:cs="Arial" w:eastAsia="Arial" w:hAnsi="Arial"/>
          <w:sz w:val="22"/>
          <w:szCs w:val="22"/>
          <w:u w:val="single" w:color="auto"/>
          <w:color w:val="auto"/>
        </w:rPr>
        <w:t>e.g.</w:t>
      </w:r>
      <w:r>
        <w:rPr>
          <w:rFonts w:ascii="Arial" w:cs="Arial" w:eastAsia="Arial" w:hAnsi="Arial"/>
          <w:sz w:val="22"/>
          <w:szCs w:val="22"/>
          <w:color w:val="auto"/>
        </w:rPr>
        <w:t>, a “Term SOFR Revolving Loan”). Borrowings also may be classified and referred to by Class (</w:t>
      </w:r>
      <w:r>
        <w:rPr>
          <w:rFonts w:ascii="Arial" w:cs="Arial" w:eastAsia="Arial" w:hAnsi="Arial"/>
          <w:sz w:val="22"/>
          <w:szCs w:val="22"/>
          <w:u w:val="single" w:color="auto"/>
          <w:color w:val="auto"/>
        </w:rPr>
        <w:t>e.g.</w:t>
      </w:r>
      <w:r>
        <w:rPr>
          <w:rFonts w:ascii="Arial" w:cs="Arial" w:eastAsia="Arial" w:hAnsi="Arial"/>
          <w:sz w:val="22"/>
          <w:szCs w:val="22"/>
          <w:color w:val="auto"/>
        </w:rPr>
        <w:t>, a “Revolving Loan Borrowing”) or by Type (</w:t>
      </w:r>
      <w:r>
        <w:rPr>
          <w:rFonts w:ascii="Arial" w:cs="Arial" w:eastAsia="Arial" w:hAnsi="Arial"/>
          <w:sz w:val="22"/>
          <w:szCs w:val="22"/>
          <w:u w:val="single" w:color="auto"/>
          <w:color w:val="auto"/>
        </w:rPr>
        <w:t>e.g.</w:t>
      </w:r>
      <w:r>
        <w:rPr>
          <w:rFonts w:ascii="Arial" w:cs="Arial" w:eastAsia="Arial" w:hAnsi="Arial"/>
          <w:sz w:val="22"/>
          <w:szCs w:val="22"/>
          <w:color w:val="auto"/>
        </w:rPr>
        <w:t>, a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Borrowing”) or by Class and Type (</w:t>
      </w:r>
      <w:r>
        <w:rPr>
          <w:rFonts w:ascii="Arial" w:cs="Arial" w:eastAsia="Arial" w:hAnsi="Arial"/>
          <w:sz w:val="22"/>
          <w:szCs w:val="22"/>
          <w:u w:val="single" w:color="auto"/>
          <w:color w:val="auto"/>
        </w:rPr>
        <w:t>e.g.</w:t>
      </w:r>
      <w:r>
        <w:rPr>
          <w:rFonts w:ascii="Arial" w:cs="Arial" w:eastAsia="Arial" w:hAnsi="Arial"/>
          <w:sz w:val="22"/>
          <w:szCs w:val="22"/>
          <w:color w:val="auto"/>
        </w:rPr>
        <w:t>, a “Term SOFR Revolving Loan Borrowing”).</w:t>
      </w:r>
    </w:p>
    <w:p>
      <w:pPr>
        <w:spacing w:after="0" w:line="158"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u w:val="single" w:color="auto"/>
          <w:color w:val="auto"/>
        </w:rPr>
        <w:t>Section 1.03 Terms Generally</w:t>
      </w:r>
      <w:r>
        <w:rPr>
          <w:rFonts w:ascii="Arial" w:cs="Arial" w:eastAsia="Arial" w:hAnsi="Arial"/>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amended and restated, supplemented or otherwise modified (including pursuant to any permitted refinancing, extension, renewal, replacement, restructuring or increase (in each case, whether pursuant to one or more agreements or with different lenders or different agents), but subject to any restrictions on such amendments, supplements or modifications set forth herein), (b) any reference herein to any Person shall be construed to include such Person’s successors and permitted assigns and, in the case of any Governmental Authority, any other Governmental Authority that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68" w:name="page369"/>
    <w:bookmarkEnd w:id="368"/>
    <w:p>
      <w:pPr>
        <w:jc w:val="both"/>
        <w:spacing w:after="0" w:line="239" w:lineRule="auto"/>
        <w:rPr>
          <w:sz w:val="20"/>
          <w:szCs w:val="20"/>
          <w:color w:val="auto"/>
        </w:rPr>
      </w:pPr>
      <w:r>
        <w:rPr>
          <w:rFonts w:ascii="Arial" w:cs="Arial" w:eastAsia="Arial" w:hAnsi="Arial"/>
          <w:sz w:val="19"/>
          <w:szCs w:val="19"/>
          <w:color w:val="auto"/>
        </w:rPr>
        <w:t>succeeded to any or all of the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(f) any reference to any Requirement of Law shall, unless otherwise specified, refer to such Requirement of Law as amended, modified or supplemented from time to time and shall include all statutory and regulatory provisions consolidating, amending, replacing, supplementing or interpreting such Requirement of Law, (g) the phrase “for the term of this Agreement” and any similar phrases shall mean the period beginning on the Closing Date and ending on the Latest Maturity Date, the term “manifest error” shall be deemed to include any clearly demonstrable error whether or not obvious on the face of the document containing such error and</w:t>
      </w:r>
    </w:p>
    <w:p>
      <w:pPr>
        <w:spacing w:after="0" w:line="2" w:lineRule="exact"/>
        <w:rPr>
          <w:sz w:val="20"/>
          <w:szCs w:val="20"/>
          <w:color w:val="auto"/>
        </w:rPr>
      </w:pPr>
    </w:p>
    <w:p>
      <w:pPr>
        <w:jc w:val="both"/>
        <w:ind w:firstLine="8"/>
        <w:spacing w:after="0" w:line="228" w:lineRule="auto"/>
        <w:tabs>
          <w:tab w:leader="none" w:pos="357" w:val="left"/>
        </w:tabs>
        <w:numPr>
          <w:ilvl w:val="0"/>
          <w:numId w:val="361"/>
        </w:numPr>
        <w:rPr>
          <w:rFonts w:ascii="Arial" w:cs="Arial" w:eastAsia="Arial" w:hAnsi="Arial"/>
          <w:sz w:val="21"/>
          <w:szCs w:val="21"/>
          <w:color w:val="auto"/>
        </w:rPr>
      </w:pPr>
      <w:r>
        <w:rPr>
          <w:rFonts w:ascii="Arial" w:cs="Arial" w:eastAsia="Arial" w:hAnsi="Arial"/>
          <w:sz w:val="21"/>
          <w:szCs w:val="21"/>
          <w:color w:val="auto"/>
        </w:rPr>
        <w:t>all references to “knowledge” or “awareness” of any Loan Party or a Restricted Subsidiary thereof means the actual knowledge of a Responsible Officer of a Loan Party or such Restricted Subsidiary. Unless otherwise specified, all references herein to times of day shall be references to New York City time (daylight or standard, as applicable).</w:t>
      </w:r>
    </w:p>
    <w:p>
      <w:pPr>
        <w:spacing w:after="0" w:line="158"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Section 1.04 Accounting Terms; GAAP. Except as otherwise expressly provided herein, all terms of an accounting or financial nature shall be construed in accordance with GAAP, as in effect from time to time. In the event that any Accounting Change (as defined below) shall occur and such change results in a change in the method of calculation of financial covenants, standards or terms in this Agreement, then Holdings, the Borrower and the Administrative Agent shall enter into good faith negotiations in order to amend such provisions of this Agreement so as to equitably reflect such Accounting Change with the desired result that the criteria for evaluating the Borrower’s and its Subsidiaries’ consolidated financial condition shall be the same after such Accounting Change as if such Accounting Change had not been made. Until such time as such an amendment shall have been executed and delivered by Holdings, the Borrower, the Administrative Agent and the Required Lenders, all financial ratios, covenants, standards and terms in this Agreement shall continue to be calculated or construed as if such Accounting Change had not occurred. “</w:t>
      </w:r>
      <w:r>
        <w:rPr>
          <w:rFonts w:ascii="Arial" w:cs="Arial" w:eastAsia="Arial" w:hAnsi="Arial"/>
          <w:sz w:val="19"/>
          <w:szCs w:val="19"/>
          <w:u w:val="single" w:color="auto"/>
          <w:color w:val="auto"/>
        </w:rPr>
        <w:t>Accounting Change</w:t>
      </w:r>
      <w:r>
        <w:rPr>
          <w:rFonts w:ascii="Arial" w:cs="Arial" w:eastAsia="Arial" w:hAnsi="Arial"/>
          <w:sz w:val="19"/>
          <w:szCs w:val="19"/>
          <w:color w:val="auto"/>
        </w:rPr>
        <w:t>” refers to any change in accounting principles required by the promulgation of any rule, regulation, pronouncement or opinion by the Financial Accounting Standards Board of the American Institute of Certified Public Accountants or, if applicable,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-1395730</wp:posOffset>
            </wp:positionV>
            <wp:extent cx="25006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2500630" cy="8255"/>
                    </a:xfrm>
                    <a:prstGeom prst="rect">
                      <a:avLst/>
                    </a:prstGeom>
                    <a:noFill/>
                  </pic:spPr>
                </pic:pic>
              </a:graphicData>
            </a:graphic>
          </wp:anchor>
        </w:drawing>
      </w:r>
    </w:p>
    <w:p>
      <w:pPr>
        <w:spacing w:after="0" w:line="365"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Notwithstanding anything in this Agreement to the contrary, any change in GAAP or the application or interpretation thereof that would require operating leases to be treated similarly as a capital lease shall not be given effect in the definitions of Indebtedness or Liens or any related definitions or in the computation of any financial ratio or requirement.</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1.05</w:t>
      </w:r>
      <w:r>
        <w:rPr>
          <w:sz w:val="20"/>
          <w:szCs w:val="20"/>
          <w:color w:val="auto"/>
        </w:rPr>
        <w:tab/>
      </w:r>
      <w:r>
        <w:rPr>
          <w:rFonts w:ascii="Arial" w:cs="Arial" w:eastAsia="Arial" w:hAnsi="Arial"/>
          <w:sz w:val="19"/>
          <w:szCs w:val="19"/>
          <w:u w:val="single" w:color="auto"/>
          <w:color w:val="auto"/>
        </w:rPr>
        <w:t>Pro Forma Calculations; Unrestricted Cash</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179" w:lineRule="exact"/>
        <w:rPr>
          <w:sz w:val="20"/>
          <w:szCs w:val="20"/>
          <w:color w:val="auto"/>
        </w:rPr>
      </w:pPr>
    </w:p>
    <w:p>
      <w:pPr>
        <w:jc w:val="both"/>
        <w:ind w:firstLine="1304"/>
        <w:spacing w:after="0" w:line="257" w:lineRule="auto"/>
        <w:tabs>
          <w:tab w:leader="none" w:pos="1754" w:val="left"/>
        </w:tabs>
        <w:numPr>
          <w:ilvl w:val="0"/>
          <w:numId w:val="362"/>
        </w:numPr>
        <w:rPr>
          <w:rFonts w:ascii="Arial" w:cs="Arial" w:eastAsia="Arial" w:hAnsi="Arial"/>
          <w:sz w:val="19"/>
          <w:szCs w:val="19"/>
          <w:color w:val="auto"/>
        </w:rPr>
      </w:pPr>
      <w:r>
        <w:rPr>
          <w:rFonts w:ascii="Arial" w:cs="Arial" w:eastAsia="Arial" w:hAnsi="Arial"/>
          <w:sz w:val="19"/>
          <w:szCs w:val="19"/>
          <w:color w:val="auto"/>
        </w:rPr>
        <w:t>With respect to any period during which the Transactions or any Specified Transaction occurs, the calculation of the Total Net Leverage Ratio, Senior Secured Net Leverage Ratio, First Lien Net Leverage Ratio, Interest Coverage Ratio, Consolidated EBITDA and Consolidated Total Assets or for any other purpose hereunder (other than with respect to clause (b) of the definition of “Available Amount”), with respect to such period shall be made on a Pro Forma Basis.</w:t>
      </w:r>
    </w:p>
    <w:p>
      <w:pPr>
        <w:spacing w:after="0" w:line="144" w:lineRule="exact"/>
        <w:rPr>
          <w:rFonts w:ascii="Arial" w:cs="Arial" w:eastAsia="Arial" w:hAnsi="Arial"/>
          <w:sz w:val="19"/>
          <w:szCs w:val="19"/>
          <w:color w:val="auto"/>
        </w:rPr>
      </w:pPr>
    </w:p>
    <w:p>
      <w:pPr>
        <w:ind w:firstLine="1304"/>
        <w:spacing w:after="0" w:line="232" w:lineRule="auto"/>
        <w:tabs>
          <w:tab w:leader="none" w:pos="1789" w:val="left"/>
        </w:tabs>
        <w:numPr>
          <w:ilvl w:val="0"/>
          <w:numId w:val="362"/>
        </w:numPr>
        <w:rPr>
          <w:rFonts w:ascii="Arial" w:cs="Arial" w:eastAsia="Arial" w:hAnsi="Arial"/>
          <w:sz w:val="22"/>
          <w:szCs w:val="22"/>
          <w:color w:val="auto"/>
        </w:rPr>
      </w:pPr>
      <w:r>
        <w:rPr>
          <w:rFonts w:ascii="Arial" w:cs="Arial" w:eastAsia="Arial" w:hAnsi="Arial"/>
          <w:sz w:val="22"/>
          <w:szCs w:val="22"/>
          <w:color w:val="auto"/>
        </w:rPr>
        <w:t>For purposes of calculating the Total Net Leverage Ratio, Senior Secured Net Leverage Ratio and First Lien Net Leverage Ratio, the proceeds of any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69" w:name="page370"/>
    <w:bookmarkEnd w:id="369"/>
    <w:p>
      <w:pPr>
        <w:spacing w:after="0" w:line="232" w:lineRule="auto"/>
        <w:rPr>
          <w:sz w:val="20"/>
          <w:szCs w:val="20"/>
          <w:color w:val="auto"/>
        </w:rPr>
      </w:pPr>
      <w:r>
        <w:rPr>
          <w:rFonts w:ascii="Arial" w:cs="Arial" w:eastAsia="Arial" w:hAnsi="Arial"/>
          <w:sz w:val="22"/>
          <w:szCs w:val="22"/>
          <w:color w:val="auto"/>
        </w:rPr>
        <w:t>permitted by testing any such ratios hereunder shall not be included on the date incurred (or on the date such ratio is tested with respect to such incurrence) as Unrestricted Cash.</w:t>
      </w:r>
    </w:p>
    <w:p>
      <w:pPr>
        <w:spacing w:after="0" w:line="159" w:lineRule="exact"/>
        <w:rPr>
          <w:sz w:val="20"/>
          <w:szCs w:val="20"/>
          <w:color w:val="auto"/>
        </w:rPr>
      </w:pPr>
    </w:p>
    <w:p>
      <w:pPr>
        <w:jc w:val="both"/>
        <w:ind w:firstLine="1304"/>
        <w:spacing w:after="0" w:line="246" w:lineRule="auto"/>
        <w:tabs>
          <w:tab w:leader="none" w:pos="1754" w:val="left"/>
        </w:tabs>
        <w:numPr>
          <w:ilvl w:val="0"/>
          <w:numId w:val="363"/>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with respect to any amounts incurred or transactions entered into (or consummated) in reliance on a provision of this Agreement that does not require compliance with a financial ratio or test (including pro forma compliance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hereof, any First Lien Net Leverage Ratio test, Senior Secured Net Leverage Ratio test, Total Net Leverage Ratio test or Interest Coverage Ratio test) (any such amounts, the “</w:t>
      </w:r>
      <w:r>
        <w:rPr>
          <w:rFonts w:ascii="Arial" w:cs="Arial" w:eastAsia="Arial" w:hAnsi="Arial"/>
          <w:sz w:val="19"/>
          <w:szCs w:val="19"/>
          <w:u w:val="single" w:color="auto"/>
          <w:color w:val="auto"/>
        </w:rPr>
        <w:t>Fixed Amounts</w:t>
      </w:r>
      <w:r>
        <w:rPr>
          <w:rFonts w:ascii="Arial" w:cs="Arial" w:eastAsia="Arial" w:hAnsi="Arial"/>
          <w:sz w:val="19"/>
          <w:szCs w:val="19"/>
          <w:color w:val="auto"/>
        </w:rPr>
        <w:t>”) substantially concurrently with any amounts incurred or transactions entered into (or consummated) in reliance on a provision of this Agreement that requires compliance with any such financial ratio or test (any such amounts, the “</w:t>
      </w:r>
      <w:r>
        <w:rPr>
          <w:rFonts w:ascii="Arial" w:cs="Arial" w:eastAsia="Arial" w:hAnsi="Arial"/>
          <w:sz w:val="19"/>
          <w:szCs w:val="19"/>
          <w:u w:val="single" w:color="auto"/>
          <w:color w:val="auto"/>
        </w:rPr>
        <w:t>Incurrence-Based Amounts</w:t>
      </w:r>
      <w:r>
        <w:rPr>
          <w:rFonts w:ascii="Arial" w:cs="Arial" w:eastAsia="Arial" w:hAnsi="Arial"/>
          <w:sz w:val="19"/>
          <w:szCs w:val="19"/>
          <w:color w:val="auto"/>
        </w:rPr>
        <w:t>”), it is understood and agreed that the Fixed Amounts (and any cash proceeds thereof) shall be disregarded in the calculation of the financial ratio or test applicable to the Incurrence-Based Amounts in connection with such substantially concurrent incurrence.</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1.06</w:t>
      </w:r>
      <w:r>
        <w:rPr>
          <w:sz w:val="20"/>
          <w:szCs w:val="20"/>
          <w:color w:val="auto"/>
        </w:rPr>
        <w:tab/>
      </w:r>
      <w:r>
        <w:rPr>
          <w:rFonts w:ascii="Arial" w:cs="Arial" w:eastAsia="Arial" w:hAnsi="Arial"/>
          <w:sz w:val="19"/>
          <w:szCs w:val="19"/>
          <w:u w:val="single" w:color="auto"/>
          <w:color w:val="auto"/>
        </w:rPr>
        <w:t>Currency Translation</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6" w:lineRule="auto"/>
        <w:tabs>
          <w:tab w:leader="none" w:pos="1841" w:val="left"/>
        </w:tabs>
        <w:numPr>
          <w:ilvl w:val="0"/>
          <w:numId w:val="364"/>
        </w:numPr>
        <w:rPr>
          <w:rFonts w:ascii="Arial" w:cs="Arial" w:eastAsia="Arial" w:hAnsi="Arial"/>
          <w:sz w:val="21"/>
          <w:szCs w:val="21"/>
          <w:color w:val="auto"/>
        </w:rPr>
      </w:pPr>
      <w:r>
        <w:rPr>
          <w:rFonts w:ascii="Arial" w:cs="Arial" w:eastAsia="Arial" w:hAnsi="Arial"/>
          <w:sz w:val="21"/>
          <w:szCs w:val="21"/>
          <w:color w:val="auto"/>
        </w:rPr>
        <w:t xml:space="preserve">For purposes of determining compliance as of any date after the Closing Date with </w:t>
      </w:r>
      <w:r>
        <w:rPr>
          <w:rFonts w:ascii="Arial" w:cs="Arial" w:eastAsia="Arial" w:hAnsi="Arial"/>
          <w:sz w:val="21"/>
          <w:szCs w:val="21"/>
          <w:u w:val="single" w:color="auto"/>
          <w:color w:val="auto"/>
        </w:rPr>
        <w:t>Section 5.12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6.01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6.02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6.03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6.05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6.06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6.07</w:t>
      </w:r>
      <w:r>
        <w:rPr>
          <w:rFonts w:ascii="Arial" w:cs="Arial" w:eastAsia="Arial" w:hAnsi="Arial"/>
          <w:sz w:val="21"/>
          <w:szCs w:val="21"/>
          <w:color w:val="auto"/>
        </w:rPr>
        <w:t>, or, or for any other specified purpose hereunder, amounts incurred (or first committed, in the case of revolving credit debt), distributed, paid, invested or outstanding in currencies other than Dollars shall be translated into Dollars at the exchange rates in effect on such date, as such exchange rates shall be determined in good faith by the Borrower by reference to customary indices.</w:t>
      </w:r>
    </w:p>
    <w:p>
      <w:pPr>
        <w:spacing w:after="0" w:line="159" w:lineRule="exact"/>
        <w:rPr>
          <w:rFonts w:ascii="Arial" w:cs="Arial" w:eastAsia="Arial" w:hAnsi="Arial"/>
          <w:sz w:val="21"/>
          <w:szCs w:val="21"/>
          <w:color w:val="auto"/>
        </w:rPr>
      </w:pPr>
    </w:p>
    <w:p>
      <w:pPr>
        <w:jc w:val="both"/>
        <w:ind w:firstLine="1304"/>
        <w:spacing w:after="0" w:line="244" w:lineRule="auto"/>
        <w:tabs>
          <w:tab w:leader="none" w:pos="1787" w:val="left"/>
        </w:tabs>
        <w:numPr>
          <w:ilvl w:val="0"/>
          <w:numId w:val="364"/>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6.02</w:t>
      </w:r>
      <w:r>
        <w:rPr>
          <w:rFonts w:ascii="Arial" w:cs="Arial" w:eastAsia="Arial" w:hAnsi="Arial"/>
          <w:sz w:val="19"/>
          <w:szCs w:val="19"/>
          <w:color w:val="auto"/>
        </w:rPr>
        <w:t>, if Indebtedness is incurred or a Lien is granted to extend, replace, refund, refinance, renew or defease other Indebtedness (secured or otherwise) denominated in a foreign currency, and such extension, replacement, refunding, refinancing, renewal or defeasance would cause the applicable restriction to be exceeded if calculated at the relevant currency exchange rate in effect on the date of such extension, replacement, refunding, refinancing, renewal or defeasance, such restriction, to the extent such extension, replacement, refund, refinancing, renewal or defeasance is in the same foreign currency, shall be deemed not to have been exceeded so long as the principal amount of such refinancing Indebtedness does not exceed the principal amount of such Indebtedness being extended, replaced, refunded, refinanced, renewed or defeased, plus the amount of any premium paid, and fees and expenses incurred, in connection with such extension, replacement, refunding refinancing, renewal or defeasance (including any fees and original issue discount incurred in respect of such resulting Indebtedness).</w:t>
      </w:r>
    </w:p>
    <w:p>
      <w:pPr>
        <w:spacing w:after="0" w:line="154" w:lineRule="exact"/>
        <w:rPr>
          <w:rFonts w:ascii="Arial" w:cs="Arial" w:eastAsia="Arial" w:hAnsi="Arial"/>
          <w:sz w:val="19"/>
          <w:szCs w:val="19"/>
          <w:color w:val="auto"/>
        </w:rPr>
      </w:pPr>
    </w:p>
    <w:p>
      <w:pPr>
        <w:jc w:val="both"/>
        <w:ind w:firstLine="1304"/>
        <w:spacing w:after="0" w:line="246" w:lineRule="auto"/>
        <w:tabs>
          <w:tab w:leader="none" w:pos="1771" w:val="left"/>
        </w:tabs>
        <w:numPr>
          <w:ilvl w:val="0"/>
          <w:numId w:val="364"/>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6.07</w:t>
      </w:r>
      <w:r>
        <w:rPr>
          <w:rFonts w:ascii="Arial" w:cs="Arial" w:eastAsia="Arial" w:hAnsi="Arial"/>
          <w:sz w:val="19"/>
          <w:szCs w:val="19"/>
          <w:color w:val="auto"/>
        </w:rPr>
        <w:t>, with respect to any amounts incurred, paid, distributed or invested in a currency other than Dollars, no Default or Event of Default shall be deemed to have occurred solely as a result of changes in rates of currency exchange occurring after the time a Holding Company or one of its Restricted Subsidiaries is contractually obligated with respect to such incurrence, payment, distribution or investment (so long as, in the case of a contractual obligation, at the time of entering into the contract with respect to such incurrence, payment, distribution or investment, it was permitted hereunder) and once contractually obligated to be incurred, paid, distributed or invested, such amount shall be always deemed to be at the Dollar amount on such date, regardless of later changes in currency exchange rates.</w:t>
      </w:r>
    </w:p>
    <w:p>
      <w:pPr>
        <w:spacing w:after="0" w:line="152" w:lineRule="exact"/>
        <w:rPr>
          <w:rFonts w:ascii="Arial" w:cs="Arial" w:eastAsia="Arial" w:hAnsi="Arial"/>
          <w:sz w:val="19"/>
          <w:szCs w:val="19"/>
          <w:color w:val="auto"/>
        </w:rPr>
      </w:pPr>
    </w:p>
    <w:p>
      <w:pPr>
        <w:jc w:val="both"/>
        <w:ind w:firstLine="1304"/>
        <w:spacing w:after="0" w:line="223" w:lineRule="auto"/>
        <w:tabs>
          <w:tab w:leader="none" w:pos="1936" w:val="left"/>
        </w:tabs>
        <w:numPr>
          <w:ilvl w:val="0"/>
          <w:numId w:val="364"/>
        </w:numPr>
        <w:rPr>
          <w:rFonts w:ascii="Arial" w:cs="Arial" w:eastAsia="Arial" w:hAnsi="Arial"/>
          <w:sz w:val="22"/>
          <w:szCs w:val="22"/>
          <w:color w:val="auto"/>
        </w:rPr>
      </w:pPr>
      <w:r>
        <w:rPr>
          <w:rFonts w:ascii="Arial" w:cs="Arial" w:eastAsia="Arial" w:hAnsi="Arial"/>
          <w:sz w:val="22"/>
          <w:szCs w:val="22"/>
          <w:color w:val="auto"/>
        </w:rPr>
        <w:t>For purposes of determining compliance with the First Lien Net Leverage Ratio, Senior Secured Net Leverage Ratio, Total Net Leverage Ratio or Interest Coverage Ratio on any date of determination, amounts denominated in a currency other than Dollars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70" w:name="page371"/>
    <w:bookmarkEnd w:id="370"/>
    <w:p>
      <w:pPr>
        <w:jc w:val="both"/>
        <w:spacing w:after="0" w:line="249" w:lineRule="auto"/>
        <w:rPr>
          <w:sz w:val="20"/>
          <w:szCs w:val="20"/>
          <w:color w:val="auto"/>
        </w:rPr>
      </w:pPr>
      <w:r>
        <w:rPr>
          <w:rFonts w:ascii="Arial" w:cs="Arial" w:eastAsia="Arial" w:hAnsi="Arial"/>
          <w:sz w:val="19"/>
          <w:szCs w:val="19"/>
          <w:color w:val="auto"/>
        </w:rPr>
        <w:t xml:space="preserve">translated into Dollars (i) with respect to income statement items, at the currency exchange rates used in calculating Consolidated Net Income in the latest financial statements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(ii) with respect to balance sheet items, at the currency exchange rates used in calculating balance sheet items in the latest financial statements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will, in the case of Indebtedness, reflect the currency translation effects, determined in accordance with GAAP, of Swap Agreements permitted hereunder for currency exchange risks with respect to the applicable currency in effect on the date of determination of the Dollar Equivalent of such Indebtedness.</w:t>
      </w:r>
    </w:p>
    <w:p>
      <w:pPr>
        <w:spacing w:after="0" w:line="152"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u w:val="single" w:color="auto"/>
          <w:color w:val="auto"/>
        </w:rPr>
        <w:t>Section 1.07 Rounding</w:t>
      </w:r>
      <w:r>
        <w:rPr>
          <w:rFonts w:ascii="Arial" w:cs="Arial" w:eastAsia="Arial" w:hAnsi="Arial"/>
          <w:sz w:val="22"/>
          <w:szCs w:val="22"/>
          <w:color w:val="auto"/>
        </w:rPr>
        <w:t>. Any financial ratios required to be maintained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for five). For example, if the relevant ratio is to be calculated to the hundredth decimal place and the calculation of the ratio is 5.125, the ratio will be rounded up to 5.13.</w:t>
      </w:r>
    </w:p>
    <w:p>
      <w:pPr>
        <w:spacing w:after="0" w:line="15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u w:val="single" w:color="auto"/>
          <w:color w:val="auto"/>
        </w:rPr>
        <w:t>Section 1.08 Timing of Payment or Performance</w:t>
      </w:r>
      <w:r>
        <w:rPr>
          <w:rFonts w:ascii="Arial" w:cs="Arial" w:eastAsia="Arial" w:hAnsi="Arial"/>
          <w:sz w:val="19"/>
          <w:szCs w:val="19"/>
          <w:color w:val="auto"/>
        </w:rPr>
        <w:t>. When the payment of any obligation or the performance of any covenant, duty or obligation is stated to be due or 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w:t>
      </w:r>
    </w:p>
    <w:p>
      <w:pPr>
        <w:spacing w:after="0" w:line="14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u w:val="single" w:color="auto"/>
          <w:color w:val="auto"/>
        </w:rPr>
        <w:t>Section 1.09 Letter of Credit Amounts</w:t>
      </w:r>
      <w:r>
        <w:rPr>
          <w:rFonts w:ascii="Arial" w:cs="Arial" w:eastAsia="Arial" w:hAnsi="Arial"/>
          <w:sz w:val="19"/>
          <w:szCs w:val="19"/>
          <w:color w:val="auto"/>
        </w:rPr>
        <w:t xml:space="preserve">. Unless otherwise specified herein, the amount of a Letter of Credit at any time shall be deemed to be 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Letter of Credit that, by its terms or the terms of any Letter of Credit Application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any reason of the operation of Rule 3.14 of the ISP, such Letter of Credit shall be deemed to be “outstanding” in the amount so remaining available to be drawn.</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auto"/>
        </w:rPr>
        <w:t>Section 1.10 Certifications</w:t>
      </w:r>
      <w:r>
        <w:rPr>
          <w:rFonts w:ascii="Arial" w:cs="Arial" w:eastAsia="Arial" w:hAnsi="Arial"/>
          <w:sz w:val="22"/>
          <w:szCs w:val="22"/>
          <w:color w:val="auto"/>
        </w:rPr>
        <w:t>. All certifications to be made hereunder by an officer or representative of a Loan Party shall be made by such a Person in his or her capacity solely as an officer or a representative of such Loan Party, on such Loan Party’s behalf and not in such Person’s individual capacity.</w:t>
      </w:r>
    </w:p>
    <w:p>
      <w:pPr>
        <w:spacing w:after="0" w:line="15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u w:val="single" w:color="auto"/>
          <w:color w:val="auto"/>
        </w:rPr>
        <w:t>Section 1.11 Compliance with Article VI</w:t>
      </w:r>
      <w:r>
        <w:rPr>
          <w:rFonts w:ascii="Arial" w:cs="Arial" w:eastAsia="Arial" w:hAnsi="Arial"/>
          <w:sz w:val="19"/>
          <w:szCs w:val="19"/>
          <w:color w:val="auto"/>
        </w:rPr>
        <w:t xml:space="preserve"> . In the event that any transaction permitted pursuant to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(whether at the time of incurrence or upon application of all or a portion of the proceeds thereof) meets the criteria of one or more than one of the categories of transactions then permitted pursuant to any clause of such Sections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(within the same negative covenant), the Borrower, in its sole discretion, may classify or (solely in the case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(other than any amounts incurred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(r)</w:t>
      </w:r>
      <w:r>
        <w:rPr>
          <w:rFonts w:ascii="Arial" w:cs="Arial" w:eastAsia="Arial" w:hAnsi="Arial"/>
          <w:sz w:val="19"/>
          <w:szCs w:val="19"/>
          <w:color w:val="auto"/>
        </w:rPr>
        <w:t xml:space="preserve"> thereof),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(other than any amounts incurred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w:t>
      </w:r>
    </w:p>
    <w:p>
      <w:pPr>
        <w:spacing w:after="0" w:line="1" w:lineRule="exact"/>
        <w:rPr>
          <w:sz w:val="20"/>
          <w:szCs w:val="20"/>
          <w:color w:val="auto"/>
        </w:rPr>
      </w:pPr>
    </w:p>
    <w:p>
      <w:pPr>
        <w:jc w:val="both"/>
        <w:ind w:firstLine="8"/>
        <w:spacing w:after="0" w:line="251" w:lineRule="auto"/>
        <w:tabs>
          <w:tab w:leader="none" w:pos="423" w:val="left"/>
        </w:tabs>
        <w:numPr>
          <w:ilvl w:val="0"/>
          <w:numId w:val="365"/>
        </w:numPr>
        <w:rPr>
          <w:rFonts w:ascii="Arial" w:cs="Arial" w:eastAsia="Arial" w:hAnsi="Arial"/>
          <w:sz w:val="19"/>
          <w:szCs w:val="19"/>
          <w:u w:val="single" w:color="auto"/>
          <w:color w:val="auto"/>
        </w:rPr>
      </w:pPr>
      <w:r>
        <w:rPr>
          <w:rFonts w:ascii="Arial" w:cs="Arial" w:eastAsia="Arial" w:hAnsi="Arial"/>
          <w:sz w:val="19"/>
          <w:szCs w:val="19"/>
          <w:color w:val="auto"/>
        </w:rPr>
        <w:t xml:space="preserve">thereof),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reclassify (or later divide, classify or reclassify) such transaction and shall only be required to include the amount and type of such transaction in one of such clauses. Accrual of interest or dividends, the accretion of accreted value, the accretion or amortization of original issue discount and the payment of interest, premium, fees or expenses, in the form of additional Indebtedness shall not be deemed to be an incurrence of Indebtedness for purposes of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71" w:name="page372"/>
    <w:bookmarkEnd w:id="371"/>
    <w:p>
      <w:pPr>
        <w:jc w:val="both"/>
        <w:ind w:firstLine="1296"/>
        <w:spacing w:after="0"/>
        <w:rPr>
          <w:sz w:val="20"/>
          <w:szCs w:val="20"/>
          <w:color w:val="auto"/>
        </w:rPr>
      </w:pPr>
      <w:r>
        <w:rPr>
          <w:rFonts w:ascii="Arial" w:cs="Arial" w:eastAsia="Arial" w:hAnsi="Arial"/>
          <w:sz w:val="19"/>
          <w:szCs w:val="19"/>
          <w:u w:val="single" w:color="auto"/>
          <w:color w:val="auto"/>
        </w:rPr>
        <w:t>Section 1.12 Limited Condition Acquisition</w:t>
      </w:r>
      <w:r>
        <w:rPr>
          <w:rFonts w:ascii="Arial" w:cs="Arial" w:eastAsia="Arial" w:hAnsi="Arial"/>
          <w:sz w:val="19"/>
          <w:szCs w:val="19"/>
          <w:color w:val="auto"/>
        </w:rPr>
        <w:t xml:space="preserve">. Solely for the purpose of (i) measuring the relevant ratios and baskets (including, for the avoidance of doubt, any basket measured as a percentage of LTM EBITDA or Consolidated Total Assets and, for the avoidance of doubt including with respect to the incurrence of any Indebtedness (including any Incremental Loans), Liens, the making of any Acquisitions or other Investments, Restricted Payments, prepayments of Indebtedness or asset sales, in each case, in connection with a Limited Condition Acquisition) or (ii) determining compliance with the representations and warranties or the occurrence of any Default or Event of Default, in each case, in connection with a Limited Condition Acquisition, if the Borrower makes an LCA Election, the Applicable Date of Determination in determining whether any such Limited Condition Acquisition is permitted shall be deemed to be the LCA Test Date, and if, after giving effect to the Limited Condition Acquisition and the other transactions to be entered into in connection therewith as if they had occurred as of the Applicable Date of Determination, ending prior to the LCA Test Date on a Pro Forma Basis, the Borrower could have taken such action on the relevant LCA Test Date in compliance with any such ratio or basket (other than for the purposes of calculating actual compliance (and not pro forma compliance or compliance on a Pro Forma Basis) with </w:t>
      </w:r>
      <w:r>
        <w:rPr>
          <w:rFonts w:ascii="Arial" w:cs="Arial" w:eastAsia="Arial" w:hAnsi="Arial"/>
          <w:sz w:val="19"/>
          <w:szCs w:val="19"/>
          <w:u w:val="single" w:color="auto"/>
          <w:color w:val="auto"/>
        </w:rPr>
        <w:t>Section 6.11</w:t>
      </w:r>
      <w:r>
        <w:rPr>
          <w:rFonts w:ascii="Arial" w:cs="Arial" w:eastAsia="Arial" w:hAnsi="Arial"/>
          <w:sz w:val="19"/>
          <w:szCs w:val="19"/>
          <w:color w:val="auto"/>
        </w:rPr>
        <w:t>), such ratio or basket shall be deemed to have been complied with. If the Borrower has made an LCA Election for any Limited Condition Acquisition, then in connection with any subsequent calculation of any ratio or basket on or following the relevant LCA Test Date and prior to the earlier of (i) the date on which such Limited Condition Acquisition is consummated or (ii) the date that the definitive agreement for such Limited Condition Acquisition is terminated or expires without consummation of such Limited Condition Acquisition, any such ratio or basket shall be calculated and tested on a Pro Forma Basis assuming such Limited Condition Acquisition and other pro forma events in connection therewith (including any incurrence of Indebtedness and the use of proceeds thereof) have been consummated until such time as the applicable Limited Condition Acquisition has actually closed or the definitive agreement with respect thereto has been terminated. For the avoidance of doubt, if the Borrower has made an LCA Election and any of the ratios or baskets for which compliance was determined or tested as of LCA Test Date (including with respect to the incurrence of any Indebtedness) are not satisfied as a result of fluctuations in any such ratio or basket (including due to fluctuations in Consolidated EBITDA calculated on a Pro Forma Basis, including the target of any Limited Condition Acquisition) at or prior to the consummation of the relevant transaction or action, such baskets or ratios will not be deemed to have been unsatisfied as a result of such fluctuations; however, if any ratios or baskets improve as a result of such fluctuations, such improved ratios or baskets may be utilized.</w:t>
      </w:r>
    </w:p>
    <w:p>
      <w:pPr>
        <w:spacing w:after="0" w:line="370"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u w:val="single" w:color="auto"/>
          <w:color w:val="auto"/>
        </w:rPr>
        <w:t>Section 1.13 Cashless Rollovers</w:t>
      </w:r>
      <w:r>
        <w:rPr>
          <w:rFonts w:ascii="Arial" w:cs="Arial" w:eastAsia="Arial" w:hAnsi="Arial"/>
          <w:sz w:val="21"/>
          <w:szCs w:val="21"/>
          <w:color w:val="auto"/>
        </w:rPr>
        <w:t>. Notwithstanding anything to the contrary contained in this Agreement or in any other Loan Document, to the extent that any Lender extends the maturity date of, or replaces, renews or refinances, any of its then-existing Loans with an Incremental Credit Facility, Credit Agreement Refinancing Indebtedness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6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Section 1.14 Division of LLCs. Any reference herein to a merger, transfer, consolidation, amalgamation,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 “</w:t>
      </w:r>
      <w:r>
        <w:rPr>
          <w:rFonts w:ascii="Arial" w:cs="Arial" w:eastAsia="Arial" w:hAnsi="Arial"/>
          <w:sz w:val="19"/>
          <w:szCs w:val="19"/>
          <w:u w:val="single" w:color="auto"/>
          <w:color w:val="auto"/>
        </w:rPr>
        <w:t>Division</w:t>
      </w:r>
      <w:r>
        <w:rPr>
          <w:rFonts w:ascii="Arial" w:cs="Arial" w:eastAsia="Arial" w:hAnsi="Arial"/>
          <w:sz w:val="19"/>
          <w:szCs w:val="19"/>
          <w:color w:val="auto"/>
        </w:rPr>
        <w:t>”),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-720725</wp:posOffset>
            </wp:positionV>
            <wp:extent cx="20008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2000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72" w:name="page373"/>
    <w:bookmarkEnd w:id="372"/>
    <w:p>
      <w:pPr>
        <w:spacing w:after="0"/>
        <w:rPr>
          <w:sz w:val="20"/>
          <w:szCs w:val="20"/>
          <w:color w:val="auto"/>
        </w:rPr>
      </w:pPr>
      <w:r>
        <w:rPr>
          <w:rFonts w:ascii="Arial" w:cs="Arial" w:eastAsia="Arial" w:hAnsi="Arial"/>
          <w:sz w:val="19"/>
          <w:szCs w:val="19"/>
          <w:color w:val="auto"/>
        </w:rPr>
        <w:t>Restricted Subsidiary, Unrestricted Subsidiary, joint venture or any other like term shall also constitute such a Person or entity).</w:t>
      </w:r>
    </w:p>
    <w:p>
      <w:pPr>
        <w:spacing w:after="0" w:line="19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II</w:t>
      </w:r>
    </w:p>
    <w:p>
      <w:pPr>
        <w:jc w:val="center"/>
        <w:spacing w:after="0"/>
        <w:rPr>
          <w:sz w:val="20"/>
          <w:szCs w:val="20"/>
          <w:color w:val="auto"/>
        </w:rPr>
      </w:pPr>
      <w:r>
        <w:rPr>
          <w:rFonts w:ascii="Arial" w:cs="Arial" w:eastAsia="Arial" w:hAnsi="Arial"/>
          <w:sz w:val="22"/>
          <w:szCs w:val="22"/>
          <w:u w:val="single" w:color="auto"/>
          <w:color w:val="auto"/>
        </w:rPr>
        <w:t>The Credits</w:t>
      </w:r>
    </w:p>
    <w:p>
      <w:pPr>
        <w:spacing w:after="0" w:line="16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u w:val="single" w:color="auto"/>
          <w:color w:val="auto"/>
        </w:rPr>
        <w:t>Section 2.01 Commitments</w:t>
      </w:r>
      <w:r>
        <w:rPr>
          <w:rFonts w:ascii="Arial" w:cs="Arial" w:eastAsia="Arial" w:hAnsi="Arial"/>
          <w:sz w:val="19"/>
          <w:szCs w:val="19"/>
          <w:color w:val="auto"/>
        </w:rPr>
        <w:t xml:space="preserve">. Subject to the terms and express conditions set forth herein, (a) each applicable Term Lender severally agrees to make a Term Loan to the Borrower on the Closing Date in Dollars in an aggregate principal amount equal to its Term Commitment and (b) each Revolving Lender severally agrees to make Revolving Loans to the Borrower from time to time during the Revolving Availability Period in Dollars in an aggregate principal amount such that its Revolving Exposure will not exceed its Revolving Commitment. Within the foregoing limits and subject to the terms and express conditions set forth herein, the Borrower may borrow, prepay and reborrow Revolving Loans (without premium or penalty except as set forth in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Amounts repaid or prepaid in respect of Term Loans may not be reborrowed. The Term Commitments will terminate in full upon the making of the Loans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The Initial Term Loans funded on the Closing Date will be funded with original issue discount in an amount equal to 99.75% of the par principal amount thereof (it being agreed that the Borrower shall be obligated to repay 100% of the principal amount of the Initial Term Loans and interest shall accrue on 100% of the principal amount of the Initial Term Loans, in each case as provided herein).</w:t>
      </w:r>
    </w:p>
    <w:p>
      <w:pPr>
        <w:spacing w:after="0" w:line="15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Subject to the terms and conditions hereof and of the First Incremental Credit Facility Amendment, the 2019 Incremental Lender named in the First Incremental Credit Facility Amendment agrees to make a 2019 Incremental Funding Term Loan to the Borrower in a single drawing on the First Amendment Funding Date in Dollars and in an amount not to exceed the amount of the 2019 Incremental Funding Term Loan Commitment on the First Amendment Funding Date. Amounts repaid or prepaid in respect of 2019 Incremental Term Loans may not be reborrowed. The 2019 Incremental Funding Term Loan Commitment will terminate in full upon the drawing of the 2019 Incremental Funding Term Loans on the First Amendment Funding Date referred to in clause (i) of the first sentence of this paragraph above. The 2019 Incremental Funding Term Loans funded on the First Amendment Funding Date will be funded with original issue discount in an amount equal to 0.25% of the par principal amount thereof (it being agreed that the Borrower shall be obligated to repay 100% of the principal amount of the 2019 Incremental Term Loans and interest shall accrue on 100% of the principal amount of the 2019 Incremental Term Loans, in each case as provided herein).</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2.02</w:t>
      </w:r>
      <w:r>
        <w:rPr>
          <w:sz w:val="20"/>
          <w:szCs w:val="20"/>
          <w:color w:val="auto"/>
        </w:rPr>
        <w:tab/>
      </w:r>
      <w:r>
        <w:rPr>
          <w:rFonts w:ascii="Arial" w:cs="Arial" w:eastAsia="Arial" w:hAnsi="Arial"/>
          <w:sz w:val="19"/>
          <w:szCs w:val="19"/>
          <w:u w:val="single" w:color="auto"/>
          <w:color w:val="auto"/>
        </w:rPr>
        <w:t>Loans and Borrowings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6" w:lineRule="auto"/>
        <w:tabs>
          <w:tab w:leader="none" w:pos="1766" w:val="left"/>
        </w:tabs>
        <w:numPr>
          <w:ilvl w:val="0"/>
          <w:numId w:val="366"/>
        </w:numPr>
        <w:rPr>
          <w:rFonts w:ascii="Arial" w:cs="Arial" w:eastAsia="Arial" w:hAnsi="Arial"/>
          <w:sz w:val="22"/>
          <w:szCs w:val="22"/>
          <w:color w:val="auto"/>
        </w:rPr>
      </w:pPr>
      <w:r>
        <w:rPr>
          <w:rFonts w:ascii="Arial" w:cs="Arial" w:eastAsia="Arial" w:hAnsi="Arial"/>
          <w:sz w:val="22"/>
          <w:szCs w:val="22"/>
          <w:color w:val="auto"/>
        </w:rPr>
        <w:t xml:space="preserve">Each Loan shall be made as part of a Borrowing consisting of Loans of the same Class and Type made to the Borrower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Commitments of the Lenders are several and no Lender shall be responsible for any other Lender’s failure to make Loans as required.</w:t>
      </w:r>
    </w:p>
    <w:p>
      <w:pPr>
        <w:spacing w:after="0" w:line="157" w:lineRule="exact"/>
        <w:rPr>
          <w:rFonts w:ascii="Arial" w:cs="Arial" w:eastAsia="Arial" w:hAnsi="Arial"/>
          <w:sz w:val="22"/>
          <w:szCs w:val="22"/>
          <w:color w:val="auto"/>
        </w:rPr>
      </w:pPr>
    </w:p>
    <w:p>
      <w:pPr>
        <w:jc w:val="both"/>
        <w:ind w:firstLine="1304"/>
        <w:spacing w:after="0" w:line="249" w:lineRule="auto"/>
        <w:tabs>
          <w:tab w:leader="none" w:pos="1852" w:val="left"/>
        </w:tabs>
        <w:numPr>
          <w:ilvl w:val="0"/>
          <w:numId w:val="366"/>
        </w:numPr>
        <w:rPr>
          <w:rFonts w:ascii="Arial" w:cs="Arial" w:eastAsia="Arial" w:hAnsi="Arial"/>
          <w:sz w:val="19"/>
          <w:szCs w:val="19"/>
          <w:color w:val="auto"/>
        </w:rPr>
      </w:pPr>
      <w:r>
        <w:rPr>
          <w:rFonts w:ascii="Arial" w:cs="Arial" w:eastAsia="Arial" w:hAnsi="Arial"/>
          <w:sz w:val="19"/>
          <w:szCs w:val="19"/>
          <w:color w:val="auto"/>
        </w:rPr>
        <w:t xml:space="preserve">Each Revolving Loan Borrowing shall be comprised entirely of ABR Loans or Term SOFR Loans as the Borrower may request in accordance herewith. Each Term Loan Borrowing shall be comprised entirely of ABR Loans or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Loans as the Borrower may request in accordance herewith. Each Swingline Loan shall be an ABR</w:t>
      </w:r>
      <w:r>
        <w:rPr>
          <w:rFonts w:ascii="Arial" w:cs="Arial" w:eastAsia="Arial" w:hAnsi="Arial"/>
          <w:sz w:val="19"/>
          <w:szCs w:val="19"/>
          <w:color w:val="FF0000"/>
        </w:rPr>
        <w:t xml:space="preserve"> </w:t>
      </w:r>
      <w:r>
        <w:rPr>
          <w:rFonts w:ascii="Arial" w:cs="Arial" w:eastAsia="Arial" w:hAnsi="Arial"/>
          <w:sz w:val="19"/>
          <w:szCs w:val="19"/>
          <w:color w:val="000000"/>
        </w:rPr>
        <w:t xml:space="preserve">Loan and shall be denominated in Dollars. Each Lender at its option may make any </w:t>
      </w:r>
      <w:r>
        <w:rPr>
          <w:rFonts w:ascii="Arial" w:cs="Arial" w:eastAsia="Arial" w:hAnsi="Arial"/>
          <w:sz w:val="19"/>
          <w:szCs w:val="19"/>
          <w:color w:val="FF0000"/>
          <w:strike w:val="1"/>
        </w:rPr>
        <w:t>Eurocurrency Loan or</w:t>
      </w:r>
      <w:r>
        <w:rPr>
          <w:rFonts w:ascii="Arial" w:cs="Arial" w:eastAsia="Arial" w:hAnsi="Arial"/>
          <w:sz w:val="19"/>
          <w:szCs w:val="19"/>
          <w:color w:val="000000"/>
        </w:rPr>
        <w:t xml:space="preserve"> Term SOFR Loan by causing any domestic or foreign branch or Affiliate of such Lender to make such Loan;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any exercise of such option shall not affect the obligation of the Borrower to repay such Loan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73" w:name="page374"/>
    <w:bookmarkEnd w:id="373"/>
    <w:p>
      <w:pPr>
        <w:jc w:val="both"/>
        <w:ind w:firstLine="1304"/>
        <w:spacing w:after="0" w:line="221" w:lineRule="auto"/>
        <w:tabs>
          <w:tab w:leader="none" w:pos="1809" w:val="left"/>
        </w:tabs>
        <w:numPr>
          <w:ilvl w:val="0"/>
          <w:numId w:val="367"/>
        </w:numPr>
        <w:rPr>
          <w:rFonts w:ascii="Arial" w:cs="Arial" w:eastAsia="Arial" w:hAnsi="Arial"/>
          <w:sz w:val="21"/>
          <w:szCs w:val="21"/>
          <w:color w:val="auto"/>
        </w:rPr>
      </w:pPr>
      <w:r>
        <w:rPr>
          <w:rFonts w:ascii="Arial" w:cs="Arial" w:eastAsia="Arial" w:hAnsi="Arial"/>
          <w:sz w:val="21"/>
          <w:szCs w:val="21"/>
          <w:color w:val="auto"/>
        </w:rPr>
        <w:t xml:space="preserve">At the commencement of each Interest Period for any </w:t>
      </w:r>
      <w:r>
        <w:rPr>
          <w:rFonts w:ascii="Arial" w:cs="Arial" w:eastAsia="Arial" w:hAnsi="Arial"/>
          <w:sz w:val="21"/>
          <w:szCs w:val="21"/>
          <w:color w:val="FF0000"/>
          <w:strike w:val="1"/>
        </w:rPr>
        <w:t>Eurocurrency Borrowing or</w:t>
      </w:r>
      <w:r>
        <w:rPr>
          <w:rFonts w:ascii="Arial" w:cs="Arial" w:eastAsia="Arial" w:hAnsi="Arial"/>
          <w:sz w:val="21"/>
          <w:szCs w:val="21"/>
          <w:color w:val="auto"/>
        </w:rPr>
        <w:t xml:space="preserve"> Term SOFR Borrowing, such Borrowing shall be in an aggregate amount that is an integral multiple of $1,000,000 (or, if not an integral multiple, the entire available amount) and not less than $2,000,000. At the time that each ABR Borrowing is made, such Borrowing shall be in an aggregate amount that is an integral multiple of $500,000 and not less than $1,000,000. Borrowings of more than one Type and Class may be outstanding at the same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there shall not at any time be more than a total of ten (10) </w:t>
      </w:r>
      <w:r>
        <w:rPr>
          <w:rFonts w:ascii="Arial" w:cs="Arial" w:eastAsia="Arial" w:hAnsi="Arial"/>
          <w:sz w:val="21"/>
          <w:szCs w:val="21"/>
          <w:color w:val="FF0000"/>
          <w:strike w:val="1"/>
        </w:rPr>
        <w:t>Eurocurrency Borrowings or ten (10)</w:t>
      </w:r>
      <w:r>
        <w:rPr>
          <w:rFonts w:ascii="Arial" w:cs="Arial" w:eastAsia="Arial" w:hAnsi="Arial"/>
          <w:sz w:val="21"/>
          <w:szCs w:val="21"/>
          <w:color w:val="FF0000"/>
        </w:rPr>
        <w:t xml:space="preserve"> </w:t>
      </w:r>
      <w:r>
        <w:rPr>
          <w:rFonts w:ascii="Arial" w:cs="Arial" w:eastAsia="Arial" w:hAnsi="Arial"/>
          <w:sz w:val="21"/>
          <w:szCs w:val="21"/>
          <w:color w:val="000000"/>
        </w:rPr>
        <w:t>Term SOFR Borrowings outstanding. Each Swingline Loan shall be in an amount that is an</w:t>
      </w:r>
      <w:r>
        <w:rPr>
          <w:rFonts w:ascii="Arial" w:cs="Arial" w:eastAsia="Arial" w:hAnsi="Arial"/>
          <w:sz w:val="21"/>
          <w:szCs w:val="21"/>
          <w:color w:val="FF0000"/>
        </w:rPr>
        <w:t xml:space="preserve"> </w:t>
      </w:r>
      <w:r>
        <w:rPr>
          <w:rFonts w:ascii="Arial" w:cs="Arial" w:eastAsia="Arial" w:hAnsi="Arial"/>
          <w:sz w:val="21"/>
          <w:szCs w:val="21"/>
          <w:color w:val="000000"/>
        </w:rPr>
        <w:t>integral multiple of $250,000 and not less than $500,000. Notwithstanding anything to the contrary herein, the Revolving Loans comprising any Borrowing may be in an aggregate amount that is equal to the entire unused balance of the aggregate Revolving Commitments.</w:t>
      </w:r>
    </w:p>
    <w:p>
      <w:pPr>
        <w:spacing w:after="0" w:line="158" w:lineRule="exact"/>
        <w:rPr>
          <w:rFonts w:ascii="Arial" w:cs="Arial" w:eastAsia="Arial" w:hAnsi="Arial"/>
          <w:sz w:val="21"/>
          <w:szCs w:val="21"/>
          <w:color w:val="auto"/>
        </w:rPr>
      </w:pPr>
    </w:p>
    <w:p>
      <w:pPr>
        <w:jc w:val="both"/>
        <w:ind w:firstLine="1304"/>
        <w:spacing w:after="0" w:line="218" w:lineRule="auto"/>
        <w:tabs>
          <w:tab w:leader="none" w:pos="1819" w:val="left"/>
        </w:tabs>
        <w:numPr>
          <w:ilvl w:val="0"/>
          <w:numId w:val="367"/>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Borrower shall not be entitled to request, or to elect to convert or continue, any Borrowing if the Interest Period requested with respect thereto would end after the applicable Revolving Termination Date (in the case of such Revolving Loan) or the Term Loan Maturity Date applicable to such Borrowing (in the case of such Term Loan), as the case may be.</w:t>
      </w:r>
    </w:p>
    <w:p>
      <w:pPr>
        <w:spacing w:after="0" w:line="160" w:lineRule="exact"/>
        <w:rPr>
          <w:rFonts w:ascii="Arial" w:cs="Arial" w:eastAsia="Arial" w:hAnsi="Arial"/>
          <w:sz w:val="22"/>
          <w:szCs w:val="22"/>
          <w:color w:val="auto"/>
        </w:rPr>
      </w:pPr>
    </w:p>
    <w:p>
      <w:pPr>
        <w:jc w:val="both"/>
        <w:ind w:firstLine="1304"/>
        <w:spacing w:after="0" w:line="218" w:lineRule="auto"/>
        <w:tabs>
          <w:tab w:leader="none" w:pos="1863" w:val="left"/>
        </w:tabs>
        <w:numPr>
          <w:ilvl w:val="0"/>
          <w:numId w:val="367"/>
        </w:numPr>
        <w:rPr>
          <w:rFonts w:ascii="Arial" w:cs="Arial" w:eastAsia="Arial" w:hAnsi="Arial"/>
          <w:sz w:val="22"/>
          <w:szCs w:val="22"/>
          <w:color w:val="auto"/>
        </w:rPr>
      </w:pPr>
      <w:r>
        <w:rPr>
          <w:rFonts w:ascii="Arial" w:cs="Arial" w:eastAsia="Arial" w:hAnsi="Arial"/>
          <w:sz w:val="22"/>
          <w:szCs w:val="22"/>
          <w:color w:val="auto"/>
        </w:rPr>
        <w:t xml:space="preserve">The obligations of the Revolving Lenders hereunder to make Revolving Loans, to fund participations in Letters of Credit and to make payments pursuant to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c) are several and not joint (it being understood that the foregoing shall in no way be in derogation of the reallocation of participations in Letters of Credit among the Revolving Lenders contemplated by </w:t>
      </w:r>
      <w:r>
        <w:rPr>
          <w:rFonts w:ascii="Arial" w:cs="Arial" w:eastAsia="Arial" w:hAnsi="Arial"/>
          <w:sz w:val="22"/>
          <w:szCs w:val="22"/>
          <w:u w:val="single" w:color="auto"/>
          <w:color w:val="auto"/>
        </w:rPr>
        <w:t>Section 2.22(a)(iv)</w:t>
      </w:r>
      <w:r>
        <w:rPr>
          <w:rFonts w:ascii="Arial" w:cs="Arial" w:eastAsia="Arial" w:hAnsi="Arial"/>
          <w:sz w:val="22"/>
          <w:szCs w:val="22"/>
          <w:color w:val="auto"/>
        </w:rPr>
        <w:t>).</w:t>
      </w:r>
    </w:p>
    <w:p>
      <w:pPr>
        <w:spacing w:after="0" w:line="161"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u w:val="single" w:color="auto"/>
          <w:color w:val="auto"/>
        </w:rPr>
        <w:t>Section 2.03 Requests for Borrowings</w:t>
      </w:r>
      <w:r>
        <w:rPr>
          <w:rFonts w:ascii="Arial" w:cs="Arial" w:eastAsia="Arial" w:hAnsi="Arial"/>
          <w:sz w:val="22"/>
          <w:szCs w:val="22"/>
          <w:color w:val="auto"/>
        </w:rPr>
        <w:t xml:space="preserve">. To request a Borrowing, the Borrower shall notify the Administrative Agent by hand delivery, electronic communication (including Adobe pdf file) or facsimile of a written Borrowing Request signed by the Borrower by (a) in the case of a </w:t>
      </w:r>
      <w:r>
        <w:rPr>
          <w:rFonts w:ascii="Arial" w:cs="Arial" w:eastAsia="Arial" w:hAnsi="Arial"/>
          <w:sz w:val="22"/>
          <w:szCs w:val="22"/>
          <w:color w:val="FF0000"/>
          <w:strike w:val="1"/>
        </w:rPr>
        <w:t>Eurocurrency Borrowing or</w:t>
      </w:r>
      <w:r>
        <w:rPr>
          <w:rFonts w:ascii="Arial" w:cs="Arial" w:eastAsia="Arial" w:hAnsi="Arial"/>
          <w:sz w:val="22"/>
          <w:szCs w:val="22"/>
          <w:color w:val="auto"/>
        </w:rPr>
        <w:t xml:space="preserve"> Term SOFR Borrowing, not later than 11:00 a.m., New York City time, three (3) Business Days before the date of the proposed Borrowing or (b) in the case of an ABR Borrowing or a Borrowing of a Daily SOFR Loan, not later than 11:00 a.m., New York City time, one (1) Business Day before the date of the proposed Borrowing. Each written Borrowing Request permitted by the immediately preceding sentence shall specify the following information:</w:t>
      </w:r>
    </w:p>
    <w:p>
      <w:pPr>
        <w:spacing w:after="0" w:line="164" w:lineRule="exact"/>
        <w:rPr>
          <w:sz w:val="20"/>
          <w:szCs w:val="20"/>
          <w:color w:val="auto"/>
        </w:rPr>
      </w:pPr>
    </w:p>
    <w:p>
      <w:pPr>
        <w:ind w:left="1720" w:hanging="416"/>
        <w:spacing w:after="0"/>
        <w:tabs>
          <w:tab w:leader="none" w:pos="1720" w:val="left"/>
        </w:tabs>
        <w:numPr>
          <w:ilvl w:val="1"/>
          <w:numId w:val="368"/>
        </w:numPr>
        <w:rPr>
          <w:rFonts w:ascii="Arial" w:cs="Arial" w:eastAsia="Arial" w:hAnsi="Arial"/>
          <w:sz w:val="22"/>
          <w:szCs w:val="22"/>
          <w:color w:val="auto"/>
        </w:rPr>
      </w:pPr>
      <w:r>
        <w:rPr>
          <w:rFonts w:ascii="Arial" w:cs="Arial" w:eastAsia="Arial" w:hAnsi="Arial"/>
          <w:sz w:val="22"/>
          <w:szCs w:val="22"/>
          <w:color w:val="auto"/>
        </w:rPr>
        <w:t>the Class of such Borrowing;</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1"/>
          <w:numId w:val="368"/>
        </w:numPr>
        <w:rPr>
          <w:rFonts w:ascii="Arial" w:cs="Arial" w:eastAsia="Arial" w:hAnsi="Arial"/>
          <w:sz w:val="22"/>
          <w:szCs w:val="22"/>
          <w:color w:val="auto"/>
        </w:rPr>
      </w:pPr>
      <w:r>
        <w:rPr>
          <w:rFonts w:ascii="Arial" w:cs="Arial" w:eastAsia="Arial" w:hAnsi="Arial"/>
          <w:sz w:val="22"/>
          <w:szCs w:val="22"/>
          <w:color w:val="auto"/>
        </w:rPr>
        <w:t>the aggregate amount of such Borrowing;</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1"/>
          <w:numId w:val="368"/>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1"/>
          <w:numId w:val="368"/>
        </w:numPr>
        <w:rPr>
          <w:rFonts w:ascii="Arial" w:cs="Arial" w:eastAsia="Arial" w:hAnsi="Arial"/>
          <w:sz w:val="19"/>
          <w:szCs w:val="19"/>
          <w:color w:val="auto"/>
        </w:rPr>
      </w:pPr>
      <w:r>
        <w:rPr>
          <w:rFonts w:ascii="Arial" w:cs="Arial" w:eastAsia="Arial" w:hAnsi="Arial"/>
          <w:sz w:val="19"/>
          <w:szCs w:val="19"/>
          <w:color w:val="auto"/>
        </w:rPr>
        <w:t>whether such Borrowing is to be an ABR Borrowing</w:t>
      </w:r>
      <w:r>
        <w:rPr>
          <w:rFonts w:ascii="Arial" w:cs="Arial" w:eastAsia="Arial" w:hAnsi="Arial"/>
          <w:sz w:val="19"/>
          <w:szCs w:val="19"/>
          <w:color w:val="FF0000"/>
          <w:strike w:val="1"/>
        </w:rPr>
        <w:t>, Eurocurrency Borrowing</w:t>
      </w:r>
      <w:r>
        <w:rPr>
          <w:rFonts w:ascii="Arial" w:cs="Arial" w:eastAsia="Arial" w:hAnsi="Arial"/>
          <w:sz w:val="19"/>
          <w:szCs w:val="19"/>
          <w:color w:val="auto"/>
        </w:rPr>
        <w:t xml:space="preserve"> or a Term SOFR Borrowing;</w:t>
      </w:r>
    </w:p>
    <w:p>
      <w:pPr>
        <w:spacing w:after="0" w:line="213" w:lineRule="exact"/>
        <w:rPr>
          <w:rFonts w:ascii="Arial" w:cs="Arial" w:eastAsia="Arial" w:hAnsi="Arial"/>
          <w:sz w:val="19"/>
          <w:szCs w:val="19"/>
          <w:color w:val="auto"/>
        </w:rPr>
      </w:pPr>
    </w:p>
    <w:p>
      <w:pPr>
        <w:ind w:left="660" w:firstLine="644"/>
        <w:spacing w:after="0" w:line="232" w:lineRule="auto"/>
        <w:tabs>
          <w:tab w:leader="none" w:pos="1956" w:val="left"/>
        </w:tabs>
        <w:numPr>
          <w:ilvl w:val="1"/>
          <w:numId w:val="368"/>
        </w:numPr>
        <w:rPr>
          <w:rFonts w:ascii="Arial" w:cs="Arial" w:eastAsia="Arial" w:hAnsi="Arial"/>
          <w:sz w:val="22"/>
          <w:szCs w:val="22"/>
          <w:color w:val="auto"/>
        </w:rPr>
      </w:pPr>
      <w:r>
        <w:rPr>
          <w:rFonts w:ascii="Arial" w:cs="Arial" w:eastAsia="Arial" w:hAnsi="Arial"/>
          <w:sz w:val="22"/>
          <w:szCs w:val="22"/>
          <w:color w:val="auto"/>
        </w:rPr>
        <w:t xml:space="preserve">in the case of a </w:t>
      </w:r>
      <w:r>
        <w:rPr>
          <w:rFonts w:ascii="Arial" w:cs="Arial" w:eastAsia="Arial" w:hAnsi="Arial"/>
          <w:sz w:val="22"/>
          <w:szCs w:val="22"/>
          <w:color w:val="FF0000"/>
          <w:strike w:val="1"/>
        </w:rPr>
        <w:t>Eurocurrency Borrowing or</w:t>
      </w:r>
      <w:r>
        <w:rPr>
          <w:rFonts w:ascii="Arial" w:cs="Arial" w:eastAsia="Arial" w:hAnsi="Arial"/>
          <w:sz w:val="22"/>
          <w:szCs w:val="22"/>
          <w:color w:val="auto"/>
        </w:rPr>
        <w:t xml:space="preserve"> Term SOFR Borrowing, the initial Interest Period to be applicable thereto, which shall be a period contemplated by the definition of the term “Interest Period;”</w:t>
      </w:r>
    </w:p>
    <w:p>
      <w:pPr>
        <w:spacing w:after="0" w:line="158" w:lineRule="exact"/>
        <w:rPr>
          <w:rFonts w:ascii="Arial" w:cs="Arial" w:eastAsia="Arial" w:hAnsi="Arial"/>
          <w:sz w:val="22"/>
          <w:szCs w:val="22"/>
          <w:color w:val="auto"/>
        </w:rPr>
      </w:pPr>
    </w:p>
    <w:p>
      <w:pPr>
        <w:ind w:left="660" w:firstLine="644"/>
        <w:spacing w:after="0" w:line="232" w:lineRule="auto"/>
        <w:tabs>
          <w:tab w:leader="none" w:pos="1918" w:val="left"/>
        </w:tabs>
        <w:numPr>
          <w:ilvl w:val="1"/>
          <w:numId w:val="368"/>
        </w:numPr>
        <w:rPr>
          <w:rFonts w:ascii="Arial" w:cs="Arial" w:eastAsia="Arial" w:hAnsi="Arial"/>
          <w:sz w:val="22"/>
          <w:szCs w:val="22"/>
          <w:color w:val="auto"/>
        </w:rPr>
      </w:pPr>
      <w:r>
        <w:rPr>
          <w:rFonts w:ascii="Arial" w:cs="Arial" w:eastAsia="Arial" w:hAnsi="Arial"/>
          <w:sz w:val="22"/>
          <w:szCs w:val="22"/>
          <w:color w:val="auto"/>
        </w:rPr>
        <w:t xml:space="preserve">the location and number of the applicable Borrower’s account to which funds are to be disbursed, which shall comply with the requirements of </w:t>
      </w:r>
      <w:r>
        <w:rPr>
          <w:rFonts w:ascii="Arial" w:cs="Arial" w:eastAsia="Arial" w:hAnsi="Arial"/>
          <w:sz w:val="22"/>
          <w:szCs w:val="22"/>
          <w:u w:val="single" w:color="auto"/>
          <w:color w:val="auto"/>
        </w:rPr>
        <w:t>Section 2.06</w:t>
      </w:r>
      <w:r>
        <w:rPr>
          <w:rFonts w:ascii="Arial" w:cs="Arial" w:eastAsia="Arial" w:hAnsi="Arial"/>
          <w:sz w:val="22"/>
          <w:szCs w:val="22"/>
          <w:color w:val="auto"/>
        </w:rPr>
        <w:t>; and</w:t>
      </w:r>
    </w:p>
    <w:p>
      <w:pPr>
        <w:spacing w:after="0" w:line="158" w:lineRule="exact"/>
        <w:rPr>
          <w:rFonts w:ascii="Arial" w:cs="Arial" w:eastAsia="Arial" w:hAnsi="Arial"/>
          <w:sz w:val="22"/>
          <w:szCs w:val="22"/>
          <w:color w:val="auto"/>
        </w:rPr>
      </w:pPr>
    </w:p>
    <w:p>
      <w:pPr>
        <w:jc w:val="both"/>
        <w:ind w:left="660" w:firstLine="644"/>
        <w:spacing w:after="0" w:line="247" w:lineRule="auto"/>
        <w:tabs>
          <w:tab w:leader="none" w:pos="2074" w:val="left"/>
        </w:tabs>
        <w:numPr>
          <w:ilvl w:val="1"/>
          <w:numId w:val="368"/>
        </w:numPr>
        <w:rPr>
          <w:rFonts w:ascii="Arial" w:cs="Arial" w:eastAsia="Arial" w:hAnsi="Arial"/>
          <w:sz w:val="19"/>
          <w:szCs w:val="19"/>
          <w:color w:val="auto"/>
        </w:rPr>
      </w:pPr>
      <w:r>
        <w:rPr>
          <w:rFonts w:ascii="Arial" w:cs="Arial" w:eastAsia="Arial" w:hAnsi="Arial"/>
          <w:sz w:val="19"/>
          <w:szCs w:val="19"/>
          <w:color w:val="auto"/>
        </w:rPr>
        <w:t xml:space="preserve">in the case of a Borrowing Request made in respect of a Revolving Loan Borrowing (other than a Revolving Loan Borrowing made on the Closing Date), that as of such date the express conditions in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and</w:t>
      </w:r>
    </w:p>
    <w:p>
      <w:pPr>
        <w:ind w:left="960" w:hanging="304"/>
        <w:spacing w:after="0"/>
        <w:tabs>
          <w:tab w:leader="none" w:pos="960" w:val="left"/>
        </w:tabs>
        <w:numPr>
          <w:ilvl w:val="0"/>
          <w:numId w:val="369"/>
        </w:numPr>
        <w:rPr>
          <w:rFonts w:ascii="Arial" w:cs="Arial" w:eastAsia="Arial" w:hAnsi="Arial"/>
          <w:sz w:val="22"/>
          <w:szCs w:val="22"/>
          <w:u w:val="single" w:color="auto"/>
          <w:color w:val="auto"/>
        </w:rPr>
      </w:pPr>
      <w:r>
        <w:rPr>
          <w:rFonts w:ascii="Arial" w:cs="Arial" w:eastAsia="Arial" w:hAnsi="Arial"/>
          <w:sz w:val="22"/>
          <w:szCs w:val="22"/>
          <w:color w:val="auto"/>
        </w:rPr>
        <w:t>are satisfied (or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74" w:name="page375"/>
    <w:bookmarkEnd w:id="374"/>
    <w:p>
      <w:pPr>
        <w:jc w:val="both"/>
        <w:spacing w:after="0" w:line="226" w:lineRule="auto"/>
        <w:rPr>
          <w:sz w:val="20"/>
          <w:szCs w:val="20"/>
          <w:color w:val="auto"/>
        </w:rPr>
      </w:pPr>
      <w:r>
        <w:rPr>
          <w:rFonts w:ascii="Arial" w:cs="Arial" w:eastAsia="Arial" w:hAnsi="Arial"/>
          <w:sz w:val="21"/>
          <w:szCs w:val="21"/>
          <w:color w:val="auto"/>
        </w:rPr>
        <w:t xml:space="preserve">If no election as to the Type of Borrowing is specified, then the requested Borrowing shall be an ABR Borrowing. If no Interest Period is specified with respect to any requested </w:t>
      </w:r>
      <w:r>
        <w:rPr>
          <w:rFonts w:ascii="Arial" w:cs="Arial" w:eastAsia="Arial" w:hAnsi="Arial"/>
          <w:sz w:val="21"/>
          <w:szCs w:val="21"/>
          <w:color w:val="FF0000"/>
          <w:strike w:val="1"/>
        </w:rPr>
        <w:t>Eurocurrency Borrowing or</w:t>
      </w:r>
      <w:r>
        <w:rPr>
          <w:rFonts w:ascii="Arial" w:cs="Arial" w:eastAsia="Arial" w:hAnsi="Arial"/>
          <w:sz w:val="21"/>
          <w:szCs w:val="21"/>
          <w:color w:val="auto"/>
        </w:rPr>
        <w:t xml:space="preserve"> Term SOFR Borrowing, then the Borrower shall be deemed to have selected an Interest Period of one (1)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5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u w:val="single" w:color="auto"/>
          <w:color w:val="auto"/>
        </w:rPr>
        <w:t>Section 2.04 Swingline Loans</w:t>
      </w:r>
      <w:r>
        <w:rPr>
          <w:rFonts w:ascii="Arial" w:cs="Arial" w:eastAsia="Arial" w:hAnsi="Arial"/>
          <w:sz w:val="22"/>
          <w:szCs w:val="22"/>
          <w:color w:val="auto"/>
        </w:rPr>
        <w:t xml:space="preserve"> . (a) Subject to the terms and conditions set forth herein, the Swingline Lender shall make Swingline Loans to the Borrower from time to time during the Revolving Availability Period, in an aggregate principal amount at any time outstanding that will not result in (i) the aggregate principal amount of outstanding Swingline Loans exceeding $10,000,000 or (ii) the aggregate amount of the Revolving Exposure exceeding the aggregate amount of the Revolving Commitments. Within the foregoing limits and subject to the terms and conditions set forth herein, the Borrower may borrow, prepay and reborrow Swingline Loans.</w:t>
      </w:r>
    </w:p>
    <w:p>
      <w:pPr>
        <w:spacing w:after="0" w:line="159" w:lineRule="exact"/>
        <w:rPr>
          <w:sz w:val="20"/>
          <w:szCs w:val="20"/>
          <w:color w:val="auto"/>
        </w:rPr>
      </w:pPr>
    </w:p>
    <w:p>
      <w:pPr>
        <w:jc w:val="both"/>
        <w:ind w:firstLine="1304"/>
        <w:spacing w:after="0" w:line="246" w:lineRule="auto"/>
        <w:tabs>
          <w:tab w:leader="none" w:pos="1769" w:val="left"/>
        </w:tabs>
        <w:numPr>
          <w:ilvl w:val="0"/>
          <w:numId w:val="370"/>
        </w:numPr>
        <w:rPr>
          <w:rFonts w:ascii="Arial" w:cs="Arial" w:eastAsia="Arial" w:hAnsi="Arial"/>
          <w:sz w:val="19"/>
          <w:szCs w:val="19"/>
          <w:color w:val="auto"/>
        </w:rPr>
      </w:pPr>
      <w:r>
        <w:rPr>
          <w:rFonts w:ascii="Arial" w:cs="Arial" w:eastAsia="Arial" w:hAnsi="Arial"/>
          <w:sz w:val="19"/>
          <w:szCs w:val="19"/>
          <w:color w:val="auto"/>
        </w:rPr>
        <w:t xml:space="preserve">To request a Swingline Loan, the Borrower shall notify the Administrative Agent by hand delivery, electronic communication (including Adobe pdf file) or facsimile of a written request, not later than 11:00 a.m., New York City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w:t>
      </w:r>
      <w:r>
        <w:rPr>
          <w:rFonts w:ascii="Arial" w:cs="Arial" w:eastAsia="Arial" w:hAnsi="Arial"/>
          <w:sz w:val="19"/>
          <w:szCs w:val="19"/>
          <w:u w:val="single" w:color="auto"/>
          <w:color w:val="auto"/>
        </w:rPr>
        <w:t>Section 2.05(e)</w:t>
      </w:r>
      <w:r>
        <w:rPr>
          <w:rFonts w:ascii="Arial" w:cs="Arial" w:eastAsia="Arial" w:hAnsi="Arial"/>
          <w:sz w:val="19"/>
          <w:szCs w:val="19"/>
          <w:color w:val="auto"/>
        </w:rPr>
        <w:t>, by remittance to the applicable Issuing Bank), in each case by 3:00 p.m., New York City time, on the requested date of such Swingline Loan.</w:t>
      </w:r>
    </w:p>
    <w:p>
      <w:pPr>
        <w:spacing w:after="0" w:line="152" w:lineRule="exact"/>
        <w:rPr>
          <w:rFonts w:ascii="Arial" w:cs="Arial" w:eastAsia="Arial" w:hAnsi="Arial"/>
          <w:sz w:val="19"/>
          <w:szCs w:val="19"/>
          <w:color w:val="auto"/>
        </w:rPr>
      </w:pPr>
    </w:p>
    <w:p>
      <w:pPr>
        <w:jc w:val="both"/>
        <w:ind w:firstLine="1304"/>
        <w:spacing w:after="0"/>
        <w:tabs>
          <w:tab w:leader="none" w:pos="1833" w:val="left"/>
        </w:tabs>
        <w:numPr>
          <w:ilvl w:val="0"/>
          <w:numId w:val="370"/>
        </w:numPr>
        <w:rPr>
          <w:rFonts w:ascii="Arial" w:cs="Arial" w:eastAsia="Arial" w:hAnsi="Arial"/>
          <w:sz w:val="19"/>
          <w:szCs w:val="19"/>
          <w:color w:val="auto"/>
        </w:rPr>
      </w:pPr>
      <w:r>
        <w:rPr>
          <w:rFonts w:ascii="Arial" w:cs="Arial" w:eastAsia="Arial" w:hAnsi="Arial"/>
          <w:sz w:val="19"/>
          <w:szCs w:val="19"/>
          <w:color w:val="auto"/>
        </w:rPr>
        <w:t xml:space="preserve">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Swingline Loans in which Lenders will participate. Promptly upon receipt of such notice, the Administrative Agent will give notice thereof to each Revolving Lender, specifying in such notice such Revolving Lender’s Applicable Percentage of such Swingline Loan or Loans. Each Revolving Lender hereby absolutely and unconditionally agrees, upon receipt of notice as provided above, to pay to the Administrative Agent, for the account of the Swingline Lender, such Revolving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Event of Default or reduction or termination of the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with respect to Loans made by such Revolving Lender (and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to the payment obligations of the Revolving Lenders), and the Administrative Agent shall promptly pay to the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75" w:name="page376"/>
    <w:bookmarkEnd w:id="375"/>
    <w:p>
      <w:pPr>
        <w:jc w:val="both"/>
        <w:spacing w:after="0" w:line="252" w:lineRule="auto"/>
        <w:rPr>
          <w:sz w:val="20"/>
          <w:szCs w:val="20"/>
          <w:color w:val="auto"/>
        </w:rPr>
      </w:pPr>
      <w:r>
        <w:rPr>
          <w:rFonts w:ascii="Arial" w:cs="Arial" w:eastAsia="Arial" w:hAnsi="Arial"/>
          <w:sz w:val="19"/>
          <w:szCs w:val="19"/>
          <w:color w:val="auto"/>
        </w:rPr>
        <w:t xml:space="preserve">received by the Administrative Agent shall be promptly remitted by the Administrative Agent to the Revolving Lenders that shall have made their payments pursuant to this paragraph and to the Swingline Lender, as their interests may appear;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payment so remitted shall be repaid to the Swingline Lender or to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4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2.05</w:t>
      </w:r>
      <w:r>
        <w:rPr>
          <w:sz w:val="20"/>
          <w:szCs w:val="20"/>
          <w:color w:val="auto"/>
        </w:rPr>
        <w:tab/>
      </w:r>
      <w:r>
        <w:rPr>
          <w:rFonts w:ascii="Arial" w:cs="Arial" w:eastAsia="Arial" w:hAnsi="Arial"/>
          <w:sz w:val="19"/>
          <w:szCs w:val="19"/>
          <w:u w:val="single" w:color="auto"/>
          <w:color w:val="auto"/>
        </w:rPr>
        <w:t>Letters of Credit</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6" w:lineRule="auto"/>
        <w:tabs>
          <w:tab w:leader="none" w:pos="1776" w:val="left"/>
        </w:tabs>
        <w:numPr>
          <w:ilvl w:val="0"/>
          <w:numId w:val="371"/>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Subject to the terms and express conditions set forth herein, the Borrower may request the issuance of (and the applicable Issuing Bank shall issue) Letters of Credit for its own account (or, so long as the Borrower is the primary obligor, for the account of any Restricted Subsidiary), in a form reasonably acceptable to the applicable Issuing Bank, at any time and from time to time prior to the date 30 days prior to the end of the Revolving Availability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GS Bank, Barclays, Bank of America, N.A., Credit Suisse AG, Citizens Bank, N.A. or SunTrust Bank be required to issue letters of credit (other than standby letters of credit), bank acceptances, bank guarantees, indemnitees or other instruments or any Letters of Credit in a currency other than Dollars;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Letters of Credit shall be available in Dollars and, to the extent agreed by the applicable Issuing Bank in its sole discretion, other currencies.</w:t>
      </w:r>
    </w:p>
    <w:p>
      <w:pPr>
        <w:spacing w:after="0" w:line="152" w:lineRule="exact"/>
        <w:rPr>
          <w:rFonts w:ascii="Arial" w:cs="Arial" w:eastAsia="Arial" w:hAnsi="Arial"/>
          <w:sz w:val="19"/>
          <w:szCs w:val="19"/>
          <w:color w:val="auto"/>
        </w:rPr>
      </w:pPr>
    </w:p>
    <w:p>
      <w:pPr>
        <w:ind w:left="1780" w:hanging="476"/>
        <w:spacing w:after="0"/>
        <w:tabs>
          <w:tab w:leader="none" w:pos="1780" w:val="left"/>
        </w:tabs>
        <w:numPr>
          <w:ilvl w:val="0"/>
          <w:numId w:val="371"/>
        </w:numPr>
        <w:rPr>
          <w:rFonts w:ascii="Arial" w:cs="Arial" w:eastAsia="Arial" w:hAnsi="Arial"/>
          <w:sz w:val="22"/>
          <w:szCs w:val="22"/>
          <w:color w:val="auto"/>
        </w:rPr>
      </w:pPr>
      <w:r>
        <w:rPr>
          <w:rFonts w:ascii="Arial" w:cs="Arial" w:eastAsia="Arial" w:hAnsi="Arial"/>
          <w:sz w:val="22"/>
          <w:szCs w:val="22"/>
          <w:u w:val="single" w:color="auto"/>
          <w:color w:val="auto"/>
        </w:rPr>
        <w:t>Notice of Issuance, Amendment, Renewal, Extension; Certain Conditions</w:t>
      </w:r>
      <w:r>
        <w:rPr>
          <w:rFonts w:ascii="Arial" w:cs="Arial" w:eastAsia="Arial" w:hAnsi="Arial"/>
          <w:sz w:val="22"/>
          <w:szCs w:val="22"/>
          <w:color w:val="auto"/>
        </w:rPr>
        <w:t>.</w:t>
      </w:r>
    </w:p>
    <w:p>
      <w:pPr>
        <w:spacing w:after="0" w:line="179" w:lineRule="exact"/>
        <w:rPr>
          <w:sz w:val="20"/>
          <w:szCs w:val="20"/>
          <w:color w:val="auto"/>
        </w:rPr>
      </w:pPr>
    </w:p>
    <w:p>
      <w:pPr>
        <w:jc w:val="both"/>
        <w:ind w:left="660" w:firstLine="644"/>
        <w:spacing w:after="0"/>
        <w:tabs>
          <w:tab w:leader="none" w:pos="1730" w:val="left"/>
        </w:tabs>
        <w:numPr>
          <w:ilvl w:val="0"/>
          <w:numId w:val="372"/>
        </w:numPr>
        <w:rPr>
          <w:rFonts w:ascii="Arial" w:cs="Arial" w:eastAsia="Arial" w:hAnsi="Arial"/>
          <w:sz w:val="19"/>
          <w:szCs w:val="19"/>
          <w:color w:val="auto"/>
        </w:rPr>
      </w:pPr>
      <w:r>
        <w:rPr>
          <w:rFonts w:ascii="Arial" w:cs="Arial" w:eastAsia="Arial" w:hAnsi="Arial"/>
          <w:sz w:val="19"/>
          <w:szCs w:val="19"/>
          <w:color w:val="auto"/>
        </w:rPr>
        <w:t xml:space="preserve">To request the issuance of a Letter of Credit (or the amendment, renewal or extension of an outstanding Letter of Credit), the Borrower shall hand deliver or telecopy (or transmit by electronic communication reasonably acceptable to the applicable Issuing Bank) to an Issuing Bank and the Administrative Agent (not later than 12:00 p.m., New York City time at least four (4) Business Days in advance or a shorter time period if approved by the applicable Issuing Bank in its reasonable discretion,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the amount of such Letter of Credit, the name and address of the beneficiary thereof, the documents to be presented by such beneficiary in case of any drawing thereunder, the full text of any certificate to be presented by such beneficiary in case of any drawing thereunder, such other matters as the applicable Issuing Bank may reasonably require and such other information as shall be necessary to prepare, amend, renew or extend such Letter of Credit. If requested by an Issuing Bank, the Borrower also shall submit a letter of credit application on such Issuing Bank’s standard form in connection with any request for a Letter of Credit. A Letter of Credit shall be issued, amended, renewed or extended only if, (A) such Letter of Credit is denominated in Dollars (or such other currency as the applicable Issuing Bank may agree in its sole discretion) and (B) after giving effect to such issuance, amendment, renewal or extension, (i) the LC Exposure shall not exceed the LC Sublimit in the aggregate and the LC Sublimit for each such Issuing Bank, (ii) the aggregate Revolving Exposure shall not exceed the aggregate Revolving Commitments and (iii) the sum of (x) the LC Exposure in respect of Letters of Credit issued by the applicable Issuing Bank and (y) the aggregate amount of Revolving Loans borrowed by such Issuing Bank would not exceed such Issuing Bank’s Revolving Commitment (unless otherwise agreed to in writing by such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76" w:name="page377"/>
    <w:bookmarkEnd w:id="376"/>
    <w:p>
      <w:pPr>
        <w:jc w:val="both"/>
        <w:ind w:left="660" w:firstLine="644"/>
        <w:spacing w:after="0" w:line="219" w:lineRule="auto"/>
        <w:tabs>
          <w:tab w:leader="none" w:pos="1858" w:val="left"/>
        </w:tabs>
        <w:numPr>
          <w:ilvl w:val="0"/>
          <w:numId w:val="373"/>
        </w:numPr>
        <w:rPr>
          <w:rFonts w:ascii="Arial" w:cs="Arial" w:eastAsia="Arial" w:hAnsi="Arial"/>
          <w:sz w:val="21"/>
          <w:szCs w:val="21"/>
          <w:color w:val="auto"/>
        </w:rPr>
      </w:pPr>
      <w:r>
        <w:rPr>
          <w:rFonts w:ascii="Arial" w:cs="Arial" w:eastAsia="Arial" w:hAnsi="Arial"/>
          <w:sz w:val="21"/>
          <w:szCs w:val="21"/>
          <w:color w:val="auto"/>
        </w:rPr>
        <w:t xml:space="preserve">Promptly after receipt of any such request pursuant to </w:t>
      </w:r>
      <w:r>
        <w:rPr>
          <w:rFonts w:ascii="Arial" w:cs="Arial" w:eastAsia="Arial" w:hAnsi="Arial"/>
          <w:sz w:val="21"/>
          <w:szCs w:val="21"/>
          <w:u w:val="single" w:color="auto"/>
          <w:color w:val="auto"/>
        </w:rPr>
        <w:t>Section 2.05(b)(i)</w:t>
      </w:r>
      <w:r>
        <w:rPr>
          <w:rFonts w:ascii="Arial" w:cs="Arial" w:eastAsia="Arial" w:hAnsi="Arial"/>
          <w:sz w:val="21"/>
          <w:szCs w:val="21"/>
          <w:color w:val="auto"/>
        </w:rPr>
        <w:t xml:space="preserve">, the applicable Issuing Bank will confirm with the Administrative Agent (in writing) that the Administrative Agent has received a copy of such request from the Borrower and, if not, such Issuing Bank will provide the Administrative Agent with a copy thereof. Unless the applicable Issuing Bank has received written notice from any Revolving Lender, the Administrative Agent or any Loan Party, at least one (1) Business Day prior to the requested date of issuance or amendment of the applicable Letter of Credit, that one or more applicable express conditions contained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shall not then be satisfied, then, subject to the terms and express conditions hereof, the applicable Issuing Bank shall, on the requested date, issue a Letter of Credit for the account of the Borrower (or the applicable Restricted Subsidiary) or enter into the applicable amendment, as the case may be, in each case in accordance with such Issuing Bank’s usual and customary business practices. Immediately upon the issuance of each Letter of Credit, each Revolving Lender shall be deemed to, and hereby irrevocably and unconditionally agrees to, purchase from such Issuing Bank a risk participation in such Letter of Credit in an amount equal to the product of such Revolving Lender’s Applicable Percentage </w:t>
      </w:r>
      <w:r>
        <w:rPr>
          <w:rFonts w:ascii="Arial" w:cs="Arial" w:eastAsia="Arial" w:hAnsi="Arial"/>
          <w:sz w:val="21"/>
          <w:szCs w:val="21"/>
          <w:u w:val="single" w:color="auto"/>
          <w:color w:val="auto"/>
        </w:rPr>
        <w:t>times</w:t>
      </w:r>
      <w:r>
        <w:rPr>
          <w:rFonts w:ascii="Arial" w:cs="Arial" w:eastAsia="Arial" w:hAnsi="Arial"/>
          <w:sz w:val="21"/>
          <w:szCs w:val="21"/>
          <w:color w:val="auto"/>
        </w:rPr>
        <w:t xml:space="preserve"> the amount of such Letter of Credit.</w:t>
      </w:r>
    </w:p>
    <w:p>
      <w:pPr>
        <w:spacing w:after="0" w:line="159" w:lineRule="exact"/>
        <w:rPr>
          <w:rFonts w:ascii="Arial" w:cs="Arial" w:eastAsia="Arial" w:hAnsi="Arial"/>
          <w:sz w:val="21"/>
          <w:szCs w:val="21"/>
          <w:color w:val="auto"/>
        </w:rPr>
      </w:pPr>
    </w:p>
    <w:p>
      <w:pPr>
        <w:ind w:left="1840" w:hanging="536"/>
        <w:spacing w:after="0"/>
        <w:tabs>
          <w:tab w:leader="none" w:pos="1840" w:val="left"/>
        </w:tabs>
        <w:numPr>
          <w:ilvl w:val="0"/>
          <w:numId w:val="373"/>
        </w:numPr>
        <w:rPr>
          <w:rFonts w:ascii="Arial" w:cs="Arial" w:eastAsia="Arial" w:hAnsi="Arial"/>
          <w:sz w:val="22"/>
          <w:szCs w:val="22"/>
          <w:color w:val="auto"/>
        </w:rPr>
      </w:pPr>
      <w:r>
        <w:rPr>
          <w:rFonts w:ascii="Arial" w:cs="Arial" w:eastAsia="Arial" w:hAnsi="Arial"/>
          <w:sz w:val="22"/>
          <w:szCs w:val="22"/>
          <w:color w:val="auto"/>
        </w:rPr>
        <w:t>No Issuing Bank shall be under any obligation to issue or renew any Letter of Credit if:</w:t>
      </w:r>
    </w:p>
    <w:p>
      <w:pPr>
        <w:spacing w:after="0" w:line="179" w:lineRule="exact"/>
        <w:rPr>
          <w:rFonts w:ascii="Arial" w:cs="Arial" w:eastAsia="Arial" w:hAnsi="Arial"/>
          <w:sz w:val="22"/>
          <w:szCs w:val="22"/>
          <w:color w:val="auto"/>
        </w:rPr>
      </w:pPr>
    </w:p>
    <w:p>
      <w:pPr>
        <w:jc w:val="both"/>
        <w:ind w:left="1300" w:firstLine="652"/>
        <w:spacing w:after="0" w:line="221" w:lineRule="auto"/>
        <w:tabs>
          <w:tab w:leader="none" w:pos="2507" w:val="left"/>
        </w:tabs>
        <w:numPr>
          <w:ilvl w:val="1"/>
          <w:numId w:val="373"/>
        </w:numPr>
        <w:rPr>
          <w:rFonts w:ascii="Arial" w:cs="Arial" w:eastAsia="Arial" w:hAnsi="Arial"/>
          <w:sz w:val="21"/>
          <w:szCs w:val="21"/>
          <w:color w:val="auto"/>
        </w:rPr>
      </w:pPr>
      <w:r>
        <w:rPr>
          <w:rFonts w:ascii="Arial" w:cs="Arial" w:eastAsia="Arial" w:hAnsi="Arial"/>
          <w:sz w:val="21"/>
          <w:szCs w:val="21"/>
          <w:color w:val="auto"/>
        </w:rPr>
        <w:t>any order, judgment or decree of any Governmental Authority or arbitrator shall by its terms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in each case not in effect on the Closing Date, or shall impose upon such Issuing Bank any unreimbursed loss, cost or expense which was not applicable on the Closing Date (for which such Issuing Bank is not otherwise compensated hereunder);</w:t>
      </w:r>
    </w:p>
    <w:p>
      <w:pPr>
        <w:spacing w:after="0" w:line="158" w:lineRule="exact"/>
        <w:rPr>
          <w:rFonts w:ascii="Arial" w:cs="Arial" w:eastAsia="Arial" w:hAnsi="Arial"/>
          <w:sz w:val="21"/>
          <w:szCs w:val="21"/>
          <w:color w:val="auto"/>
        </w:rPr>
      </w:pPr>
    </w:p>
    <w:p>
      <w:pPr>
        <w:jc w:val="both"/>
        <w:ind w:left="1300" w:firstLine="652"/>
        <w:spacing w:after="0" w:line="218" w:lineRule="auto"/>
        <w:tabs>
          <w:tab w:leader="none" w:pos="2457" w:val="left"/>
        </w:tabs>
        <w:numPr>
          <w:ilvl w:val="1"/>
          <w:numId w:val="373"/>
        </w:numPr>
        <w:rPr>
          <w:rFonts w:ascii="Arial" w:cs="Arial" w:eastAsia="Arial" w:hAnsi="Arial"/>
          <w:sz w:val="22"/>
          <w:szCs w:val="22"/>
          <w:color w:val="auto"/>
        </w:rPr>
      </w:pPr>
      <w:r>
        <w:rPr>
          <w:rFonts w:ascii="Arial" w:cs="Arial" w:eastAsia="Arial" w:hAnsi="Arial"/>
          <w:sz w:val="22"/>
          <w:szCs w:val="22"/>
          <w:color w:val="auto"/>
        </w:rPr>
        <w:t>the issuance of such Letter of Credit would violate (x) any laws binding upon or otherwise applicable to such Issuing Bank or (y) one or more policies of such Issuing Bank regarding completion of customary “know your customer” requirements on the beneficiary of such Letter of Credit and any Subsidiary of the Borrower that is a co-applicant for such Letter of Credit;</w:t>
      </w:r>
    </w:p>
    <w:p>
      <w:pPr>
        <w:spacing w:after="0" w:line="160" w:lineRule="exact"/>
        <w:rPr>
          <w:rFonts w:ascii="Arial" w:cs="Arial" w:eastAsia="Arial" w:hAnsi="Arial"/>
          <w:sz w:val="22"/>
          <w:szCs w:val="22"/>
          <w:color w:val="auto"/>
        </w:rPr>
      </w:pPr>
    </w:p>
    <w:p>
      <w:pPr>
        <w:ind w:left="1300" w:firstLine="652"/>
        <w:spacing w:after="0" w:line="232" w:lineRule="auto"/>
        <w:tabs>
          <w:tab w:leader="none" w:pos="2459" w:val="left"/>
        </w:tabs>
        <w:numPr>
          <w:ilvl w:val="1"/>
          <w:numId w:val="373"/>
        </w:numPr>
        <w:rPr>
          <w:rFonts w:ascii="Arial" w:cs="Arial" w:eastAsia="Arial" w:hAnsi="Arial"/>
          <w:sz w:val="22"/>
          <w:szCs w:val="22"/>
          <w:color w:val="auto"/>
        </w:rPr>
      </w:pPr>
      <w:r>
        <w:rPr>
          <w:rFonts w:ascii="Arial" w:cs="Arial" w:eastAsia="Arial" w:hAnsi="Arial"/>
          <w:sz w:val="22"/>
          <w:szCs w:val="22"/>
          <w:color w:val="auto"/>
        </w:rPr>
        <w:t>the Letter of Credit is to be denominated in a currency other than Dollars, unless otherwise agreed by the Issuing Bank;</w:t>
      </w:r>
    </w:p>
    <w:p>
      <w:pPr>
        <w:spacing w:after="0" w:line="158" w:lineRule="exact"/>
        <w:rPr>
          <w:rFonts w:ascii="Arial" w:cs="Arial" w:eastAsia="Arial" w:hAnsi="Arial"/>
          <w:sz w:val="22"/>
          <w:szCs w:val="22"/>
          <w:color w:val="auto"/>
        </w:rPr>
      </w:pPr>
    </w:p>
    <w:p>
      <w:pPr>
        <w:ind w:left="2460" w:hanging="508"/>
        <w:spacing w:after="0"/>
        <w:tabs>
          <w:tab w:leader="none" w:pos="2460" w:val="left"/>
        </w:tabs>
        <w:numPr>
          <w:ilvl w:val="1"/>
          <w:numId w:val="373"/>
        </w:numPr>
        <w:rPr>
          <w:rFonts w:ascii="Arial" w:cs="Arial" w:eastAsia="Arial" w:hAnsi="Arial"/>
          <w:sz w:val="22"/>
          <w:szCs w:val="22"/>
          <w:color w:val="auto"/>
        </w:rPr>
      </w:pPr>
      <w:r>
        <w:rPr>
          <w:rFonts w:ascii="Arial" w:cs="Arial" w:eastAsia="Arial" w:hAnsi="Arial"/>
          <w:sz w:val="22"/>
          <w:szCs w:val="22"/>
          <w:color w:val="auto"/>
        </w:rPr>
        <w:t xml:space="preserve">it is not required to do so pursuant to </w:t>
      </w:r>
      <w:r>
        <w:rPr>
          <w:rFonts w:ascii="Arial" w:cs="Arial" w:eastAsia="Arial" w:hAnsi="Arial"/>
          <w:sz w:val="22"/>
          <w:szCs w:val="22"/>
          <w:u w:val="single" w:color="auto"/>
          <w:color w:val="auto"/>
        </w:rPr>
        <w:t>Section 2.22(a)</w:t>
      </w:r>
      <w:r>
        <w:rPr>
          <w:rFonts w:ascii="Arial" w:cs="Arial" w:eastAsia="Arial" w:hAnsi="Arial"/>
          <w:sz w:val="22"/>
          <w:szCs w:val="22"/>
          <w:color w:val="auto"/>
        </w:rPr>
        <w:t>; or</w:t>
      </w:r>
    </w:p>
    <w:p>
      <w:pPr>
        <w:spacing w:after="0" w:line="179" w:lineRule="exact"/>
        <w:rPr>
          <w:rFonts w:ascii="Arial" w:cs="Arial" w:eastAsia="Arial" w:hAnsi="Arial"/>
          <w:sz w:val="22"/>
          <w:szCs w:val="22"/>
          <w:color w:val="auto"/>
        </w:rPr>
      </w:pPr>
    </w:p>
    <w:p>
      <w:pPr>
        <w:ind w:left="1300" w:firstLine="652"/>
        <w:spacing w:after="0" w:line="232" w:lineRule="auto"/>
        <w:tabs>
          <w:tab w:leader="none" w:pos="2464" w:val="left"/>
        </w:tabs>
        <w:numPr>
          <w:ilvl w:val="1"/>
          <w:numId w:val="373"/>
        </w:numPr>
        <w:rPr>
          <w:rFonts w:ascii="Arial" w:cs="Arial" w:eastAsia="Arial" w:hAnsi="Arial"/>
          <w:sz w:val="22"/>
          <w:szCs w:val="22"/>
          <w:color w:val="auto"/>
        </w:rPr>
      </w:pPr>
      <w:r>
        <w:rPr>
          <w:rFonts w:ascii="Arial" w:cs="Arial" w:eastAsia="Arial" w:hAnsi="Arial"/>
          <w:sz w:val="22"/>
          <w:szCs w:val="22"/>
          <w:color w:val="auto"/>
        </w:rPr>
        <w:t>the date of issuance of such Letter of Credit is on or after the date that is thirty (30) days prior to the Revolving Termination Date.</w:t>
      </w:r>
    </w:p>
    <w:p>
      <w:pPr>
        <w:spacing w:after="0" w:line="158" w:lineRule="exact"/>
        <w:rPr>
          <w:rFonts w:ascii="Arial" w:cs="Arial" w:eastAsia="Arial" w:hAnsi="Arial"/>
          <w:sz w:val="22"/>
          <w:szCs w:val="22"/>
          <w:color w:val="auto"/>
        </w:rPr>
      </w:pPr>
    </w:p>
    <w:p>
      <w:pPr>
        <w:jc w:val="both"/>
        <w:ind w:left="660" w:firstLine="644"/>
        <w:spacing w:after="0" w:line="234" w:lineRule="auto"/>
        <w:tabs>
          <w:tab w:leader="none" w:pos="1837" w:val="left"/>
        </w:tabs>
        <w:numPr>
          <w:ilvl w:val="0"/>
          <w:numId w:val="373"/>
        </w:numPr>
        <w:rPr>
          <w:rFonts w:ascii="Arial" w:cs="Arial" w:eastAsia="Arial" w:hAnsi="Arial"/>
          <w:sz w:val="21"/>
          <w:szCs w:val="21"/>
          <w:color w:val="auto"/>
        </w:rPr>
      </w:pPr>
      <w:r>
        <w:rPr>
          <w:rFonts w:ascii="Arial" w:cs="Arial" w:eastAsia="Arial" w:hAnsi="Arial"/>
          <w:sz w:val="21"/>
          <w:szCs w:val="21"/>
          <w:color w:val="auto"/>
        </w:rPr>
        <w:t>No Issuing Bank shall be under any obligation to amend any Letter of Credit if (A) such Issuing Bank would not have an obligation at such time to issue the Letter of Credit in its amended form under the terms hereof, or (B) the beneficiary of the Letter of Credit does not accept the proposed amendment to the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77" w:name="page378"/>
    <w:bookmarkEnd w:id="377"/>
    <w:p>
      <w:pPr>
        <w:jc w:val="both"/>
        <w:ind w:left="660" w:firstLine="644"/>
        <w:spacing w:after="0" w:line="212" w:lineRule="auto"/>
        <w:tabs>
          <w:tab w:leader="none" w:pos="1802" w:val="left"/>
        </w:tabs>
        <w:numPr>
          <w:ilvl w:val="0"/>
          <w:numId w:val="374"/>
        </w:numPr>
        <w:rPr>
          <w:rFonts w:ascii="Arial" w:cs="Arial" w:eastAsia="Arial" w:hAnsi="Arial"/>
          <w:sz w:val="22"/>
          <w:szCs w:val="22"/>
          <w:color w:val="auto"/>
        </w:rPr>
      </w:pPr>
      <w:r>
        <w:rPr>
          <w:rFonts w:ascii="Arial" w:cs="Arial" w:eastAsia="Arial" w:hAnsi="Arial"/>
          <w:sz w:val="22"/>
          <w:szCs w:val="22"/>
          <w:color w:val="auto"/>
        </w:rPr>
        <w:t xml:space="preserve">Each of the Issuing Banks shall act on behalf of the Revolving Lenders with respect to any Letters of Credit issued by it and the documents associated therewith, and each of the Issuing Banks shall have all of the benefits and immunities (A) provided to the Administrative Agent in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with respect to any acts taken or omissions suffered by such Issuing Bank in connection with Letters of Credit issued by it or proposed to be issued by it and Letter of Credit Application pertaining to such Letters of Credit as fully as if the term “Administrative Agent” as used in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 xml:space="preserve"> included such Issuing Bank with respect to such acts or omissions, and (B) as additionally provided herein with respect to the Issuing Banks.</w:t>
      </w:r>
    </w:p>
    <w:p>
      <w:pPr>
        <w:spacing w:after="0" w:line="163" w:lineRule="exact"/>
        <w:rPr>
          <w:rFonts w:ascii="Arial" w:cs="Arial" w:eastAsia="Arial" w:hAnsi="Arial"/>
          <w:sz w:val="22"/>
          <w:szCs w:val="22"/>
          <w:color w:val="auto"/>
        </w:rPr>
      </w:pPr>
    </w:p>
    <w:p>
      <w:pPr>
        <w:jc w:val="both"/>
        <w:ind w:left="660" w:firstLine="644"/>
        <w:spacing w:after="0" w:line="234" w:lineRule="auto"/>
        <w:tabs>
          <w:tab w:leader="none" w:pos="1913" w:val="left"/>
        </w:tabs>
        <w:numPr>
          <w:ilvl w:val="0"/>
          <w:numId w:val="374"/>
        </w:numPr>
        <w:rPr>
          <w:rFonts w:ascii="Arial" w:cs="Arial" w:eastAsia="Arial" w:hAnsi="Arial"/>
          <w:sz w:val="21"/>
          <w:szCs w:val="21"/>
          <w:color w:val="auto"/>
        </w:rPr>
      </w:pPr>
      <w:r>
        <w:rPr>
          <w:rFonts w:ascii="Arial" w:cs="Arial" w:eastAsia="Arial" w:hAnsi="Arial"/>
          <w:sz w:val="21"/>
          <w:szCs w:val="21"/>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158" w:lineRule="exact"/>
        <w:rPr>
          <w:sz w:val="20"/>
          <w:szCs w:val="20"/>
          <w:color w:val="auto"/>
        </w:rPr>
      </w:pPr>
    </w:p>
    <w:p>
      <w:pPr>
        <w:jc w:val="both"/>
        <w:ind w:firstLine="1304"/>
        <w:spacing w:after="0"/>
        <w:tabs>
          <w:tab w:leader="none" w:pos="1774" w:val="left"/>
        </w:tabs>
        <w:numPr>
          <w:ilvl w:val="0"/>
          <w:numId w:val="375"/>
        </w:numPr>
        <w:rPr>
          <w:rFonts w:ascii="Arial" w:cs="Arial" w:eastAsia="Arial" w:hAnsi="Arial"/>
          <w:sz w:val="19"/>
          <w:szCs w:val="19"/>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xml:space="preserve"> Each Letter of Credit shall expire at or prior to the close of business on the earlier of (i) the date that is one year after the date of the issuance of such Letter of Credit (or, in the case of any renewal or extension thereof, one year after such renewal or extension) and (ii) the Letter of Credit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so requests in any applicable Letter of Credit Application, the applicable Issuing Bank shall agree to issue a standby or commercial Letter of Credit that has automatic renewal provisions (each, an “</w:t>
      </w:r>
      <w:r>
        <w:rPr>
          <w:rFonts w:ascii="Arial" w:cs="Arial" w:eastAsia="Arial" w:hAnsi="Arial"/>
          <w:sz w:val="19"/>
          <w:szCs w:val="19"/>
          <w:u w:val="single" w:color="auto"/>
          <w:color w:val="auto"/>
        </w:rPr>
        <w:t>Auto-Renewal 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Auto-Renewal Letter of Credit must permit the applicable Issuing Bank to prevent any such renewal at least once in each twelve-month period (commencing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Nonrenewal Notice Date</w:t>
      </w:r>
      <w:r>
        <w:rPr>
          <w:rFonts w:ascii="Arial" w:cs="Arial" w:eastAsia="Arial" w:hAnsi="Arial"/>
          <w:sz w:val="19"/>
          <w:szCs w:val="19"/>
          <w:color w:val="auto"/>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Letter of Credit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Issuing Bank shall permit any such renewal if (A) such Issuing Bank has determined that it would have no obligation at such time to issue such Letter of Credit in its renewed form under the terms hereof (by reason of the provisions of </w:t>
      </w:r>
      <w:r>
        <w:rPr>
          <w:rFonts w:ascii="Arial" w:cs="Arial" w:eastAsia="Arial" w:hAnsi="Arial"/>
          <w:sz w:val="19"/>
          <w:szCs w:val="19"/>
          <w:u w:val="single" w:color="auto"/>
          <w:color w:val="auto"/>
        </w:rPr>
        <w:t>Section 2.05(b)(ii)</w:t>
      </w:r>
      <w:r>
        <w:rPr>
          <w:rFonts w:ascii="Arial" w:cs="Arial" w:eastAsia="Arial" w:hAnsi="Arial"/>
          <w:sz w:val="19"/>
          <w:szCs w:val="19"/>
          <w:color w:val="auto"/>
        </w:rPr>
        <w:t xml:space="preserve"> or otherwise), or (B) it has received notice (in writing) on or before the day that is five (5) Business Days before the Nonrenewal Notice Date from the Administrative Agent, any Revolving Lender, or the Borrower that one or more of the applicable express conditions specified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is not then satisfied (or waived),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agreed to by the applicable Issuing Bank in its sole discretion, a Letter of Credit may, upon the request of the Borrower, be renewed for a period beyond the date that is the Revolving Termination Date if, at the time of such request or such other time as may be agreed by the Issuing Bank, such Letter of Credit has become subject to Cash Collateralization or other arrangements satisfactory to the Issuing Bank.</w:t>
      </w:r>
    </w:p>
    <w:p>
      <w:pPr>
        <w:spacing w:after="0" w:line="166" w:lineRule="exact"/>
        <w:rPr>
          <w:rFonts w:ascii="Arial" w:cs="Arial" w:eastAsia="Arial" w:hAnsi="Arial"/>
          <w:sz w:val="19"/>
          <w:szCs w:val="19"/>
          <w:color w:val="auto"/>
        </w:rPr>
      </w:pPr>
    </w:p>
    <w:p>
      <w:pPr>
        <w:jc w:val="both"/>
        <w:ind w:firstLine="1304"/>
        <w:spacing w:after="0" w:line="221" w:lineRule="auto"/>
        <w:tabs>
          <w:tab w:leader="none" w:pos="1833" w:val="left"/>
        </w:tabs>
        <w:numPr>
          <w:ilvl w:val="0"/>
          <w:numId w:val="375"/>
        </w:numPr>
        <w:rPr>
          <w:rFonts w:ascii="Arial" w:cs="Arial" w:eastAsia="Arial" w:hAnsi="Arial"/>
          <w:sz w:val="21"/>
          <w:szCs w:val="21"/>
          <w:color w:val="auto"/>
        </w:rPr>
      </w:pPr>
      <w:r>
        <w:rPr>
          <w:rFonts w:ascii="Arial" w:cs="Arial" w:eastAsia="Arial" w:hAnsi="Arial"/>
          <w:sz w:val="21"/>
          <w:szCs w:val="21"/>
          <w:u w:val="single" w:color="auto"/>
          <w:color w:val="auto"/>
        </w:rPr>
        <w:t>Participations</w:t>
      </w:r>
      <w:r>
        <w:rPr>
          <w:rFonts w:ascii="Arial" w:cs="Arial" w:eastAsia="Arial" w:hAnsi="Arial"/>
          <w:sz w:val="21"/>
          <w:szCs w:val="21"/>
          <w:color w:val="auto"/>
        </w:rPr>
        <w:t xml:space="preserve">. By the issuance of a Letter of Credit (or an amendment to a Letter of Credit increasing the amount thereof) and without any further action on the part of the applicable Issuing Bank or the Revolving Lenders, such Issuing Bank hereby grants to each Revolving Lender, and each Revolving Lender hereby acquires from such Issuing Bank, a participation in such Letter of Credit equal to such Revolving Lender’s Applicable Percentage of the aggregate amount available to be drawn under such Letter of Credit. In consideration and in furtherance of the foregoing, (x) each Revolving Lender hereby absolutely and unconditionally agrees to pay to the Administrative Agent, for the account of the applicable Issuing Bank, in Dollars, such Revolving Lender’s Applicable Percentage of each LC Disbursement in respect of any Letter of Credit made by any Issuing Bank and not reimbursed by the Borrower on the date due as provided in </w:t>
      </w:r>
      <w:r>
        <w:rPr>
          <w:rFonts w:ascii="Arial" w:cs="Arial" w:eastAsia="Arial" w:hAnsi="Arial"/>
          <w:sz w:val="21"/>
          <w:szCs w:val="21"/>
          <w:u w:val="single" w:color="auto"/>
          <w:color w:val="auto"/>
        </w:rPr>
        <w:t>Section 2.05(e)</w:t>
      </w:r>
      <w:r>
        <w:rPr>
          <w:rFonts w:ascii="Arial" w:cs="Arial" w:eastAsia="Arial" w:hAnsi="Arial"/>
          <w:sz w:val="21"/>
          <w:szCs w:val="21"/>
          <w:color w:val="auto"/>
        </w:rPr>
        <w:t>, or of any reimbursement payment required to be refunded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78" w:name="page379"/>
    <w:bookmarkEnd w:id="378"/>
    <w:p>
      <w:pPr>
        <w:jc w:val="both"/>
        <w:spacing w:after="0" w:line="216" w:lineRule="auto"/>
        <w:rPr>
          <w:sz w:val="20"/>
          <w:szCs w:val="20"/>
          <w:color w:val="auto"/>
        </w:rPr>
      </w:pPr>
      <w:r>
        <w:rPr>
          <w:rFonts w:ascii="Arial" w:cs="Arial" w:eastAsia="Arial" w:hAnsi="Arial"/>
          <w:sz w:val="22"/>
          <w:szCs w:val="22"/>
          <w:color w:val="auto"/>
        </w:rPr>
        <w:t>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58" w:lineRule="exact"/>
        <w:rPr>
          <w:sz w:val="20"/>
          <w:szCs w:val="20"/>
          <w:color w:val="auto"/>
        </w:rPr>
      </w:pPr>
    </w:p>
    <w:p>
      <w:pPr>
        <w:jc w:val="both"/>
        <w:ind w:firstLine="1304"/>
        <w:spacing w:after="0"/>
        <w:tabs>
          <w:tab w:leader="none" w:pos="1763" w:val="left"/>
        </w:tabs>
        <w:numPr>
          <w:ilvl w:val="0"/>
          <w:numId w:val="376"/>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If an Issuing Bank shall honor a Letter of Credit drawing presented under a Letter of Credit, the Borrower shall reimburse such Letter of Credit honored by paying to the Administrative Agent an amount equal to the Dollar Equivalent, calculated using the Exchange Rate when such payment is due, of such LC Disbursement in Dollars not later than 1:00 p.m., New York City time, on the first Business Day succeeding the date on which the applicable Issuing Bank notifies the Borrower in writing of such Letter of Credit honoring;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LC Disbursement is not less than $500,000, the Borrower may, subject to the express conditions to borrowing set forth herein, request in accordance with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that such payment be financed with a Revolving Loan Borrowing or Swingline Loan of the same Class in an amount equal to the Dollar Equivalent, calculated using the Exchange Rate on the date when such payment is due, of such LC Disbursement and, to the extent so financed, the Borrower’s obligation to make such payment shall be discharged and replaced by the resulting Revolving Loan Borrowing or Swingline Loan. If the Borrower fails to make such payment when due, then the Administrative Agent shall notify each Revolving Lender of the Dollar Equivalent of the applicable LC Disbursement, the payment then due from the Borrower in respect thereof and such Revolving Lender’s Applicable Percentage thereof. Promptly following receipt of such notice, each Revolving Lender shall pay to the Administrative Agent in Dollars its Applicable Percentage of the Dollar Equivalent of the payment then due from the Borrower (such payment from such Revolving Lender to be made on demand with interest thereon for the period from the date such payment is required to the date on which such payment is immediately available to the applicable Issuing Bank at a rate per annum equal to the greater of the NYFRB Rate and a rate determined by such Issuing Bank in accordance with banking industry rules on interbank compensation, plus any administrative, processing or similar fees customarily charged by such Issuing Bank in connection with the foregoing), in the same manner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2.06 with respect to Loans made by such Revolving Lender (and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to the payment obligations of the Revolving Lender), and the Administrative Agent shall promptly pay to the applicable Issuing Bank the amounts so received by it from the Revolving Lender.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the applicable Issuing Bank, then to such Revolving Lenders and the Issuing Banks as their interests may appear. Any payment made by a Revolving Lender pursuant to this paragraph to reimburse an Issuing Bank for any LC Disbursement (other than the funding of Revolving Loans or a Swingline Loan as contemplated above) shall not constitute a Loan and shall not relieve the Borrower of their obligation to reimburse such LC Disbursement.</w:t>
      </w:r>
    </w:p>
    <w:p>
      <w:pPr>
        <w:spacing w:after="0" w:line="367" w:lineRule="exact"/>
        <w:rPr>
          <w:rFonts w:ascii="Arial" w:cs="Arial" w:eastAsia="Arial" w:hAnsi="Arial"/>
          <w:sz w:val="19"/>
          <w:szCs w:val="19"/>
          <w:color w:val="auto"/>
        </w:rPr>
      </w:pPr>
    </w:p>
    <w:p>
      <w:pPr>
        <w:ind w:left="1740" w:hanging="436"/>
        <w:spacing w:after="0"/>
        <w:tabs>
          <w:tab w:leader="none" w:pos="1740" w:val="left"/>
        </w:tabs>
        <w:numPr>
          <w:ilvl w:val="0"/>
          <w:numId w:val="376"/>
        </w:numPr>
        <w:rPr>
          <w:rFonts w:ascii="Arial" w:cs="Arial" w:eastAsia="Arial" w:hAnsi="Arial"/>
          <w:sz w:val="22"/>
          <w:szCs w:val="22"/>
          <w:color w:val="auto"/>
        </w:rPr>
      </w:pPr>
      <w:r>
        <w:rPr>
          <w:rFonts w:ascii="Arial" w:cs="Arial" w:eastAsia="Arial" w:hAnsi="Arial"/>
          <w:sz w:val="22"/>
          <w:szCs w:val="22"/>
          <w:u w:val="single" w:color="auto"/>
          <w:color w:val="auto"/>
        </w:rPr>
        <w:t>Repayment of Participations</w:t>
      </w:r>
      <w:r>
        <w:rPr>
          <w:rFonts w:ascii="Arial" w:cs="Arial" w:eastAsia="Arial" w:hAnsi="Arial"/>
          <w:sz w:val="22"/>
          <w:szCs w:val="22"/>
          <w:color w:val="auto"/>
        </w:rPr>
        <w:t>.</w:t>
      </w:r>
    </w:p>
    <w:p>
      <w:pPr>
        <w:spacing w:after="0" w:line="179" w:lineRule="exact"/>
        <w:rPr>
          <w:sz w:val="20"/>
          <w:szCs w:val="20"/>
          <w:color w:val="auto"/>
        </w:rPr>
      </w:pPr>
    </w:p>
    <w:p>
      <w:pPr>
        <w:jc w:val="both"/>
        <w:ind w:left="660" w:firstLine="644"/>
        <w:spacing w:after="0" w:line="249" w:lineRule="auto"/>
        <w:tabs>
          <w:tab w:leader="none" w:pos="1823" w:val="left"/>
        </w:tabs>
        <w:numPr>
          <w:ilvl w:val="0"/>
          <w:numId w:val="377"/>
        </w:numPr>
        <w:rPr>
          <w:rFonts w:ascii="Arial" w:cs="Arial" w:eastAsia="Arial" w:hAnsi="Arial"/>
          <w:sz w:val="19"/>
          <w:szCs w:val="19"/>
          <w:color w:val="auto"/>
        </w:rPr>
      </w:pPr>
      <w:r>
        <w:rPr>
          <w:rFonts w:ascii="Arial" w:cs="Arial" w:eastAsia="Arial" w:hAnsi="Arial"/>
          <w:sz w:val="19"/>
          <w:szCs w:val="19"/>
          <w:color w:val="auto"/>
        </w:rPr>
        <w:t xml:space="preserve">At any time after any Issuing Bank has made an LC Disbursement and has received from any Revolving Lender such Revolving Lender’s payment in respect of such LC Disbursement pursuant to </w:t>
      </w:r>
      <w:r>
        <w:rPr>
          <w:rFonts w:ascii="Arial" w:cs="Arial" w:eastAsia="Arial" w:hAnsi="Arial"/>
          <w:sz w:val="19"/>
          <w:szCs w:val="19"/>
          <w:u w:val="single" w:color="auto"/>
          <w:color w:val="auto"/>
        </w:rPr>
        <w:t>Section 2.05(e)</w:t>
      </w:r>
      <w:r>
        <w:rPr>
          <w:rFonts w:ascii="Arial" w:cs="Arial" w:eastAsia="Arial" w:hAnsi="Arial"/>
          <w:sz w:val="19"/>
          <w:szCs w:val="19"/>
          <w:color w:val="auto"/>
        </w:rPr>
        <w:t>, if the Administrative Agent receives for the account of the applicable Issuing Bank any payment in respect of the related LC Disbursement or interest thereon (whether directly from the Borrower or otherwise, including proceeds of Cash Collateral applied thereto by the Administrative Agent in accordance with this Agreement), the Administrative Agent will distribute in Dollars to such Revolving Lender the Dollar Equivalent of its Applicable Percentage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79" w:name="page380"/>
    <w:bookmarkEnd w:id="379"/>
    <w:p>
      <w:pPr>
        <w:jc w:val="both"/>
        <w:ind w:left="660" w:firstLine="644"/>
        <w:spacing w:after="0" w:line="211" w:lineRule="auto"/>
        <w:tabs>
          <w:tab w:leader="none" w:pos="1810" w:val="left"/>
        </w:tabs>
        <w:numPr>
          <w:ilvl w:val="0"/>
          <w:numId w:val="378"/>
        </w:numPr>
        <w:rPr>
          <w:rFonts w:ascii="Arial" w:cs="Arial" w:eastAsia="Arial" w:hAnsi="Arial"/>
          <w:sz w:val="22"/>
          <w:szCs w:val="22"/>
          <w:color w:val="auto"/>
        </w:rPr>
      </w:pPr>
      <w:r>
        <w:rPr>
          <w:rFonts w:ascii="Arial" w:cs="Arial" w:eastAsia="Arial" w:hAnsi="Arial"/>
          <w:sz w:val="22"/>
          <w:szCs w:val="22"/>
          <w:color w:val="auto"/>
        </w:rPr>
        <w:t xml:space="preserve">If any payment received by the Administrative Agent for the account of an Issuing Bank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2.05(e)</w:t>
      </w:r>
      <w:r>
        <w:rPr>
          <w:rFonts w:ascii="Arial" w:cs="Arial" w:eastAsia="Arial" w:hAnsi="Arial"/>
          <w:sz w:val="22"/>
          <w:szCs w:val="22"/>
          <w:color w:val="auto"/>
        </w:rPr>
        <w:t xml:space="preserve"> is required to be returned under any of the circumstances described in </w:t>
      </w:r>
      <w:r>
        <w:rPr>
          <w:rFonts w:ascii="Arial" w:cs="Arial" w:eastAsia="Arial" w:hAnsi="Arial"/>
          <w:sz w:val="22"/>
          <w:szCs w:val="22"/>
          <w:u w:val="single" w:color="auto"/>
          <w:color w:val="auto"/>
        </w:rPr>
        <w:t>Section 9.08</w:t>
      </w:r>
      <w:r>
        <w:rPr>
          <w:rFonts w:ascii="Arial" w:cs="Arial" w:eastAsia="Arial" w:hAnsi="Arial"/>
          <w:sz w:val="22"/>
          <w:szCs w:val="22"/>
          <w:color w:val="auto"/>
        </w:rPr>
        <w:t xml:space="preserve"> (including pursuant to any settlement entered into by the applicable Issuing Bank in its discretion), each Revolving Lender shall pay to the Administrative Agent for the account of such Issuing Bank in Dollars the Dollar Equivalent of its Applicable Percentage thereof on demand of the Administrative Agent, </w:t>
      </w:r>
      <w:r>
        <w:rPr>
          <w:rFonts w:ascii="Arial" w:cs="Arial" w:eastAsia="Arial" w:hAnsi="Arial"/>
          <w:sz w:val="22"/>
          <w:szCs w:val="22"/>
          <w:i w:val="1"/>
          <w:iCs w:val="1"/>
          <w:u w:val="single" w:color="auto"/>
          <w:color w:val="auto"/>
        </w:rPr>
        <w:t>plus</w:t>
      </w:r>
      <w:r>
        <w:rPr>
          <w:rFonts w:ascii="Arial" w:cs="Arial" w:eastAsia="Arial" w:hAnsi="Arial"/>
          <w:sz w:val="22"/>
          <w:szCs w:val="22"/>
          <w:color w:val="auto"/>
        </w:rPr>
        <w:t xml:space="preserve"> interest thereon from the date of such demand to the date such amount is returned by such Revolving Lender, at a rate per annum equal to the NYFRB Rate from time to time in effect. The obligations of the Lenders under this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shall survive the payment in full of the Obligations and the termination of this Agreement.</w:t>
      </w:r>
    </w:p>
    <w:p>
      <w:pPr>
        <w:spacing w:after="0" w:line="165" w:lineRule="exact"/>
        <w:rPr>
          <w:sz w:val="20"/>
          <w:szCs w:val="20"/>
          <w:color w:val="auto"/>
        </w:rPr>
      </w:pPr>
    </w:p>
    <w:p>
      <w:pPr>
        <w:ind w:left="1800" w:hanging="496"/>
        <w:spacing w:after="0"/>
        <w:tabs>
          <w:tab w:leader="none" w:pos="1800" w:val="left"/>
        </w:tabs>
        <w:numPr>
          <w:ilvl w:val="1"/>
          <w:numId w:val="379"/>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Borrower’s obligations to reimburse LC Disbursements as provided in </w:t>
      </w:r>
      <w:r>
        <w:rPr>
          <w:rFonts w:ascii="Arial" w:cs="Arial" w:eastAsia="Arial" w:hAnsi="Arial"/>
          <w:sz w:val="19"/>
          <w:szCs w:val="19"/>
          <w:u w:val="single" w:color="auto"/>
          <w:color w:val="auto"/>
        </w:rPr>
        <w:t>paragraph</w:t>
      </w:r>
    </w:p>
    <w:p>
      <w:pPr>
        <w:spacing w:after="0" w:line="15" w:lineRule="exact"/>
        <w:rPr>
          <w:rFonts w:ascii="Arial" w:cs="Arial" w:eastAsia="Arial" w:hAnsi="Arial"/>
          <w:sz w:val="19"/>
          <w:szCs w:val="19"/>
          <w:color w:val="auto"/>
        </w:rPr>
      </w:pPr>
    </w:p>
    <w:p>
      <w:pPr>
        <w:jc w:val="both"/>
        <w:ind w:firstLine="8"/>
        <w:spacing w:after="0"/>
        <w:tabs>
          <w:tab w:leader="none" w:pos="306" w:val="left"/>
        </w:tabs>
        <w:numPr>
          <w:ilvl w:val="0"/>
          <w:numId w:val="380"/>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(iv) any adverse change in the relevant exchange rates or in the availability of the relevant Alternative Currency to the Borrower or any of the Restricted Subsidiaries or in the relevant currency markets generally, or (v) any other event or circumstance whatsoever, whether or not similar to any of the foregoing, that might, but for the provisions of this Section, constitute a legal or equitable discharge of, or provide a right of setoff against, the Borrower’s obligations hereunder (other than the defense of payment or performance).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any Issuing Bank from liability to 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bad faith, gross negligence, material breach of its obligations as an Issuing Bank hereunder, or willful misconduct on the part of an Issuing Bank (as finally determined by a court of competent jurisdiction), each of the Issuing Banks shall be deemed to have exercised care in each such determination as Issuing Bank. In furtherance of the foregoing and without limiting the generality thereof, the parties agree that, with respect to documents presented that appear on their face to be in substantial compliance with the terms of a Letter of Credit, each of the Issuing Banks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and any such acceptance or refusal shall be deemed not to constitute bad faith, gross negligence or willful misconduct.</w:t>
      </w:r>
    </w:p>
    <w:p>
      <w:pPr>
        <w:spacing w:after="0" w:line="346" w:lineRule="exact"/>
        <w:rPr>
          <w:rFonts w:ascii="Arial" w:cs="Arial" w:eastAsia="Arial" w:hAnsi="Arial"/>
          <w:sz w:val="19"/>
          <w:szCs w:val="19"/>
          <w:u w:val="single" w:color="auto"/>
          <w:color w:val="auto"/>
        </w:rPr>
      </w:pPr>
    </w:p>
    <w:p>
      <w:pPr>
        <w:jc w:val="both"/>
        <w:ind w:firstLine="1304"/>
        <w:spacing w:after="0" w:line="223" w:lineRule="auto"/>
        <w:tabs>
          <w:tab w:leader="none" w:pos="1770" w:val="left"/>
        </w:tabs>
        <w:numPr>
          <w:ilvl w:val="1"/>
          <w:numId w:val="380"/>
        </w:numPr>
        <w:rPr>
          <w:rFonts w:ascii="Arial" w:cs="Arial" w:eastAsia="Arial" w:hAnsi="Arial"/>
          <w:sz w:val="22"/>
          <w:szCs w:val="22"/>
          <w:color w:val="auto"/>
        </w:rPr>
      </w:pPr>
      <w:r>
        <w:rPr>
          <w:rFonts w:ascii="Arial" w:cs="Arial" w:eastAsia="Arial" w:hAnsi="Arial"/>
          <w:sz w:val="22"/>
          <w:szCs w:val="22"/>
          <w:u w:val="single" w:color="auto"/>
          <w:color w:val="auto"/>
        </w:rPr>
        <w:t>Disbursement Procedures</w:t>
      </w:r>
      <w:r>
        <w:rPr>
          <w:rFonts w:ascii="Arial" w:cs="Arial" w:eastAsia="Arial" w:hAnsi="Arial"/>
          <w:sz w:val="22"/>
          <w:szCs w:val="22"/>
          <w:color w:val="auto"/>
        </w:rPr>
        <w:t>. The applicable Issuing Bank shall, promptly following its receipt thereof, examine all documents purporting to represent a demand for payment under a Letter of Credit. Such Issuing Bank shall promptly notify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80" w:name="page381"/>
    <w:bookmarkEnd w:id="380"/>
    <w:p>
      <w:pPr>
        <w:jc w:val="both"/>
        <w:spacing w:after="0" w:line="218" w:lineRule="auto"/>
        <w:rPr>
          <w:sz w:val="20"/>
          <w:szCs w:val="20"/>
          <w:color w:val="auto"/>
        </w:rPr>
      </w:pPr>
      <w:r>
        <w:rPr>
          <w:rFonts w:ascii="Arial" w:cs="Arial" w:eastAsia="Arial" w:hAnsi="Arial"/>
          <w:sz w:val="22"/>
          <w:szCs w:val="22"/>
          <w:color w:val="auto"/>
        </w:rPr>
        <w:t xml:space="preserve">Agent and the Borrower of such demand for payment and whether such Issuing Bank has made or will make an LC Disbursement thereunder;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failure to give or delay in giving such notice shall not relieve the Borrower of its obligation to reimburse such Issuing Bank and the Revolving Lenders with respect to any such LC Disbursement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2.05(e)</w:t>
      </w:r>
      <w:r>
        <w:rPr>
          <w:rFonts w:ascii="Arial" w:cs="Arial" w:eastAsia="Arial" w:hAnsi="Arial"/>
          <w:sz w:val="22"/>
          <w:szCs w:val="22"/>
          <w:color w:val="auto"/>
        </w:rPr>
        <w:t>.</w:t>
      </w:r>
    </w:p>
    <w:p>
      <w:pPr>
        <w:spacing w:after="0" w:line="161" w:lineRule="exact"/>
        <w:rPr>
          <w:sz w:val="20"/>
          <w:szCs w:val="20"/>
          <w:color w:val="auto"/>
        </w:rPr>
      </w:pPr>
    </w:p>
    <w:p>
      <w:pPr>
        <w:jc w:val="both"/>
        <w:ind w:firstLine="1304"/>
        <w:spacing w:after="0" w:line="221" w:lineRule="auto"/>
        <w:tabs>
          <w:tab w:leader="none" w:pos="1875" w:val="left"/>
        </w:tabs>
        <w:numPr>
          <w:ilvl w:val="0"/>
          <w:numId w:val="381"/>
        </w:numPr>
        <w:rPr>
          <w:rFonts w:ascii="Arial" w:cs="Arial" w:eastAsia="Arial" w:hAnsi="Arial"/>
          <w:sz w:val="21"/>
          <w:szCs w:val="21"/>
          <w:color w:val="auto"/>
        </w:rPr>
      </w:pPr>
      <w:r>
        <w:rPr>
          <w:rFonts w:ascii="Arial" w:cs="Arial" w:eastAsia="Arial" w:hAnsi="Arial"/>
          <w:sz w:val="21"/>
          <w:szCs w:val="21"/>
          <w:u w:val="single" w:color="auto"/>
          <w:color w:val="auto"/>
        </w:rPr>
        <w:t>Interim Interest</w:t>
      </w:r>
      <w:r>
        <w:rPr>
          <w:rFonts w:ascii="Arial" w:cs="Arial" w:eastAsia="Arial" w:hAnsi="Arial"/>
          <w:sz w:val="21"/>
          <w:szCs w:val="21"/>
          <w:color w:val="auto"/>
        </w:rPr>
        <w:t xml:space="preserve">. If an Issuing Bank shall make any LC Disbursement, then, unless the Borrower shall reimburse such LC Disbursement in full as set forth in </w:t>
      </w:r>
      <w:r>
        <w:rPr>
          <w:rFonts w:ascii="Arial" w:cs="Arial" w:eastAsia="Arial" w:hAnsi="Arial"/>
          <w:sz w:val="21"/>
          <w:szCs w:val="21"/>
          <w:u w:val="single" w:color="auto"/>
          <w:color w:val="auto"/>
        </w:rPr>
        <w:t>Section 2.05(e)</w:t>
      </w:r>
      <w:r>
        <w:rPr>
          <w:rFonts w:ascii="Arial" w:cs="Arial" w:eastAsia="Arial" w:hAnsi="Arial"/>
          <w:sz w:val="21"/>
          <w:szCs w:val="21"/>
          <w:color w:val="auto"/>
        </w:rPr>
        <w:t xml:space="preserv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Borrower fails to reimburse such LC Disbursement when due pursuant to </w:t>
      </w:r>
      <w:r>
        <w:rPr>
          <w:rFonts w:ascii="Arial" w:cs="Arial" w:eastAsia="Arial" w:hAnsi="Arial"/>
          <w:sz w:val="21"/>
          <w:szCs w:val="21"/>
          <w:u w:val="single" w:color="auto"/>
          <w:color w:val="auto"/>
        </w:rPr>
        <w:t>Section 2.05(e)</w:t>
      </w:r>
      <w:r>
        <w:rPr>
          <w:rFonts w:ascii="Arial" w:cs="Arial" w:eastAsia="Arial" w:hAnsi="Arial"/>
          <w:sz w:val="21"/>
          <w:szCs w:val="21"/>
          <w:color w:val="auto"/>
        </w:rPr>
        <w:t xml:space="preserve">, then </w:t>
      </w:r>
      <w:r>
        <w:rPr>
          <w:rFonts w:ascii="Arial" w:cs="Arial" w:eastAsia="Arial" w:hAnsi="Arial"/>
          <w:sz w:val="21"/>
          <w:szCs w:val="21"/>
          <w:u w:val="single" w:color="auto"/>
          <w:color w:val="auto"/>
        </w:rPr>
        <w:t>Section 2.13(c)</w:t>
      </w:r>
      <w:r>
        <w:rPr>
          <w:rFonts w:ascii="Arial" w:cs="Arial" w:eastAsia="Arial" w:hAnsi="Arial"/>
          <w:sz w:val="21"/>
          <w:szCs w:val="21"/>
          <w:color w:val="auto"/>
        </w:rPr>
        <w:t xml:space="preserve"> shall apply. Interest accrued pursuant to this paragraph shall be for the account of the applicable Issuing Bank, except that interest accrued on and after the date of payment by any Revolving Lender pursuant to </w:t>
      </w:r>
      <w:r>
        <w:rPr>
          <w:rFonts w:ascii="Arial" w:cs="Arial" w:eastAsia="Arial" w:hAnsi="Arial"/>
          <w:sz w:val="21"/>
          <w:szCs w:val="21"/>
          <w:u w:val="single" w:color="auto"/>
          <w:color w:val="auto"/>
        </w:rPr>
        <w:t>Section 2.05(e)</w:t>
      </w:r>
      <w:r>
        <w:rPr>
          <w:rFonts w:ascii="Arial" w:cs="Arial" w:eastAsia="Arial" w:hAnsi="Arial"/>
          <w:sz w:val="21"/>
          <w:szCs w:val="21"/>
          <w:color w:val="auto"/>
        </w:rPr>
        <w:t xml:space="preserve"> to reimburse the applicable Issuing Bank shall be for the account of such Lender to the extent of such payment.</w:t>
      </w:r>
    </w:p>
    <w:p>
      <w:pPr>
        <w:spacing w:after="0" w:line="165" w:lineRule="exact"/>
        <w:rPr>
          <w:rFonts w:ascii="Arial" w:cs="Arial" w:eastAsia="Arial" w:hAnsi="Arial"/>
          <w:sz w:val="21"/>
          <w:szCs w:val="21"/>
          <w:color w:val="auto"/>
        </w:rPr>
      </w:pPr>
    </w:p>
    <w:p>
      <w:pPr>
        <w:jc w:val="both"/>
        <w:ind w:firstLine="1304"/>
        <w:spacing w:after="0" w:line="219" w:lineRule="auto"/>
        <w:tabs>
          <w:tab w:leader="none" w:pos="1802" w:val="left"/>
        </w:tabs>
        <w:numPr>
          <w:ilvl w:val="0"/>
          <w:numId w:val="381"/>
        </w:numPr>
        <w:rPr>
          <w:rFonts w:ascii="Arial" w:cs="Arial" w:eastAsia="Arial" w:hAnsi="Arial"/>
          <w:sz w:val="21"/>
          <w:szCs w:val="21"/>
          <w:color w:val="auto"/>
        </w:rPr>
      </w:pPr>
      <w:r>
        <w:rPr>
          <w:rFonts w:ascii="Arial" w:cs="Arial" w:eastAsia="Arial" w:hAnsi="Arial"/>
          <w:sz w:val="21"/>
          <w:szCs w:val="21"/>
          <w:u w:val="single" w:color="auto"/>
          <w:color w:val="auto"/>
        </w:rPr>
        <w:t>Role of Issuing Bank</w:t>
      </w:r>
      <w:r>
        <w:rPr>
          <w:rFonts w:ascii="Arial" w:cs="Arial" w:eastAsia="Arial" w:hAnsi="Arial"/>
          <w:sz w:val="21"/>
          <w:szCs w:val="21"/>
          <w:color w:val="auto"/>
        </w:rPr>
        <w:t xml:space="preserve">. Each Lender and the Borrower agree that, in paying any drawing under a Letter of Credit, no Issuing Bank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an Issuing Bank shall be liable to any Lender for (i) any action taken or omitted in connection herewith at the request or with the approval of the Revolving Lenders or the Required Lenders, as applicable; (ii) any action taken or omitted in the absence of gross negligence or willful misconduct;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this assumption is not intended to, and shall not, preclude the Borrower from pursuing such rights and remedies as it may have against the beneficiary or transferee at law or under any other agreement.</w:t>
      </w:r>
    </w:p>
    <w:p>
      <w:pPr>
        <w:spacing w:after="0" w:line="163" w:lineRule="exact"/>
        <w:rPr>
          <w:rFonts w:ascii="Arial" w:cs="Arial" w:eastAsia="Arial" w:hAnsi="Arial"/>
          <w:sz w:val="21"/>
          <w:szCs w:val="21"/>
          <w:color w:val="auto"/>
        </w:rPr>
      </w:pPr>
    </w:p>
    <w:p>
      <w:pPr>
        <w:jc w:val="both"/>
        <w:ind w:firstLine="1304"/>
        <w:spacing w:after="0" w:line="244" w:lineRule="auto"/>
        <w:tabs>
          <w:tab w:leader="none" w:pos="1883" w:val="left"/>
        </w:tabs>
        <w:numPr>
          <w:ilvl w:val="0"/>
          <w:numId w:val="381"/>
        </w:numPr>
        <w:rPr>
          <w:rFonts w:ascii="Arial" w:cs="Arial" w:eastAsia="Arial" w:hAnsi="Arial"/>
          <w:sz w:val="19"/>
          <w:szCs w:val="19"/>
          <w:color w:val="auto"/>
        </w:rPr>
      </w:pPr>
      <w:r>
        <w:rPr>
          <w:rFonts w:ascii="Arial" w:cs="Arial" w:eastAsia="Arial" w:hAnsi="Arial"/>
          <w:sz w:val="19"/>
          <w:szCs w:val="19"/>
          <w:u w:val="single" w:color="auto"/>
          <w:color w:val="auto"/>
        </w:rPr>
        <w:t>Replacement of the Issuing Banks</w:t>
      </w:r>
      <w:r>
        <w:rPr>
          <w:rFonts w:ascii="Arial" w:cs="Arial" w:eastAsia="Arial" w:hAnsi="Arial"/>
          <w:sz w:val="19"/>
          <w:szCs w:val="19"/>
          <w:color w:val="auto"/>
        </w:rPr>
        <w:t xml:space="preserve">. An Issuing Bank may be replaced at any time by written agreement among the Borrower, the Administrative Agent, the replaced Issuing Bank and the successor Issuing Bank. The Administrative Agent shall notify the Lenders of any replacement of an Issuing Bank. At the time any such replacement shall become effective, the Borrower shall pay all unpaid fees accrued for the account of the replaced Issuing Bank pursuant to </w:t>
      </w:r>
      <w:r>
        <w:rPr>
          <w:rFonts w:ascii="Arial" w:cs="Arial" w:eastAsia="Arial" w:hAnsi="Arial"/>
          <w:sz w:val="19"/>
          <w:szCs w:val="19"/>
          <w:u w:val="single" w:color="auto"/>
          <w:color w:val="auto"/>
        </w:rPr>
        <w:t>Section 2.12(c)</w:t>
      </w:r>
      <w:r>
        <w:rPr>
          <w:rFonts w:ascii="Arial" w:cs="Arial" w:eastAsia="Arial" w:hAnsi="Arial"/>
          <w:sz w:val="19"/>
          <w:szCs w:val="19"/>
          <w:color w:val="auto"/>
        </w:rPr>
        <w:t>.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54" w:lineRule="exact"/>
        <w:rPr>
          <w:rFonts w:ascii="Arial" w:cs="Arial" w:eastAsia="Arial" w:hAnsi="Arial"/>
          <w:sz w:val="19"/>
          <w:szCs w:val="19"/>
          <w:color w:val="auto"/>
        </w:rPr>
      </w:pPr>
    </w:p>
    <w:p>
      <w:pPr>
        <w:jc w:val="both"/>
        <w:ind w:firstLine="1304"/>
        <w:spacing w:after="0" w:line="229" w:lineRule="auto"/>
        <w:tabs>
          <w:tab w:leader="none" w:pos="1732" w:val="left"/>
        </w:tabs>
        <w:numPr>
          <w:ilvl w:val="0"/>
          <w:numId w:val="381"/>
        </w:numPr>
        <w:rPr>
          <w:rFonts w:ascii="Arial" w:cs="Arial" w:eastAsia="Arial" w:hAnsi="Arial"/>
          <w:sz w:val="21"/>
          <w:szCs w:val="21"/>
          <w:color w:val="auto"/>
        </w:rPr>
      </w:pPr>
      <w:r>
        <w:rPr>
          <w:rFonts w:ascii="Arial" w:cs="Arial" w:eastAsia="Arial" w:hAnsi="Arial"/>
          <w:sz w:val="21"/>
          <w:szCs w:val="21"/>
          <w:color w:val="auto"/>
        </w:rPr>
        <w:t>Notwithstanding that a Letter of Credit issued or outstanding hereunder is in support of any obligations of, or is for the account of, the Borrower or any Subsidiary, the Borrower shall be obligated to reimburse the applicable Issuing Bank hereunder for any and all drawings under such Letter of Credit. The Borrower hereby acknowledges that any issuance of Letters of Credit for the account of the Borrower and/or any Subsidiaries of the Borrower inures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81" w:name="page382"/>
    <w:bookmarkEnd w:id="381"/>
    <w:p>
      <w:pPr>
        <w:spacing w:after="0" w:line="232" w:lineRule="auto"/>
        <w:rPr>
          <w:sz w:val="20"/>
          <w:szCs w:val="20"/>
          <w:color w:val="auto"/>
        </w:rPr>
      </w:pPr>
      <w:r>
        <w:rPr>
          <w:rFonts w:ascii="Arial" w:cs="Arial" w:eastAsia="Arial" w:hAnsi="Arial"/>
          <w:sz w:val="22"/>
          <w:szCs w:val="22"/>
          <w:color w:val="auto"/>
        </w:rPr>
        <w:t>to the benefit of the Borrower, and that the Borrower’s business derives substantial benefits from the businesses of such Subsidiaries.</w:t>
      </w:r>
    </w:p>
    <w:p>
      <w:pPr>
        <w:spacing w:after="0" w:line="159" w:lineRule="exact"/>
        <w:rPr>
          <w:sz w:val="20"/>
          <w:szCs w:val="20"/>
          <w:color w:val="auto"/>
        </w:rPr>
      </w:pPr>
    </w:p>
    <w:p>
      <w:pPr>
        <w:jc w:val="both"/>
        <w:ind w:firstLine="1304"/>
        <w:spacing w:after="0" w:line="229" w:lineRule="auto"/>
        <w:tabs>
          <w:tab w:leader="none" w:pos="1902" w:val="left"/>
        </w:tabs>
        <w:numPr>
          <w:ilvl w:val="0"/>
          <w:numId w:val="382"/>
        </w:numPr>
        <w:rPr>
          <w:rFonts w:ascii="Arial" w:cs="Arial" w:eastAsia="Arial" w:hAnsi="Arial"/>
          <w:sz w:val="21"/>
          <w:szCs w:val="21"/>
          <w:color w:val="auto"/>
        </w:rPr>
      </w:pPr>
      <w:r>
        <w:rPr>
          <w:rFonts w:ascii="Arial" w:cs="Arial" w:eastAsia="Arial" w:hAnsi="Arial"/>
          <w:sz w:val="21"/>
          <w:szCs w:val="21"/>
          <w:u w:val="single" w:color="auto"/>
          <w:color w:val="auto"/>
        </w:rPr>
        <w:t>Applicability of ISP and UCP</w:t>
      </w:r>
      <w:r>
        <w:rPr>
          <w:rFonts w:ascii="Arial" w:cs="Arial" w:eastAsia="Arial" w:hAnsi="Arial"/>
          <w:sz w:val="21"/>
          <w:szCs w:val="21"/>
          <w:color w:val="auto"/>
        </w:rPr>
        <w:t>. Unless otherwise expressly agreed by the applicable Issuing Bank and the Borrower,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158" w:lineRule="exact"/>
        <w:rPr>
          <w:rFonts w:ascii="Arial" w:cs="Arial" w:eastAsia="Arial" w:hAnsi="Arial"/>
          <w:sz w:val="21"/>
          <w:szCs w:val="21"/>
          <w:color w:val="auto"/>
        </w:rPr>
      </w:pPr>
    </w:p>
    <w:p>
      <w:pPr>
        <w:jc w:val="both"/>
        <w:ind w:firstLine="1304"/>
        <w:spacing w:after="0" w:line="216" w:lineRule="auto"/>
        <w:tabs>
          <w:tab w:leader="none" w:pos="1956" w:val="left"/>
        </w:tabs>
        <w:numPr>
          <w:ilvl w:val="0"/>
          <w:numId w:val="382"/>
        </w:numPr>
        <w:rPr>
          <w:rFonts w:ascii="Arial" w:cs="Arial" w:eastAsia="Arial" w:hAnsi="Arial"/>
          <w:sz w:val="22"/>
          <w:szCs w:val="22"/>
          <w:color w:val="auto"/>
        </w:rPr>
      </w:pPr>
      <w:r>
        <w:rPr>
          <w:rFonts w:ascii="Arial" w:cs="Arial" w:eastAsia="Arial" w:hAnsi="Arial"/>
          <w:sz w:val="22"/>
          <w:szCs w:val="22"/>
          <w:u w:val="single" w:color="auto"/>
          <w:color w:val="auto"/>
        </w:rPr>
        <w:t>Conflict with Letter of Credit Application</w:t>
      </w:r>
      <w:r>
        <w:rPr>
          <w:rFonts w:ascii="Arial" w:cs="Arial" w:eastAsia="Arial" w:hAnsi="Arial"/>
          <w:sz w:val="22"/>
          <w:szCs w:val="22"/>
          <w:color w:val="auto"/>
        </w:rPr>
        <w:t>. In the event of any inconsistency between the terms and conditions of this Agreement and the terms and conditions of any form of letter of credit application or other agreement submitted by the Borrower to, or entered into by the Borrower with, an Issuing Bank relating to any Letter of Credit, the terms and conditions of this Agreement shall control, and any grant of a security interest in any form of Letter of Credit Application or other agreement shall be null and void.</w:t>
      </w:r>
    </w:p>
    <w:p>
      <w:pPr>
        <w:spacing w:after="0" w:line="157" w:lineRule="exact"/>
        <w:rPr>
          <w:rFonts w:ascii="Arial" w:cs="Arial" w:eastAsia="Arial" w:hAnsi="Arial"/>
          <w:sz w:val="22"/>
          <w:szCs w:val="22"/>
          <w:color w:val="auto"/>
        </w:rPr>
      </w:pPr>
    </w:p>
    <w:p>
      <w:pPr>
        <w:jc w:val="both"/>
        <w:ind w:firstLine="1304"/>
        <w:spacing w:after="0" w:line="241" w:lineRule="auto"/>
        <w:tabs>
          <w:tab w:leader="none" w:pos="1815" w:val="left"/>
        </w:tabs>
        <w:numPr>
          <w:ilvl w:val="0"/>
          <w:numId w:val="382"/>
        </w:numPr>
        <w:rPr>
          <w:rFonts w:ascii="Arial" w:cs="Arial" w:eastAsia="Arial" w:hAnsi="Arial"/>
          <w:sz w:val="19"/>
          <w:szCs w:val="19"/>
          <w:color w:val="auto"/>
        </w:rPr>
      </w:pPr>
      <w:r>
        <w:rPr>
          <w:rFonts w:ascii="Arial" w:cs="Arial" w:eastAsia="Arial" w:hAnsi="Arial"/>
          <w:sz w:val="19"/>
          <w:szCs w:val="19"/>
          <w:u w:val="single" w:color="auto"/>
          <w:color w:val="auto"/>
        </w:rPr>
        <w:t>Provisions Related to Extended Revolving Commitments</w:t>
      </w:r>
      <w:r>
        <w:rPr>
          <w:rFonts w:ascii="Arial" w:cs="Arial" w:eastAsia="Arial" w:hAnsi="Arial"/>
          <w:sz w:val="19"/>
          <w:szCs w:val="19"/>
          <w:color w:val="auto"/>
        </w:rPr>
        <w:t xml:space="preserve">. If, after the date hereof, there shall be more than one tranche of Revolving Commitments, and if the maturity date in respect of any tranche of Revolving Commitments occurs prior to the expiration of any Letter of Credit, then (i) if one or more other tranches of Revolving Commitments in respect of which the maturity date shall not have occurred are then in effect, such Letters of Credit shall automatically be deemed to have been issued (including for purposes of the obligations of the Revolving Lenders to purchase participations therein and to make Revolving Loans and payments in respect thereof pursuant to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under (and ratably participated in by Lenders pursuant to) the Revolving Commitments in respect of such non-terminating tranches up to an aggregate amount not to exceed the aggregate principal amount of the unutilized Revolving Commitments thereunder at such time (it being understood that no partial face amount of any Letter of Credit may be so reallocated) and (ii) to the extent not reallocated pursuant to immediately preceding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the Borrower shall Cash Collateralize any such Letter of Credit in accordance with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or otherwise backstop such Letter of Credit on terms reasonably satisfactory to the applicable Issuing Bank. If, for any reason, such Cash Collateral is not provided or the reallocation does not occur, the Revolving Lenders under the maturing tranche shall continue to be responsible for their participating interests in the Letters of Credit. Except to the extent of reallocations of participations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the second preceding sentence, the occurrence of a maturity date with respect to a given tranche of Revolving Commitments shall have no effect upon (and shall not diminish) the percentage participations of the Revolving Lenders in any Letter of Credit issued before such maturity date. Commencing with the maturity date of any tranche of Revolving Commitments, the sublimit for Letters of Credit shall be agreed with the Lenders under the extended tranches.</w:t>
      </w:r>
    </w:p>
    <w:p>
      <w:pPr>
        <w:spacing w:after="0" w:line="158" w:lineRule="exact"/>
        <w:rPr>
          <w:rFonts w:ascii="Arial" w:cs="Arial" w:eastAsia="Arial" w:hAnsi="Arial"/>
          <w:sz w:val="19"/>
          <w:szCs w:val="19"/>
          <w:color w:val="auto"/>
        </w:rPr>
      </w:pPr>
    </w:p>
    <w:p>
      <w:pPr>
        <w:jc w:val="both"/>
        <w:ind w:firstLine="1304"/>
        <w:spacing w:after="0" w:line="268" w:lineRule="auto"/>
        <w:tabs>
          <w:tab w:leader="none" w:pos="1831" w:val="left"/>
        </w:tabs>
        <w:numPr>
          <w:ilvl w:val="0"/>
          <w:numId w:val="382"/>
        </w:numPr>
        <w:rPr>
          <w:rFonts w:ascii="Arial" w:cs="Arial" w:eastAsia="Arial" w:hAnsi="Arial"/>
          <w:sz w:val="19"/>
          <w:szCs w:val="19"/>
          <w:color w:val="auto"/>
        </w:rPr>
      </w:pPr>
      <w:r>
        <w:rPr>
          <w:rFonts w:ascii="Arial" w:cs="Arial" w:eastAsia="Arial" w:hAnsi="Arial"/>
          <w:sz w:val="19"/>
          <w:szCs w:val="19"/>
          <w:u w:val="single" w:color="auto"/>
          <w:color w:val="auto"/>
        </w:rPr>
        <w:t>Addition of an Issuing Bank</w:t>
      </w:r>
      <w:r>
        <w:rPr>
          <w:rFonts w:ascii="Arial" w:cs="Arial" w:eastAsia="Arial" w:hAnsi="Arial"/>
          <w:sz w:val="19"/>
          <w:szCs w:val="19"/>
          <w:color w:val="auto"/>
        </w:rPr>
        <w:t>. A Revolving Lender (or any of its subsidiaries or Affiliates) may become an additional Issuing Bank hereunder pursuant to a written agreement among the Borrower, the Administrative Agent and such Revolving Lender. The Administrative Agent shall notify the Revolving Lenders of any such additional Issuing Bank.</w:t>
      </w:r>
    </w:p>
    <w:p>
      <w:pPr>
        <w:spacing w:after="0" w:line="13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2.06</w:t>
      </w:r>
      <w:r>
        <w:rPr>
          <w:sz w:val="20"/>
          <w:szCs w:val="20"/>
          <w:color w:val="auto"/>
        </w:rPr>
        <w:tab/>
      </w:r>
      <w:r>
        <w:rPr>
          <w:rFonts w:ascii="Arial" w:cs="Arial" w:eastAsia="Arial" w:hAnsi="Arial"/>
          <w:sz w:val="19"/>
          <w:szCs w:val="19"/>
          <w:u w:val="single" w:color="auto"/>
          <w:color w:val="auto"/>
        </w:rPr>
        <w:t>Funding of Borrowings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6" w:lineRule="auto"/>
        <w:tabs>
          <w:tab w:leader="none" w:pos="1779" w:val="left"/>
        </w:tabs>
        <w:numPr>
          <w:ilvl w:val="0"/>
          <w:numId w:val="383"/>
        </w:numPr>
        <w:rPr>
          <w:rFonts w:ascii="Arial" w:cs="Arial" w:eastAsia="Arial" w:hAnsi="Arial"/>
          <w:sz w:val="22"/>
          <w:szCs w:val="22"/>
          <w:color w:val="auto"/>
        </w:rPr>
      </w:pPr>
      <w:r>
        <w:rPr>
          <w:rFonts w:ascii="Arial" w:cs="Arial" w:eastAsia="Arial" w:hAnsi="Arial"/>
          <w:sz w:val="22"/>
          <w:szCs w:val="22"/>
          <w:color w:val="auto"/>
        </w:rPr>
        <w:t xml:space="preserve">Each Lender shall make each Loan to be made by it hereunder on the proposed date thereof by wire transfer of immediately available funds by (i) 1:00 p.m., New York City time, in the case of a </w:t>
      </w:r>
      <w:r>
        <w:rPr>
          <w:rFonts w:ascii="Arial" w:cs="Arial" w:eastAsia="Arial" w:hAnsi="Arial"/>
          <w:sz w:val="22"/>
          <w:szCs w:val="22"/>
          <w:color w:val="FF0000"/>
          <w:strike w:val="1"/>
        </w:rPr>
        <w:t>Eurocurrency Borrowing or</w:t>
      </w:r>
      <w:r>
        <w:rPr>
          <w:rFonts w:ascii="Arial" w:cs="Arial" w:eastAsia="Arial" w:hAnsi="Arial"/>
          <w:sz w:val="22"/>
          <w:szCs w:val="22"/>
          <w:color w:val="auto"/>
        </w:rPr>
        <w:t xml:space="preserve"> Term SOFR Borrowing, 1:00 p.m., New York City time, in the case of an ABR Borrowing for which notice has been provided by 11:00 a.m. New York City time at least one (1) Business Day prior to the date of the proposed Borrowing or (ii) 2:00 p.m. New York City time, in the case of an ABR Borrowing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82" w:name="page383"/>
    <w:bookmarkEnd w:id="382"/>
    <w:p>
      <w:pPr>
        <w:jc w:val="both"/>
        <w:spacing w:after="0" w:line="246" w:lineRule="auto"/>
        <w:rPr>
          <w:sz w:val="20"/>
          <w:szCs w:val="20"/>
          <w:color w:val="auto"/>
        </w:rPr>
      </w:pPr>
      <w:r>
        <w:rPr>
          <w:rFonts w:ascii="Arial" w:cs="Arial" w:eastAsia="Arial" w:hAnsi="Arial"/>
          <w:sz w:val="19"/>
          <w:szCs w:val="19"/>
          <w:color w:val="auto"/>
        </w:rPr>
        <w:t xml:space="preserve">notice has been provided by 11:00 a.m. New York City time on the date of the proposed ABR Borrowing, in each case to the account of the Administrative Agent most recently designated by it for such purpose by notice to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Swingline Loans shall be made as provided in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The Administrative Agent will make such Loans available to the Borrower by wire transfer of the amounts so received, in immediately available funds, to an account of the Borrower, in each case designated by the Borrower in the applicable Borrowing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 Revolving Loans made to finance the reimbursement of an LC Disbursement as provided in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shall be remitted by the Administrative Agent to the applicable Issuing Bank or, to the extent that Revolving Lenders have made payments pursuant to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to reimburse an Issuing Bank, then to such Revolving Lenders and the applicable Issuing Bank as their interests may appear.</w:t>
      </w:r>
    </w:p>
    <w:p>
      <w:pPr>
        <w:spacing w:after="0" w:line="152" w:lineRule="exact"/>
        <w:rPr>
          <w:sz w:val="20"/>
          <w:szCs w:val="20"/>
          <w:color w:val="auto"/>
        </w:rPr>
      </w:pPr>
    </w:p>
    <w:p>
      <w:pPr>
        <w:jc w:val="both"/>
        <w:ind w:firstLine="1304"/>
        <w:spacing w:after="0" w:line="219" w:lineRule="auto"/>
        <w:tabs>
          <w:tab w:leader="none" w:pos="1802" w:val="left"/>
        </w:tabs>
        <w:numPr>
          <w:ilvl w:val="0"/>
          <w:numId w:val="384"/>
        </w:numPr>
        <w:rPr>
          <w:rFonts w:ascii="Arial" w:cs="Arial" w:eastAsia="Arial" w:hAnsi="Arial"/>
          <w:sz w:val="21"/>
          <w:szCs w:val="21"/>
          <w:color w:val="auto"/>
        </w:rPr>
      </w:pPr>
      <w:r>
        <w:rPr>
          <w:rFonts w:ascii="Arial" w:cs="Arial" w:eastAsia="Arial" w:hAnsi="Arial"/>
          <w:sz w:val="21"/>
          <w:szCs w:val="21"/>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will make such share available on such date in accordance with </w:t>
      </w:r>
      <w:r>
        <w:rPr>
          <w:rFonts w:ascii="Arial" w:cs="Arial" w:eastAsia="Arial" w:hAnsi="Arial"/>
          <w:sz w:val="21"/>
          <w:szCs w:val="21"/>
          <w:u w:val="single" w:color="auto"/>
          <w:color w:val="auto"/>
        </w:rPr>
        <w:t>paragraph (a)</w:t>
      </w:r>
      <w:r>
        <w:rPr>
          <w:rFonts w:ascii="Arial" w:cs="Arial" w:eastAsia="Arial" w:hAnsi="Arial"/>
          <w:sz w:val="21"/>
          <w:szCs w:val="21"/>
          <w:color w:val="auto"/>
        </w:rPr>
        <w:t xml:space="preserve"> of this Section and may, in reliance upon such assumption and in its sole discretion, make available to the Borrower a corresponding amount. In such event, after giving effect to the reallocations pursuant to </w:t>
      </w:r>
      <w:r>
        <w:rPr>
          <w:rFonts w:ascii="Arial" w:cs="Arial" w:eastAsia="Arial" w:hAnsi="Arial"/>
          <w:sz w:val="21"/>
          <w:szCs w:val="21"/>
          <w:u w:val="single" w:color="auto"/>
          <w:color w:val="auto"/>
        </w:rPr>
        <w:t>Section 2.22(a)(ii)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2.22(a)</w:t>
      </w:r>
      <w:r>
        <w:rPr>
          <w:rFonts w:ascii="Arial" w:cs="Arial" w:eastAsia="Arial" w:hAnsi="Arial"/>
          <w:sz w:val="21"/>
          <w:szCs w:val="21"/>
          <w:color w:val="auto"/>
        </w:rPr>
        <w:t xml:space="preserve"> </w:t>
      </w:r>
      <w:r>
        <w:rPr>
          <w:rFonts w:ascii="Arial" w:cs="Arial" w:eastAsia="Arial" w:hAnsi="Arial"/>
          <w:sz w:val="21"/>
          <w:szCs w:val="21"/>
          <w:u w:val="single" w:color="auto"/>
          <w:color w:val="auto"/>
        </w:rPr>
        <w:t>(iv)</w:t>
      </w:r>
      <w:r>
        <w:rPr>
          <w:rFonts w:ascii="Arial" w:cs="Arial" w:eastAsia="Arial" w:hAnsi="Arial"/>
          <w:sz w:val="21"/>
          <w:szCs w:val="21"/>
          <w:color w:val="auto"/>
        </w:rPr>
        <w:t>, if a Lender has not in fact made its share of the applicable Borrowing available to the Administrative Agent, then the applicable Lender and the Borrower agrees to pay to the Administrative Agent, within three (3) Business Days of written notice,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Loans of the applicable Type. If such Lender pays such amount to the Administrative Agent, then such amount shall constitute such Lender’s Loan included in such Borrowing.</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2.07</w:t>
      </w:r>
      <w:r>
        <w:rPr>
          <w:sz w:val="20"/>
          <w:szCs w:val="20"/>
          <w:color w:val="auto"/>
        </w:rPr>
        <w:tab/>
      </w:r>
      <w:r>
        <w:rPr>
          <w:rFonts w:ascii="Arial" w:cs="Arial" w:eastAsia="Arial" w:hAnsi="Arial"/>
          <w:sz w:val="19"/>
          <w:szCs w:val="19"/>
          <w:u w:val="single" w:color="auto"/>
          <w:color w:val="auto"/>
        </w:rPr>
        <w:t>Interest Elections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1" w:lineRule="auto"/>
        <w:tabs>
          <w:tab w:leader="none" w:pos="1832" w:val="left"/>
        </w:tabs>
        <w:numPr>
          <w:ilvl w:val="0"/>
          <w:numId w:val="385"/>
        </w:numPr>
        <w:rPr>
          <w:rFonts w:ascii="Arial" w:cs="Arial" w:eastAsia="Arial" w:hAnsi="Arial"/>
          <w:sz w:val="21"/>
          <w:szCs w:val="21"/>
          <w:color w:val="auto"/>
        </w:rPr>
      </w:pPr>
      <w:r>
        <w:rPr>
          <w:rFonts w:ascii="Arial" w:cs="Arial" w:eastAsia="Arial" w:hAnsi="Arial"/>
          <w:sz w:val="21"/>
          <w:szCs w:val="21"/>
          <w:color w:val="auto"/>
        </w:rPr>
        <w:t xml:space="preserve">Each Revolving Loan Borrowing and Term Loan Borrowing initially shall be of the Type specified in the applicable Borrowing Request or designated by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and, in the case of a </w:t>
      </w:r>
      <w:r>
        <w:rPr>
          <w:rFonts w:ascii="Arial" w:cs="Arial" w:eastAsia="Arial" w:hAnsi="Arial"/>
          <w:sz w:val="21"/>
          <w:szCs w:val="21"/>
          <w:color w:val="FF0000"/>
          <w:strike w:val="1"/>
        </w:rPr>
        <w:t>Eurocurrency Borrowing or</w:t>
      </w:r>
      <w:r>
        <w:rPr>
          <w:rFonts w:ascii="Arial" w:cs="Arial" w:eastAsia="Arial" w:hAnsi="Arial"/>
          <w:sz w:val="21"/>
          <w:szCs w:val="21"/>
          <w:color w:val="auto"/>
        </w:rPr>
        <w:t xml:space="preserve"> Term SOFR Borrowing, shall have an initial Interest Period as specified in such Borrowing Request or designated by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Thereafter, the Borrower may elect to convert such Borrowing to a different Type or to continue such Borrowing and, in the case of a </w:t>
      </w:r>
      <w:r>
        <w:rPr>
          <w:rFonts w:ascii="Arial" w:cs="Arial" w:eastAsia="Arial" w:hAnsi="Arial"/>
          <w:sz w:val="21"/>
          <w:szCs w:val="21"/>
          <w:color w:val="FF0000"/>
          <w:strike w:val="1"/>
        </w:rPr>
        <w:t>Eurocurrency Borrowing or</w:t>
      </w:r>
      <w:r>
        <w:rPr>
          <w:rFonts w:ascii="Arial" w:cs="Arial" w:eastAsia="Arial" w:hAnsi="Arial"/>
          <w:sz w:val="21"/>
          <w:szCs w:val="21"/>
          <w:color w:val="FF0000"/>
        </w:rPr>
        <w:t xml:space="preserve"> </w:t>
      </w:r>
      <w:r>
        <w:rPr>
          <w:rFonts w:ascii="Arial" w:cs="Arial" w:eastAsia="Arial" w:hAnsi="Arial"/>
          <w:sz w:val="21"/>
          <w:szCs w:val="21"/>
          <w:color w:val="000000"/>
        </w:rPr>
        <w:t>Term SOFR Borrowing, may elect Interest Periods therefor, all as provided in this</w:t>
      </w:r>
      <w:r>
        <w:rPr>
          <w:rFonts w:ascii="Arial" w:cs="Arial" w:eastAsia="Arial" w:hAnsi="Arial"/>
          <w:sz w:val="21"/>
          <w:szCs w:val="21"/>
          <w:color w:val="FF0000"/>
        </w:rPr>
        <w:t xml:space="preserve"> </w:t>
      </w:r>
      <w:r>
        <w:rPr>
          <w:rFonts w:ascii="Arial" w:cs="Arial" w:eastAsia="Arial" w:hAnsi="Arial"/>
          <w:sz w:val="21"/>
          <w:szCs w:val="21"/>
          <w:u w:val="single" w:color="auto"/>
          <w:color w:val="000000"/>
        </w:rPr>
        <w:t>Section 2.07</w:t>
      </w:r>
      <w:r>
        <w:rPr>
          <w:rFonts w:ascii="Arial" w:cs="Arial" w:eastAsia="Arial" w:hAnsi="Arial"/>
          <w:sz w:val="21"/>
          <w:szCs w:val="21"/>
          <w:color w:val="000000"/>
        </w:rPr>
        <w:t>. The</w:t>
      </w:r>
      <w:r>
        <w:rPr>
          <w:rFonts w:ascii="Arial" w:cs="Arial" w:eastAsia="Arial" w:hAnsi="Arial"/>
          <w:sz w:val="21"/>
          <w:szCs w:val="21"/>
          <w:color w:val="FF0000"/>
        </w:rPr>
        <w:t xml:space="preserve"> </w:t>
      </w:r>
      <w:r>
        <w:rPr>
          <w:rFonts w:ascii="Arial" w:cs="Arial" w:eastAsia="Arial" w:hAnsi="Arial"/>
          <w:sz w:val="21"/>
          <w:szCs w:val="21"/>
          <w:color w:val="000000"/>
        </w:rPr>
        <w:t>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58" w:lineRule="exact"/>
        <w:rPr>
          <w:rFonts w:ascii="Arial" w:cs="Arial" w:eastAsia="Arial" w:hAnsi="Arial"/>
          <w:sz w:val="21"/>
          <w:szCs w:val="21"/>
          <w:color w:val="auto"/>
        </w:rPr>
      </w:pPr>
    </w:p>
    <w:p>
      <w:pPr>
        <w:jc w:val="both"/>
        <w:ind w:firstLine="1304"/>
        <w:spacing w:after="0" w:line="216" w:lineRule="auto"/>
        <w:tabs>
          <w:tab w:leader="none" w:pos="1852" w:val="left"/>
        </w:tabs>
        <w:numPr>
          <w:ilvl w:val="0"/>
          <w:numId w:val="385"/>
        </w:numPr>
        <w:rPr>
          <w:rFonts w:ascii="Arial" w:cs="Arial" w:eastAsia="Arial" w:hAnsi="Arial"/>
          <w:sz w:val="22"/>
          <w:szCs w:val="22"/>
          <w:color w:val="auto"/>
        </w:rPr>
      </w:pPr>
      <w:r>
        <w:rPr>
          <w:rFonts w:ascii="Arial" w:cs="Arial" w:eastAsia="Arial" w:hAnsi="Arial"/>
          <w:sz w:val="22"/>
          <w:szCs w:val="22"/>
          <w:color w:val="auto"/>
        </w:rPr>
        <w:t xml:space="preserve">To make an election pursuant to this Section, the Borrower shall notify the Administrative Agent of such election by hand delivery, electronic communication (including Adobe pdf file) or facsimile of a written Interest Election Request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signed by the Borrower by the time that a Borrowing Request would be required under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if the Borrower was requesting a Revolving Loan Borrowing of the Type resulting from such election to be made on the effective date of such election.</w:t>
      </w:r>
    </w:p>
    <w:p>
      <w:pPr>
        <w:spacing w:after="0" w:line="157" w:lineRule="exact"/>
        <w:rPr>
          <w:rFonts w:ascii="Arial" w:cs="Arial" w:eastAsia="Arial" w:hAnsi="Arial"/>
          <w:sz w:val="22"/>
          <w:szCs w:val="22"/>
          <w:color w:val="auto"/>
        </w:rPr>
      </w:pPr>
    </w:p>
    <w:p>
      <w:pPr>
        <w:ind w:left="1840" w:hanging="536"/>
        <w:spacing w:after="0"/>
        <w:tabs>
          <w:tab w:leader="none" w:pos="1840" w:val="left"/>
        </w:tabs>
        <w:numPr>
          <w:ilvl w:val="0"/>
          <w:numId w:val="385"/>
        </w:numPr>
        <w:rPr>
          <w:rFonts w:ascii="Arial" w:cs="Arial" w:eastAsia="Arial" w:hAnsi="Arial"/>
          <w:sz w:val="19"/>
          <w:szCs w:val="19"/>
          <w:color w:val="auto"/>
        </w:rPr>
      </w:pPr>
      <w:r>
        <w:rPr>
          <w:rFonts w:ascii="Arial" w:cs="Arial" w:eastAsia="Arial" w:hAnsi="Arial"/>
          <w:sz w:val="19"/>
          <w:szCs w:val="19"/>
          <w:color w:val="auto"/>
        </w:rPr>
        <w:t xml:space="preserve">Each written Interest Election Request shall specify the following information in compliance with </w:t>
      </w:r>
      <w:r>
        <w:rPr>
          <w:rFonts w:ascii="Arial" w:cs="Arial" w:eastAsia="Arial" w:hAnsi="Arial"/>
          <w:sz w:val="19"/>
          <w:szCs w:val="19"/>
          <w:u w:val="single" w:color="auto"/>
          <w:color w:val="auto"/>
        </w:rPr>
        <w:t>Section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2.03</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83" w:name="page384"/>
    <w:bookmarkEnd w:id="383"/>
    <w:p>
      <w:pPr>
        <w:jc w:val="both"/>
        <w:ind w:left="660" w:firstLine="644"/>
        <w:spacing w:after="0" w:line="268" w:lineRule="auto"/>
        <w:tabs>
          <w:tab w:leader="none" w:pos="1742" w:val="left"/>
        </w:tabs>
        <w:numPr>
          <w:ilvl w:val="0"/>
          <w:numId w:val="386"/>
        </w:numPr>
        <w:rPr>
          <w:rFonts w:ascii="Arial" w:cs="Arial" w:eastAsia="Arial" w:hAnsi="Arial"/>
          <w:sz w:val="19"/>
          <w:szCs w:val="19"/>
          <w:color w:val="auto"/>
        </w:rPr>
      </w:pPr>
      <w:r>
        <w:rPr>
          <w:rFonts w:ascii="Arial" w:cs="Arial" w:eastAsia="Arial" w:hAnsi="Arial"/>
          <w:sz w:val="19"/>
          <w:szCs w:val="19"/>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below shall be specified for each resulting Borrowing);</w:t>
      </w:r>
    </w:p>
    <w:p>
      <w:pPr>
        <w:spacing w:after="0" w:line="132" w:lineRule="exact"/>
        <w:rPr>
          <w:rFonts w:ascii="Arial" w:cs="Arial" w:eastAsia="Arial" w:hAnsi="Arial"/>
          <w:sz w:val="19"/>
          <w:szCs w:val="19"/>
          <w:color w:val="auto"/>
        </w:rPr>
      </w:pPr>
    </w:p>
    <w:p>
      <w:pPr>
        <w:ind w:left="1820" w:hanging="516"/>
        <w:spacing w:after="0"/>
        <w:tabs>
          <w:tab w:leader="none" w:pos="1820" w:val="left"/>
        </w:tabs>
        <w:numPr>
          <w:ilvl w:val="0"/>
          <w:numId w:val="386"/>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 Business</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Day;</w:t>
      </w:r>
    </w:p>
    <w:p>
      <w:pPr>
        <w:spacing w:after="0" w:line="161" w:lineRule="exact"/>
        <w:rPr>
          <w:rFonts w:ascii="Arial" w:cs="Arial" w:eastAsia="Arial" w:hAnsi="Arial"/>
          <w:sz w:val="19"/>
          <w:szCs w:val="19"/>
          <w:color w:val="auto"/>
        </w:rPr>
      </w:pPr>
    </w:p>
    <w:p>
      <w:pPr>
        <w:ind w:left="660" w:firstLine="644"/>
        <w:spacing w:after="0" w:line="232" w:lineRule="auto"/>
        <w:tabs>
          <w:tab w:leader="none" w:pos="1901" w:val="left"/>
        </w:tabs>
        <w:numPr>
          <w:ilvl w:val="0"/>
          <w:numId w:val="386"/>
        </w:numPr>
        <w:rPr>
          <w:rFonts w:ascii="Arial" w:cs="Arial" w:eastAsia="Arial" w:hAnsi="Arial"/>
          <w:sz w:val="22"/>
          <w:szCs w:val="22"/>
          <w:color w:val="auto"/>
        </w:rPr>
      </w:pPr>
      <w:r>
        <w:rPr>
          <w:rFonts w:ascii="Arial" w:cs="Arial" w:eastAsia="Arial" w:hAnsi="Arial"/>
          <w:sz w:val="22"/>
          <w:szCs w:val="22"/>
          <w:color w:val="auto"/>
        </w:rPr>
        <w:t>whether the resulting Borrowing is to be an ABR Borrowing</w:t>
      </w:r>
      <w:r>
        <w:rPr>
          <w:rFonts w:ascii="Arial" w:cs="Arial" w:eastAsia="Arial" w:hAnsi="Arial"/>
          <w:sz w:val="22"/>
          <w:szCs w:val="22"/>
          <w:color w:val="FF0000"/>
          <w:strike w:val="1"/>
        </w:rPr>
        <w:t>, a Eurocurrency Borrowing</w:t>
      </w:r>
      <w:r>
        <w:rPr>
          <w:rFonts w:ascii="Arial" w:cs="Arial" w:eastAsia="Arial" w:hAnsi="Arial"/>
          <w:sz w:val="22"/>
          <w:szCs w:val="22"/>
          <w:color w:val="auto"/>
        </w:rPr>
        <w:t xml:space="preserve"> or a Term SOFR Borrowing; and</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877" w:val="left"/>
        </w:tabs>
        <w:numPr>
          <w:ilvl w:val="0"/>
          <w:numId w:val="386"/>
        </w:numPr>
        <w:rPr>
          <w:rFonts w:ascii="Arial" w:cs="Arial" w:eastAsia="Arial" w:hAnsi="Arial"/>
          <w:sz w:val="22"/>
          <w:szCs w:val="22"/>
          <w:color w:val="auto"/>
        </w:rPr>
      </w:pPr>
      <w:r>
        <w:rPr>
          <w:rFonts w:ascii="Arial" w:cs="Arial" w:eastAsia="Arial" w:hAnsi="Arial"/>
          <w:sz w:val="22"/>
          <w:szCs w:val="22"/>
          <w:color w:val="auto"/>
        </w:rPr>
        <w:t xml:space="preserve">if the resulting Borrowing is a </w:t>
      </w:r>
      <w:r>
        <w:rPr>
          <w:rFonts w:ascii="Arial" w:cs="Arial" w:eastAsia="Arial" w:hAnsi="Arial"/>
          <w:sz w:val="22"/>
          <w:szCs w:val="22"/>
          <w:color w:val="FF0000"/>
          <w:strike w:val="1"/>
        </w:rPr>
        <w:t>Eurocurrency Borrowing or a</w:t>
      </w:r>
      <w:r>
        <w:rPr>
          <w:rFonts w:ascii="Arial" w:cs="Arial" w:eastAsia="Arial" w:hAnsi="Arial"/>
          <w:sz w:val="22"/>
          <w:szCs w:val="22"/>
          <w:color w:val="auto"/>
        </w:rPr>
        <w:t xml:space="preserve"> Term SOFR Borrowing, the Interest Period to be applicable thereto after giving effect to such election, which shall be a period contemplated by the definition of the term “</w:t>
      </w:r>
      <w:r>
        <w:rPr>
          <w:rFonts w:ascii="Arial" w:cs="Arial" w:eastAsia="Arial" w:hAnsi="Arial"/>
          <w:sz w:val="22"/>
          <w:szCs w:val="22"/>
          <w:u w:val="single" w:color="auto"/>
          <w:color w:val="auto"/>
        </w:rPr>
        <w:t>Interest Period</w:t>
      </w:r>
      <w:r>
        <w:rPr>
          <w:rFonts w:ascii="Arial" w:cs="Arial" w:eastAsia="Arial" w:hAnsi="Arial"/>
          <w:sz w:val="22"/>
          <w:szCs w:val="22"/>
          <w:color w:val="auto"/>
        </w:rPr>
        <w:t>.”</w:t>
      </w:r>
    </w:p>
    <w:p>
      <w:pPr>
        <w:spacing w:after="0" w:line="159"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 xml:space="preserve">If any such Interest Election Request requests a </w:t>
      </w:r>
      <w:r>
        <w:rPr>
          <w:rFonts w:ascii="Arial" w:cs="Arial" w:eastAsia="Arial" w:hAnsi="Arial"/>
          <w:sz w:val="19"/>
          <w:szCs w:val="19"/>
          <w:color w:val="FF0000"/>
          <w:strike w:val="1"/>
        </w:rPr>
        <w:t>Eurocurrency Borrowing or a</w:t>
      </w:r>
      <w:r>
        <w:rPr>
          <w:rFonts w:ascii="Arial" w:cs="Arial" w:eastAsia="Arial" w:hAnsi="Arial"/>
          <w:sz w:val="19"/>
          <w:szCs w:val="19"/>
          <w:color w:val="auto"/>
        </w:rPr>
        <w:t xml:space="preserve"> Term SOFR Borrowing but does not specify an Interest Period, then the Borrower shall be deemed to have selected an Interest Period of one month’s duration.</w:t>
      </w:r>
    </w:p>
    <w:p>
      <w:pPr>
        <w:spacing w:after="0" w:line="105" w:lineRule="exact"/>
        <w:rPr>
          <w:sz w:val="20"/>
          <w:szCs w:val="20"/>
          <w:color w:val="auto"/>
        </w:rPr>
      </w:pPr>
    </w:p>
    <w:p>
      <w:pPr>
        <w:ind w:firstLine="1304"/>
        <w:spacing w:after="0" w:line="232" w:lineRule="auto"/>
        <w:tabs>
          <w:tab w:leader="none" w:pos="1908" w:val="left"/>
        </w:tabs>
        <w:numPr>
          <w:ilvl w:val="0"/>
          <w:numId w:val="387"/>
        </w:numPr>
        <w:rPr>
          <w:rFonts w:ascii="Arial" w:cs="Arial" w:eastAsia="Arial" w:hAnsi="Arial"/>
          <w:sz w:val="22"/>
          <w:szCs w:val="22"/>
          <w:color w:val="auto"/>
        </w:rPr>
      </w:pPr>
      <w:r>
        <w:rPr>
          <w:rFonts w:ascii="Arial" w:cs="Arial" w:eastAsia="Arial" w:hAnsi="Arial"/>
          <w:sz w:val="22"/>
          <w:szCs w:val="22"/>
          <w:color w:val="auto"/>
        </w:rPr>
        <w:t>Promptly following receipt of an Interest Election Request, the Administrative Agent shall advise each Lender of the details thereof and of such Lender’s portion of each resulting Borrowing.</w:t>
      </w:r>
    </w:p>
    <w:p>
      <w:pPr>
        <w:spacing w:after="0" w:line="158" w:lineRule="exact"/>
        <w:rPr>
          <w:rFonts w:ascii="Arial" w:cs="Arial" w:eastAsia="Arial" w:hAnsi="Arial"/>
          <w:sz w:val="22"/>
          <w:szCs w:val="22"/>
          <w:color w:val="auto"/>
        </w:rPr>
      </w:pPr>
    </w:p>
    <w:p>
      <w:pPr>
        <w:jc w:val="both"/>
        <w:ind w:firstLine="1304"/>
        <w:spacing w:after="0" w:line="247" w:lineRule="auto"/>
        <w:tabs>
          <w:tab w:leader="none" w:pos="1784" w:val="left"/>
        </w:tabs>
        <w:numPr>
          <w:ilvl w:val="0"/>
          <w:numId w:val="387"/>
        </w:numPr>
        <w:rPr>
          <w:rFonts w:ascii="Arial" w:cs="Arial" w:eastAsia="Arial" w:hAnsi="Arial"/>
          <w:sz w:val="19"/>
          <w:szCs w:val="19"/>
          <w:color w:val="auto"/>
        </w:rPr>
      </w:pPr>
      <w:r>
        <w:rPr>
          <w:rFonts w:ascii="Arial" w:cs="Arial" w:eastAsia="Arial" w:hAnsi="Arial"/>
          <w:sz w:val="19"/>
          <w:szCs w:val="19"/>
          <w:color w:val="auto"/>
        </w:rPr>
        <w:t xml:space="preserve">If the Borrower fails to deliver a timely Interest Election Request with respect to a </w:t>
      </w:r>
      <w:r>
        <w:rPr>
          <w:rFonts w:ascii="Arial" w:cs="Arial" w:eastAsia="Arial" w:hAnsi="Arial"/>
          <w:sz w:val="19"/>
          <w:szCs w:val="19"/>
          <w:color w:val="FF0000"/>
          <w:strike w:val="1"/>
        </w:rPr>
        <w:t>Eurocurrency Borrowing</w:t>
      </w:r>
      <w:r>
        <w:rPr>
          <w:rFonts w:ascii="Arial" w:cs="Arial" w:eastAsia="Arial" w:hAnsi="Arial"/>
          <w:sz w:val="19"/>
          <w:szCs w:val="19"/>
          <w:color w:val="auto"/>
        </w:rPr>
        <w:t xml:space="preserve"> </w:t>
      </w:r>
      <w:r>
        <w:rPr>
          <w:rFonts w:ascii="Arial" w:cs="Arial" w:eastAsia="Arial" w:hAnsi="Arial"/>
          <w:sz w:val="19"/>
          <w:szCs w:val="19"/>
          <w:color w:val="FF0000"/>
          <w:strike w:val="1"/>
        </w:rPr>
        <w:t>or</w:t>
      </w:r>
      <w:r>
        <w:rPr>
          <w:rFonts w:ascii="Arial" w:cs="Arial" w:eastAsia="Arial" w:hAnsi="Arial"/>
          <w:sz w:val="19"/>
          <w:szCs w:val="19"/>
          <w:color w:val="FF0000"/>
        </w:rPr>
        <w:t xml:space="preserve"> </w:t>
      </w:r>
      <w:r>
        <w:rPr>
          <w:rFonts w:ascii="Arial" w:cs="Arial" w:eastAsia="Arial" w:hAnsi="Arial"/>
          <w:sz w:val="19"/>
          <w:szCs w:val="19"/>
          <w:color w:val="000000"/>
        </w:rPr>
        <w:t>Term SOFR Borrowing prior to the end of the Interest Period applicable thereto, then, unless such Borrowing is repaid as</w:t>
      </w:r>
      <w:r>
        <w:rPr>
          <w:rFonts w:ascii="Arial" w:cs="Arial" w:eastAsia="Arial" w:hAnsi="Arial"/>
          <w:sz w:val="19"/>
          <w:szCs w:val="19"/>
          <w:color w:val="FF0000"/>
        </w:rPr>
        <w:t xml:space="preserve"> </w:t>
      </w:r>
      <w:r>
        <w:rPr>
          <w:rFonts w:ascii="Arial" w:cs="Arial" w:eastAsia="Arial" w:hAnsi="Arial"/>
          <w:sz w:val="19"/>
          <w:szCs w:val="19"/>
          <w:color w:val="000000"/>
        </w:rPr>
        <w:t xml:space="preserve">provided herein, at the end of such Interest Period, such Borrowing shall be converted to an ABR Borrowing. Notwithstanding any contrary provision hereof, if an Event of Default under </w:t>
      </w:r>
      <w:r>
        <w:rPr>
          <w:rFonts w:ascii="Arial" w:cs="Arial" w:eastAsia="Arial" w:hAnsi="Arial"/>
          <w:sz w:val="19"/>
          <w:szCs w:val="19"/>
          <w:u w:val="single" w:color="auto"/>
          <w:color w:val="000000"/>
        </w:rPr>
        <w:t>Section 7.01(a)</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7.01(b)</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7.01(h)</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7.01(i)</w:t>
      </w:r>
      <w:r>
        <w:rPr>
          <w:rFonts w:ascii="Arial" w:cs="Arial" w:eastAsia="Arial" w:hAnsi="Arial"/>
          <w:sz w:val="19"/>
          <w:szCs w:val="19"/>
          <w:color w:val="000000"/>
        </w:rPr>
        <w:t xml:space="preserve"> has occurred and is continuing and the Administrative Agent, at the request of the Required Lenders, so notify the Borrower, then, so long as such Event of Default is continuing, no outstanding Borrowing may be continued for an Interest Period of more than one month’s duration and no Borrowing may be requested as, converted to or continued as a </w:t>
      </w:r>
      <w:r>
        <w:rPr>
          <w:rFonts w:ascii="Arial" w:cs="Arial" w:eastAsia="Arial" w:hAnsi="Arial"/>
          <w:sz w:val="19"/>
          <w:szCs w:val="19"/>
          <w:color w:val="FF0000"/>
          <w:strike w:val="1"/>
        </w:rPr>
        <w:t>Eurocurrency Loan or</w:t>
      </w:r>
      <w:r>
        <w:rPr>
          <w:rFonts w:ascii="Arial" w:cs="Arial" w:eastAsia="Arial" w:hAnsi="Arial"/>
          <w:sz w:val="19"/>
          <w:szCs w:val="19"/>
          <w:color w:val="000000"/>
        </w:rPr>
        <w:t xml:space="preserve"> a Term SOFR Loan.</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2.08</w:t>
      </w:r>
      <w:r>
        <w:rPr>
          <w:sz w:val="20"/>
          <w:szCs w:val="20"/>
          <w:color w:val="auto"/>
        </w:rPr>
        <w:tab/>
      </w:r>
      <w:r>
        <w:rPr>
          <w:rFonts w:ascii="Arial" w:cs="Arial" w:eastAsia="Arial" w:hAnsi="Arial"/>
          <w:sz w:val="19"/>
          <w:szCs w:val="19"/>
          <w:u w:val="single" w:color="auto"/>
          <w:color w:val="auto"/>
        </w:rPr>
        <w:t>Termination and Reduction of Commitments</w:t>
      </w:r>
      <w:r>
        <w:rPr>
          <w:rFonts w:ascii="Arial" w:cs="Arial" w:eastAsia="Arial" w:hAnsi="Arial"/>
          <w:sz w:val="19"/>
          <w:szCs w:val="19"/>
          <w:color w:val="auto"/>
        </w:rPr>
        <w:t>.</w:t>
      </w:r>
    </w:p>
    <w:p>
      <w:pPr>
        <w:spacing w:after="0" w:line="179" w:lineRule="exact"/>
        <w:rPr>
          <w:sz w:val="20"/>
          <w:szCs w:val="20"/>
          <w:color w:val="auto"/>
        </w:rPr>
      </w:pPr>
    </w:p>
    <w:p>
      <w:pPr>
        <w:ind w:left="1860" w:hanging="556"/>
        <w:spacing w:after="0"/>
        <w:tabs>
          <w:tab w:leader="none" w:pos="1860" w:val="left"/>
        </w:tabs>
        <w:numPr>
          <w:ilvl w:val="0"/>
          <w:numId w:val="388"/>
        </w:numPr>
        <w:rPr>
          <w:rFonts w:ascii="Arial" w:cs="Arial" w:eastAsia="Arial" w:hAnsi="Arial"/>
          <w:sz w:val="19"/>
          <w:szCs w:val="19"/>
          <w:color w:val="auto"/>
        </w:rPr>
      </w:pPr>
      <w:r>
        <w:rPr>
          <w:rFonts w:ascii="Arial" w:cs="Arial" w:eastAsia="Arial" w:hAnsi="Arial"/>
          <w:sz w:val="19"/>
          <w:szCs w:val="19"/>
          <w:color w:val="auto"/>
        </w:rPr>
        <w:t>Unless previously terminated or extended, the Revolving Commitments shall terminate on the Revolving</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Termination Date.</w:t>
      </w:r>
    </w:p>
    <w:p>
      <w:pPr>
        <w:spacing w:after="0" w:line="161" w:lineRule="exact"/>
        <w:rPr>
          <w:rFonts w:ascii="Arial" w:cs="Arial" w:eastAsia="Arial" w:hAnsi="Arial"/>
          <w:sz w:val="19"/>
          <w:szCs w:val="19"/>
          <w:color w:val="auto"/>
        </w:rPr>
      </w:pPr>
    </w:p>
    <w:p>
      <w:pPr>
        <w:jc w:val="both"/>
        <w:ind w:firstLine="1304"/>
        <w:spacing w:after="0" w:line="221" w:lineRule="auto"/>
        <w:tabs>
          <w:tab w:leader="none" w:pos="1862" w:val="left"/>
        </w:tabs>
        <w:numPr>
          <w:ilvl w:val="0"/>
          <w:numId w:val="388"/>
        </w:numPr>
        <w:rPr>
          <w:rFonts w:ascii="Arial" w:cs="Arial" w:eastAsia="Arial" w:hAnsi="Arial"/>
          <w:sz w:val="21"/>
          <w:szCs w:val="21"/>
          <w:color w:val="auto"/>
        </w:rPr>
      </w:pPr>
      <w:r>
        <w:rPr>
          <w:rFonts w:ascii="Arial" w:cs="Arial" w:eastAsia="Arial" w:hAnsi="Arial"/>
          <w:sz w:val="21"/>
          <w:szCs w:val="21"/>
          <w:color w:val="auto"/>
        </w:rPr>
        <w:t xml:space="preserve">The Borrower may at any time, without premium or penalty, terminate, or from time to time reduce, the Commitments of any Class,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each reduction of the Commitments of any Class shall be in an amount that is an integral multiple of $500,000 and not less than $1,000,000 and (ii) the Borrower shall not terminate or reduce any Class of Revolving Commitments to the extent that, after giving effect to any concurrent prepayment of the Revolving Loans of such Class in accordance with </w:t>
      </w:r>
      <w:r>
        <w:rPr>
          <w:rFonts w:ascii="Arial" w:cs="Arial" w:eastAsia="Arial" w:hAnsi="Arial"/>
          <w:sz w:val="21"/>
          <w:szCs w:val="21"/>
          <w:u w:val="single" w:color="auto"/>
          <w:color w:val="auto"/>
        </w:rPr>
        <w:t>Section 2.11</w:t>
      </w:r>
      <w:r>
        <w:rPr>
          <w:rFonts w:ascii="Arial" w:cs="Arial" w:eastAsia="Arial" w:hAnsi="Arial"/>
          <w:sz w:val="21"/>
          <w:szCs w:val="21"/>
          <w:color w:val="auto"/>
        </w:rPr>
        <w:t>, the aggregate Revolving Exposure (calculated using the Exchange Rate in effect as of the date of the proposed termination or reduction) of such Class (excluding the portion of the Revolving Exposure attributable to outstanding Letters of Credit if and to the extent that the Borrower has Cash Collateralized such Letters of Credit or made other arrangements satisfactory to the applicable Issuing Bank with respect to such Letters of Credit) would exceed the aggregate Revolving Commitments of such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84" w:name="page385"/>
    <w:bookmarkEnd w:id="384"/>
    <w:p>
      <w:pPr>
        <w:jc w:val="both"/>
        <w:ind w:firstLine="1304"/>
        <w:spacing w:after="0" w:line="219" w:lineRule="auto"/>
        <w:tabs>
          <w:tab w:leader="none" w:pos="1776" w:val="left"/>
        </w:tabs>
        <w:numPr>
          <w:ilvl w:val="0"/>
          <w:numId w:val="389"/>
        </w:numPr>
        <w:rPr>
          <w:rFonts w:ascii="Arial" w:cs="Arial" w:eastAsia="Arial" w:hAnsi="Arial"/>
          <w:sz w:val="21"/>
          <w:szCs w:val="21"/>
          <w:color w:val="auto"/>
        </w:rPr>
      </w:pPr>
      <w:r>
        <w:rPr>
          <w:rFonts w:ascii="Arial" w:cs="Arial" w:eastAsia="Arial" w:hAnsi="Arial"/>
          <w:sz w:val="21"/>
          <w:szCs w:val="21"/>
          <w:color w:val="auto"/>
        </w:rPr>
        <w:t xml:space="preserve">The Borrower shall notify the Administrative Agent of any election to terminate or reduce the Commitments under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of this Section at least one Business Day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notice of termination of the Commitments of any Class delivered by the Borrower may state that such notice is conditioned upon the consummation of an acquisition or sale transaction or upon the effectiveness of other credit facilities or the receipt of proceeds from the issuance of other Indebtedness or any other specified event, in which case such notice may be revoked by the Borrower (by notice to the Administrative Agent on or prior to the specified effective date)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68" w:lineRule="exact"/>
        <w:rPr>
          <w:rFonts w:ascii="Arial" w:cs="Arial" w:eastAsia="Arial" w:hAnsi="Arial"/>
          <w:sz w:val="21"/>
          <w:szCs w:val="21"/>
          <w:color w:val="auto"/>
        </w:rPr>
      </w:pPr>
    </w:p>
    <w:p>
      <w:pPr>
        <w:jc w:val="both"/>
        <w:ind w:firstLine="1304"/>
        <w:spacing w:after="0" w:line="247" w:lineRule="auto"/>
        <w:tabs>
          <w:tab w:leader="none" w:pos="1838" w:val="left"/>
        </w:tabs>
        <w:numPr>
          <w:ilvl w:val="0"/>
          <w:numId w:val="389"/>
        </w:numPr>
        <w:rPr>
          <w:rFonts w:ascii="Arial" w:cs="Arial" w:eastAsia="Arial" w:hAnsi="Arial"/>
          <w:sz w:val="19"/>
          <w:szCs w:val="19"/>
          <w:color w:val="auto"/>
        </w:rPr>
      </w:pPr>
      <w:r>
        <w:rPr>
          <w:rFonts w:ascii="Arial" w:cs="Arial" w:eastAsia="Arial" w:hAnsi="Arial"/>
          <w:sz w:val="19"/>
          <w:szCs w:val="19"/>
          <w:color w:val="auto"/>
        </w:rPr>
        <w:t xml:space="preserve">The Borrower, in its sole discretion, shall have the right, but not the obligation, at any time so long as no Event of Default has occurred and is continuing, upon at least one Business Days’ notice to a Defaulting Lender (with a copy to the Administrative Agent), to terminate in whole such Defaulting Lender’s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such termination, the aggregate Revolving Exposure of all Revolving Lenders does not exceed the aggregate Revolving Commitments. Such termination shall be effective with respect to such Defaulting Lender’s unused portion of its Commitment on the date set forth in such notice. No termination of the Commitment of a Defaulting Lender shall be deemed a waiver or release of any claim the Borrower, the Administrative Agent, an Issuing Bank or any Lender may have against the Defaulting Lender.</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2.09</w:t>
      </w:r>
      <w:r>
        <w:rPr>
          <w:sz w:val="20"/>
          <w:szCs w:val="20"/>
          <w:color w:val="auto"/>
        </w:rPr>
        <w:tab/>
      </w:r>
      <w:r>
        <w:rPr>
          <w:rFonts w:ascii="Arial" w:cs="Arial" w:eastAsia="Arial" w:hAnsi="Arial"/>
          <w:sz w:val="19"/>
          <w:szCs w:val="19"/>
          <w:u w:val="single" w:color="auto"/>
          <w:color w:val="auto"/>
        </w:rPr>
        <w:t>Repayment of Loans; Evidence of Debt</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1" w:lineRule="auto"/>
        <w:tabs>
          <w:tab w:leader="none" w:pos="1872" w:val="left"/>
        </w:tabs>
        <w:numPr>
          <w:ilvl w:val="0"/>
          <w:numId w:val="390"/>
        </w:numPr>
        <w:rPr>
          <w:rFonts w:ascii="Arial" w:cs="Arial" w:eastAsia="Arial" w:hAnsi="Arial"/>
          <w:sz w:val="22"/>
          <w:szCs w:val="22"/>
          <w:color w:val="auto"/>
        </w:rPr>
      </w:pPr>
      <w:r>
        <w:rPr>
          <w:rFonts w:ascii="Arial" w:cs="Arial" w:eastAsia="Arial" w:hAnsi="Arial"/>
          <w:sz w:val="22"/>
          <w:szCs w:val="22"/>
          <w:color w:val="auto"/>
        </w:rPr>
        <w:t xml:space="preserve">The Borrower unconditionally promises to pay jointly and severally to the Administrative Agent for the account of each Term Lender the then unpaid principal amount of each Term Loan of such Term Lender as provided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2.10</w:t>
      </w:r>
      <w:r>
        <w:rPr>
          <w:rFonts w:ascii="Arial" w:cs="Arial" w:eastAsia="Arial" w:hAnsi="Arial"/>
          <w:sz w:val="22"/>
          <w:szCs w:val="22"/>
          <w:color w:val="auto"/>
        </w:rPr>
        <w:t xml:space="preserve">. The Borrower unconditionally promises to pay jointly and severally to the Administrative Agent for the account of each Revolving Lender the then unpaid principal amount of each Revolving Loan of such Revolving Lender made to the Borrower on the Revolving Termination Date. The Borrower hereby unconditionally promises to pay to the Swingline Lender the then unpaid principal amount of each Swingline Loan on the earlier of the Revolving Termination Date and the first date after such Swingline Loan is made that is the 15th or last day of a calendar month and is at least two (2) Business Days after such Swingline Loan is made;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on each date that a Revolving Borrowing is made, the Borrower shall repay all Swingline Loans then outstanding.</w:t>
      </w:r>
    </w:p>
    <w:p>
      <w:pPr>
        <w:spacing w:after="0" w:line="158" w:lineRule="exact"/>
        <w:rPr>
          <w:rFonts w:ascii="Arial" w:cs="Arial" w:eastAsia="Arial" w:hAnsi="Arial"/>
          <w:sz w:val="22"/>
          <w:szCs w:val="22"/>
          <w:color w:val="auto"/>
        </w:rPr>
      </w:pPr>
    </w:p>
    <w:p>
      <w:pPr>
        <w:jc w:val="both"/>
        <w:ind w:firstLine="1304"/>
        <w:spacing w:after="0" w:line="234" w:lineRule="auto"/>
        <w:tabs>
          <w:tab w:leader="none" w:pos="1882" w:val="left"/>
        </w:tabs>
        <w:numPr>
          <w:ilvl w:val="0"/>
          <w:numId w:val="390"/>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the indebtedness of the Borrower to such Lender resulting from each Loan made by such Lender to the Borrower, including the amounts of principal and interest payable and paid to such Lender from time to time hereunder.</w:t>
      </w:r>
    </w:p>
    <w:p>
      <w:pPr>
        <w:spacing w:after="0" w:line="157" w:lineRule="exact"/>
        <w:rPr>
          <w:rFonts w:ascii="Arial" w:cs="Arial" w:eastAsia="Arial" w:hAnsi="Arial"/>
          <w:sz w:val="21"/>
          <w:szCs w:val="21"/>
          <w:color w:val="auto"/>
        </w:rPr>
      </w:pPr>
    </w:p>
    <w:p>
      <w:pPr>
        <w:jc w:val="both"/>
        <w:ind w:firstLine="1304"/>
        <w:spacing w:after="0" w:line="216" w:lineRule="auto"/>
        <w:tabs>
          <w:tab w:leader="none" w:pos="1776" w:val="left"/>
        </w:tabs>
        <w:numPr>
          <w:ilvl w:val="0"/>
          <w:numId w:val="390"/>
        </w:numPr>
        <w:rPr>
          <w:rFonts w:ascii="Arial" w:cs="Arial" w:eastAsia="Arial" w:hAnsi="Arial"/>
          <w:sz w:val="22"/>
          <w:szCs w:val="22"/>
          <w:color w:val="auto"/>
        </w:rPr>
      </w:pPr>
      <w:r>
        <w:rPr>
          <w:rFonts w:ascii="Arial" w:cs="Arial" w:eastAsia="Arial" w:hAnsi="Arial"/>
          <w:sz w:val="22"/>
          <w:szCs w:val="22"/>
          <w:color w:val="auto"/>
        </w:rPr>
        <w:t>The Administrative Agent shall maintain accounts in which it shall record (i) the amount of each Loan made hereunder to the Borrower,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from the Borrower for the account of the Lenders and each Lender’s share thereof.</w:t>
      </w:r>
    </w:p>
    <w:p>
      <w:pPr>
        <w:spacing w:after="0" w:line="157" w:lineRule="exact"/>
        <w:rPr>
          <w:rFonts w:ascii="Arial" w:cs="Arial" w:eastAsia="Arial" w:hAnsi="Arial"/>
          <w:sz w:val="22"/>
          <w:szCs w:val="22"/>
          <w:color w:val="auto"/>
        </w:rPr>
      </w:pPr>
    </w:p>
    <w:p>
      <w:pPr>
        <w:ind w:firstLine="1304"/>
        <w:spacing w:after="0" w:line="232" w:lineRule="auto"/>
        <w:tabs>
          <w:tab w:leader="none" w:pos="1812" w:val="left"/>
        </w:tabs>
        <w:numPr>
          <w:ilvl w:val="0"/>
          <w:numId w:val="390"/>
        </w:numPr>
        <w:rPr>
          <w:rFonts w:ascii="Arial" w:cs="Arial" w:eastAsia="Arial" w:hAnsi="Arial"/>
          <w:sz w:val="22"/>
          <w:szCs w:val="22"/>
          <w:color w:val="auto"/>
        </w:rPr>
      </w:pPr>
      <w:r>
        <w:rPr>
          <w:rFonts w:ascii="Arial" w:cs="Arial" w:eastAsia="Arial" w:hAnsi="Arial"/>
          <w:sz w:val="22"/>
          <w:szCs w:val="22"/>
          <w:color w:val="auto"/>
        </w:rPr>
        <w:t xml:space="preserve">The entries made in the accounts maintained pursuant to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of this Section shall be </w:t>
      </w:r>
      <w:r>
        <w:rPr>
          <w:rFonts w:ascii="Arial" w:cs="Arial" w:eastAsia="Arial" w:hAnsi="Arial"/>
          <w:sz w:val="22"/>
          <w:szCs w:val="22"/>
          <w:u w:val="single" w:color="auto"/>
          <w:color w:val="auto"/>
        </w:rPr>
        <w:t>prima</w:t>
      </w:r>
      <w:r>
        <w:rPr>
          <w:rFonts w:ascii="Arial" w:cs="Arial" w:eastAsia="Arial" w:hAnsi="Arial"/>
          <w:sz w:val="22"/>
          <w:szCs w:val="22"/>
          <w:color w:val="auto"/>
        </w:rPr>
        <w:t xml:space="preserve"> </w:t>
      </w:r>
      <w:r>
        <w:rPr>
          <w:rFonts w:ascii="Arial" w:cs="Arial" w:eastAsia="Arial" w:hAnsi="Arial"/>
          <w:sz w:val="22"/>
          <w:szCs w:val="22"/>
          <w:u w:val="single" w:color="auto"/>
          <w:color w:val="auto"/>
        </w:rPr>
        <w:t>facie</w:t>
      </w:r>
      <w:r>
        <w:rPr>
          <w:rFonts w:ascii="Arial" w:cs="Arial" w:eastAsia="Arial" w:hAnsi="Arial"/>
          <w:sz w:val="22"/>
          <w:szCs w:val="22"/>
          <w:color w:val="auto"/>
        </w:rPr>
        <w:t xml:space="preserve"> evidence of the existence and amounts of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85" w:name="page386"/>
    <w:bookmarkEnd w:id="385"/>
    <w:p>
      <w:pPr>
        <w:jc w:val="both"/>
        <w:spacing w:after="0" w:line="223" w:lineRule="auto"/>
        <w:rPr>
          <w:sz w:val="20"/>
          <w:szCs w:val="20"/>
          <w:color w:val="auto"/>
        </w:rPr>
      </w:pPr>
      <w:r>
        <w:rPr>
          <w:rFonts w:ascii="Arial" w:cs="Arial" w:eastAsia="Arial" w:hAnsi="Arial"/>
          <w:sz w:val="22"/>
          <w:szCs w:val="22"/>
          <w:color w:val="auto"/>
        </w:rPr>
        <w:t xml:space="preserve">recorded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any Lender or the Administrative Agent to maintain such accounts or any error therein shall not in any manner affect the obligation of the Borrower to repay the Loans and pay interest thereon in accordance with the terms of this Agreement.</w:t>
      </w:r>
    </w:p>
    <w:p>
      <w:pPr>
        <w:spacing w:after="0" w:line="159" w:lineRule="exact"/>
        <w:rPr>
          <w:sz w:val="20"/>
          <w:szCs w:val="20"/>
          <w:color w:val="auto"/>
        </w:rPr>
      </w:pPr>
    </w:p>
    <w:p>
      <w:pPr>
        <w:jc w:val="both"/>
        <w:ind w:firstLine="1304"/>
        <w:spacing w:after="0" w:line="243" w:lineRule="auto"/>
        <w:tabs>
          <w:tab w:leader="none" w:pos="1838" w:val="left"/>
        </w:tabs>
        <w:numPr>
          <w:ilvl w:val="0"/>
          <w:numId w:val="391"/>
        </w:numPr>
        <w:rPr>
          <w:rFonts w:ascii="Arial" w:cs="Arial" w:eastAsia="Arial" w:hAnsi="Arial"/>
          <w:sz w:val="19"/>
          <w:szCs w:val="19"/>
          <w:color w:val="auto"/>
        </w:rPr>
      </w:pPr>
      <w:r>
        <w:rPr>
          <w:rFonts w:ascii="Arial" w:cs="Arial" w:eastAsia="Arial" w:hAnsi="Arial"/>
          <w:sz w:val="19"/>
          <w:szCs w:val="19"/>
          <w:color w:val="auto"/>
        </w:rPr>
        <w:t xml:space="preserve">Any Lender may request that Loans of any Class made by it be evidenced by a promissory note. In such event, the Borrower shall promptly prepare, execute and deliver to such Lender a promissory note payable to such Lender and its registered assigns and substantially in the form of the applicable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set forth in </w:t>
      </w:r>
      <w:r>
        <w:rPr>
          <w:rFonts w:ascii="Arial" w:cs="Arial" w:eastAsia="Arial" w:hAnsi="Arial"/>
          <w:sz w:val="19"/>
          <w:szCs w:val="19"/>
          <w:u w:val="single" w:color="auto"/>
          <w:color w:val="auto"/>
        </w:rPr>
        <w:t>Section 4.01(a)(ii)</w:t>
      </w:r>
    </w:p>
    <w:p>
      <w:pPr>
        <w:spacing w:after="0" w:line="2" w:lineRule="exact"/>
        <w:rPr>
          <w:rFonts w:ascii="Arial" w:cs="Arial" w:eastAsia="Arial" w:hAnsi="Arial"/>
          <w:sz w:val="19"/>
          <w:szCs w:val="19"/>
          <w:color w:val="auto"/>
        </w:rPr>
      </w:pPr>
    </w:p>
    <w:p>
      <w:pPr>
        <w:jc w:val="both"/>
        <w:spacing w:after="0" w:line="214" w:lineRule="auto"/>
        <w:rPr>
          <w:rFonts w:ascii="Arial" w:cs="Arial" w:eastAsia="Arial" w:hAnsi="Arial"/>
          <w:sz w:val="19"/>
          <w:szCs w:val="19"/>
          <w:color w:val="auto"/>
        </w:rPr>
      </w:pPr>
      <w:r>
        <w:rPr>
          <w:rFonts w:ascii="Arial" w:cs="Arial" w:eastAsia="Arial" w:hAnsi="Arial"/>
          <w:sz w:val="22"/>
          <w:szCs w:val="22"/>
          <w:u w:val="single" w:color="auto"/>
          <w:color w:val="auto"/>
        </w:rPr>
        <w:t>(D)</w:t>
      </w:r>
      <w:r>
        <w:rPr>
          <w:rFonts w:ascii="Arial" w:cs="Arial" w:eastAsia="Arial" w:hAnsi="Arial"/>
          <w:sz w:val="22"/>
          <w:szCs w:val="22"/>
          <w:color w:val="auto"/>
        </w:rPr>
        <w:t xml:space="preserve">, the delivery of any such note shall not be a condition precedent to the Closing Date or any Acquisition or Investment. Thereafter, the Loans evidenced by such promissory note and interest thereon shall at all times (including after assignment pursuant to </w:t>
      </w:r>
      <w:r>
        <w:rPr>
          <w:rFonts w:ascii="Arial" w:cs="Arial" w:eastAsia="Arial" w:hAnsi="Arial"/>
          <w:sz w:val="22"/>
          <w:szCs w:val="22"/>
          <w:u w:val="single" w:color="auto"/>
          <w:color w:val="auto"/>
        </w:rPr>
        <w:t>Section 9.04</w:t>
      </w:r>
      <w:r>
        <w:rPr>
          <w:rFonts w:ascii="Arial" w:cs="Arial" w:eastAsia="Arial" w:hAnsi="Arial"/>
          <w:sz w:val="22"/>
          <w:szCs w:val="22"/>
          <w:color w:val="auto"/>
        </w:rPr>
        <w:t>) be represented by one or more promissory notes in such form payable to such payee and its registered assigns (and ownership shall at all times be recorded in the Register).</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2.10</w:t>
      </w:r>
      <w:r>
        <w:rPr>
          <w:sz w:val="20"/>
          <w:szCs w:val="20"/>
          <w:color w:val="auto"/>
        </w:rPr>
        <w:tab/>
      </w:r>
      <w:r>
        <w:rPr>
          <w:rFonts w:ascii="Arial" w:cs="Arial" w:eastAsia="Arial" w:hAnsi="Arial"/>
          <w:sz w:val="19"/>
          <w:szCs w:val="19"/>
          <w:u w:val="single" w:color="auto"/>
          <w:color w:val="auto"/>
        </w:rPr>
        <w:t>Amortization of Term Loans</w:t>
      </w:r>
      <w:r>
        <w:rPr>
          <w:rFonts w:ascii="Arial" w:cs="Arial" w:eastAsia="Arial" w:hAnsi="Arial"/>
          <w:sz w:val="19"/>
          <w:szCs w:val="19"/>
          <w:color w:val="auto"/>
        </w:rPr>
        <w:t>.</w:t>
      </w:r>
    </w:p>
    <w:p>
      <w:pPr>
        <w:spacing w:after="0" w:line="17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 xml:space="preserve">Subject to adjustment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subject to </w:t>
      </w:r>
      <w:r>
        <w:rPr>
          <w:rFonts w:ascii="Arial" w:cs="Arial" w:eastAsia="Arial" w:hAnsi="Arial"/>
          <w:sz w:val="19"/>
          <w:szCs w:val="19"/>
          <w:u w:val="single" w:color="auto"/>
          <w:color w:val="auto"/>
        </w:rPr>
        <w:t>paragraph</w:t>
      </w:r>
      <w:r>
        <w:rPr>
          <w:rFonts w:ascii="Arial" w:cs="Arial" w:eastAsia="Arial" w:hAnsi="Arial"/>
          <w:sz w:val="19"/>
          <w:szCs w:val="19"/>
          <w:color w:val="auto"/>
        </w:rPr>
        <w:t xml:space="preserve"> (i) of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179" w:lineRule="exact"/>
        <w:rPr>
          <w:sz w:val="20"/>
          <w:szCs w:val="20"/>
          <w:color w:val="auto"/>
        </w:rPr>
      </w:pPr>
    </w:p>
    <w:p>
      <w:pPr>
        <w:jc w:val="both"/>
        <w:ind w:left="660" w:firstLine="644"/>
        <w:spacing w:after="0" w:line="218" w:lineRule="auto"/>
        <w:tabs>
          <w:tab w:leader="none" w:pos="1759" w:val="left"/>
        </w:tabs>
        <w:numPr>
          <w:ilvl w:val="0"/>
          <w:numId w:val="392"/>
        </w:numPr>
        <w:rPr>
          <w:rFonts w:ascii="Arial" w:cs="Arial" w:eastAsia="Arial" w:hAnsi="Arial"/>
          <w:sz w:val="22"/>
          <w:szCs w:val="22"/>
          <w:color w:val="auto"/>
        </w:rPr>
      </w:pPr>
      <w:r>
        <w:rPr>
          <w:rFonts w:ascii="Arial" w:cs="Arial" w:eastAsia="Arial" w:hAnsi="Arial"/>
          <w:sz w:val="22"/>
          <w:szCs w:val="22"/>
          <w:color w:val="auto"/>
        </w:rPr>
        <w:t>on and after the First Amendment Funding Date, the Borrower shall repay the Initial Term Loans (including, for the avoidance of doubt, the 2019 Incremental Term Loans) on the last Business Day of each fiscal quarter of the Borrower (commencing with the first fiscal quarter ended after the First Amendment Funding Date) in an aggregate principal amount equal to $1,757,307.56; and</w:t>
      </w:r>
    </w:p>
    <w:p>
      <w:pPr>
        <w:spacing w:after="0" w:line="160" w:lineRule="exact"/>
        <w:rPr>
          <w:rFonts w:ascii="Arial" w:cs="Arial" w:eastAsia="Arial" w:hAnsi="Arial"/>
          <w:sz w:val="22"/>
          <w:szCs w:val="22"/>
          <w:color w:val="auto"/>
        </w:rPr>
      </w:pPr>
    </w:p>
    <w:p>
      <w:pPr>
        <w:ind w:left="660" w:firstLine="644"/>
        <w:spacing w:after="0" w:line="232" w:lineRule="auto"/>
        <w:tabs>
          <w:tab w:leader="none" w:pos="1805" w:val="left"/>
        </w:tabs>
        <w:numPr>
          <w:ilvl w:val="0"/>
          <w:numId w:val="392"/>
        </w:numPr>
        <w:rPr>
          <w:rFonts w:ascii="Arial" w:cs="Arial" w:eastAsia="Arial" w:hAnsi="Arial"/>
          <w:sz w:val="22"/>
          <w:szCs w:val="22"/>
          <w:color w:val="auto"/>
        </w:rPr>
      </w:pPr>
      <w:r>
        <w:rPr>
          <w:rFonts w:ascii="Arial" w:cs="Arial" w:eastAsia="Arial" w:hAnsi="Arial"/>
          <w:sz w:val="22"/>
          <w:szCs w:val="22"/>
          <w:color w:val="auto"/>
        </w:rPr>
        <w:t>without limiting the foregoing, to the extent not previously paid, all Term Loans shall be due and payable on the applicable Term Loan Maturity Date.</w:t>
      </w:r>
    </w:p>
    <w:p>
      <w:pPr>
        <w:spacing w:after="0" w:line="159" w:lineRule="exact"/>
        <w:rPr>
          <w:sz w:val="20"/>
          <w:szCs w:val="20"/>
          <w:color w:val="auto"/>
        </w:rPr>
      </w:pPr>
    </w:p>
    <w:p>
      <w:pPr>
        <w:jc w:val="both"/>
        <w:ind w:firstLine="1304"/>
        <w:spacing w:after="0" w:line="247" w:lineRule="auto"/>
        <w:tabs>
          <w:tab w:leader="none" w:pos="1855" w:val="left"/>
        </w:tabs>
        <w:numPr>
          <w:ilvl w:val="0"/>
          <w:numId w:val="393"/>
        </w:numPr>
        <w:rPr>
          <w:rFonts w:ascii="Arial" w:cs="Arial" w:eastAsia="Arial" w:hAnsi="Arial"/>
          <w:sz w:val="19"/>
          <w:szCs w:val="19"/>
          <w:color w:val="auto"/>
        </w:rPr>
      </w:pPr>
      <w:r>
        <w:rPr>
          <w:rFonts w:ascii="Arial" w:cs="Arial" w:eastAsia="Arial" w:hAnsi="Arial"/>
          <w:sz w:val="19"/>
          <w:szCs w:val="19"/>
          <w:color w:val="auto"/>
        </w:rPr>
        <w:t xml:space="preserve">Any prepayment of a Term Loan Borrowing of any Class shall be applied (i) in the case of prepayments made pursuant to </w:t>
      </w:r>
      <w:r>
        <w:rPr>
          <w:rFonts w:ascii="Arial" w:cs="Arial" w:eastAsia="Arial" w:hAnsi="Arial"/>
          <w:sz w:val="19"/>
          <w:szCs w:val="19"/>
          <w:u w:val="single" w:color="auto"/>
          <w:color w:val="auto"/>
        </w:rPr>
        <w:t>Section 2.11(a)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to reduce the subsequent scheduled repayments of the Term Loan Borrowings of such Class to be made pursuant to this Section as directed by the Borrower, or as otherwise provided in any Extension Amendment, any Incremental Credit Facility Amendment or Refinancing Amendment, and (ii) in the case of prepayments made pursuant to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2.11(d)</w:t>
      </w:r>
      <w:r>
        <w:rPr>
          <w:rFonts w:ascii="Arial" w:cs="Arial" w:eastAsia="Arial" w:hAnsi="Arial"/>
          <w:sz w:val="19"/>
          <w:szCs w:val="19"/>
          <w:color w:val="auto"/>
        </w:rPr>
        <w:t>, to reduce the subsequent scheduled repayments of the Term Loan Borrowings of such Class to be made pursuant to this Section in direct order of maturity, or as otherwise provided in any Extension Amendment, any Incremental Credit Facility Amendment or Refinancing Amendment.</w:t>
      </w:r>
    </w:p>
    <w:p>
      <w:pPr>
        <w:spacing w:after="0" w:line="153" w:lineRule="exact"/>
        <w:rPr>
          <w:rFonts w:ascii="Arial" w:cs="Arial" w:eastAsia="Arial" w:hAnsi="Arial"/>
          <w:sz w:val="19"/>
          <w:szCs w:val="19"/>
          <w:color w:val="auto"/>
        </w:rPr>
      </w:pPr>
    </w:p>
    <w:p>
      <w:pPr>
        <w:jc w:val="both"/>
        <w:ind w:firstLine="1304"/>
        <w:spacing w:after="0" w:line="216" w:lineRule="auto"/>
        <w:tabs>
          <w:tab w:leader="none" w:pos="1792" w:val="left"/>
        </w:tabs>
        <w:numPr>
          <w:ilvl w:val="0"/>
          <w:numId w:val="393"/>
        </w:numPr>
        <w:rPr>
          <w:rFonts w:ascii="Arial" w:cs="Arial" w:eastAsia="Arial" w:hAnsi="Arial"/>
          <w:sz w:val="22"/>
          <w:szCs w:val="22"/>
          <w:color w:val="auto"/>
        </w:rPr>
      </w:pPr>
      <w:r>
        <w:rPr>
          <w:rFonts w:ascii="Arial" w:cs="Arial" w:eastAsia="Arial" w:hAnsi="Arial"/>
          <w:sz w:val="22"/>
          <w:szCs w:val="22"/>
          <w:color w:val="auto"/>
        </w:rPr>
        <w:t>Prior to any repayment of any Term Loan Borrowings of any Class hereunder, the Borrower shall select the Borrowing or Borrowings of the applicable Class to be repaid and shall notify the Administrative Agent by written notice of such election not later than 11:00 a.m., New York City time, on the third Business Day prior thereto. Each repayment of a Borrowing shall be applied ratably to the Loans included in the repaid Borrowing. Repayments of Term Loan Borrowings shall be accompanied by accrued interest on the amount repaid.</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2.11</w:t>
      </w:r>
      <w:r>
        <w:rPr>
          <w:sz w:val="20"/>
          <w:szCs w:val="20"/>
          <w:color w:val="auto"/>
        </w:rPr>
        <w:tab/>
      </w:r>
      <w:r>
        <w:rPr>
          <w:rFonts w:ascii="Arial" w:cs="Arial" w:eastAsia="Arial" w:hAnsi="Arial"/>
          <w:sz w:val="19"/>
          <w:szCs w:val="19"/>
          <w:u w:val="single" w:color="auto"/>
          <w:color w:val="auto"/>
        </w:rPr>
        <w:t>Prepayment of Loans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4" w:lineRule="auto"/>
        <w:tabs>
          <w:tab w:leader="none" w:pos="1754" w:val="left"/>
        </w:tabs>
        <w:numPr>
          <w:ilvl w:val="0"/>
          <w:numId w:val="394"/>
        </w:numPr>
        <w:rPr>
          <w:rFonts w:ascii="Arial" w:cs="Arial" w:eastAsia="Arial" w:hAnsi="Arial"/>
          <w:sz w:val="22"/>
          <w:szCs w:val="22"/>
          <w:color w:val="auto"/>
        </w:rPr>
      </w:pPr>
      <w:r>
        <w:rPr>
          <w:rFonts w:ascii="Arial" w:cs="Arial" w:eastAsia="Arial" w:hAnsi="Arial"/>
          <w:sz w:val="22"/>
          <w:szCs w:val="22"/>
          <w:color w:val="auto"/>
        </w:rPr>
        <w:t xml:space="preserve">The Borrower shall have the right at any time and from time to time, without premium or penalty (but subject to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and the following sentence), to prepay any Borrowing of any Class in whole or in part, as selected and designated by the Borrower, subject to the requirements of this Section. Each voluntary prepayment of any Loan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2.11(a)</w:t>
      </w:r>
      <w:r>
        <w:rPr>
          <w:rFonts w:ascii="Arial" w:cs="Arial" w:eastAsia="Arial" w:hAnsi="Arial"/>
          <w:sz w:val="22"/>
          <w:szCs w:val="22"/>
          <w:color w:val="auto"/>
        </w:rPr>
        <w:t xml:space="preserve"> and mandatory prepayment pursuant to </w:t>
      </w:r>
      <w:r>
        <w:rPr>
          <w:rFonts w:ascii="Arial" w:cs="Arial" w:eastAsia="Arial" w:hAnsi="Arial"/>
          <w:sz w:val="22"/>
          <w:szCs w:val="22"/>
          <w:u w:val="single" w:color="auto"/>
          <w:color w:val="auto"/>
        </w:rPr>
        <w:t>Section 2.11(e)</w:t>
      </w:r>
      <w:r>
        <w:rPr>
          <w:rFonts w:ascii="Arial" w:cs="Arial" w:eastAsia="Arial" w:hAnsi="Arial"/>
          <w:sz w:val="22"/>
          <w:szCs w:val="22"/>
          <w:color w:val="auto"/>
        </w:rPr>
        <w:t xml:space="preserve"> shall be made without premium or penalty except that, in the event that on or prior to the date that is six (6) months after the Closing Date, any such prepayment or repayment of Term Loans is made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86" w:name="page387"/>
    <w:bookmarkEnd w:id="386"/>
    <w:p>
      <w:pPr>
        <w:jc w:val="both"/>
        <w:spacing w:after="0" w:line="222" w:lineRule="auto"/>
        <w:rPr>
          <w:sz w:val="20"/>
          <w:szCs w:val="20"/>
          <w:color w:val="auto"/>
        </w:rPr>
      </w:pPr>
      <w:r>
        <w:rPr>
          <w:rFonts w:ascii="Arial" w:cs="Arial" w:eastAsia="Arial" w:hAnsi="Arial"/>
          <w:sz w:val="21"/>
          <w:szCs w:val="21"/>
          <w:color w:val="auto"/>
        </w:rPr>
        <w:t xml:space="preserve">result of a Repricing Transaction or any amendment to this Agreement to effectuate a Repricing Transaction, the Borrower shall pay to the Administrative Agent, for the ratable account of each of the applicable Term Lenders, including, for the avoidance of doubt, any Non-Consenting Lender, a prepayment premium in an amount equal to 1.00% of the amount of the Term Loans being so prepaid, repaid or refinanced or the aggregate amount of the applicable Term Loans outstanding immediately prior to such amendment and otherwise subject to the Repricing Transaction, as applicable. Any such voluntary prepayment shall be applied as specified in </w:t>
      </w:r>
      <w:r>
        <w:rPr>
          <w:rFonts w:ascii="Arial" w:cs="Arial" w:eastAsia="Arial" w:hAnsi="Arial"/>
          <w:sz w:val="21"/>
          <w:szCs w:val="21"/>
          <w:u w:val="single" w:color="auto"/>
          <w:color w:val="auto"/>
        </w:rPr>
        <w:t>Section 2.10(b)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2.11(k)</w:t>
      </w:r>
      <w:r>
        <w:rPr>
          <w:rFonts w:ascii="Arial" w:cs="Arial" w:eastAsia="Arial" w:hAnsi="Arial"/>
          <w:sz w:val="21"/>
          <w:szCs w:val="21"/>
          <w:color w:val="auto"/>
        </w:rPr>
        <w:t>. Such amounts shall be due and payable on the date of such prepayment, repayment or amendment.</w:t>
      </w:r>
    </w:p>
    <w:p>
      <w:pPr>
        <w:spacing w:after="0" w:line="164" w:lineRule="exact"/>
        <w:rPr>
          <w:sz w:val="20"/>
          <w:szCs w:val="20"/>
          <w:color w:val="auto"/>
        </w:rPr>
      </w:pPr>
    </w:p>
    <w:p>
      <w:pPr>
        <w:jc w:val="both"/>
        <w:ind w:firstLine="1304"/>
        <w:spacing w:after="0" w:line="249" w:lineRule="auto"/>
        <w:tabs>
          <w:tab w:leader="none" w:pos="1773" w:val="left"/>
        </w:tabs>
        <w:numPr>
          <w:ilvl w:val="1"/>
          <w:numId w:val="395"/>
        </w:numPr>
        <w:rPr>
          <w:rFonts w:ascii="Arial" w:cs="Arial" w:eastAsia="Arial" w:hAnsi="Arial"/>
          <w:sz w:val="19"/>
          <w:szCs w:val="19"/>
          <w:color w:val="auto"/>
        </w:rPr>
      </w:pPr>
      <w:r>
        <w:rPr>
          <w:rFonts w:ascii="Arial" w:cs="Arial" w:eastAsia="Arial" w:hAnsi="Arial"/>
          <w:sz w:val="19"/>
          <w:szCs w:val="19"/>
          <w:color w:val="auto"/>
        </w:rPr>
        <w:t xml:space="preserve">In the event and on such occasion that the aggregate Revolving Exposures exceed (A) 103% of the aggregate Revolving Commitments, solely as a result of currency fluctuations or (B) the aggregate Revolving Commitments (other than as a result of currency fluctuations), the Borrower shall prepay (no later than one (1) Business Day after written notice from the Administrative Agent to the Borrower) Revolving Loan Borrowings (or, if no such Borrowings are outstanding, deposit cash collateral in an account with the Administrative Agent pursuant to </w:t>
      </w:r>
      <w:r>
        <w:rPr>
          <w:rFonts w:ascii="Arial" w:cs="Arial" w:eastAsia="Arial" w:hAnsi="Arial"/>
          <w:sz w:val="19"/>
          <w:szCs w:val="19"/>
          <w:u w:val="single" w:color="auto"/>
          <w:color w:val="auto"/>
        </w:rPr>
        <w:t>Section 2.23</w:t>
      </w:r>
      <w:r>
        <w:rPr>
          <w:rFonts w:ascii="Arial" w:cs="Arial" w:eastAsia="Arial" w:hAnsi="Arial"/>
          <w:sz w:val="19"/>
          <w:szCs w:val="19"/>
          <w:color w:val="auto"/>
        </w:rPr>
        <w:t>) in an aggregate amount equal to the amount by which the aggregate Revolving Exposures exceed the aggregate Revolving Commitments.</w:t>
      </w:r>
    </w:p>
    <w:p>
      <w:pPr>
        <w:spacing w:after="0" w:line="151" w:lineRule="exact"/>
        <w:rPr>
          <w:rFonts w:ascii="Arial" w:cs="Arial" w:eastAsia="Arial" w:hAnsi="Arial"/>
          <w:sz w:val="19"/>
          <w:szCs w:val="19"/>
          <w:color w:val="auto"/>
        </w:rPr>
      </w:pPr>
    </w:p>
    <w:p>
      <w:pPr>
        <w:jc w:val="both"/>
        <w:ind w:firstLine="1304"/>
        <w:spacing w:after="0" w:line="239" w:lineRule="auto"/>
        <w:tabs>
          <w:tab w:leader="none" w:pos="1826" w:val="left"/>
        </w:tabs>
        <w:numPr>
          <w:ilvl w:val="1"/>
          <w:numId w:val="39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in the event and on each occasion that any Net Proceeds are received by or on behalf of any Holding Company or any Restricted Subsidiary in respect of any Prepayment Event referred to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definition thereof, the Borrower shall, within thirty (30) days after such Net Proceeds are received, prepay Term Loans on a pro rata basis (except, as to Term Loans made pursuant to an Incremental Credit Facility Amendment, Extension Amendment or a Refinancing Amendment, as otherwise set forth in such Incremental Credit Facility Amendment, Extension Amendment or a Refinancing Amendment or as to Replacement Term Loans), in each case in an aggregate amount equal to (i) 100% of the amount of such Net Proceeds if the First Lien Net Leverage Ratio as of the most recent Applicable Date of Determination is greater than 4.50 to 1.00, (ii) 50%, if the First Lien Net Leverage Ratio as of the most recent Applicable Date of Determination is less than or equal to 4.50 to 1.00 but greater than 4.25 to 1.00, (iii) 25%, if the First Lien Net Leverage Ratio as of the most recent Applicable Date of Determination is less than or equal to 4.25 to 1.00 but greater than 4.00 to 1.00, or</w:t>
      </w:r>
    </w:p>
    <w:p>
      <w:pPr>
        <w:spacing w:after="0" w:line="2" w:lineRule="exact"/>
        <w:rPr>
          <w:rFonts w:ascii="Arial" w:cs="Arial" w:eastAsia="Arial" w:hAnsi="Arial"/>
          <w:sz w:val="19"/>
          <w:szCs w:val="19"/>
          <w:color w:val="auto"/>
        </w:rPr>
      </w:pPr>
    </w:p>
    <w:p>
      <w:pPr>
        <w:jc w:val="both"/>
        <w:ind w:firstLine="8"/>
        <w:spacing w:after="0"/>
        <w:tabs>
          <w:tab w:leader="none" w:pos="372" w:val="left"/>
        </w:tabs>
        <w:numPr>
          <w:ilvl w:val="0"/>
          <w:numId w:val="396"/>
        </w:numPr>
        <w:rPr>
          <w:rFonts w:ascii="Arial" w:cs="Arial" w:eastAsia="Arial" w:hAnsi="Arial"/>
          <w:sz w:val="19"/>
          <w:szCs w:val="19"/>
          <w:color w:val="auto"/>
        </w:rPr>
      </w:pPr>
      <w:r>
        <w:rPr>
          <w:rFonts w:ascii="Arial" w:cs="Arial" w:eastAsia="Arial" w:hAnsi="Arial"/>
          <w:sz w:val="19"/>
          <w:szCs w:val="19"/>
          <w:color w:val="auto"/>
        </w:rPr>
        <w:t xml:space="preserve">0%, if the First Lien Net Leverage Ratio as of the most recent Applicable Date of Determination is less than or equal to 4.00 to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such event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definition of the term “Prepayment Event,” if any Holding Company or any Restricted Subsidiary applies (or commits pursuant to a binding contractual arrangement to apply) the Net Proceeds from such event (or a portion thereof) within eighteen (18) months after receipt of such Net Proceeds to reinvest such proceeds in the business, including in assets of the general type used or useful in the business of the Borrower and the Restricted Subsidiaries (including in connection with a Permitted Acquisition or other permitted Investment or Capital Expenditures), then no prepayment shall be required pursuant to this paragraph in respect of such Net Proceeds except to the extent of any such Net Proceeds therefrom that have not been so applied by the end of the eighteen-month (or, if committed to be so applied within eighteen (18) months of the receipt of such Net Proceeds, twenty four (24) month) period following receipt of such Net Proceeds, at the end of which period a prepayment shall be required in an amount equal to such Net Proceeds that have not been so applied;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with respect to any Prepayment Event referenced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definition thereof, the Borrower may use a portion of such Net Proceeds to prepay or repurchase Indebtedness secured by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Liens securing the Obligations (the “</w:t>
      </w:r>
      <w:r>
        <w:rPr>
          <w:rFonts w:ascii="Arial" w:cs="Arial" w:eastAsia="Arial" w:hAnsi="Arial"/>
          <w:sz w:val="19"/>
          <w:szCs w:val="19"/>
          <w:u w:val="single" w:color="auto"/>
          <w:color w:val="auto"/>
        </w:rPr>
        <w:t>Other Applicable Indebtedness</w:t>
      </w:r>
      <w:r>
        <w:rPr>
          <w:rFonts w:ascii="Arial" w:cs="Arial" w:eastAsia="Arial" w:hAnsi="Arial"/>
          <w:sz w:val="19"/>
          <w:szCs w:val="19"/>
          <w:color w:val="auto"/>
        </w:rPr>
        <w:t xml:space="preserve">”) to the extent required pursuant to the terms of the documentation governing such Other Applicable Indebtedness, in which case, the amount of prepayment required to be made with respect to such Net Proceeds pursuant to this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shall be deemed to be the amount equal to the product of (x) the amount of such Net Proceeds multiplied by (y) a fraction,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87" w:name="page388"/>
    <w:bookmarkEnd w:id="387"/>
    <w:p>
      <w:pPr>
        <w:jc w:val="both"/>
        <w:spacing w:after="0" w:line="212" w:lineRule="auto"/>
        <w:rPr>
          <w:sz w:val="20"/>
          <w:szCs w:val="20"/>
          <w:color w:val="auto"/>
        </w:rPr>
      </w:pPr>
      <w:r>
        <w:rPr>
          <w:rFonts w:ascii="Arial" w:cs="Arial" w:eastAsia="Arial" w:hAnsi="Arial"/>
          <w:sz w:val="22"/>
          <w:szCs w:val="22"/>
          <w:color w:val="auto"/>
        </w:rPr>
        <w:t xml:space="preserve">the numerator of which is the outstanding principal amount of Term Loans required to be prepaid pursuant to this </w:t>
      </w:r>
      <w:r>
        <w:rPr>
          <w:rFonts w:ascii="Arial" w:cs="Arial" w:eastAsia="Arial" w:hAnsi="Arial"/>
          <w:sz w:val="22"/>
          <w:szCs w:val="22"/>
          <w:u w:val="single" w:color="auto"/>
          <w:color w:val="auto"/>
        </w:rPr>
        <w:t>paragraph (c)</w:t>
      </w:r>
      <w:r>
        <w:rPr>
          <w:rFonts w:ascii="Arial" w:cs="Arial" w:eastAsia="Arial" w:hAnsi="Arial"/>
          <w:sz w:val="22"/>
          <w:szCs w:val="22"/>
          <w:color w:val="auto"/>
        </w:rPr>
        <w:t xml:space="preserve"> and the denominator of which is the sum of the outstanding principal amount of such Other Applicable Indebtedness required to be prepaid pursuant to the terms of the documents governing such Other Applicable Indebtedness and the outstanding principal amount of Term Loans required to be prepaid pursuant to this paragraph (for the avoidance of doubt, amounts described in this </w:t>
      </w:r>
      <w:r>
        <w:rPr>
          <w:rFonts w:ascii="Arial" w:cs="Arial" w:eastAsia="Arial" w:hAnsi="Arial"/>
          <w:sz w:val="22"/>
          <w:szCs w:val="22"/>
          <w:u w:val="single" w:color="auto"/>
          <w:color w:val="auto"/>
        </w:rPr>
        <w:t>clause (y)</w:t>
      </w:r>
      <w:r>
        <w:rPr>
          <w:rFonts w:ascii="Arial" w:cs="Arial" w:eastAsia="Arial" w:hAnsi="Arial"/>
          <w:sz w:val="22"/>
          <w:szCs w:val="22"/>
          <w:color w:val="auto"/>
        </w:rPr>
        <w:t xml:space="preserve"> in the calculation of such fraction shall be deemed to refer to then outstanding principal amount of such Indebtedness subject to such prepayment requirement, prior to giving effect to any reduction in the amount thereof as the result of such prepayment).</w:t>
      </w:r>
    </w:p>
    <w:p>
      <w:pPr>
        <w:spacing w:after="0" w:line="164" w:lineRule="exact"/>
        <w:rPr>
          <w:sz w:val="20"/>
          <w:szCs w:val="20"/>
          <w:color w:val="auto"/>
        </w:rPr>
      </w:pPr>
    </w:p>
    <w:p>
      <w:pPr>
        <w:jc w:val="both"/>
        <w:ind w:firstLine="1304"/>
        <w:spacing w:after="0" w:line="241" w:lineRule="auto"/>
        <w:tabs>
          <w:tab w:leader="none" w:pos="1943" w:val="left"/>
        </w:tabs>
        <w:numPr>
          <w:ilvl w:val="0"/>
          <w:numId w:val="39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following the end of each fiscal year of the Borrower, commencing with the fiscal year ending December 31, 2019, the Borrower shall prepay Term Loan Borrowings in an aggregate amount equal to the Required Percentage of Excess Cash Flow of the Borrower and its Restricted Subsidiaries for such fiscal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 shall be reduced by the aggregate principal amount of voluntary prepayments (other than prepayments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c),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Term Loans, voluntary prepayments of Other Applicable Indebtedness and Revolving Loans (to the extent of, in the case of Revolving Loans, a corresponding Revolving Commitment reduction) made during such fiscal year or following the end of such fiscal year but on or prior to the ECF Due Date (without duplication of amounts reducing the amount required to be prepaid in any other period, and except to the extent financed with long term Indebtedness (other than revolving indebtedness)), and no such prepayment shall be required if the amount that would be required to be repaid is less than or equal to $5,000,000 and then, only to the extent of the amount in excess of $5,000,000. Each prepayment pursuant to this paragraph shall be made not later than the fifth (5th) Business Day after the earlier of (x) the date on which financial statements are required to be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for the fiscal year with respect to which such prepayment is made and (y) the date such financial statements are actually delivered (such earlier date, the “</w:t>
      </w:r>
      <w:r>
        <w:rPr>
          <w:rFonts w:ascii="Arial" w:cs="Arial" w:eastAsia="Arial" w:hAnsi="Arial"/>
          <w:sz w:val="19"/>
          <w:szCs w:val="19"/>
          <w:u w:val="single" w:color="auto"/>
          <w:color w:val="auto"/>
        </w:rPr>
        <w:t>ECF Due Date</w:t>
      </w:r>
      <w:r>
        <w:rPr>
          <w:rFonts w:ascii="Arial" w:cs="Arial" w:eastAsia="Arial" w:hAnsi="Arial"/>
          <w:sz w:val="19"/>
          <w:szCs w:val="19"/>
          <w:color w:val="auto"/>
        </w:rPr>
        <w:t xml:space="preserve">”). All prepayments made pursuant to this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shall be applied solely to the outstanding Initial Term Loans (and any Incremental Term Loans, Extended Term Loans or Other Term Loans to the extent provided for in the applicable Incremental Credit Facility Amendment, Extension Amendment or Refinancing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Initial Term Loans receive not less than the pro rata portion of such prepayment unless otherwise agreed).</w:t>
      </w:r>
    </w:p>
    <w:p>
      <w:pPr>
        <w:spacing w:after="0" w:line="158" w:lineRule="exact"/>
        <w:rPr>
          <w:rFonts w:ascii="Arial" w:cs="Arial" w:eastAsia="Arial" w:hAnsi="Arial"/>
          <w:sz w:val="19"/>
          <w:szCs w:val="19"/>
          <w:color w:val="auto"/>
        </w:rPr>
      </w:pPr>
    </w:p>
    <w:p>
      <w:pPr>
        <w:jc w:val="both"/>
        <w:ind w:firstLine="1304"/>
        <w:spacing w:after="0" w:line="244" w:lineRule="auto"/>
        <w:tabs>
          <w:tab w:leader="none" w:pos="1771" w:val="left"/>
        </w:tabs>
        <w:numPr>
          <w:ilvl w:val="0"/>
          <w:numId w:val="397"/>
        </w:numPr>
        <w:rPr>
          <w:rFonts w:ascii="Arial" w:cs="Arial" w:eastAsia="Arial" w:hAnsi="Arial"/>
          <w:sz w:val="19"/>
          <w:szCs w:val="19"/>
          <w:color w:val="auto"/>
        </w:rPr>
      </w:pPr>
      <w:r>
        <w:rPr>
          <w:rFonts w:ascii="Arial" w:cs="Arial" w:eastAsia="Arial" w:hAnsi="Arial"/>
          <w:sz w:val="19"/>
          <w:szCs w:val="19"/>
          <w:color w:val="auto"/>
        </w:rPr>
        <w:t xml:space="preserve">In the event and on each occasion that any Net Proceeds are received by or on behalf of the Borrower or any Restricted Subsidiary in respect of any Prepayment Event referred to in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the definition thereof, the Borrower shall, on the same day as such incurrence or issuance of Indebtedness, prepay the principal amount of the corresponding Credit Agreement Refinanced Debt (in the case of Credit Agreement Refinancing Indebtedness) or each Class of Term Loans on a pro rata basis (in the case of any other Indebtedness giving rise to a Prepayment Event referred to in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the definition thereof), in each case in accordance with </w:t>
      </w:r>
      <w:r>
        <w:rPr>
          <w:rFonts w:ascii="Arial" w:cs="Arial" w:eastAsia="Arial" w:hAnsi="Arial"/>
          <w:sz w:val="19"/>
          <w:szCs w:val="19"/>
          <w:u w:val="single" w:color="auto"/>
          <w:color w:val="auto"/>
        </w:rPr>
        <w:t>Section 2.11(g)</w:t>
      </w:r>
      <w:r>
        <w:rPr>
          <w:rFonts w:ascii="Arial" w:cs="Arial" w:eastAsia="Arial" w:hAnsi="Arial"/>
          <w:sz w:val="19"/>
          <w:szCs w:val="19"/>
          <w:color w:val="auto"/>
        </w:rPr>
        <w:t xml:space="preserve"> and in an aggregate amount the Dollar Equivalent of which is equal to 100% of the Net Proceeds of such issuance or incurrence (which prepayment of principal shall be accompanied by payment of accrued and unpaid interest, premiums and fees and expenses associated with such principal amount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prepayment shall be subject to the second sentence of </w:t>
      </w:r>
      <w:r>
        <w:rPr>
          <w:rFonts w:ascii="Arial" w:cs="Arial" w:eastAsia="Arial" w:hAnsi="Arial"/>
          <w:sz w:val="19"/>
          <w:szCs w:val="19"/>
          <w:u w:val="single" w:color="auto"/>
          <w:color w:val="auto"/>
        </w:rPr>
        <w:t>Section 2.11(a)</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firstLine="1304"/>
        <w:spacing w:after="0" w:line="214" w:lineRule="auto"/>
        <w:tabs>
          <w:tab w:leader="none" w:pos="1830" w:val="left"/>
        </w:tabs>
        <w:numPr>
          <w:ilvl w:val="0"/>
          <w:numId w:val="397"/>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provisions of this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to the extent that any prepayment required by </w:t>
      </w:r>
      <w:r>
        <w:rPr>
          <w:rFonts w:ascii="Arial" w:cs="Arial" w:eastAsia="Arial" w:hAnsi="Arial"/>
          <w:sz w:val="22"/>
          <w:szCs w:val="22"/>
          <w:u w:val="single" w:color="auto"/>
          <w:color w:val="auto"/>
        </w:rPr>
        <w:t>Section 2.11(c)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2.11(d)</w:t>
      </w:r>
      <w:r>
        <w:rPr>
          <w:rFonts w:ascii="Arial" w:cs="Arial" w:eastAsia="Arial" w:hAnsi="Arial"/>
          <w:sz w:val="22"/>
          <w:szCs w:val="22"/>
          <w:color w:val="auto"/>
        </w:rPr>
        <w:t xml:space="preserve"> of any Foreign Subsidiary (i) would be prohibited or delayed by applicable local law, or (ii) the Borrower has determined in good faith that making all or a part of such prepayment would reasonably be expected to have an adverse tax cost consequence on the Borrower and its Restricted Subsidiaries (other than de minimis adverse tax consequences) as a result of moving cash to make such prepayment (which for the avoidance of doubt, includes, but is not limited to, any prepayment where by doing so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88" w:name="page389"/>
    <w:bookmarkEnd w:id="388"/>
    <w:p>
      <w:pPr>
        <w:jc w:val="both"/>
        <w:spacing w:after="0"/>
        <w:rPr>
          <w:sz w:val="20"/>
          <w:szCs w:val="20"/>
          <w:color w:val="auto"/>
        </w:rPr>
      </w:pPr>
      <w:r>
        <w:rPr>
          <w:rFonts w:ascii="Arial" w:cs="Arial" w:eastAsia="Arial" w:hAnsi="Arial"/>
          <w:sz w:val="19"/>
          <w:szCs w:val="19"/>
          <w:color w:val="auto"/>
        </w:rPr>
        <w:t xml:space="preserve">Borrower or any Restricted Subsidiary would incur a withholding tax), in each case the Net Proceeds or Excess Cash Flow so affected may be retained by the applicable Restricted Subsidiary, the portion of such Net Proceeds or Excess Cash Flow so affected will not be required, subject to this </w:t>
      </w:r>
      <w:r>
        <w:rPr>
          <w:rFonts w:ascii="Arial" w:cs="Arial" w:eastAsia="Arial" w:hAnsi="Arial"/>
          <w:sz w:val="19"/>
          <w:szCs w:val="19"/>
          <w:u w:val="single" w:color="auto"/>
          <w:color w:val="auto"/>
        </w:rPr>
        <w:t>Section 2.11(f)</w:t>
      </w:r>
      <w:r>
        <w:rPr>
          <w:rFonts w:ascii="Arial" w:cs="Arial" w:eastAsia="Arial" w:hAnsi="Arial"/>
          <w:sz w:val="19"/>
          <w:szCs w:val="19"/>
          <w:color w:val="auto"/>
        </w:rPr>
        <w:t xml:space="preserve">, to be applied to repay Term Loans at the times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2.11(d)</w:t>
      </w:r>
      <w:r>
        <w:rPr>
          <w:rFonts w:ascii="Arial" w:cs="Arial" w:eastAsia="Arial" w:hAnsi="Arial"/>
          <w:sz w:val="19"/>
          <w:szCs w:val="19"/>
          <w:color w:val="auto"/>
        </w:rPr>
        <w:t xml:space="preserve">, or the Borrower shall not be required to make a prepayment at the time provided in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and instead, such amounts may be retained and shall be available for working capital purposes of the Borrower and the Restricted Subsidiaries (the Borrower and its Restricted Subsidiaries hereby agreeing to use commercially reasonable efforts to otherwise cause the applicable Restricted Subsidiary, to within one year following the date on which the respective payment would otherwise have been required, to overcome or eliminate such restrictions and/or to minimize any such costs of prepayment, subject to the foregoing, to make the relevant prepayment), and if within one year following the date on which the respective payment would otherwise have been required, such repatriation of any of such affected Net Proceeds or Excess Cash Flow is permitted under the applicable local law or applicable organizational or constitutive impediment or other impediment or there are no such adverse tax consequences (other than de minimis tax consequences), such repatriation will be promptly effected and such repatriated Net Proceeds or Excess Cash Flow will be promptly (and in any event not later than three Business Days after such repatriation could be made) applied (net of additional taxes, costs and expenses payable or reserved against as a result thereof) (whether or not repatriation actually occurs) to the repayment of the Term Loans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to the extent provided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payments are not permitted and there are such adverse tax consequences (other than de minimis tax consequences) throughout such one year period such prepayment shall not be required;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within one year of a prepayment being not so required, such restrictions are removed, any relevant proceeds will at the end of the then current Interest Period be applied in prepayment in accordance with the terms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The non-application of any prepayment amounts as a consequence of the foregoing provisions will not, for the avoidance of doubt, constitute a Default or an Event of Default and such amounts shall be available for working capital purposes of the Borrower or any Restricted Subsidiary as long as not required to be repaid in accordance with this </w:t>
      </w:r>
      <w:r>
        <w:rPr>
          <w:rFonts w:ascii="Arial" w:cs="Arial" w:eastAsia="Arial" w:hAnsi="Arial"/>
          <w:sz w:val="19"/>
          <w:szCs w:val="19"/>
          <w:u w:val="single" w:color="auto"/>
          <w:color w:val="auto"/>
        </w:rPr>
        <w:t>Section 2.11(f)</w:t>
      </w:r>
      <w:r>
        <w:rPr>
          <w:rFonts w:ascii="Arial" w:cs="Arial" w:eastAsia="Arial" w:hAnsi="Arial"/>
          <w:sz w:val="19"/>
          <w:szCs w:val="19"/>
          <w:color w:val="auto"/>
        </w:rPr>
        <w:t>.</w:t>
      </w:r>
    </w:p>
    <w:p>
      <w:pPr>
        <w:spacing w:after="0" w:line="161" w:lineRule="exact"/>
        <w:rPr>
          <w:sz w:val="20"/>
          <w:szCs w:val="20"/>
          <w:color w:val="auto"/>
        </w:rPr>
      </w:pPr>
    </w:p>
    <w:p>
      <w:pPr>
        <w:jc w:val="both"/>
        <w:ind w:firstLine="1304"/>
        <w:spacing w:after="0" w:line="244" w:lineRule="auto"/>
        <w:tabs>
          <w:tab w:leader="none" w:pos="1880" w:val="left"/>
        </w:tabs>
        <w:numPr>
          <w:ilvl w:val="0"/>
          <w:numId w:val="398"/>
        </w:numPr>
        <w:rPr>
          <w:rFonts w:ascii="Arial" w:cs="Arial" w:eastAsia="Arial" w:hAnsi="Arial"/>
          <w:sz w:val="19"/>
          <w:szCs w:val="19"/>
          <w:color w:val="auto"/>
        </w:rPr>
      </w:pPr>
      <w:r>
        <w:rPr>
          <w:rFonts w:ascii="Arial" w:cs="Arial" w:eastAsia="Arial" w:hAnsi="Arial"/>
          <w:sz w:val="19"/>
          <w:szCs w:val="19"/>
          <w:color w:val="auto"/>
        </w:rPr>
        <w:t xml:space="preserve">In connection with any optional or mandatory prepayment of Borrowings hereunder the Borrower shall, subject to the provisions of this paragraph and </w:t>
      </w:r>
      <w:r>
        <w:rPr>
          <w:rFonts w:ascii="Arial" w:cs="Arial" w:eastAsia="Arial" w:hAnsi="Arial"/>
          <w:sz w:val="19"/>
          <w:szCs w:val="19"/>
          <w:u w:val="single" w:color="auto"/>
          <w:color w:val="auto"/>
        </w:rPr>
        <w:t>paragraph (k)</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select the Borrowing or Borrowings to be prepaid and shall specify such selection in the notice of such prepayment pursuant to </w:t>
      </w:r>
      <w:r>
        <w:rPr>
          <w:rFonts w:ascii="Arial" w:cs="Arial" w:eastAsia="Arial" w:hAnsi="Arial"/>
          <w:sz w:val="19"/>
          <w:szCs w:val="19"/>
          <w:u w:val="single" w:color="auto"/>
          <w:color w:val="auto"/>
        </w:rPr>
        <w:t>paragraph (h)</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The Administrative Agent will promptly notify each Term Lender holding the applicable Class of Term Loans of the contents of the Borrower’s prepayment notice and of such Lender’s pro rata share of the prepayment. Each such Term Lender may reject all (but not less than all) of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any mandatory prepayment (such declined amounts, the “</w:t>
      </w:r>
      <w:r>
        <w:rPr>
          <w:rFonts w:ascii="Arial" w:cs="Arial" w:eastAsia="Arial" w:hAnsi="Arial"/>
          <w:sz w:val="19"/>
          <w:szCs w:val="19"/>
          <w:u w:val="single" w:color="auto"/>
          <w:color w:val="auto"/>
        </w:rPr>
        <w:t>Declined Proceeds</w:t>
      </w:r>
      <w:r>
        <w:rPr>
          <w:rFonts w:ascii="Arial" w:cs="Arial" w:eastAsia="Arial" w:hAnsi="Arial"/>
          <w:sz w:val="19"/>
          <w:szCs w:val="19"/>
          <w:color w:val="auto"/>
        </w:rPr>
        <w:t xml:space="preserve">”) of Term Loans required to be made pursuant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by providing notice to the Administrative Agent, no later than 11:00 a.m., New York City time, one Business Day following receipt of such mandatory prepayment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no Lender may reject any prepayment made with the proceeds of Credit Agreement Refinancing Indebtedness. Any Declined Proceeds may be retained by the Borrower to the extent they constitute Retained Declined Proceeds.</w:t>
      </w:r>
    </w:p>
    <w:p>
      <w:pPr>
        <w:spacing w:after="0" w:line="154" w:lineRule="exact"/>
        <w:rPr>
          <w:rFonts w:ascii="Arial" w:cs="Arial" w:eastAsia="Arial" w:hAnsi="Arial"/>
          <w:sz w:val="19"/>
          <w:szCs w:val="19"/>
          <w:color w:val="auto"/>
        </w:rPr>
      </w:pPr>
    </w:p>
    <w:p>
      <w:pPr>
        <w:jc w:val="both"/>
        <w:ind w:firstLine="1304"/>
        <w:spacing w:after="0" w:line="249" w:lineRule="auto"/>
        <w:tabs>
          <w:tab w:leader="none" w:pos="1772" w:val="left"/>
        </w:tabs>
        <w:numPr>
          <w:ilvl w:val="0"/>
          <w:numId w:val="398"/>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(and, in the case of prepayment of a Swingline Loan, the Swingline Lender) by hand delivery, electronic communication (including Adobe pdf file) or facsimile of a written notice of any prepayment hereunder (i) in the case of prepayment of a </w:t>
      </w:r>
      <w:r>
        <w:rPr>
          <w:rFonts w:ascii="Arial" w:cs="Arial" w:eastAsia="Arial" w:hAnsi="Arial"/>
          <w:sz w:val="19"/>
          <w:szCs w:val="19"/>
          <w:color w:val="FF0000"/>
          <w:strike w:val="1"/>
        </w:rPr>
        <w:t>Eurocurrency Borrowing or</w:t>
      </w:r>
      <w:r>
        <w:rPr>
          <w:rFonts w:ascii="Arial" w:cs="Arial" w:eastAsia="Arial" w:hAnsi="Arial"/>
          <w:sz w:val="19"/>
          <w:szCs w:val="19"/>
          <w:color w:val="auto"/>
        </w:rPr>
        <w:t xml:space="preserve"> Term SOFR Borrowing, not later than 11:00 a.m., New York City time, three (3) Business Days before the date of prepayment, (ii) in the case of prepayment of an ABR Borrowing or any Borrowing of Daily SOFR Loans, not later than 11:00 a.m., New York City time, one Business Day before the date of prepayment or (iii) in the case of prepayment of a Swingline Loan, not later than 11:00 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89" w:name="page390"/>
    <w:bookmarkEnd w:id="389"/>
    <w:p>
      <w:pPr>
        <w:jc w:val="both"/>
        <w:spacing w:after="0" w:line="242" w:lineRule="auto"/>
        <w:rPr>
          <w:sz w:val="20"/>
          <w:szCs w:val="20"/>
          <w:color w:val="auto"/>
        </w:rPr>
      </w:pPr>
      <w:r>
        <w:rPr>
          <w:rFonts w:ascii="Arial" w:cs="Arial" w:eastAsia="Arial" w:hAnsi="Arial"/>
          <w:sz w:val="19"/>
          <w:szCs w:val="19"/>
          <w:color w:val="auto"/>
        </w:rPr>
        <w:t xml:space="preserve">New York City time, on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optional prepayment may state that such notice is conditional upon the consummation of an acquisition or sale transaction or upon the effectiveness of other credit facilities or the receipt of the proceeds from the issuance of other Indebtedness or the occurrence of any other specified event, in which case such notice of prepayment may be revoked by the Borrower (by notice to the Administrative Agent on or prior to the specified date) if such condition is not satisfied. Promptly following receipt of any such notice, the Administrative Agent shall advise the Lenders of the contents thereof. Except as otherwise provided herein, each partial prepayment of any Borrowing shall be in an amount that would be permitted in the case of an advance of a Borrowing of the same Type as provided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and any prepayment fees required by </w:t>
      </w:r>
      <w:r>
        <w:rPr>
          <w:rFonts w:ascii="Arial" w:cs="Arial" w:eastAsia="Arial" w:hAnsi="Arial"/>
          <w:sz w:val="19"/>
          <w:szCs w:val="19"/>
          <w:u w:val="single" w:color="auto"/>
          <w:color w:val="auto"/>
        </w:rPr>
        <w:t>Section 2.11(a)</w:t>
      </w:r>
      <w:r>
        <w:rPr>
          <w:rFonts w:ascii="Arial" w:cs="Arial" w:eastAsia="Arial" w:hAnsi="Arial"/>
          <w:sz w:val="19"/>
          <w:szCs w:val="19"/>
          <w:color w:val="auto"/>
        </w:rPr>
        <w:t>, to the extent applicable.</w:t>
      </w:r>
    </w:p>
    <w:p>
      <w:pPr>
        <w:spacing w:after="0" w:line="164" w:lineRule="exact"/>
        <w:rPr>
          <w:sz w:val="20"/>
          <w:szCs w:val="20"/>
          <w:color w:val="auto"/>
        </w:rPr>
      </w:pPr>
    </w:p>
    <w:p>
      <w:pPr>
        <w:jc w:val="both"/>
        <w:ind w:firstLine="1304"/>
        <w:spacing w:after="0" w:line="257" w:lineRule="auto"/>
        <w:tabs>
          <w:tab w:leader="none" w:pos="1744" w:val="left"/>
        </w:tabs>
        <w:numPr>
          <w:ilvl w:val="0"/>
          <w:numId w:val="399"/>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the Borrower or any of the Restricted Subsidiaries (in such case, the foregoing being herein referred to as the “</w:t>
      </w:r>
      <w:r>
        <w:rPr>
          <w:rFonts w:ascii="Arial" w:cs="Arial" w:eastAsia="Arial" w:hAnsi="Arial"/>
          <w:sz w:val="19"/>
          <w:szCs w:val="19"/>
          <w:u w:val="single" w:color="auto"/>
          <w:color w:val="auto"/>
        </w:rPr>
        <w:t>Auction Parties</w:t>
      </w:r>
      <w:r>
        <w:rPr>
          <w:rFonts w:ascii="Arial" w:cs="Arial" w:eastAsia="Arial" w:hAnsi="Arial"/>
          <w:sz w:val="19"/>
          <w:szCs w:val="19"/>
          <w:color w:val="auto"/>
        </w:rPr>
        <w:t>” and each, an “</w:t>
      </w:r>
      <w:r>
        <w:rPr>
          <w:rFonts w:ascii="Arial" w:cs="Arial" w:eastAsia="Arial" w:hAnsi="Arial"/>
          <w:sz w:val="19"/>
          <w:szCs w:val="19"/>
          <w:u w:val="single" w:color="auto"/>
          <w:color w:val="auto"/>
        </w:rPr>
        <w:t>Auction Party</w:t>
      </w:r>
      <w:r>
        <w:rPr>
          <w:rFonts w:ascii="Arial" w:cs="Arial" w:eastAsia="Arial" w:hAnsi="Arial"/>
          <w:sz w:val="19"/>
          <w:szCs w:val="19"/>
          <w:color w:val="auto"/>
        </w:rPr>
        <w:t>”) may repurchase outstanding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Default or Event of Default shall have occurred and be continuing at the time of and immediately after giving effect to the repurchase of such Term Loans) on the following basis:</w:t>
      </w:r>
    </w:p>
    <w:p>
      <w:pPr>
        <w:spacing w:after="0" w:line="144" w:lineRule="exact"/>
        <w:rPr>
          <w:rFonts w:ascii="Arial" w:cs="Arial" w:eastAsia="Arial" w:hAnsi="Arial"/>
          <w:sz w:val="19"/>
          <w:szCs w:val="19"/>
          <w:color w:val="auto"/>
        </w:rPr>
      </w:pPr>
    </w:p>
    <w:p>
      <w:pPr>
        <w:jc w:val="both"/>
        <w:ind w:left="1300" w:firstLine="652"/>
        <w:spacing w:after="0" w:line="257" w:lineRule="auto"/>
        <w:tabs>
          <w:tab w:leader="none" w:pos="2469" w:val="left"/>
        </w:tabs>
        <w:numPr>
          <w:ilvl w:val="1"/>
          <w:numId w:val="399"/>
        </w:numPr>
        <w:rPr>
          <w:rFonts w:ascii="Arial" w:cs="Arial" w:eastAsia="Arial" w:hAnsi="Arial"/>
          <w:sz w:val="19"/>
          <w:szCs w:val="19"/>
          <w:color w:val="auto"/>
        </w:rPr>
      </w:pPr>
      <w:r>
        <w:rPr>
          <w:rFonts w:ascii="Arial" w:cs="Arial" w:eastAsia="Arial" w:hAnsi="Arial"/>
          <w:sz w:val="19"/>
          <w:szCs w:val="19"/>
          <w:color w:val="auto"/>
        </w:rPr>
        <w:t>Such Auction Party may repurchase all or any portion of any Class of Term Loans (such Term Loans, “</w:t>
      </w:r>
      <w:r>
        <w:rPr>
          <w:rFonts w:ascii="Arial" w:cs="Arial" w:eastAsia="Arial" w:hAnsi="Arial"/>
          <w:sz w:val="19"/>
          <w:szCs w:val="19"/>
          <w:u w:val="single" w:color="auto"/>
          <w:color w:val="auto"/>
        </w:rPr>
        <w:t>Subject Loans</w:t>
      </w:r>
      <w:r>
        <w:rPr>
          <w:rFonts w:ascii="Arial" w:cs="Arial" w:eastAsia="Arial" w:hAnsi="Arial"/>
          <w:sz w:val="19"/>
          <w:szCs w:val="19"/>
          <w:color w:val="auto"/>
        </w:rPr>
        <w:t xml:space="preserve">”) pursuant to a Dutch Auction (or such other modified Dutch auction conducted pursuant to similar procedures as the Borrower and Administrative Agent may otherwise agree);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proceeds of Revolving Loans shall be used by any Auction Party to repurchase Term Loans pursuant to such Auction;</w:t>
      </w:r>
    </w:p>
    <w:p>
      <w:pPr>
        <w:spacing w:after="0" w:line="144" w:lineRule="exact"/>
        <w:rPr>
          <w:rFonts w:ascii="Arial" w:cs="Arial" w:eastAsia="Arial" w:hAnsi="Arial"/>
          <w:sz w:val="19"/>
          <w:szCs w:val="19"/>
          <w:color w:val="auto"/>
        </w:rPr>
      </w:pPr>
    </w:p>
    <w:p>
      <w:pPr>
        <w:jc w:val="both"/>
        <w:ind w:left="1300" w:firstLine="652"/>
        <w:spacing w:after="0" w:line="244" w:lineRule="auto"/>
        <w:tabs>
          <w:tab w:leader="none" w:pos="2586" w:val="left"/>
        </w:tabs>
        <w:numPr>
          <w:ilvl w:val="1"/>
          <w:numId w:val="399"/>
        </w:numPr>
        <w:rPr>
          <w:rFonts w:ascii="Arial" w:cs="Arial" w:eastAsia="Arial" w:hAnsi="Arial"/>
          <w:sz w:val="19"/>
          <w:szCs w:val="19"/>
          <w:color w:val="auto"/>
        </w:rPr>
      </w:pPr>
      <w:r>
        <w:rPr>
          <w:rFonts w:ascii="Arial" w:cs="Arial" w:eastAsia="Arial" w:hAnsi="Arial"/>
          <w:sz w:val="19"/>
          <w:szCs w:val="19"/>
          <w:color w:val="auto"/>
        </w:rPr>
        <w:t xml:space="preserve">Following repurchase by any Auction Party pursuant to this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the Term Loans so repurchased shall, without further action by any Person, be deemed cancelled for all purposes and no longer outstanding (and may not be resold by any Auction Party) for all purposes of this Agreement. In connection with any Term Loans repurchased and cancelled pursuant to this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the Administrative Agent is authorized to make appropriate entries in the Register to reflect any such cancellation. Any payment made by any Auction Party in connection with a repurchase permitted by this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shall not be subject to any of the pro rata payment or sharing requirements of this Agreement. Notwithstanding anything in this Agreement or any other Loan Documents to the contrary, failure by an Auction Party to make any payment to a Lender required by an agreement permitted by this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shall not constitute a Default or an Event of Default;</w:t>
      </w:r>
    </w:p>
    <w:p>
      <w:pPr>
        <w:spacing w:after="0" w:line="160" w:lineRule="exact"/>
        <w:rPr>
          <w:rFonts w:ascii="Arial" w:cs="Arial" w:eastAsia="Arial" w:hAnsi="Arial"/>
          <w:sz w:val="19"/>
          <w:szCs w:val="19"/>
          <w:color w:val="auto"/>
        </w:rPr>
      </w:pPr>
    </w:p>
    <w:p>
      <w:pPr>
        <w:ind w:left="2500" w:hanging="548"/>
        <w:spacing w:after="0"/>
        <w:tabs>
          <w:tab w:leader="none" w:pos="2500" w:val="left"/>
        </w:tabs>
        <w:numPr>
          <w:ilvl w:val="1"/>
          <w:numId w:val="399"/>
        </w:numPr>
        <w:rPr>
          <w:rFonts w:ascii="Arial" w:cs="Arial" w:eastAsia="Arial" w:hAnsi="Arial"/>
          <w:sz w:val="19"/>
          <w:szCs w:val="19"/>
          <w:color w:val="auto"/>
        </w:rPr>
      </w:pPr>
      <w:r>
        <w:rPr>
          <w:rFonts w:ascii="Arial" w:cs="Arial" w:eastAsia="Arial" w:hAnsi="Arial"/>
          <w:sz w:val="19"/>
          <w:szCs w:val="19"/>
          <w:color w:val="auto"/>
        </w:rPr>
        <w:t xml:space="preserve">Each Lender that sells its Term Loans pursuant to this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acknowledges and agrees that</w:t>
      </w:r>
    </w:p>
    <w:p>
      <w:pPr>
        <w:spacing w:after="0" w:line="15" w:lineRule="exact"/>
        <w:rPr>
          <w:rFonts w:ascii="Arial" w:cs="Arial" w:eastAsia="Arial" w:hAnsi="Arial"/>
          <w:sz w:val="19"/>
          <w:szCs w:val="19"/>
          <w:color w:val="auto"/>
        </w:rPr>
      </w:pPr>
    </w:p>
    <w:p>
      <w:pPr>
        <w:jc w:val="both"/>
        <w:ind w:left="1300" w:firstLine="4"/>
        <w:spacing w:after="0" w:line="211" w:lineRule="auto"/>
        <w:tabs>
          <w:tab w:leader="none" w:pos="1559" w:val="left"/>
        </w:tabs>
        <w:numPr>
          <w:ilvl w:val="0"/>
          <w:numId w:val="400"/>
        </w:numPr>
        <w:rPr>
          <w:rFonts w:ascii="Arial" w:cs="Arial" w:eastAsia="Arial" w:hAnsi="Arial"/>
          <w:sz w:val="22"/>
          <w:szCs w:val="22"/>
          <w:color w:val="auto"/>
        </w:rPr>
      </w:pPr>
      <w:r>
        <w:rPr>
          <w:rFonts w:ascii="Arial" w:cs="Arial" w:eastAsia="Arial" w:hAnsi="Arial"/>
          <w:sz w:val="22"/>
          <w:szCs w:val="22"/>
          <w:color w:val="auto"/>
        </w:rPr>
        <w:t>the Auction Parties may come into possession of additional information regarding the Loans or the Loan Parties at any time after a repurchase has been consummated pursuant to an Auction hereunder that was not known to such Lender or the Auction Parties at the time such repurchase was consummated and that, when taken together with information that was known to the Auction Parties at the time such repurchase was consummated, may be information that would have been material to such Lender’s decision to enter into an assignment of such Term Loans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90" w:name="page391"/>
    <w:bookmarkEnd w:id="390"/>
    <w:p>
      <w:pPr>
        <w:jc w:val="both"/>
        <w:ind w:left="1300"/>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Information</w:t>
      </w:r>
      <w:r>
        <w:rPr>
          <w:rFonts w:ascii="Arial" w:cs="Arial" w:eastAsia="Arial" w:hAnsi="Arial"/>
          <w:sz w:val="19"/>
          <w:szCs w:val="19"/>
          <w:color w:val="auto"/>
        </w:rPr>
        <w:t xml:space="preserve">”), (ii) such Lender will independently make its own analysis and determination to enter into an assignment of its Loans and to consummate the transactions contemplated by an Auction notwithstanding such Lender’s lack of knowledge of Excluded Information and (iii) none of the Auction Parties, the Investors or any of their respective Affiliates, or any other Person shall have any liability to such Lender with respect to the nondisclosure of the Excluded Information. Each Lender that tenders Loans pursuant to an Auction agrees to the foregoing provisions of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The Administrative Agent and the Lenders hereby consent to the Auctions and the other transactions contemplated by this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and hereby waive the requirements of any provision of this Agreement (including any pro rata payment requirements) (it being understood and acknowledged that purchases of the Loans by an Auction Party contemplated by this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shall not constitute Investments by such Auction Party) or any other Loan Document that may otherwise prohibit any Auction or any other transaction contemplated by this </w:t>
      </w:r>
      <w:r>
        <w:rPr>
          <w:rFonts w:ascii="Arial" w:cs="Arial" w:eastAsia="Arial" w:hAnsi="Arial"/>
          <w:sz w:val="19"/>
          <w:szCs w:val="19"/>
          <w:u w:val="single" w:color="auto"/>
          <w:color w:val="auto"/>
        </w:rPr>
        <w:t>Section 2.11(i)</w:t>
      </w:r>
      <w:r>
        <w:rPr>
          <w:rFonts w:ascii="Arial" w:cs="Arial" w:eastAsia="Arial" w:hAnsi="Arial"/>
          <w:sz w:val="19"/>
          <w:szCs w:val="19"/>
          <w:color w:val="auto"/>
        </w:rPr>
        <w:t>.</w:t>
      </w:r>
    </w:p>
    <w:p>
      <w:pPr>
        <w:spacing w:after="0" w:line="159" w:lineRule="exact"/>
        <w:rPr>
          <w:sz w:val="20"/>
          <w:szCs w:val="20"/>
          <w:color w:val="auto"/>
        </w:rPr>
      </w:pPr>
    </w:p>
    <w:p>
      <w:pPr>
        <w:jc w:val="both"/>
        <w:ind w:firstLine="1304"/>
        <w:spacing w:after="0" w:line="220" w:lineRule="auto"/>
        <w:tabs>
          <w:tab w:leader="none" w:pos="1801" w:val="left"/>
        </w:tabs>
        <w:numPr>
          <w:ilvl w:val="0"/>
          <w:numId w:val="401"/>
        </w:numPr>
        <w:rPr>
          <w:rFonts w:ascii="Arial" w:cs="Arial" w:eastAsia="Arial" w:hAnsi="Arial"/>
          <w:sz w:val="21"/>
          <w:szCs w:val="21"/>
          <w:color w:val="auto"/>
        </w:rPr>
      </w:pPr>
      <w:r>
        <w:rPr>
          <w:rFonts w:ascii="Arial" w:cs="Arial" w:eastAsia="Arial" w:hAnsi="Arial"/>
          <w:sz w:val="21"/>
          <w:szCs w:val="21"/>
          <w:color w:val="auto"/>
        </w:rPr>
        <w:t xml:space="preserve">Notwithstanding any of the other provisions of this </w:t>
      </w:r>
      <w:r>
        <w:rPr>
          <w:rFonts w:ascii="Arial" w:cs="Arial" w:eastAsia="Arial" w:hAnsi="Arial"/>
          <w:sz w:val="21"/>
          <w:szCs w:val="21"/>
          <w:u w:val="single" w:color="auto"/>
          <w:color w:val="auto"/>
        </w:rPr>
        <w:t>Section 2.11</w:t>
      </w:r>
      <w:r>
        <w:rPr>
          <w:rFonts w:ascii="Arial" w:cs="Arial" w:eastAsia="Arial" w:hAnsi="Arial"/>
          <w:sz w:val="21"/>
          <w:szCs w:val="21"/>
          <w:color w:val="auto"/>
        </w:rPr>
        <w:t xml:space="preserve">, if any prepayment of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Term</w:t>
      </w:r>
      <w:r>
        <w:rPr>
          <w:rFonts w:ascii="Arial" w:cs="Arial" w:eastAsia="Arial" w:hAnsi="Arial"/>
          <w:sz w:val="21"/>
          <w:szCs w:val="21"/>
          <w:color w:val="auto"/>
        </w:rPr>
        <w:t xml:space="preserve"> </w:t>
      </w:r>
      <w:r>
        <w:rPr>
          <w:rFonts w:ascii="Arial" w:cs="Arial" w:eastAsia="Arial" w:hAnsi="Arial"/>
          <w:sz w:val="21"/>
          <w:szCs w:val="21"/>
          <w:u w:val="single" w:color="auto"/>
          <w:color w:val="0000FF"/>
        </w:rPr>
        <w:t>SOFR</w:t>
      </w:r>
      <w:r>
        <w:rPr>
          <w:rFonts w:ascii="Arial" w:cs="Arial" w:eastAsia="Arial" w:hAnsi="Arial"/>
          <w:sz w:val="21"/>
          <w:szCs w:val="21"/>
          <w:color w:val="0000FF"/>
        </w:rPr>
        <w:t xml:space="preserve"> </w:t>
      </w:r>
      <w:r>
        <w:rPr>
          <w:rFonts w:ascii="Arial" w:cs="Arial" w:eastAsia="Arial" w:hAnsi="Arial"/>
          <w:sz w:val="21"/>
          <w:szCs w:val="21"/>
          <w:color w:val="000000"/>
        </w:rPr>
        <w:t>Loans is required to be made under this</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Section 2.11</w:t>
      </w:r>
      <w:r>
        <w:rPr>
          <w:rFonts w:ascii="Arial" w:cs="Arial" w:eastAsia="Arial" w:hAnsi="Arial"/>
          <w:sz w:val="21"/>
          <w:szCs w:val="21"/>
          <w:color w:val="0000FF"/>
        </w:rPr>
        <w:t xml:space="preserve"> </w:t>
      </w:r>
      <w:r>
        <w:rPr>
          <w:rFonts w:ascii="Arial" w:cs="Arial" w:eastAsia="Arial" w:hAnsi="Arial"/>
          <w:sz w:val="21"/>
          <w:szCs w:val="21"/>
          <w:color w:val="000000"/>
        </w:rPr>
        <w:t>prior to the last day of the Interest Period therefor, in lieu of making</w:t>
      </w:r>
      <w:r>
        <w:rPr>
          <w:rFonts w:ascii="Arial" w:cs="Arial" w:eastAsia="Arial" w:hAnsi="Arial"/>
          <w:sz w:val="21"/>
          <w:szCs w:val="21"/>
          <w:color w:val="0000FF"/>
        </w:rPr>
        <w:t xml:space="preserve"> </w:t>
      </w:r>
      <w:r>
        <w:rPr>
          <w:rFonts w:ascii="Arial" w:cs="Arial" w:eastAsia="Arial" w:hAnsi="Arial"/>
          <w:sz w:val="21"/>
          <w:szCs w:val="21"/>
          <w:color w:val="000000"/>
        </w:rPr>
        <w:t xml:space="preserve">any payment pursuant to this </w:t>
      </w:r>
      <w:r>
        <w:rPr>
          <w:rFonts w:ascii="Arial" w:cs="Arial" w:eastAsia="Arial" w:hAnsi="Arial"/>
          <w:sz w:val="21"/>
          <w:szCs w:val="21"/>
          <w:u w:val="single" w:color="auto"/>
          <w:color w:val="000000"/>
        </w:rPr>
        <w:t>Section 2.11</w:t>
      </w:r>
      <w:r>
        <w:rPr>
          <w:rFonts w:ascii="Arial" w:cs="Arial" w:eastAsia="Arial" w:hAnsi="Arial"/>
          <w:sz w:val="21"/>
          <w:szCs w:val="21"/>
          <w:color w:val="000000"/>
        </w:rPr>
        <w:t xml:space="preserve"> in respect of any such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Term SOFR</w:t>
      </w:r>
      <w:r>
        <w:rPr>
          <w:rFonts w:ascii="Arial" w:cs="Arial" w:eastAsia="Arial" w:hAnsi="Arial"/>
          <w:sz w:val="21"/>
          <w:szCs w:val="21"/>
          <w:color w:val="000000"/>
        </w:rPr>
        <w:t xml:space="preserve"> Loan prior to the last day of the Interest Period therefor, the Borrower may, in their sole discretion, deposit with the Administrative Agent in the currency in which such Loan is denominated, the amount of any such prepayment otherwise required to be made hereunder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Arial" w:cs="Arial" w:eastAsia="Arial" w:hAnsi="Arial"/>
          <w:sz w:val="21"/>
          <w:szCs w:val="21"/>
          <w:u w:val="single" w:color="auto"/>
          <w:color w:val="000000"/>
        </w:rPr>
        <w:t>Section 2.11</w:t>
      </w:r>
      <w:r>
        <w:rPr>
          <w:rFonts w:ascii="Arial" w:cs="Arial" w:eastAsia="Arial" w:hAnsi="Arial"/>
          <w:sz w:val="21"/>
          <w:szCs w:val="21"/>
          <w:color w:val="000000"/>
        </w:rPr>
        <w:t xml:space="preserve">. Such deposit shall constitute cash collateral for the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Term SOFR</w:t>
      </w:r>
      <w:r>
        <w:rPr>
          <w:rFonts w:ascii="Arial" w:cs="Arial" w:eastAsia="Arial" w:hAnsi="Arial"/>
          <w:sz w:val="21"/>
          <w:szCs w:val="21"/>
          <w:color w:val="000000"/>
        </w:rPr>
        <w:t xml:space="preserve"> Loans to be so prepaid;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the Borrower may at any time direct that such deposit be applied to make the applicable payment required pursuant to this </w:t>
      </w:r>
      <w:r>
        <w:rPr>
          <w:rFonts w:ascii="Arial" w:cs="Arial" w:eastAsia="Arial" w:hAnsi="Arial"/>
          <w:sz w:val="21"/>
          <w:szCs w:val="21"/>
          <w:u w:val="single" w:color="auto"/>
          <w:color w:val="000000"/>
        </w:rPr>
        <w:t>Section 2.11</w:t>
      </w:r>
      <w:r>
        <w:rPr>
          <w:rFonts w:ascii="Arial" w:cs="Arial" w:eastAsia="Arial" w:hAnsi="Arial"/>
          <w:sz w:val="21"/>
          <w:szCs w:val="21"/>
          <w:color w:val="000000"/>
        </w:rPr>
        <w:t>.</w:t>
      </w:r>
    </w:p>
    <w:p>
      <w:pPr>
        <w:spacing w:after="0" w:line="162" w:lineRule="exact"/>
        <w:rPr>
          <w:rFonts w:ascii="Arial" w:cs="Arial" w:eastAsia="Arial" w:hAnsi="Arial"/>
          <w:sz w:val="21"/>
          <w:szCs w:val="21"/>
          <w:color w:val="auto"/>
        </w:rPr>
      </w:pPr>
    </w:p>
    <w:p>
      <w:pPr>
        <w:jc w:val="both"/>
        <w:ind w:firstLine="1304"/>
        <w:spacing w:after="0" w:line="243" w:lineRule="auto"/>
        <w:tabs>
          <w:tab w:leader="none" w:pos="1836" w:val="left"/>
        </w:tabs>
        <w:numPr>
          <w:ilvl w:val="0"/>
          <w:numId w:val="401"/>
        </w:numPr>
        <w:rPr>
          <w:rFonts w:ascii="Arial" w:cs="Arial" w:eastAsia="Arial" w:hAnsi="Arial"/>
          <w:sz w:val="19"/>
          <w:szCs w:val="19"/>
          <w:color w:val="auto"/>
        </w:rPr>
      </w:pPr>
      <w:r>
        <w:rPr>
          <w:rFonts w:ascii="Arial" w:cs="Arial" w:eastAsia="Arial" w:hAnsi="Arial"/>
          <w:sz w:val="19"/>
          <w:szCs w:val="19"/>
          <w:u w:val="single" w:color="auto"/>
          <w:color w:val="auto"/>
        </w:rPr>
        <w:t>Application of Prepayment by Type of Term Loans</w:t>
      </w:r>
      <w:r>
        <w:rPr>
          <w:rFonts w:ascii="Arial" w:cs="Arial" w:eastAsia="Arial" w:hAnsi="Arial"/>
          <w:sz w:val="19"/>
          <w:szCs w:val="19"/>
          <w:color w:val="auto"/>
        </w:rPr>
        <w:t xml:space="preserve">. In connection with any voluntary prepayments by the Borrower pursuant to </w:t>
      </w:r>
      <w:r>
        <w:rPr>
          <w:rFonts w:ascii="Arial" w:cs="Arial" w:eastAsia="Arial" w:hAnsi="Arial"/>
          <w:sz w:val="19"/>
          <w:szCs w:val="19"/>
          <w:u w:val="single" w:color="auto"/>
          <w:color w:val="auto"/>
        </w:rPr>
        <w:t>Section 2.11(a)</w:t>
      </w:r>
      <w:r>
        <w:rPr>
          <w:rFonts w:ascii="Arial" w:cs="Arial" w:eastAsia="Arial" w:hAnsi="Arial"/>
          <w:sz w:val="19"/>
          <w:szCs w:val="19"/>
          <w:color w:val="auto"/>
        </w:rPr>
        <w:t xml:space="preserve">, any voluntary prepayment thereof shall be applied first to ABR Loans to the full extent thereof before application to </w:t>
      </w:r>
      <w:r>
        <w:rPr>
          <w:rFonts w:ascii="Arial" w:cs="Arial" w:eastAsia="Arial" w:hAnsi="Arial"/>
          <w:sz w:val="19"/>
          <w:szCs w:val="19"/>
          <w:color w:val="FF0000"/>
          <w:strike w:val="1"/>
        </w:rPr>
        <w:t>Eurocurrency Loans and</w:t>
      </w:r>
      <w:r>
        <w:rPr>
          <w:rFonts w:ascii="Arial" w:cs="Arial" w:eastAsia="Arial" w:hAnsi="Arial"/>
          <w:sz w:val="19"/>
          <w:szCs w:val="19"/>
          <w:color w:val="auto"/>
        </w:rPr>
        <w:t xml:space="preserve"> Term SOFR Loans, in each case in a manner that minimizes the amount of any payments required to be made by the Borrower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In connection with any mandatory prepayments by the Borrower of the Term Loans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such prepayments shall be applied on a pro rata basis to the then outstanding Term Loans being prepaid irrespective of whether such outstanding Term Loans are ABR Loans</w:t>
      </w:r>
      <w:r>
        <w:rPr>
          <w:rFonts w:ascii="Arial" w:cs="Arial" w:eastAsia="Arial" w:hAnsi="Arial"/>
          <w:sz w:val="19"/>
          <w:szCs w:val="19"/>
          <w:color w:val="FF0000"/>
          <w:strike w:val="1"/>
        </w:rPr>
        <w:t>, Eurocurrency Loans</w:t>
      </w:r>
      <w:r>
        <w:rPr>
          <w:rFonts w:ascii="Arial" w:cs="Arial" w:eastAsia="Arial" w:hAnsi="Arial"/>
          <w:sz w:val="19"/>
          <w:szCs w:val="19"/>
          <w:color w:val="auto"/>
        </w:rPr>
        <w:t xml:space="preserve"> or Term SOFR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 Lenders exercise the right to waive a given mandatory prepayment of the Term Loans pursuant to </w:t>
      </w:r>
      <w:r>
        <w:rPr>
          <w:rFonts w:ascii="Arial" w:cs="Arial" w:eastAsia="Arial" w:hAnsi="Arial"/>
          <w:sz w:val="19"/>
          <w:szCs w:val="19"/>
          <w:u w:val="single" w:color="auto"/>
          <w:color w:val="auto"/>
        </w:rPr>
        <w:t>Section 2.11(g)</w:t>
      </w:r>
      <w:r>
        <w:rPr>
          <w:rFonts w:ascii="Arial" w:cs="Arial" w:eastAsia="Arial" w:hAnsi="Arial"/>
          <w:sz w:val="19"/>
          <w:szCs w:val="19"/>
          <w:color w:val="auto"/>
        </w:rPr>
        <w:t xml:space="preserve">, then, with respect to such mandatory prepayment, the amount of such mandatory prepayment shall be applied first to Term Loans that are ABR Loans to the full extent thereof before application to Term Loans that are </w:t>
      </w:r>
      <w:r>
        <w:rPr>
          <w:rFonts w:ascii="Arial" w:cs="Arial" w:eastAsia="Arial" w:hAnsi="Arial"/>
          <w:sz w:val="19"/>
          <w:szCs w:val="19"/>
          <w:color w:val="FF0000"/>
          <w:strike w:val="1"/>
        </w:rPr>
        <w:t>Eurocurrency Loans or</w:t>
      </w:r>
      <w:r>
        <w:rPr>
          <w:rFonts w:ascii="Arial" w:cs="Arial" w:eastAsia="Arial" w:hAnsi="Arial"/>
          <w:sz w:val="19"/>
          <w:szCs w:val="19"/>
          <w:color w:val="FF0000"/>
        </w:rPr>
        <w:t xml:space="preserve"> </w:t>
      </w:r>
      <w:r>
        <w:rPr>
          <w:rFonts w:ascii="Arial" w:cs="Arial" w:eastAsia="Arial" w:hAnsi="Arial"/>
          <w:sz w:val="19"/>
          <w:szCs w:val="19"/>
          <w:color w:val="000000"/>
        </w:rPr>
        <w:t>Term SOFR Loans in a manner that minimizes the amount of any payments required to be made by the</w:t>
      </w:r>
      <w:r>
        <w:rPr>
          <w:rFonts w:ascii="Arial" w:cs="Arial" w:eastAsia="Arial" w:hAnsi="Arial"/>
          <w:sz w:val="19"/>
          <w:szCs w:val="19"/>
          <w:color w:val="FF0000"/>
        </w:rPr>
        <w:t xml:space="preserve"> </w:t>
      </w:r>
      <w:r>
        <w:rPr>
          <w:rFonts w:ascii="Arial" w:cs="Arial" w:eastAsia="Arial" w:hAnsi="Arial"/>
          <w:sz w:val="19"/>
          <w:szCs w:val="19"/>
          <w:color w:val="000000"/>
        </w:rPr>
        <w:t xml:space="preserve">Borrower pursuant to </w:t>
      </w:r>
      <w:r>
        <w:rPr>
          <w:rFonts w:ascii="Arial" w:cs="Arial" w:eastAsia="Arial" w:hAnsi="Arial"/>
          <w:sz w:val="19"/>
          <w:szCs w:val="19"/>
          <w:u w:val="single" w:color="auto"/>
          <w:color w:val="000000"/>
        </w:rPr>
        <w:t>Section 2.16</w:t>
      </w:r>
      <w:r>
        <w:rPr>
          <w:rFonts w:ascii="Arial" w:cs="Arial" w:eastAsia="Arial" w:hAnsi="Arial"/>
          <w:sz w:val="19"/>
          <w:szCs w:val="19"/>
          <w:color w:val="000000"/>
        </w:rPr>
        <w:t>.</w:t>
      </w:r>
    </w:p>
    <w:p>
      <w:pPr>
        <w:spacing w:after="0" w:line="38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2.12</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79" w:lineRule="exact"/>
        <w:rPr>
          <w:sz w:val="20"/>
          <w:szCs w:val="20"/>
          <w:color w:val="auto"/>
        </w:rPr>
      </w:pPr>
    </w:p>
    <w:p>
      <w:pPr>
        <w:jc w:val="both"/>
        <w:ind w:firstLine="1304"/>
        <w:spacing w:after="0" w:line="216" w:lineRule="auto"/>
        <w:tabs>
          <w:tab w:leader="none" w:pos="1892" w:val="left"/>
        </w:tabs>
        <w:numPr>
          <w:ilvl w:val="0"/>
          <w:numId w:val="402"/>
        </w:numPr>
        <w:rPr>
          <w:rFonts w:ascii="Arial" w:cs="Arial" w:eastAsia="Arial" w:hAnsi="Arial"/>
          <w:sz w:val="22"/>
          <w:szCs w:val="22"/>
          <w:color w:val="auto"/>
        </w:rPr>
      </w:pPr>
      <w:r>
        <w:rPr>
          <w:rFonts w:ascii="Arial" w:cs="Arial" w:eastAsia="Arial" w:hAnsi="Arial"/>
          <w:sz w:val="22"/>
          <w:szCs w:val="22"/>
          <w:color w:val="auto"/>
        </w:rPr>
        <w:t xml:space="preserve">The Borrower agrees to pay to the Administrative Agent for the account of each Revolving Lender, in accordance with its Applicable Percentage of Revolving Commitments, a commitment fee, which shall accrue as specified in the definition of “Applicable Margin” on the average daily amount of the unused Revolving Commitment of such Lender during the period from and including the Closing Date to, but excluding, the date on which the Revolving Commitments terminate, subject to adjustment as provided in </w:t>
      </w:r>
      <w:r>
        <w:rPr>
          <w:rFonts w:ascii="Arial" w:cs="Arial" w:eastAsia="Arial" w:hAnsi="Arial"/>
          <w:sz w:val="22"/>
          <w:szCs w:val="22"/>
          <w:u w:val="single" w:color="auto"/>
          <w:color w:val="auto"/>
        </w:rPr>
        <w:t>Section 2.22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91" w:name="page392"/>
    <w:bookmarkEnd w:id="391"/>
    <w:p>
      <w:pPr>
        <w:jc w:val="both"/>
        <w:spacing w:after="0" w:line="246" w:lineRule="auto"/>
        <w:rPr>
          <w:sz w:val="20"/>
          <w:szCs w:val="20"/>
          <w:color w:val="auto"/>
        </w:rPr>
      </w:pPr>
      <w:r>
        <w:rPr>
          <w:rFonts w:ascii="Arial" w:cs="Arial" w:eastAsia="Arial" w:hAnsi="Arial"/>
          <w:sz w:val="19"/>
          <w:szCs w:val="19"/>
          <w:color w:val="auto"/>
        </w:rPr>
        <w:t xml:space="preserve">Accrued commitment fees shall be payable in arrears on the third Business Day following the last day of March, June, September and December of each year and on the Revolving Termination Date, commencing on the first such date to occur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commitment fee shall accrue on any undrawn Revolving Commitment of a Defaulting Lender so long as such Lender shall be a Defaulting Lender.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Swingline Loans shall, for purposes of the commitment fee calculations only, not be deemed to be a utilization of the Revolving Credit Facility.</w:t>
      </w:r>
    </w:p>
    <w:p>
      <w:pPr>
        <w:spacing w:after="0" w:line="152" w:lineRule="exact"/>
        <w:rPr>
          <w:sz w:val="20"/>
          <w:szCs w:val="20"/>
          <w:color w:val="auto"/>
        </w:rPr>
      </w:pPr>
    </w:p>
    <w:p>
      <w:pPr>
        <w:jc w:val="both"/>
        <w:ind w:firstLine="1304"/>
        <w:spacing w:after="0" w:line="241" w:lineRule="auto"/>
        <w:tabs>
          <w:tab w:leader="none" w:pos="1868" w:val="left"/>
        </w:tabs>
        <w:numPr>
          <w:ilvl w:val="0"/>
          <w:numId w:val="403"/>
        </w:numPr>
        <w:rPr>
          <w:rFonts w:ascii="Arial" w:cs="Arial" w:eastAsia="Arial" w:hAnsi="Arial"/>
          <w:sz w:val="19"/>
          <w:szCs w:val="19"/>
          <w:color w:val="auto"/>
        </w:rPr>
      </w:pPr>
      <w:r>
        <w:rPr>
          <w:rFonts w:ascii="Arial" w:cs="Arial" w:eastAsia="Arial" w:hAnsi="Arial"/>
          <w:sz w:val="19"/>
          <w:szCs w:val="19"/>
          <w:color w:val="auto"/>
        </w:rPr>
        <w:t xml:space="preserve">The Borrower agrees to pay (i) to the Administrative Agent for the account of each Revolving Lender a participation fee with respect to its participations in Letters of Credit, which shall accrue at the same Applicable Margin used to determine the interest rate applicable to Term SOFR Revolving Loans on the actual daily amount of such Revolving Lender’s LC Exposure (excluding any portion thereof attributable to unreimbursed LC Disbursements) during the period from and including the Closing Date, to but excluding the date on which such Revolving Lender’s Revolving Commitment terminates, and (ii) to each of the Issuing Banks a fronting fee, which shall accrue at a rate equal to 0.125% per annum on the actual daily amount of the LC Exposure (excluding any portion thereof attributable to unreimbursed LC Disbursements) during the period from and including the Closing Date, to but excluding the date of termination of the Revolving Commitments, as well as each of the Issuing Banks’s standard fees with respect to the issuance, amendment, renewal or extension of any Letter of Credit or processing of drawings thereunder. Participation fees and fronting fees accrued to and excluding the last day of March, June, September and December of each year shall be payable on the third Business Day following such last day, commencing on the first such date to occur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 Revolving Commitments terminate and any such fees accruing after the date on which the Revolving Commitments terminate shall be payable on demand. Any other fees payable to the Issuing Banks pursuant to this paragraph shall be payable within 30 days after written demand (including reasonable supporting documents). All participation fees and fronting fees shall be computed on the basis of a year of 360 days and shall be payable for the actual number of days elapsed (including the first day but excluding the last day).</w:t>
      </w:r>
    </w:p>
    <w:p>
      <w:pPr>
        <w:spacing w:after="0" w:line="161" w:lineRule="exact"/>
        <w:rPr>
          <w:rFonts w:ascii="Arial" w:cs="Arial" w:eastAsia="Arial" w:hAnsi="Arial"/>
          <w:sz w:val="19"/>
          <w:szCs w:val="19"/>
          <w:color w:val="auto"/>
        </w:rPr>
      </w:pPr>
    </w:p>
    <w:p>
      <w:pPr>
        <w:ind w:firstLine="1304"/>
        <w:spacing w:after="0" w:line="232" w:lineRule="auto"/>
        <w:tabs>
          <w:tab w:leader="none" w:pos="1817" w:val="left"/>
        </w:tabs>
        <w:numPr>
          <w:ilvl w:val="0"/>
          <w:numId w:val="403"/>
        </w:numPr>
        <w:rPr>
          <w:rFonts w:ascii="Arial" w:cs="Arial" w:eastAsia="Arial" w:hAnsi="Arial"/>
          <w:sz w:val="22"/>
          <w:szCs w:val="22"/>
          <w:color w:val="auto"/>
        </w:rPr>
      </w:pPr>
      <w:r>
        <w:rPr>
          <w:rFonts w:ascii="Arial" w:cs="Arial" w:eastAsia="Arial" w:hAnsi="Arial"/>
          <w:sz w:val="22"/>
          <w:szCs w:val="22"/>
          <w:color w:val="auto"/>
        </w:rPr>
        <w:t>The Borrower agrees to pay to the Administrative Agent, for its own account, fees payable in the amounts and at the times separately agreed upon between the Borrower and the Administrative Agent.</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769" w:val="left"/>
        </w:tabs>
        <w:numPr>
          <w:ilvl w:val="0"/>
          <w:numId w:val="403"/>
        </w:numPr>
        <w:rPr>
          <w:rFonts w:ascii="Arial" w:cs="Arial" w:eastAsia="Arial" w:hAnsi="Arial"/>
          <w:sz w:val="19"/>
          <w:szCs w:val="19"/>
          <w:color w:val="auto"/>
        </w:rPr>
      </w:pPr>
      <w:r>
        <w:rPr>
          <w:rFonts w:ascii="Arial" w:cs="Arial" w:eastAsia="Arial" w:hAnsi="Arial"/>
          <w:sz w:val="19"/>
          <w:szCs w:val="19"/>
          <w:color w:val="auto"/>
        </w:rPr>
        <w:t>All fees payable hereunder shall be paid by the Borrower on the dates due, in immediately available funds, to the Administrative Agent (or to the Issuing Banks, in the case of fees payable to them) for distribution, in the case of commitment fees and participation fees, to the Lenders entitled thereto. Fees paid shall not be refundable under any circumstances.</w:t>
      </w:r>
    </w:p>
    <w:p>
      <w:pPr>
        <w:spacing w:after="0" w:line="13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2.13</w:t>
      </w:r>
      <w:r>
        <w:rPr>
          <w:sz w:val="20"/>
          <w:szCs w:val="20"/>
          <w:color w:val="auto"/>
        </w:rPr>
        <w:tab/>
      </w:r>
      <w:r>
        <w:rPr>
          <w:rFonts w:ascii="Arial" w:cs="Arial" w:eastAsia="Arial" w:hAnsi="Arial"/>
          <w:sz w:val="19"/>
          <w:szCs w:val="19"/>
          <w:u w:val="single" w:color="auto"/>
          <w:color w:val="auto"/>
        </w:rPr>
        <w:t>Interest</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888" w:val="left"/>
        </w:tabs>
        <w:numPr>
          <w:ilvl w:val="0"/>
          <w:numId w:val="404"/>
        </w:numPr>
        <w:rPr>
          <w:rFonts w:ascii="Arial" w:cs="Arial" w:eastAsia="Arial" w:hAnsi="Arial"/>
          <w:sz w:val="22"/>
          <w:szCs w:val="22"/>
          <w:color w:val="auto"/>
        </w:rPr>
      </w:pPr>
      <w:r>
        <w:rPr>
          <w:rFonts w:ascii="Arial" w:cs="Arial" w:eastAsia="Arial" w:hAnsi="Arial"/>
          <w:sz w:val="22"/>
          <w:szCs w:val="22"/>
          <w:color w:val="auto"/>
        </w:rPr>
        <w:t xml:space="preserve">The Loans comprising each ABR Borrowing (including each Swingline Loan) shall bear interest at the Alternate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w:t>
      </w:r>
    </w:p>
    <w:p>
      <w:pPr>
        <w:spacing w:after="0" w:line="158" w:lineRule="exact"/>
        <w:rPr>
          <w:rFonts w:ascii="Arial" w:cs="Arial" w:eastAsia="Arial" w:hAnsi="Arial"/>
          <w:sz w:val="22"/>
          <w:szCs w:val="22"/>
          <w:color w:val="auto"/>
        </w:rPr>
      </w:pPr>
    </w:p>
    <w:p>
      <w:pPr>
        <w:jc w:val="both"/>
        <w:ind w:firstLine="1304"/>
        <w:spacing w:after="0" w:line="229" w:lineRule="auto"/>
        <w:tabs>
          <w:tab w:leader="none" w:pos="1823" w:val="left"/>
        </w:tabs>
        <w:numPr>
          <w:ilvl w:val="0"/>
          <w:numId w:val="404"/>
        </w:numPr>
        <w:rPr>
          <w:rFonts w:ascii="Arial" w:cs="Arial" w:eastAsia="Arial" w:hAnsi="Arial"/>
          <w:sz w:val="21"/>
          <w:szCs w:val="21"/>
          <w:color w:val="auto"/>
        </w:rPr>
      </w:pPr>
      <w:r>
        <w:rPr>
          <w:rFonts w:ascii="Arial" w:cs="Arial" w:eastAsia="Arial" w:hAnsi="Arial"/>
          <w:sz w:val="21"/>
          <w:szCs w:val="21"/>
          <w:color w:val="FF0000"/>
          <w:strike w:val="1"/>
        </w:rPr>
        <w:t xml:space="preserve">The Loans comprising each Eurocurrency Borrowing shall bear interest at the Adjusted Eurocurrency Rate for the Interest Period in effect for such Borrowing </w:t>
      </w:r>
      <w:r>
        <w:rPr>
          <w:rFonts w:ascii="Arial" w:cs="Arial" w:eastAsia="Arial" w:hAnsi="Arial"/>
          <w:sz w:val="21"/>
          <w:szCs w:val="21"/>
          <w:u w:val="single" w:color="auto"/>
          <w:color w:val="FF0000"/>
          <w:strike w:val="1"/>
        </w:rPr>
        <w:t>plus</w:t>
      </w:r>
      <w:r>
        <w:rPr>
          <w:rFonts w:ascii="Arial" w:cs="Arial" w:eastAsia="Arial" w:hAnsi="Arial"/>
          <w:sz w:val="21"/>
          <w:szCs w:val="21"/>
          <w:color w:val="FF0000"/>
          <w:strike w:val="1"/>
        </w:rPr>
        <w:t xml:space="preserve"> the Applicable Margin. </w:t>
      </w:r>
      <w:r>
        <w:rPr>
          <w:rFonts w:ascii="Arial" w:cs="Arial" w:eastAsia="Arial" w:hAnsi="Arial"/>
          <w:sz w:val="21"/>
          <w:szCs w:val="21"/>
          <w:color w:val="000000"/>
          <w:strike w:val="1"/>
        </w:rPr>
        <w:t>The Loans comprising each Term SOFR</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 xml:space="preserve">Borrowing shall bear interest at Adjusted Term SOFR for the Interest Period in effect for such Borrowing </w:t>
      </w:r>
      <w:r>
        <w:rPr>
          <w:rFonts w:ascii="Arial" w:cs="Arial" w:eastAsia="Arial" w:hAnsi="Arial"/>
          <w:sz w:val="21"/>
          <w:szCs w:val="21"/>
          <w:u w:val="single" w:color="auto"/>
          <w:color w:val="000000"/>
          <w:strike w:val="1"/>
        </w:rPr>
        <w:t>plus</w:t>
      </w:r>
      <w:r>
        <w:rPr>
          <w:rFonts w:ascii="Arial" w:cs="Arial" w:eastAsia="Arial" w:hAnsi="Arial"/>
          <w:sz w:val="21"/>
          <w:szCs w:val="21"/>
          <w:color w:val="000000"/>
          <w:strike w:val="1"/>
        </w:rPr>
        <w:t xml:space="preserve"> the Applicable Margin; </w:t>
      </w:r>
      <w:r>
        <w:rPr>
          <w:rFonts w:ascii="Arial" w:cs="Arial" w:eastAsia="Arial" w:hAnsi="Arial"/>
          <w:sz w:val="21"/>
          <w:szCs w:val="21"/>
          <w:u w:val="single" w:color="auto"/>
          <w:color w:val="000000"/>
          <w:strike w:val="1"/>
        </w:rPr>
        <w:t>provided</w:t>
      </w:r>
      <w:r>
        <w:rPr>
          <w:rFonts w:ascii="Arial" w:cs="Arial" w:eastAsia="Arial" w:hAnsi="Arial"/>
          <w:sz w:val="21"/>
          <w:szCs w:val="21"/>
          <w:color w:val="000000"/>
          <w:strike w:val="1"/>
        </w:rPr>
        <w:t xml:space="preserve"> that if Term SOFR shall be determined pursuant to clause (a)(ii)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92" w:name="page393"/>
    <w:bookmarkEnd w:id="392"/>
    <w:p>
      <w:pPr>
        <w:jc w:val="both"/>
        <w:spacing w:after="0" w:line="223" w:lineRule="auto"/>
        <w:rPr>
          <w:sz w:val="20"/>
          <w:szCs w:val="20"/>
          <w:color w:val="auto"/>
        </w:rPr>
      </w:pPr>
      <w:r>
        <w:rPr>
          <w:rFonts w:ascii="Arial" w:cs="Arial" w:eastAsia="Arial" w:hAnsi="Arial"/>
          <w:sz w:val="22"/>
          <w:szCs w:val="22"/>
          <w:color w:val="auto"/>
        </w:rPr>
        <w:t>definition thereof, each such Loan shall be deemed to bear interest on the outstanding principal amount thereof from the applicable borrowing date at a rate per annum equal to Daily Simple SOFR for each day such Loan remains outstanding plus the Applicable Margin.</w:t>
      </w:r>
    </w:p>
    <w:p>
      <w:pPr>
        <w:spacing w:after="0" w:line="159" w:lineRule="exact"/>
        <w:rPr>
          <w:sz w:val="20"/>
          <w:szCs w:val="20"/>
          <w:color w:val="auto"/>
        </w:rPr>
      </w:pPr>
    </w:p>
    <w:p>
      <w:pPr>
        <w:jc w:val="both"/>
        <w:ind w:firstLine="1304"/>
        <w:spacing w:after="0" w:line="244" w:lineRule="auto"/>
        <w:tabs>
          <w:tab w:leader="none" w:pos="1856" w:val="left"/>
        </w:tabs>
        <w:numPr>
          <w:ilvl w:val="0"/>
          <w:numId w:val="405"/>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(x) any principal of or interest on any Loan or any fee payable by the Borrower hereunder is not paid when due (after the expiration of any applicable grace period), whether at stated maturity, upon acceleration or otherwise or (y) an Event of Default under </w:t>
      </w:r>
      <w:r>
        <w:rPr>
          <w:rFonts w:ascii="Arial" w:cs="Arial" w:eastAsia="Arial" w:hAnsi="Arial"/>
          <w:sz w:val="19"/>
          <w:szCs w:val="19"/>
          <w:u w:val="single" w:color="auto"/>
          <w:color w:val="auto"/>
        </w:rPr>
        <w:t>Section 7.01(h)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has occurred and is continuing, such overdue amount (which, in the case of an Event of Default under </w:t>
      </w:r>
      <w:r>
        <w:rPr>
          <w:rFonts w:ascii="Arial" w:cs="Arial" w:eastAsia="Arial" w:hAnsi="Arial"/>
          <w:sz w:val="19"/>
          <w:szCs w:val="19"/>
          <w:u w:val="single" w:color="auto"/>
          <w:color w:val="auto"/>
        </w:rPr>
        <w:t>Section 7.01(h)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shall be deemed to include the entire outstanding amount of the Loans) shall bear interest, after as well as before judgment, to the fullest extent permitted by law, at a rate per annum equal to (i) in the case of overdue principal or interest of any Loan, 2.00%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then borne by (in the case of such principal) such Borrowings or (in the case of interest) the Borrowings to which such overdue amount relates or (ii) in the case of any other amounts, 2.00%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applicable to ABR Loans as provided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default rate shall accrue on the Loans of a Defaulting Lender so long as such Lender shall be a Defaulting Lender.</w:t>
      </w:r>
    </w:p>
    <w:p>
      <w:pPr>
        <w:spacing w:after="0" w:line="160" w:lineRule="exact"/>
        <w:rPr>
          <w:rFonts w:ascii="Arial" w:cs="Arial" w:eastAsia="Arial" w:hAnsi="Arial"/>
          <w:sz w:val="19"/>
          <w:szCs w:val="19"/>
          <w:color w:val="auto"/>
        </w:rPr>
      </w:pPr>
    </w:p>
    <w:p>
      <w:pPr>
        <w:jc w:val="both"/>
        <w:ind w:firstLine="1304"/>
        <w:spacing w:after="0" w:line="247" w:lineRule="auto"/>
        <w:tabs>
          <w:tab w:leader="none" w:pos="1792" w:val="left"/>
        </w:tabs>
        <w:numPr>
          <w:ilvl w:val="0"/>
          <w:numId w:val="405"/>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on each Interest Payment Date for such Loan and, in the case of Revolving Loans, upon termination of the applicable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shall be payable on written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w:t>
      </w:r>
      <w:r>
        <w:rPr>
          <w:rFonts w:ascii="Arial" w:cs="Arial" w:eastAsia="Arial" w:hAnsi="Arial"/>
          <w:sz w:val="19"/>
          <w:szCs w:val="19"/>
          <w:color w:val="FF0000"/>
          <w:strike w:val="1"/>
        </w:rPr>
        <w:t>Eurocurrency Loan or</w:t>
      </w:r>
      <w:r>
        <w:rPr>
          <w:rFonts w:ascii="Arial" w:cs="Arial" w:eastAsia="Arial" w:hAnsi="Arial"/>
          <w:sz w:val="19"/>
          <w:szCs w:val="19"/>
          <w:color w:val="auto"/>
        </w:rPr>
        <w:t xml:space="preserve"> Term SOFR Loan prior to the end of the current Interest Period therefor, accrued interest on such Loan shall be payable on the effective date of such conversion.</w:t>
      </w:r>
    </w:p>
    <w:p>
      <w:pPr>
        <w:spacing w:after="0" w:line="153" w:lineRule="exact"/>
        <w:rPr>
          <w:rFonts w:ascii="Arial" w:cs="Arial" w:eastAsia="Arial" w:hAnsi="Arial"/>
          <w:sz w:val="19"/>
          <w:szCs w:val="19"/>
          <w:color w:val="auto"/>
        </w:rPr>
      </w:pPr>
    </w:p>
    <w:p>
      <w:pPr>
        <w:jc w:val="both"/>
        <w:ind w:firstLine="1304"/>
        <w:spacing w:after="0" w:line="226" w:lineRule="auto"/>
        <w:tabs>
          <w:tab w:leader="none" w:pos="1771" w:val="left"/>
        </w:tabs>
        <w:numPr>
          <w:ilvl w:val="0"/>
          <w:numId w:val="405"/>
        </w:numPr>
        <w:rPr>
          <w:rFonts w:ascii="Arial" w:cs="Arial" w:eastAsia="Arial" w:hAnsi="Arial"/>
          <w:sz w:val="21"/>
          <w:szCs w:val="21"/>
          <w:color w:val="auto"/>
        </w:rPr>
      </w:pPr>
      <w:r>
        <w:rPr>
          <w:rFonts w:ascii="Arial" w:cs="Arial" w:eastAsia="Arial" w:hAnsi="Arial"/>
          <w:sz w:val="21"/>
          <w:szCs w:val="21"/>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w:t>
      </w:r>
      <w:r>
        <w:rPr>
          <w:rFonts w:ascii="Arial" w:cs="Arial" w:eastAsia="Arial" w:hAnsi="Arial"/>
          <w:sz w:val="21"/>
          <w:szCs w:val="21"/>
          <w:color w:val="FF0000"/>
          <w:strike w:val="1"/>
        </w:rPr>
        <w:t>, Adjusted Eurocurrency Rate</w:t>
      </w:r>
      <w:r>
        <w:rPr>
          <w:rFonts w:ascii="Arial" w:cs="Arial" w:eastAsia="Arial" w:hAnsi="Arial"/>
          <w:sz w:val="21"/>
          <w:szCs w:val="21"/>
          <w:color w:val="auto"/>
        </w:rPr>
        <w:t xml:space="preserve"> or Adjusted Term SOFR shall be determined by the Administrative Agent, and such determination shall be conclusive absent manifest error.</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2.14</w:t>
      </w:r>
      <w:r>
        <w:rPr>
          <w:sz w:val="20"/>
          <w:szCs w:val="20"/>
          <w:color w:val="auto"/>
        </w:rPr>
        <w:tab/>
      </w: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 Discontinuation of</w:t>
      </w:r>
      <w:r>
        <w:rPr>
          <w:rFonts w:ascii="Arial" w:cs="Arial" w:eastAsia="Arial" w:hAnsi="Arial"/>
          <w:sz w:val="19"/>
          <w:szCs w:val="19"/>
          <w:u w:val="single" w:color="auto"/>
          <w:color w:val="auto"/>
        </w:rPr>
        <w:t xml:space="preserve"> </w:t>
      </w:r>
      <w:r>
        <w:rPr>
          <w:rFonts w:ascii="Arial" w:cs="Arial" w:eastAsia="Arial" w:hAnsi="Arial"/>
          <w:sz w:val="19"/>
          <w:szCs w:val="19"/>
          <w:color w:val="FF0000"/>
          <w:strike w:val="1"/>
        </w:rPr>
        <w:t>Adjusted Eurocurrency Rate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Term SOFR.</w:t>
      </w:r>
    </w:p>
    <w:p>
      <w:pPr>
        <w:spacing w:after="0" w:line="179" w:lineRule="exact"/>
        <w:rPr>
          <w:sz w:val="20"/>
          <w:szCs w:val="20"/>
          <w:color w:val="auto"/>
        </w:rPr>
      </w:pPr>
    </w:p>
    <w:p>
      <w:pPr>
        <w:ind w:firstLine="1304"/>
        <w:spacing w:after="0" w:line="232" w:lineRule="auto"/>
        <w:tabs>
          <w:tab w:leader="none" w:pos="1835" w:val="left"/>
        </w:tabs>
        <w:numPr>
          <w:ilvl w:val="0"/>
          <w:numId w:val="406"/>
        </w:numPr>
        <w:rPr>
          <w:rFonts w:ascii="Arial" w:cs="Arial" w:eastAsia="Arial" w:hAnsi="Arial"/>
          <w:sz w:val="22"/>
          <w:szCs w:val="22"/>
          <w:color w:val="auto"/>
        </w:rPr>
      </w:pPr>
      <w:r>
        <w:rPr>
          <w:rFonts w:ascii="Arial" w:cs="Arial" w:eastAsia="Arial" w:hAnsi="Arial"/>
          <w:sz w:val="22"/>
          <w:szCs w:val="22"/>
          <w:color w:val="auto"/>
        </w:rPr>
        <w:t xml:space="preserve">Subject to the immediately following sentence, if prior to the commencement of any Interest Period for a </w:t>
      </w:r>
      <w:r>
        <w:rPr>
          <w:rFonts w:ascii="Arial" w:cs="Arial" w:eastAsia="Arial" w:hAnsi="Arial"/>
          <w:sz w:val="22"/>
          <w:szCs w:val="22"/>
          <w:color w:val="FF0000"/>
          <w:strike w:val="1"/>
        </w:rPr>
        <w:t>Eurocurrency Borrowing or</w:t>
      </w:r>
      <w:r>
        <w:rPr>
          <w:rFonts w:ascii="Arial" w:cs="Arial" w:eastAsia="Arial" w:hAnsi="Arial"/>
          <w:sz w:val="22"/>
          <w:szCs w:val="22"/>
          <w:color w:val="FF0000"/>
        </w:rPr>
        <w:t xml:space="preserve"> </w:t>
      </w:r>
      <w:r>
        <w:rPr>
          <w:rFonts w:ascii="Arial" w:cs="Arial" w:eastAsia="Arial" w:hAnsi="Arial"/>
          <w:sz w:val="22"/>
          <w:szCs w:val="22"/>
          <w:color w:val="000000"/>
        </w:rPr>
        <w:t>Term SOFR Borrowing denominated in any currency:</w:t>
      </w:r>
    </w:p>
    <w:p>
      <w:pPr>
        <w:spacing w:after="0" w:line="159" w:lineRule="exact"/>
        <w:rPr>
          <w:sz w:val="20"/>
          <w:szCs w:val="20"/>
          <w:color w:val="auto"/>
        </w:rPr>
      </w:pPr>
    </w:p>
    <w:p>
      <w:pPr>
        <w:jc w:val="both"/>
        <w:ind w:left="660" w:firstLine="644"/>
        <w:spacing w:after="0" w:line="223" w:lineRule="auto"/>
        <w:tabs>
          <w:tab w:leader="none" w:pos="1831" w:val="left"/>
        </w:tabs>
        <w:numPr>
          <w:ilvl w:val="0"/>
          <w:numId w:val="407"/>
        </w:numPr>
        <w:rPr>
          <w:rFonts w:ascii="Arial" w:cs="Arial" w:eastAsia="Arial" w:hAnsi="Arial"/>
          <w:sz w:val="22"/>
          <w:szCs w:val="22"/>
          <w:color w:val="auto"/>
        </w:rPr>
      </w:pPr>
      <w:r>
        <w:rPr>
          <w:rFonts w:ascii="Arial" w:cs="Arial" w:eastAsia="Arial" w:hAnsi="Arial"/>
          <w:sz w:val="22"/>
          <w:szCs w:val="22"/>
          <w:color w:val="auto"/>
        </w:rPr>
        <w:t xml:space="preserve">the Administrative Agent determines (which determination shall be conclusive absent manifest error) that adequate and reasonable means do not exist for ascertaining the </w:t>
      </w:r>
      <w:r>
        <w:rPr>
          <w:rFonts w:ascii="Arial" w:cs="Arial" w:eastAsia="Arial" w:hAnsi="Arial"/>
          <w:sz w:val="22"/>
          <w:szCs w:val="22"/>
          <w:color w:val="FF0000"/>
          <w:strike w:val="1"/>
        </w:rPr>
        <w:t>Adjusted Eurocurrency Rate or</w:t>
      </w:r>
      <w:r>
        <w:rPr>
          <w:rFonts w:ascii="Arial" w:cs="Arial" w:eastAsia="Arial" w:hAnsi="Arial"/>
          <w:sz w:val="22"/>
          <w:szCs w:val="22"/>
          <w:color w:val="auto"/>
        </w:rPr>
        <w:t xml:space="preserve"> Term SOFR, as applicable, for such Interest Period; or</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915" w:val="left"/>
        </w:tabs>
        <w:numPr>
          <w:ilvl w:val="0"/>
          <w:numId w:val="407"/>
        </w:numPr>
        <w:rPr>
          <w:rFonts w:ascii="Arial" w:cs="Arial" w:eastAsia="Arial" w:hAnsi="Arial"/>
          <w:sz w:val="22"/>
          <w:szCs w:val="22"/>
          <w:color w:val="auto"/>
        </w:rPr>
      </w:pPr>
      <w:r>
        <w:rPr>
          <w:rFonts w:ascii="Arial" w:cs="Arial" w:eastAsia="Arial" w:hAnsi="Arial"/>
          <w:sz w:val="22"/>
          <w:szCs w:val="22"/>
          <w:color w:val="auto"/>
        </w:rPr>
        <w:t xml:space="preserve">the Administrative Agent is advised by the Required Lenders that the Adjusted </w:t>
      </w:r>
      <w:r>
        <w:rPr>
          <w:rFonts w:ascii="Arial" w:cs="Arial" w:eastAsia="Arial" w:hAnsi="Arial"/>
          <w:sz w:val="22"/>
          <w:szCs w:val="22"/>
          <w:color w:val="FF0000"/>
          <w:strike w:val="1"/>
        </w:rPr>
        <w:t>Eurocurrency Rate</w:t>
      </w:r>
      <w:r>
        <w:rPr>
          <w:rFonts w:ascii="Arial" w:cs="Arial" w:eastAsia="Arial" w:hAnsi="Arial"/>
          <w:sz w:val="22"/>
          <w:szCs w:val="22"/>
          <w:u w:val="single" w:color="auto"/>
          <w:color w:val="0000FF"/>
        </w:rPr>
        <w:t>Term</w:t>
      </w:r>
      <w:r>
        <w:rPr>
          <w:rFonts w:ascii="Arial" w:cs="Arial" w:eastAsia="Arial" w:hAnsi="Arial"/>
          <w:sz w:val="22"/>
          <w:szCs w:val="22"/>
          <w:color w:val="auto"/>
        </w:rPr>
        <w:t xml:space="preserve"> </w:t>
      </w:r>
      <w:r>
        <w:rPr>
          <w:rFonts w:ascii="Arial" w:cs="Arial" w:eastAsia="Arial" w:hAnsi="Arial"/>
          <w:sz w:val="22"/>
          <w:szCs w:val="22"/>
          <w:u w:val="single" w:color="auto"/>
          <w:color w:val="0000FF"/>
        </w:rPr>
        <w:t>SOFR</w:t>
      </w:r>
      <w:r>
        <w:rPr>
          <w:rFonts w:ascii="Arial" w:cs="Arial" w:eastAsia="Arial" w:hAnsi="Arial"/>
          <w:sz w:val="22"/>
          <w:szCs w:val="22"/>
          <w:color w:val="0000FF"/>
        </w:rPr>
        <w:t xml:space="preserve"> </w:t>
      </w:r>
      <w:r>
        <w:rPr>
          <w:rFonts w:ascii="Arial" w:cs="Arial" w:eastAsia="Arial" w:hAnsi="Arial"/>
          <w:sz w:val="22"/>
          <w:szCs w:val="22"/>
          <w:color w:val="000000"/>
        </w:rPr>
        <w:t>for such Interest Period will not adequately and fairly reflect the cost to such Lenders of making or maintaining</w:t>
      </w:r>
      <w:r>
        <w:rPr>
          <w:rFonts w:ascii="Arial" w:cs="Arial" w:eastAsia="Arial" w:hAnsi="Arial"/>
          <w:sz w:val="22"/>
          <w:szCs w:val="22"/>
          <w:color w:val="0000FF"/>
        </w:rPr>
        <w:t xml:space="preserve"> </w:t>
      </w:r>
      <w:r>
        <w:rPr>
          <w:rFonts w:ascii="Arial" w:cs="Arial" w:eastAsia="Arial" w:hAnsi="Arial"/>
          <w:sz w:val="22"/>
          <w:szCs w:val="22"/>
          <w:color w:val="000000"/>
        </w:rPr>
        <w:t>their Loans included in such Borrowing for such Interest Period;</w:t>
      </w:r>
      <w:r>
        <w:rPr>
          <w:rFonts w:ascii="Arial" w:cs="Arial" w:eastAsia="Arial" w:hAnsi="Arial"/>
          <w:sz w:val="22"/>
          <w:szCs w:val="22"/>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93" w:name="page394"/>
    <w:bookmarkEnd w:id="393"/>
    <w:p>
      <w:pPr>
        <w:jc w:val="both"/>
        <w:spacing w:after="0" w:line="241" w:lineRule="auto"/>
        <w:rPr>
          <w:sz w:val="20"/>
          <w:szCs w:val="20"/>
          <w:color w:val="auto"/>
        </w:rPr>
      </w:pPr>
      <w:r>
        <w:rPr>
          <w:rFonts w:ascii="Arial" w:cs="Arial" w:eastAsia="Arial" w:hAnsi="Arial"/>
          <w:sz w:val="19"/>
          <w:szCs w:val="19"/>
          <w:color w:val="auto"/>
        </w:rPr>
        <w:t xml:space="preserve">then the Administrative Agent shall give notice thereof to the Borrower and the Lenders by telephone or telecopy as promptly as practicable thereafter and, until the Administrative Agent notifies the Borrower and the Lenders that the circumstances giving rise to such notice no longer exist, (i) any Interest Election Request that requests the conversion of any Borrowing denominated in such currency to, or continuation of any Borrowing denominated in such currency as, a </w:t>
      </w:r>
      <w:r>
        <w:rPr>
          <w:rFonts w:ascii="Arial" w:cs="Arial" w:eastAsia="Arial" w:hAnsi="Arial"/>
          <w:sz w:val="19"/>
          <w:szCs w:val="19"/>
          <w:color w:val="FF0000"/>
          <w:strike w:val="1"/>
        </w:rPr>
        <w:t>Eurocurrency Borrowing or</w:t>
      </w:r>
      <w:r>
        <w:rPr>
          <w:rFonts w:ascii="Arial" w:cs="Arial" w:eastAsia="Arial" w:hAnsi="Arial"/>
          <w:sz w:val="19"/>
          <w:szCs w:val="19"/>
          <w:color w:val="auto"/>
        </w:rPr>
        <w:t xml:space="preserve"> Term SOFR Borrowing, as applicable in such currency that is requested to be continued (A) if such currency is the Dollar</w:t>
      </w:r>
      <w:r>
        <w:rPr>
          <w:rFonts w:ascii="Arial" w:cs="Arial" w:eastAsia="Arial" w:hAnsi="Arial"/>
          <w:sz w:val="19"/>
          <w:szCs w:val="19"/>
          <w:color w:val="FF0000"/>
          <w:strike w:val="1"/>
        </w:rPr>
        <w:t>, (x) in the case of a</w:t>
      </w:r>
      <w:r>
        <w:rPr>
          <w:rFonts w:ascii="Arial" w:cs="Arial" w:eastAsia="Arial" w:hAnsi="Arial"/>
          <w:sz w:val="19"/>
          <w:szCs w:val="19"/>
          <w:color w:val="auto"/>
        </w:rPr>
        <w:t xml:space="preserve"> </w:t>
      </w:r>
      <w:r>
        <w:rPr>
          <w:rFonts w:ascii="Arial" w:cs="Arial" w:eastAsia="Arial" w:hAnsi="Arial"/>
          <w:sz w:val="19"/>
          <w:szCs w:val="19"/>
          <w:color w:val="FF0000"/>
          <w:strike w:val="1"/>
        </w:rPr>
        <w:t>Eurocurrency Borrowing, shall be converted to an ABR Borrowing denominated in Dollars on the last day of the Interest Period applicable thereto and (y) in the case of a Term SOFR Borrowing</w:t>
      </w:r>
      <w:r>
        <w:rPr>
          <w:rFonts w:ascii="Arial" w:cs="Arial" w:eastAsia="Arial" w:hAnsi="Arial"/>
          <w:sz w:val="19"/>
          <w:szCs w:val="19"/>
          <w:color w:val="000000"/>
          <w:strike w:val="1"/>
        </w:rPr>
        <w:t>, shall be converted into a Borrowing of Daily SOFR Loans, or,</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failing that, an ABR Borrowing on the last day of the Interest Period applicable thereto, (B) if such currency is the Euro, shall be converted to an ABR Borrowing denominated in Dollars on the last day of the Interest Period applicable thereto, and (C) if such currency is an Alternative Currency, shall bear interest at such rate as the Administrative Agent shall determine adequately and fairly reflects the cost to such Lenders of making or maintaining their Loans included in such Borrowing for such Interest Period </w:t>
      </w:r>
      <w:r>
        <w:rPr>
          <w:rFonts w:ascii="Arial" w:cs="Arial" w:eastAsia="Arial" w:hAnsi="Arial"/>
          <w:sz w:val="19"/>
          <w:szCs w:val="19"/>
          <w:u w:val="single" w:color="auto"/>
          <w:color w:val="000000"/>
          <w:strike w:val="1"/>
        </w:rPr>
        <w:t>plus</w:t>
      </w:r>
      <w:r>
        <w:rPr>
          <w:rFonts w:ascii="Arial" w:cs="Arial" w:eastAsia="Arial" w:hAnsi="Arial"/>
          <w:sz w:val="19"/>
          <w:szCs w:val="19"/>
          <w:color w:val="000000"/>
          <w:strike w:val="1"/>
        </w:rPr>
        <w:t xml:space="preserve"> the applicable percentage set forth in the definition of “Applicable Margin”; and (ii) if any Borrowing Request requests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strike w:val="1"/>
        </w:rPr>
        <w:t>Term SOFR</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Borrowing denominated in such currency, (A) if such currency is the Dollar</w:t>
      </w:r>
      <w:r>
        <w:rPr>
          <w:rFonts w:ascii="Arial" w:cs="Arial" w:eastAsia="Arial" w:hAnsi="Arial"/>
          <w:sz w:val="19"/>
          <w:szCs w:val="19"/>
          <w:color w:val="FF0000"/>
          <w:strike w:val="1"/>
        </w:rPr>
        <w:t xml:space="preserve"> (x) in the case of a Eurocurrency Borrowing, such Borrowing shall be made as an ABR Borrowing denominated in Dollars and (y) in the case of a Term SOFR Borrowing,</w:t>
      </w:r>
      <w:r>
        <w:rPr>
          <w:rFonts w:ascii="Arial" w:cs="Arial" w:eastAsia="Arial" w:hAnsi="Arial"/>
          <w:sz w:val="19"/>
          <w:szCs w:val="19"/>
          <w:u w:val="single" w:color="auto"/>
          <w:color w:val="0000FF"/>
          <w:strike w:val="1"/>
        </w:rPr>
        <w:t>,</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such Borrowing shall be made as a Borrowing of Daily SOFR Loans, or, failing that, an ABR</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Borrowing, and (B) if such currency is an Alternative Currency, such Borrowing Request shall be ineffective.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5935345</wp:posOffset>
            </wp:positionH>
            <wp:positionV relativeFrom="paragraph">
              <wp:posOffset>-491490</wp:posOffset>
            </wp:positionV>
            <wp:extent cx="12020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142" w:lineRule="exact"/>
        <w:rPr>
          <w:sz w:val="20"/>
          <w:szCs w:val="20"/>
          <w:color w:val="auto"/>
        </w:rPr>
      </w:pPr>
    </w:p>
    <w:p>
      <w:pPr>
        <w:jc w:val="both"/>
        <w:ind w:firstLine="1304"/>
        <w:spacing w:after="0"/>
        <w:tabs>
          <w:tab w:leader="none" w:pos="1768" w:val="left"/>
        </w:tabs>
        <w:numPr>
          <w:ilvl w:val="0"/>
          <w:numId w:val="40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or the other Loan Documents, if at any time there ceases to exist a </w:t>
      </w:r>
      <w:r>
        <w:rPr>
          <w:rFonts w:ascii="Arial" w:cs="Arial" w:eastAsia="Arial" w:hAnsi="Arial"/>
          <w:sz w:val="19"/>
          <w:szCs w:val="19"/>
          <w:color w:val="FF0000"/>
          <w:strike w:val="1"/>
        </w:rPr>
        <w:t>Eurocurrency Rate or other interbank rate in the London Market regulated or otherwise overseen or</w:t>
      </w:r>
      <w:r>
        <w:rPr>
          <w:rFonts w:ascii="Arial" w:cs="Arial" w:eastAsia="Arial" w:hAnsi="Arial"/>
          <w:sz w:val="19"/>
          <w:szCs w:val="19"/>
          <w:color w:val="auto"/>
        </w:rPr>
        <w:t xml:space="preserve"> </w:t>
      </w:r>
      <w:r>
        <w:rPr>
          <w:rFonts w:ascii="Arial" w:cs="Arial" w:eastAsia="Arial" w:hAnsi="Arial"/>
          <w:sz w:val="19"/>
          <w:szCs w:val="19"/>
          <w:color w:val="FF0000"/>
          <w:strike w:val="1"/>
        </w:rPr>
        <w:t>authorized by the ICE Benchmark Administration or U.K. Financial Conduct Authority</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for interest periods greater</w:t>
      </w:r>
      <w:r>
        <w:rPr>
          <w:rFonts w:ascii="Arial" w:cs="Arial" w:eastAsia="Arial" w:hAnsi="Arial"/>
          <w:sz w:val="19"/>
          <w:szCs w:val="19"/>
          <w:color w:val="FF0000"/>
        </w:rPr>
        <w:t xml:space="preserve"> </w:t>
      </w:r>
      <w:r>
        <w:rPr>
          <w:rFonts w:ascii="Arial" w:cs="Arial" w:eastAsia="Arial" w:hAnsi="Arial"/>
          <w:sz w:val="19"/>
          <w:szCs w:val="19"/>
          <w:color w:val="000000"/>
        </w:rPr>
        <w:t xml:space="preserve">than one Business Day or the Administrative Agent determines (which determination shall be conclusive absent manifest error) that (i) the circumstances set forth in </w:t>
      </w:r>
      <w:r>
        <w:rPr>
          <w:rFonts w:ascii="Arial" w:cs="Arial" w:eastAsia="Arial" w:hAnsi="Arial"/>
          <w:sz w:val="19"/>
          <w:szCs w:val="19"/>
          <w:u w:val="single" w:color="auto"/>
          <w:color w:val="000000"/>
        </w:rPr>
        <w:t>Section 2.14(a)</w:t>
      </w:r>
      <w:r>
        <w:rPr>
          <w:rFonts w:ascii="Arial" w:cs="Arial" w:eastAsia="Arial" w:hAnsi="Arial"/>
          <w:sz w:val="19"/>
          <w:szCs w:val="19"/>
          <w:color w:val="000000"/>
        </w:rPr>
        <w:t xml:space="preserve"> above have arisen and such circumstances are unlikely to be temporary, (ii) the circumstances above have not arisen but the supervisor for the administrator of the </w:t>
      </w:r>
      <w:r>
        <w:rPr>
          <w:rFonts w:ascii="Arial" w:cs="Arial" w:eastAsia="Arial" w:hAnsi="Arial"/>
          <w:sz w:val="19"/>
          <w:szCs w:val="19"/>
          <w:color w:val="FF0000"/>
          <w:strike w:val="1"/>
        </w:rPr>
        <w:t>Eurocurrency Rate</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or a Governmental Authority having jurisdiction over the Administrative Agent has made a public statement identifying a specific date after which the </w:t>
      </w:r>
      <w:r>
        <w:rPr>
          <w:rFonts w:ascii="Arial" w:cs="Arial" w:eastAsia="Arial" w:hAnsi="Arial"/>
          <w:sz w:val="19"/>
          <w:szCs w:val="19"/>
          <w:color w:val="FF0000"/>
          <w:strike w:val="1"/>
        </w:rPr>
        <w:t>Eurocurrency Rate</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shall no longer be used for determining interest rates for loans or (iii) syndicated loans currently being executed, or that include language similar to that contained in this paragraph, are being executed or amended (as applicable) to incorporate or adopt a new benchmark interest rate to replace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then the Administrative Agent and the Borrower shall endeavor to establish an alternate rate of interest to the </w:t>
      </w:r>
      <w:r>
        <w:rPr>
          <w:rFonts w:ascii="Arial" w:cs="Arial" w:eastAsia="Arial" w:hAnsi="Arial"/>
          <w:sz w:val="19"/>
          <w:szCs w:val="19"/>
          <w:color w:val="FF0000"/>
          <w:strike w:val="1"/>
        </w:rPr>
        <w:t>Eurocurrency Rate</w:t>
      </w:r>
      <w:r>
        <w:rPr>
          <w:rFonts w:ascii="Arial" w:cs="Arial" w:eastAsia="Arial" w:hAnsi="Arial"/>
          <w:sz w:val="19"/>
          <w:szCs w:val="19"/>
          <w:u w:val="single" w:color="auto"/>
          <w:color w:val="0000FF"/>
        </w:rPr>
        <w:t>Term</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color w:val="000000"/>
        </w:rPr>
        <w:t>that gives due consideration to the then prevailing market convention for determining a rate of interest for fixed periods for</w:t>
      </w:r>
      <w:r>
        <w:rPr>
          <w:rFonts w:ascii="Arial" w:cs="Arial" w:eastAsia="Arial" w:hAnsi="Arial"/>
          <w:sz w:val="19"/>
          <w:szCs w:val="19"/>
          <w:color w:val="0000FF"/>
        </w:rPr>
        <w:t xml:space="preserve"> </w:t>
      </w:r>
      <w:r>
        <w:rPr>
          <w:rFonts w:ascii="Arial" w:cs="Arial" w:eastAsia="Arial" w:hAnsi="Arial"/>
          <w:sz w:val="19"/>
          <w:szCs w:val="19"/>
          <w:color w:val="000000"/>
        </w:rPr>
        <w:t xml:space="preserve">syndicated loans in the United States at such time (it being agreed that such rate shall not result in a higher cost of funding than ABR borrowings), and shall enter into an amendment to the Loan Documents to reflect such alternate rate of interest and such other related changes as may be applicable which are agreed by the Borrower and the Administrative Agent at such time;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if such alternate rate of interest shall be less than zero, such rate shall be deemed to be zero for purposes of this Agreement. Notwithstanding anything to the contrary in the Loan Documents, such amendment shall become effective without any further action or consent of any other party to Loan Documents so long as the Administrative Agent shall not have received, within five Business Days of the date notice of such alternate rate of interest is provided to the Lenders, a written notice from the Required Lenders stating that they object to such amendment.</w:t>
      </w:r>
    </w:p>
    <w:p>
      <w:pPr>
        <w:spacing w:after="0" w:line="16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2.15</w:t>
      </w:r>
      <w:r>
        <w:rPr>
          <w:sz w:val="20"/>
          <w:szCs w:val="20"/>
          <w:color w:val="auto"/>
        </w:rPr>
        <w:tab/>
      </w:r>
      <w:r>
        <w:rPr>
          <w:rFonts w:ascii="Arial" w:cs="Arial" w:eastAsia="Arial" w:hAnsi="Arial"/>
          <w:sz w:val="19"/>
          <w:szCs w:val="19"/>
          <w:u w:val="single" w:color="auto"/>
          <w:color w:val="auto"/>
        </w:rPr>
        <w:t>Increased Costs; Illegality</w:t>
      </w:r>
      <w:r>
        <w:rPr>
          <w:rFonts w:ascii="Arial" w:cs="Arial" w:eastAsia="Arial" w:hAnsi="Arial"/>
          <w:sz w:val="19"/>
          <w:szCs w:val="19"/>
          <w:color w:val="auto"/>
        </w:rPr>
        <w:t>.</w:t>
      </w:r>
    </w:p>
    <w:p>
      <w:pPr>
        <w:spacing w:after="0" w:line="17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If any Change in Law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94" w:name="page395"/>
    <w:bookmarkEnd w:id="394"/>
    <w:p>
      <w:pPr>
        <w:jc w:val="both"/>
        <w:ind w:left="660" w:firstLine="644"/>
        <w:spacing w:after="0" w:line="268" w:lineRule="auto"/>
        <w:tabs>
          <w:tab w:leader="none" w:pos="1735" w:val="left"/>
        </w:tabs>
        <w:numPr>
          <w:ilvl w:val="0"/>
          <w:numId w:val="409"/>
        </w:numPr>
        <w:rPr>
          <w:rFonts w:ascii="Arial" w:cs="Arial" w:eastAsia="Arial" w:hAnsi="Arial"/>
          <w:sz w:val="19"/>
          <w:szCs w:val="19"/>
          <w:color w:val="auto"/>
        </w:rPr>
      </w:pPr>
      <w:r>
        <w:rPr>
          <w:rFonts w:ascii="Arial" w:cs="Arial" w:eastAsia="Arial" w:hAnsi="Arial"/>
          <w:sz w:val="19"/>
          <w:szCs w:val="19"/>
          <w:color w:val="auto"/>
        </w:rPr>
        <w:t xml:space="preserve">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w:t>
      </w:r>
      <w:r>
        <w:rPr>
          <w:rFonts w:ascii="Arial" w:cs="Arial" w:eastAsia="Arial" w:hAnsi="Arial"/>
          <w:sz w:val="19"/>
          <w:szCs w:val="19"/>
          <w:color w:val="FF0000"/>
          <w:strike w:val="1"/>
        </w:rPr>
        <w:t>Eurocurrency Rate or Adjusted</w:t>
      </w:r>
      <w:r>
        <w:rPr>
          <w:rFonts w:ascii="Arial" w:cs="Arial" w:eastAsia="Arial" w:hAnsi="Arial"/>
          <w:sz w:val="19"/>
          <w:szCs w:val="19"/>
          <w:color w:val="auto"/>
        </w:rPr>
        <w:t xml:space="preserve"> Term SOFR);</w:t>
      </w:r>
    </w:p>
    <w:p>
      <w:pPr>
        <w:spacing w:after="0" w:line="132" w:lineRule="exact"/>
        <w:rPr>
          <w:rFonts w:ascii="Arial" w:cs="Arial" w:eastAsia="Arial" w:hAnsi="Arial"/>
          <w:sz w:val="19"/>
          <w:szCs w:val="19"/>
          <w:color w:val="auto"/>
        </w:rPr>
      </w:pPr>
    </w:p>
    <w:p>
      <w:pPr>
        <w:jc w:val="both"/>
        <w:ind w:left="660" w:firstLine="644"/>
        <w:spacing w:after="0" w:line="223" w:lineRule="auto"/>
        <w:tabs>
          <w:tab w:leader="none" w:pos="1874" w:val="left"/>
        </w:tabs>
        <w:numPr>
          <w:ilvl w:val="0"/>
          <w:numId w:val="409"/>
        </w:numPr>
        <w:rPr>
          <w:rFonts w:ascii="Arial" w:cs="Arial" w:eastAsia="Arial" w:hAnsi="Arial"/>
          <w:sz w:val="22"/>
          <w:szCs w:val="22"/>
          <w:color w:val="auto"/>
        </w:rPr>
      </w:pPr>
      <w:r>
        <w:rPr>
          <w:rFonts w:ascii="Arial" w:cs="Arial" w:eastAsia="Arial" w:hAnsi="Arial"/>
          <w:sz w:val="22"/>
          <w:szCs w:val="22"/>
          <w:color w:val="auto"/>
        </w:rPr>
        <w:t xml:space="preserve">impose on any Lender or any Issuing Bank, the London interbank market or the Term SOFR market any other condition, cost or expense affecting this Agreement, </w:t>
      </w:r>
      <w:r>
        <w:rPr>
          <w:rFonts w:ascii="Arial" w:cs="Arial" w:eastAsia="Arial" w:hAnsi="Arial"/>
          <w:sz w:val="22"/>
          <w:szCs w:val="22"/>
          <w:color w:val="FF0000"/>
          <w:strike w:val="1"/>
        </w:rPr>
        <w:t>Eurocurrency Loans or</w:t>
      </w:r>
      <w:r>
        <w:rPr>
          <w:rFonts w:ascii="Arial" w:cs="Arial" w:eastAsia="Arial" w:hAnsi="Arial"/>
          <w:sz w:val="22"/>
          <w:szCs w:val="22"/>
          <w:color w:val="auto"/>
        </w:rPr>
        <w:t xml:space="preserve"> Term SOFR Loans made by such Lender or any Letter of Credit or participation therein; or</w:t>
      </w:r>
    </w:p>
    <w:p>
      <w:pPr>
        <w:spacing w:after="0" w:line="158" w:lineRule="exact"/>
        <w:rPr>
          <w:rFonts w:ascii="Arial" w:cs="Arial" w:eastAsia="Arial" w:hAnsi="Arial"/>
          <w:sz w:val="22"/>
          <w:szCs w:val="22"/>
          <w:color w:val="auto"/>
        </w:rPr>
      </w:pPr>
    </w:p>
    <w:p>
      <w:pPr>
        <w:jc w:val="both"/>
        <w:ind w:left="660" w:firstLine="644"/>
        <w:spacing w:after="0" w:line="234" w:lineRule="auto"/>
        <w:tabs>
          <w:tab w:leader="none" w:pos="1874" w:val="left"/>
        </w:tabs>
        <w:numPr>
          <w:ilvl w:val="0"/>
          <w:numId w:val="409"/>
        </w:numPr>
        <w:rPr>
          <w:rFonts w:ascii="Arial" w:cs="Arial" w:eastAsia="Arial" w:hAnsi="Arial"/>
          <w:sz w:val="21"/>
          <w:szCs w:val="21"/>
          <w:color w:val="auto"/>
        </w:rPr>
      </w:pPr>
      <w:r>
        <w:rPr>
          <w:rFonts w:ascii="Arial" w:cs="Arial" w:eastAsia="Arial" w:hAnsi="Arial"/>
          <w:sz w:val="21"/>
          <w:szCs w:val="21"/>
          <w:color w:val="auto"/>
        </w:rPr>
        <w:t xml:space="preserve">subject any Lender or any Issuing Bank to any additional Taxes of any kind whatsoever with respect to this Agreement or any Loan made by it, or change the basis of taxation of payments to such Lender in respect thereof (except, in each case, for Indemnified Taxes indemnifiable under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and any Excluded Taxes);</w:t>
      </w:r>
    </w:p>
    <w:p>
      <w:pPr>
        <w:spacing w:after="0" w:line="158"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and the result of any of the foregoing shall be to materially increase the cost to such Lender of making, converting to, continuing or maintaining any Loan (or of maintaining its obligation to make any such Loan) of the Borrower or to increase the cost to such Lender or such Issuing Bank of participating in, issuing or maintaining any Letter of Credit for the benefit of the Borrower or to reduce the amount of any sum received or receivable by such Lender or such Issuing Bank hereunder (whether of principal, interest or otherwise) from the Borrower, then the Borrower will pay to such Lender or such Issuing Bank, as the case may be, such additional amount or amounts as will compensate such Lender or such Issuing Bank, as the case may be, for such additional costs incurred or reduction suffered.</w:t>
      </w:r>
    </w:p>
    <w:p>
      <w:pPr>
        <w:spacing w:after="0" w:line="164" w:lineRule="exact"/>
        <w:rPr>
          <w:sz w:val="20"/>
          <w:szCs w:val="20"/>
          <w:color w:val="auto"/>
        </w:rPr>
      </w:pPr>
    </w:p>
    <w:p>
      <w:pPr>
        <w:jc w:val="both"/>
        <w:ind w:firstLine="1304"/>
        <w:spacing w:after="0" w:line="244" w:lineRule="auto"/>
        <w:tabs>
          <w:tab w:leader="none" w:pos="1852" w:val="left"/>
        </w:tabs>
        <w:numPr>
          <w:ilvl w:val="0"/>
          <w:numId w:val="410"/>
        </w:numPr>
        <w:rPr>
          <w:rFonts w:ascii="Arial" w:cs="Arial" w:eastAsia="Arial" w:hAnsi="Arial"/>
          <w:sz w:val="19"/>
          <w:szCs w:val="19"/>
          <w:color w:val="auto"/>
        </w:rPr>
      </w:pPr>
      <w:r>
        <w:rPr>
          <w:rFonts w:ascii="Arial" w:cs="Arial" w:eastAsia="Arial" w:hAnsi="Arial"/>
          <w:sz w:val="19"/>
          <w:szCs w:val="19"/>
          <w:color w:val="auto"/>
        </w:rPr>
        <w:t>If any Lender or any Issuing Bank determines in good faith that any Change in Law regarding capital or liquidity requirements has or would have the effect of materially reducing the rate of return on such Lender’s or such Issuing Bank’s capital or on the capital of such Lender’s or such Issuing Bank’s holding company, if any, as a consequence of this Agreement or the Loans made by, or participations in Letters of Credit held by such Lender to the Borrower or the Letters of Credit issued by such Issuing Bank for the benefit of the Borrower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and liquidity adequacy),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54" w:lineRule="exact"/>
        <w:rPr>
          <w:rFonts w:ascii="Arial" w:cs="Arial" w:eastAsia="Arial" w:hAnsi="Arial"/>
          <w:sz w:val="19"/>
          <w:szCs w:val="19"/>
          <w:color w:val="auto"/>
        </w:rPr>
      </w:pPr>
    </w:p>
    <w:p>
      <w:pPr>
        <w:jc w:val="both"/>
        <w:ind w:firstLine="1304"/>
        <w:spacing w:after="0" w:line="257" w:lineRule="auto"/>
        <w:tabs>
          <w:tab w:leader="none" w:pos="1820" w:val="left"/>
        </w:tabs>
        <w:numPr>
          <w:ilvl w:val="0"/>
          <w:numId w:val="410"/>
        </w:numPr>
        <w:rPr>
          <w:rFonts w:ascii="Arial" w:cs="Arial" w:eastAsia="Arial" w:hAnsi="Arial"/>
          <w:sz w:val="19"/>
          <w:szCs w:val="19"/>
          <w:color w:val="auto"/>
        </w:rPr>
      </w:pPr>
      <w:r>
        <w:rPr>
          <w:rFonts w:ascii="Arial" w:cs="Arial" w:eastAsia="Arial" w:hAnsi="Arial"/>
          <w:sz w:val="19"/>
          <w:szCs w:val="19"/>
          <w:color w:val="auto"/>
        </w:rPr>
        <w:t xml:space="preserve">A certificate of a Lender or an Issuing Bank setting forth the amount or amounts necessary to compensate such Lender or such Issuing Bank or its holding company, as the case may be, as specified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shall be delivered to the Borrower and shall be conclusive absent manifest error. The Borrower shall pay such Lender or such Issuing Bank, as the case may be, the amount shown as due on any such certificate within ten days after receipt thereof.</w:t>
      </w:r>
    </w:p>
    <w:p>
      <w:pPr>
        <w:spacing w:after="0" w:line="144" w:lineRule="exact"/>
        <w:rPr>
          <w:rFonts w:ascii="Arial" w:cs="Arial" w:eastAsia="Arial" w:hAnsi="Arial"/>
          <w:sz w:val="19"/>
          <w:szCs w:val="19"/>
          <w:color w:val="auto"/>
        </w:rPr>
      </w:pPr>
    </w:p>
    <w:p>
      <w:pPr>
        <w:jc w:val="both"/>
        <w:ind w:firstLine="1304"/>
        <w:spacing w:after="0" w:line="214" w:lineRule="auto"/>
        <w:tabs>
          <w:tab w:leader="none" w:pos="1849" w:val="left"/>
        </w:tabs>
        <w:numPr>
          <w:ilvl w:val="0"/>
          <w:numId w:val="410"/>
        </w:numPr>
        <w:rPr>
          <w:rFonts w:ascii="Arial" w:cs="Arial" w:eastAsia="Arial" w:hAnsi="Arial"/>
          <w:sz w:val="22"/>
          <w:szCs w:val="22"/>
          <w:color w:val="auto"/>
        </w:rPr>
      </w:pPr>
      <w:r>
        <w:rPr>
          <w:rFonts w:ascii="Arial" w:cs="Arial" w:eastAsia="Arial" w:hAnsi="Arial"/>
          <w:sz w:val="22"/>
          <w:szCs w:val="22"/>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not be required to compensate a Lender or an Issuing Bank pursuant to this Section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95" w:name="page396"/>
    <w:bookmarkEnd w:id="395"/>
    <w:p>
      <w:pPr>
        <w:spacing w:after="0" w:line="298" w:lineRule="auto"/>
        <w:rPr>
          <w:sz w:val="20"/>
          <w:szCs w:val="20"/>
          <w:color w:val="auto"/>
        </w:rPr>
      </w:pPr>
      <w:r>
        <w:rPr>
          <w:rFonts w:ascii="Arial" w:cs="Arial" w:eastAsia="Arial" w:hAnsi="Arial"/>
          <w:sz w:val="19"/>
          <w:szCs w:val="19"/>
          <w:color w:val="auto"/>
        </w:rPr>
        <w:t xml:space="preserve">compensation therefor,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05" w:lineRule="exact"/>
        <w:rPr>
          <w:sz w:val="20"/>
          <w:szCs w:val="20"/>
          <w:color w:val="auto"/>
        </w:rPr>
      </w:pPr>
    </w:p>
    <w:p>
      <w:pPr>
        <w:jc w:val="both"/>
        <w:ind w:firstLine="1304"/>
        <w:spacing w:after="0" w:line="242" w:lineRule="auto"/>
        <w:tabs>
          <w:tab w:leader="none" w:pos="1787" w:val="left"/>
        </w:tabs>
        <w:numPr>
          <w:ilvl w:val="0"/>
          <w:numId w:val="411"/>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herein, if the adoption of or any change in any Requirement of Law or in the interpretation or application thereof, in each case, first made after the Closing Date, shall make it unlawful for any Lender to make or maintain </w:t>
      </w:r>
      <w:r>
        <w:rPr>
          <w:rFonts w:ascii="Arial" w:cs="Arial" w:eastAsia="Arial" w:hAnsi="Arial"/>
          <w:sz w:val="19"/>
          <w:szCs w:val="19"/>
          <w:color w:val="FF0000"/>
          <w:strike w:val="1"/>
        </w:rPr>
        <w:t>Eurocurrency Loans or</w:t>
      </w:r>
      <w:r>
        <w:rPr>
          <w:rFonts w:ascii="Arial" w:cs="Arial" w:eastAsia="Arial" w:hAnsi="Arial"/>
          <w:sz w:val="19"/>
          <w:szCs w:val="19"/>
          <w:color w:val="auto"/>
        </w:rPr>
        <w:t xml:space="preserve"> Term SOFR Loans as contemplated by this Agreement, such Lender shall promptly give notice thereof to the Administrative Agent and the Borrower, and (a) the commitment of such Lender hereunder to make </w:t>
      </w:r>
      <w:r>
        <w:rPr>
          <w:rFonts w:ascii="Arial" w:cs="Arial" w:eastAsia="Arial" w:hAnsi="Arial"/>
          <w:sz w:val="19"/>
          <w:szCs w:val="19"/>
          <w:color w:val="FF0000"/>
          <w:strike w:val="1"/>
        </w:rPr>
        <w:t>Eurocurrency Loans or</w:t>
      </w:r>
      <w:r>
        <w:rPr>
          <w:rFonts w:ascii="Arial" w:cs="Arial" w:eastAsia="Arial" w:hAnsi="Arial"/>
          <w:sz w:val="19"/>
          <w:szCs w:val="19"/>
          <w:color w:val="FF0000"/>
        </w:rPr>
        <w:t xml:space="preserve"> </w:t>
      </w:r>
      <w:r>
        <w:rPr>
          <w:rFonts w:ascii="Arial" w:cs="Arial" w:eastAsia="Arial" w:hAnsi="Arial"/>
          <w:sz w:val="19"/>
          <w:szCs w:val="19"/>
          <w:color w:val="000000"/>
        </w:rPr>
        <w:t>Term SOFR Loans, continue</w:t>
      </w:r>
      <w:r>
        <w:rPr>
          <w:rFonts w:ascii="Arial" w:cs="Arial" w:eastAsia="Arial" w:hAnsi="Arial"/>
          <w:sz w:val="19"/>
          <w:szCs w:val="19"/>
          <w:color w:val="FF0000"/>
        </w:rPr>
        <w:t xml:space="preserve"> </w:t>
      </w:r>
      <w:r>
        <w:rPr>
          <w:rFonts w:ascii="Arial" w:cs="Arial" w:eastAsia="Arial" w:hAnsi="Arial"/>
          <w:sz w:val="19"/>
          <w:szCs w:val="19"/>
          <w:color w:val="FF0000"/>
          <w:strike w:val="1"/>
        </w:rPr>
        <w:t>Eurocurrency Loans or</w:t>
      </w:r>
      <w:r>
        <w:rPr>
          <w:rFonts w:ascii="Arial" w:cs="Arial" w:eastAsia="Arial" w:hAnsi="Arial"/>
          <w:sz w:val="19"/>
          <w:szCs w:val="19"/>
          <w:color w:val="FF0000"/>
        </w:rPr>
        <w:t xml:space="preserve"> </w:t>
      </w:r>
      <w:r>
        <w:rPr>
          <w:rFonts w:ascii="Arial" w:cs="Arial" w:eastAsia="Arial" w:hAnsi="Arial"/>
          <w:sz w:val="19"/>
          <w:szCs w:val="19"/>
          <w:color w:val="000000"/>
        </w:rPr>
        <w:t>Term SOFR Loans as such and convert ABR Loans</w:t>
      </w:r>
      <w:r>
        <w:rPr>
          <w:rFonts w:ascii="Arial" w:cs="Arial" w:eastAsia="Arial" w:hAnsi="Arial"/>
          <w:sz w:val="19"/>
          <w:szCs w:val="19"/>
          <w:color w:val="FF0000"/>
        </w:rPr>
        <w:t xml:space="preserve"> </w:t>
      </w:r>
      <w:r>
        <w:rPr>
          <w:rFonts w:ascii="Arial" w:cs="Arial" w:eastAsia="Arial" w:hAnsi="Arial"/>
          <w:sz w:val="19"/>
          <w:szCs w:val="19"/>
          <w:color w:val="000000"/>
        </w:rPr>
        <w:t xml:space="preserve">to </w:t>
      </w:r>
      <w:r>
        <w:rPr>
          <w:rFonts w:ascii="Arial" w:cs="Arial" w:eastAsia="Arial" w:hAnsi="Arial"/>
          <w:sz w:val="19"/>
          <w:szCs w:val="19"/>
          <w:color w:val="FF0000"/>
          <w:strike w:val="1"/>
        </w:rPr>
        <w:t>Eurocurrency Loans or</w:t>
      </w:r>
      <w:r>
        <w:rPr>
          <w:rFonts w:ascii="Arial" w:cs="Arial" w:eastAsia="Arial" w:hAnsi="Arial"/>
          <w:sz w:val="19"/>
          <w:szCs w:val="19"/>
          <w:color w:val="000000"/>
        </w:rPr>
        <w:t xml:space="preserve"> Term SOFR Loans shall be suspended during the period of such illegality, (b) such Lender’s Loans then outstanding as </w:t>
      </w:r>
      <w:r>
        <w:rPr>
          <w:rFonts w:ascii="Arial" w:cs="Arial" w:eastAsia="Arial" w:hAnsi="Arial"/>
          <w:sz w:val="19"/>
          <w:szCs w:val="19"/>
          <w:color w:val="FF0000"/>
          <w:strike w:val="1"/>
        </w:rPr>
        <w:t>Eurocurrency Loans or</w:t>
      </w:r>
      <w:r>
        <w:rPr>
          <w:rFonts w:ascii="Arial" w:cs="Arial" w:eastAsia="Arial" w:hAnsi="Arial"/>
          <w:sz w:val="19"/>
          <w:szCs w:val="19"/>
          <w:color w:val="000000"/>
        </w:rPr>
        <w:t xml:space="preserve"> Term SOFR Loans denominated in an Alternative Currency, if any, shall be prepaid by the Borrowers, or redenominated into Dollars in the amount of the Dollar Equivalent thereof, on the respective last days of then current Interest Periods with respect to such Loans or within such earlier period as required by law and (c) such Lender’s Loans then outstanding as </w:t>
      </w:r>
      <w:r>
        <w:rPr>
          <w:rFonts w:ascii="Arial" w:cs="Arial" w:eastAsia="Arial" w:hAnsi="Arial"/>
          <w:sz w:val="19"/>
          <w:szCs w:val="19"/>
          <w:color w:val="FF0000"/>
          <w:strike w:val="1"/>
        </w:rPr>
        <w:t>Eurocurrency Loans or</w:t>
      </w:r>
      <w:r>
        <w:rPr>
          <w:rFonts w:ascii="Arial" w:cs="Arial" w:eastAsia="Arial" w:hAnsi="Arial"/>
          <w:sz w:val="19"/>
          <w:szCs w:val="19"/>
          <w:color w:val="000000"/>
        </w:rPr>
        <w:t xml:space="preserve"> Term SOFR Loans, if any, shall be converted automatically to ABR Loans on the respective last days of the then current Interest Periods with respect to such Loans or within such earlier period as required by law. If any such conversion of a </w:t>
      </w:r>
      <w:r>
        <w:rPr>
          <w:rFonts w:ascii="Arial" w:cs="Arial" w:eastAsia="Arial" w:hAnsi="Arial"/>
          <w:sz w:val="19"/>
          <w:szCs w:val="19"/>
          <w:color w:val="FF0000"/>
          <w:strike w:val="1"/>
        </w:rPr>
        <w:t>Eurocurrency Loan or</w:t>
      </w:r>
      <w:r>
        <w:rPr>
          <w:rFonts w:ascii="Arial" w:cs="Arial" w:eastAsia="Arial" w:hAnsi="Arial"/>
          <w:sz w:val="19"/>
          <w:szCs w:val="19"/>
          <w:color w:val="000000"/>
        </w:rPr>
        <w:t xml:space="preserve"> Term SOFR Loan occurs on a day which is not the last day of the then current Interest Period with respect thereto, the Borrower shall pay to such Lender such amounts, if any, as may be required pursuant to </w:t>
      </w:r>
      <w:r>
        <w:rPr>
          <w:rFonts w:ascii="Arial" w:cs="Arial" w:eastAsia="Arial" w:hAnsi="Arial"/>
          <w:sz w:val="19"/>
          <w:szCs w:val="19"/>
          <w:u w:val="single" w:color="auto"/>
          <w:color w:val="000000"/>
        </w:rPr>
        <w:t>Section 2.16</w:t>
      </w:r>
      <w:r>
        <w:rPr>
          <w:rFonts w:ascii="Arial" w:cs="Arial" w:eastAsia="Arial" w:hAnsi="Arial"/>
          <w:sz w:val="19"/>
          <w:szCs w:val="19"/>
          <w:color w:val="000000"/>
        </w:rPr>
        <w:t>.</w:t>
      </w:r>
    </w:p>
    <w:p>
      <w:pPr>
        <w:spacing w:after="0" w:line="376" w:lineRule="exact"/>
        <w:rPr>
          <w:rFonts w:ascii="Arial" w:cs="Arial" w:eastAsia="Arial" w:hAnsi="Arial"/>
          <w:sz w:val="19"/>
          <w:szCs w:val="19"/>
          <w:color w:val="auto"/>
        </w:rPr>
      </w:pPr>
    </w:p>
    <w:p>
      <w:pPr>
        <w:jc w:val="both"/>
        <w:ind w:firstLine="1304"/>
        <w:spacing w:after="0" w:line="223" w:lineRule="auto"/>
        <w:tabs>
          <w:tab w:leader="none" w:pos="1784" w:val="left"/>
        </w:tabs>
        <w:numPr>
          <w:ilvl w:val="0"/>
          <w:numId w:val="411"/>
        </w:numPr>
        <w:rPr>
          <w:rFonts w:ascii="Arial" w:cs="Arial" w:eastAsia="Arial" w:hAnsi="Arial"/>
          <w:sz w:val="22"/>
          <w:szCs w:val="22"/>
          <w:color w:val="auto"/>
        </w:rPr>
      </w:pPr>
      <w:r>
        <w:rPr>
          <w:rFonts w:ascii="Arial" w:cs="Arial" w:eastAsia="Arial" w:hAnsi="Arial"/>
          <w:sz w:val="22"/>
          <w:szCs w:val="22"/>
          <w:color w:val="auto"/>
        </w:rPr>
        <w:t>For the avoidance of doubt, invalidity of the Term SOFR determined pursuant to clause (a) thereof without giving effect to clause (a)(ii) thereof shall not affect ability of the Borrower to incur Daily SOFR Loans pursuant to clause (a)(ii) of the definition thereof.</w:t>
      </w:r>
    </w:p>
    <w:p>
      <w:pPr>
        <w:spacing w:after="0" w:line="159" w:lineRule="exact"/>
        <w:rPr>
          <w:sz w:val="20"/>
          <w:szCs w:val="20"/>
          <w:color w:val="auto"/>
        </w:rPr>
      </w:pPr>
    </w:p>
    <w:p>
      <w:pPr>
        <w:jc w:val="both"/>
        <w:ind w:firstLine="1296"/>
        <w:spacing w:after="0"/>
        <w:rPr>
          <w:sz w:val="20"/>
          <w:szCs w:val="20"/>
          <w:color w:val="auto"/>
        </w:rPr>
      </w:pPr>
      <w:r>
        <w:rPr>
          <w:rFonts w:ascii="Arial" w:cs="Arial" w:eastAsia="Arial" w:hAnsi="Arial"/>
          <w:sz w:val="19"/>
          <w:szCs w:val="19"/>
          <w:u w:val="single" w:color="auto"/>
          <w:color w:val="auto"/>
        </w:rPr>
        <w:t>Section 2.16 Break Funding Payments</w:t>
      </w:r>
      <w:r>
        <w:rPr>
          <w:rFonts w:ascii="Arial" w:cs="Arial" w:eastAsia="Arial" w:hAnsi="Arial"/>
          <w:sz w:val="19"/>
          <w:szCs w:val="19"/>
          <w:color w:val="auto"/>
        </w:rPr>
        <w:t xml:space="preserve">. In the event of (a) the payment by the Borrower of any principal of any </w:t>
      </w:r>
      <w:r>
        <w:rPr>
          <w:rFonts w:ascii="Arial" w:cs="Arial" w:eastAsia="Arial" w:hAnsi="Arial"/>
          <w:sz w:val="19"/>
          <w:szCs w:val="19"/>
          <w:color w:val="FF0000"/>
          <w:strike w:val="1"/>
        </w:rPr>
        <w:t>Eurocurrency Loan or</w:t>
      </w:r>
      <w:r>
        <w:rPr>
          <w:rFonts w:ascii="Arial" w:cs="Arial" w:eastAsia="Arial" w:hAnsi="Arial"/>
          <w:sz w:val="19"/>
          <w:szCs w:val="19"/>
          <w:color w:val="FF0000"/>
        </w:rPr>
        <w:t xml:space="preserve"> </w:t>
      </w:r>
      <w:r>
        <w:rPr>
          <w:rFonts w:ascii="Arial" w:cs="Arial" w:eastAsia="Arial" w:hAnsi="Arial"/>
          <w:sz w:val="19"/>
          <w:szCs w:val="19"/>
          <w:color w:val="000000"/>
        </w:rPr>
        <w:t>Term SOFR Loan other than on the last day of an Interest Period applicable thereto (including as a result</w:t>
      </w:r>
      <w:r>
        <w:rPr>
          <w:rFonts w:ascii="Arial" w:cs="Arial" w:eastAsia="Arial" w:hAnsi="Arial"/>
          <w:sz w:val="19"/>
          <w:szCs w:val="19"/>
          <w:color w:val="FF0000"/>
        </w:rPr>
        <w:t xml:space="preserve"> </w:t>
      </w:r>
      <w:r>
        <w:rPr>
          <w:rFonts w:ascii="Arial" w:cs="Arial" w:eastAsia="Arial" w:hAnsi="Arial"/>
          <w:sz w:val="19"/>
          <w:szCs w:val="19"/>
          <w:color w:val="000000"/>
        </w:rPr>
        <w:t xml:space="preserve">of an Event of Default), (b) the conversion by the Borrower of any </w:t>
      </w:r>
      <w:r>
        <w:rPr>
          <w:rFonts w:ascii="Arial" w:cs="Arial" w:eastAsia="Arial" w:hAnsi="Arial"/>
          <w:sz w:val="19"/>
          <w:szCs w:val="19"/>
          <w:color w:val="FF0000"/>
          <w:strike w:val="1"/>
        </w:rPr>
        <w:t>Eurocurrency Loan or</w:t>
      </w:r>
      <w:r>
        <w:rPr>
          <w:rFonts w:ascii="Arial" w:cs="Arial" w:eastAsia="Arial" w:hAnsi="Arial"/>
          <w:sz w:val="19"/>
          <w:szCs w:val="19"/>
          <w:color w:val="000000"/>
        </w:rPr>
        <w:t xml:space="preserve"> Term SOFR Loan other than on the last day of the Interest Period applicable thereto, (c) the failure by the Borrower to borrow, convert into, continue or prepay any </w:t>
      </w:r>
      <w:r>
        <w:rPr>
          <w:rFonts w:ascii="Arial" w:cs="Arial" w:eastAsia="Arial" w:hAnsi="Arial"/>
          <w:sz w:val="19"/>
          <w:szCs w:val="19"/>
          <w:color w:val="FF0000"/>
          <w:strike w:val="1"/>
        </w:rPr>
        <w:t>Eurocurrency Loan or</w:t>
      </w:r>
      <w:r>
        <w:rPr>
          <w:rFonts w:ascii="Arial" w:cs="Arial" w:eastAsia="Arial" w:hAnsi="Arial"/>
          <w:sz w:val="19"/>
          <w:szCs w:val="19"/>
          <w:color w:val="FF0000"/>
        </w:rPr>
        <w:t xml:space="preserve"> </w:t>
      </w:r>
      <w:r>
        <w:rPr>
          <w:rFonts w:ascii="Arial" w:cs="Arial" w:eastAsia="Arial" w:hAnsi="Arial"/>
          <w:sz w:val="19"/>
          <w:szCs w:val="19"/>
          <w:color w:val="000000"/>
        </w:rPr>
        <w:t>Term SOFR Loan on the date specified in any notice delivered pursuant hereto (regardless of whether such</w:t>
      </w:r>
      <w:r>
        <w:rPr>
          <w:rFonts w:ascii="Arial" w:cs="Arial" w:eastAsia="Arial" w:hAnsi="Arial"/>
          <w:sz w:val="19"/>
          <w:szCs w:val="19"/>
          <w:color w:val="FF0000"/>
        </w:rPr>
        <w:t xml:space="preserve"> </w:t>
      </w:r>
      <w:r>
        <w:rPr>
          <w:rFonts w:ascii="Arial" w:cs="Arial" w:eastAsia="Arial" w:hAnsi="Arial"/>
          <w:sz w:val="19"/>
          <w:szCs w:val="19"/>
          <w:color w:val="000000"/>
        </w:rPr>
        <w:t xml:space="preserve">notice may be revoked under </w:t>
      </w:r>
      <w:r>
        <w:rPr>
          <w:rFonts w:ascii="Arial" w:cs="Arial" w:eastAsia="Arial" w:hAnsi="Arial"/>
          <w:sz w:val="19"/>
          <w:szCs w:val="19"/>
          <w:u w:val="single" w:color="auto"/>
          <w:color w:val="000000"/>
        </w:rPr>
        <w:t>Section 2.11(h)</w:t>
      </w:r>
      <w:r>
        <w:rPr>
          <w:rFonts w:ascii="Arial" w:cs="Arial" w:eastAsia="Arial" w:hAnsi="Arial"/>
          <w:sz w:val="19"/>
          <w:szCs w:val="19"/>
          <w:color w:val="000000"/>
        </w:rPr>
        <w:t xml:space="preserve"> and is revoked in accordance therewith) or (d) the assignment of any </w:t>
      </w:r>
      <w:r>
        <w:rPr>
          <w:rFonts w:ascii="Arial" w:cs="Arial" w:eastAsia="Arial" w:hAnsi="Arial"/>
          <w:sz w:val="19"/>
          <w:szCs w:val="19"/>
          <w:color w:val="FF0000"/>
          <w:strike w:val="1"/>
        </w:rPr>
        <w:t>Eurocurrency</w:t>
      </w:r>
      <w:r>
        <w:rPr>
          <w:rFonts w:ascii="Arial" w:cs="Arial" w:eastAsia="Arial" w:hAnsi="Arial"/>
          <w:sz w:val="19"/>
          <w:szCs w:val="19"/>
          <w:color w:val="000000"/>
        </w:rPr>
        <w:t xml:space="preserve"> </w:t>
      </w:r>
      <w:r>
        <w:rPr>
          <w:rFonts w:ascii="Arial" w:cs="Arial" w:eastAsia="Arial" w:hAnsi="Arial"/>
          <w:sz w:val="19"/>
          <w:szCs w:val="19"/>
          <w:color w:val="FF0000"/>
          <w:strike w:val="1"/>
        </w:rPr>
        <w:t>Loan or</w:t>
      </w:r>
      <w:r>
        <w:rPr>
          <w:rFonts w:ascii="Arial" w:cs="Arial" w:eastAsia="Arial" w:hAnsi="Arial"/>
          <w:sz w:val="19"/>
          <w:szCs w:val="19"/>
          <w:color w:val="FF0000"/>
        </w:rPr>
        <w:t xml:space="preserve"> </w:t>
      </w:r>
      <w:r>
        <w:rPr>
          <w:rFonts w:ascii="Arial" w:cs="Arial" w:eastAsia="Arial" w:hAnsi="Arial"/>
          <w:sz w:val="19"/>
          <w:szCs w:val="19"/>
          <w:color w:val="000000"/>
        </w:rPr>
        <w:t>Term SOFR Loan other than on the last day of the Interest Period applicable thereto as a result of a request by the</w:t>
      </w:r>
      <w:r>
        <w:rPr>
          <w:rFonts w:ascii="Arial" w:cs="Arial" w:eastAsia="Arial" w:hAnsi="Arial"/>
          <w:sz w:val="19"/>
          <w:szCs w:val="19"/>
          <w:color w:val="FF0000"/>
        </w:rPr>
        <w:t xml:space="preserve"> </w:t>
      </w:r>
      <w:r>
        <w:rPr>
          <w:rFonts w:ascii="Arial" w:cs="Arial" w:eastAsia="Arial" w:hAnsi="Arial"/>
          <w:sz w:val="19"/>
          <w:szCs w:val="19"/>
          <w:color w:val="000000"/>
        </w:rPr>
        <w:t xml:space="preserve">Borrower pursuant to </w:t>
      </w:r>
      <w:r>
        <w:rPr>
          <w:rFonts w:ascii="Arial" w:cs="Arial" w:eastAsia="Arial" w:hAnsi="Arial"/>
          <w:sz w:val="19"/>
          <w:szCs w:val="19"/>
          <w:u w:val="single" w:color="auto"/>
          <w:color w:val="000000"/>
        </w:rPr>
        <w:t>Section 2.19</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Section 9.02(c)</w:t>
      </w:r>
      <w:r>
        <w:rPr>
          <w:rFonts w:ascii="Arial" w:cs="Arial" w:eastAsia="Arial" w:hAnsi="Arial"/>
          <w:sz w:val="19"/>
          <w:szCs w:val="19"/>
          <w:color w:val="000000"/>
        </w:rPr>
        <w:t xml:space="preserve">, then, in any such event, the Borrower shall compensate each Lender for the loss, cost and expense attributable to such event (other than loss of profit). In the case of a </w:t>
      </w:r>
      <w:r>
        <w:rPr>
          <w:rFonts w:ascii="Arial" w:cs="Arial" w:eastAsia="Arial" w:hAnsi="Arial"/>
          <w:sz w:val="19"/>
          <w:szCs w:val="19"/>
          <w:color w:val="FF0000"/>
          <w:strike w:val="1"/>
        </w:rPr>
        <w:t>Eurocurrency Loan or</w:t>
      </w:r>
      <w:r>
        <w:rPr>
          <w:rFonts w:ascii="Arial" w:cs="Arial" w:eastAsia="Arial" w:hAnsi="Arial"/>
          <w:sz w:val="19"/>
          <w:szCs w:val="19"/>
          <w:color w:val="000000"/>
        </w:rPr>
        <w:t xml:space="preserve"> Term SOFR Loan, such loss, cost or expense to any Lender shall be deemed to include an amount determined by such Lender to be the excess, if any, of (i) the amount of interest that would have accrued on the principal amount of such Loan had such event not occurred, at the Adjusted </w:t>
      </w:r>
      <w:r>
        <w:rPr>
          <w:rFonts w:ascii="Arial" w:cs="Arial" w:eastAsia="Arial" w:hAnsi="Arial"/>
          <w:sz w:val="19"/>
          <w:szCs w:val="19"/>
          <w:color w:val="FF0000"/>
          <w:strike w:val="1"/>
        </w:rPr>
        <w:t>Eurocurrency Rate or Adjusted</w:t>
      </w:r>
      <w:r>
        <w:rPr>
          <w:rFonts w:ascii="Arial" w:cs="Arial" w:eastAsia="Arial" w:hAnsi="Arial"/>
          <w:sz w:val="19"/>
          <w:szCs w:val="19"/>
          <w:color w:val="000000"/>
        </w:rPr>
        <w:t xml:space="preserve">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deposits in the applicable currency of a comparable amount and period from other banks in the </w:t>
      </w:r>
      <w:r>
        <w:rPr>
          <w:rFonts w:ascii="Arial" w:cs="Arial" w:eastAsia="Arial" w:hAnsi="Arial"/>
          <w:sz w:val="19"/>
          <w:szCs w:val="19"/>
          <w:color w:val="FF0000"/>
          <w:strike w:val="1"/>
        </w:rPr>
        <w:t>Eurocurrency</w:t>
      </w:r>
      <w:r>
        <w:rPr>
          <w:rFonts w:ascii="Arial" w:cs="Arial" w:eastAsia="Arial" w:hAnsi="Arial"/>
          <w:sz w:val="19"/>
          <w:szCs w:val="19"/>
          <w:color w:val="000000"/>
        </w:rPr>
        <w:t xml:space="preserve"> </w:t>
      </w:r>
      <w:r>
        <w:rPr>
          <w:rFonts w:ascii="Arial" w:cs="Arial" w:eastAsia="Arial" w:hAnsi="Arial"/>
          <w:sz w:val="19"/>
          <w:szCs w:val="19"/>
          <w:color w:val="FF0000"/>
          <w:strike w:val="1"/>
        </w:rPr>
        <w:t>market or</w:t>
      </w:r>
      <w:r>
        <w:rPr>
          <w:rFonts w:ascii="Arial" w:cs="Arial" w:eastAsia="Arial" w:hAnsi="Arial"/>
          <w:sz w:val="19"/>
          <w:szCs w:val="19"/>
          <w:color w:val="FF0000"/>
        </w:rPr>
        <w:t xml:space="preserve"> </w:t>
      </w:r>
      <w:r>
        <w:rPr>
          <w:rFonts w:ascii="Arial" w:cs="Arial" w:eastAsia="Arial" w:hAnsi="Arial"/>
          <w:sz w:val="19"/>
          <w:szCs w:val="19"/>
          <w:color w:val="000000"/>
        </w:rPr>
        <w:t>Term SOFR market. A certificate of any Lender setting forth any amount or amounts that such Lender is entitled to</w:t>
      </w:r>
      <w:r>
        <w:rPr>
          <w:rFonts w:ascii="Arial" w:cs="Arial" w:eastAsia="Arial" w:hAnsi="Arial"/>
          <w:sz w:val="19"/>
          <w:szCs w:val="19"/>
          <w:color w:val="FF0000"/>
        </w:rPr>
        <w:t xml:space="preserve"> </w:t>
      </w:r>
      <w:r>
        <w:rPr>
          <w:rFonts w:ascii="Arial" w:cs="Arial" w:eastAsia="Arial" w:hAnsi="Arial"/>
          <w:sz w:val="19"/>
          <w:szCs w:val="19"/>
          <w:color w:val="000000"/>
        </w:rPr>
        <w:t>receive pursuant to this Section shall be delivered to the Borrower and shall be conclusive absent manifest error. The Borrower shall pay such Lender the amount shown as due on any such certificate within thirty (30)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96" w:name="page397"/>
    <w:bookmarkEnd w:id="396"/>
    <w:p>
      <w:pPr>
        <w:jc w:val="both"/>
        <w:ind w:firstLine="1296"/>
        <w:spacing w:after="0" w:line="268" w:lineRule="auto"/>
        <w:rPr>
          <w:sz w:val="20"/>
          <w:szCs w:val="20"/>
          <w:color w:val="auto"/>
        </w:rPr>
      </w:pPr>
      <w:r>
        <w:rPr>
          <w:rFonts w:ascii="Arial" w:cs="Arial" w:eastAsia="Arial" w:hAnsi="Arial"/>
          <w:sz w:val="19"/>
          <w:szCs w:val="19"/>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pursuant to this Section for any costs incurred more than 180 days prior to the date of the event giving rise to such costs.</w:t>
      </w:r>
    </w:p>
    <w:p>
      <w:pPr>
        <w:spacing w:after="0" w:line="13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2.17</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9" w:lineRule="exact"/>
        <w:rPr>
          <w:sz w:val="20"/>
          <w:szCs w:val="20"/>
          <w:color w:val="auto"/>
        </w:rPr>
      </w:pPr>
    </w:p>
    <w:p>
      <w:pPr>
        <w:jc w:val="both"/>
        <w:ind w:firstLine="1304"/>
        <w:spacing w:after="0" w:line="246" w:lineRule="auto"/>
        <w:tabs>
          <w:tab w:leader="none" w:pos="1753" w:val="left"/>
        </w:tabs>
        <w:numPr>
          <w:ilvl w:val="0"/>
          <w:numId w:val="412"/>
        </w:numPr>
        <w:rPr>
          <w:rFonts w:ascii="Arial" w:cs="Arial" w:eastAsia="Arial" w:hAnsi="Arial"/>
          <w:sz w:val="19"/>
          <w:szCs w:val="19"/>
          <w:color w:val="auto"/>
        </w:rPr>
      </w:pPr>
      <w:r>
        <w:rPr>
          <w:rFonts w:ascii="Arial" w:cs="Arial" w:eastAsia="Arial" w:hAnsi="Arial"/>
          <w:sz w:val="19"/>
          <w:szCs w:val="19"/>
          <w:color w:val="auto"/>
        </w:rPr>
        <w:t xml:space="preserve">Each payment by or on account of any obligation of any Loan Party under any Loan Document shall be made without deduction or withholding for any Taxes, unless such deduction or withholding is required by any Requirement of Law. If any Loan Party or the Administrative Agent is so required to deduct or withhold Taxes, then such withholding agent shall so deduct or withhold and shall timely pay the full amount of deducted or withheld Taxes to the relevant Governmental Authority in accordance with any applicable law. To the extent such Taxes are Indemnified Taxes, then the amount payable by the applicable Loan Party shall be increased as necessary so that, net of such deduction or withholding (including such deduction or withholding applicable to additional amounts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the applicable Recipient receives the amount it would have received had no such deduction or withholding been made.</w:t>
      </w:r>
    </w:p>
    <w:p>
      <w:pPr>
        <w:spacing w:after="0" w:line="152" w:lineRule="exact"/>
        <w:rPr>
          <w:rFonts w:ascii="Arial" w:cs="Arial" w:eastAsia="Arial" w:hAnsi="Arial"/>
          <w:sz w:val="19"/>
          <w:szCs w:val="19"/>
          <w:color w:val="auto"/>
        </w:rPr>
      </w:pPr>
    </w:p>
    <w:p>
      <w:pPr>
        <w:ind w:firstLine="1304"/>
        <w:spacing w:after="0" w:line="298" w:lineRule="auto"/>
        <w:tabs>
          <w:tab w:leader="none" w:pos="1767" w:val="left"/>
        </w:tabs>
        <w:numPr>
          <w:ilvl w:val="0"/>
          <w:numId w:val="412"/>
        </w:numPr>
        <w:rPr>
          <w:rFonts w:ascii="Arial" w:cs="Arial" w:eastAsia="Arial" w:hAnsi="Arial"/>
          <w:sz w:val="19"/>
          <w:szCs w:val="19"/>
          <w:color w:val="auto"/>
        </w:rPr>
      </w:pPr>
      <w:r>
        <w:rPr>
          <w:rFonts w:ascii="Arial" w:cs="Arial" w:eastAsia="Arial" w:hAnsi="Arial"/>
          <w:sz w:val="19"/>
          <w:szCs w:val="19"/>
          <w:color w:val="auto"/>
        </w:rPr>
        <w:t>In addition, each Loan Party shall pay any Other Taxes to the relevant Governmental Authority in accordance with applicable law, or at the option of the Administrative Agent timely reimburse it for the payment of Other Taxes.</w:t>
      </w:r>
    </w:p>
    <w:p>
      <w:pPr>
        <w:spacing w:after="0" w:line="105" w:lineRule="exact"/>
        <w:rPr>
          <w:rFonts w:ascii="Arial" w:cs="Arial" w:eastAsia="Arial" w:hAnsi="Arial"/>
          <w:sz w:val="19"/>
          <w:szCs w:val="19"/>
          <w:color w:val="auto"/>
        </w:rPr>
      </w:pPr>
    </w:p>
    <w:p>
      <w:pPr>
        <w:jc w:val="both"/>
        <w:ind w:firstLine="1304"/>
        <w:spacing w:after="0" w:line="218" w:lineRule="auto"/>
        <w:tabs>
          <w:tab w:leader="none" w:pos="1753" w:val="left"/>
        </w:tabs>
        <w:numPr>
          <w:ilvl w:val="0"/>
          <w:numId w:val="412"/>
        </w:numPr>
        <w:rPr>
          <w:rFonts w:ascii="Arial" w:cs="Arial" w:eastAsia="Arial" w:hAnsi="Arial"/>
          <w:sz w:val="22"/>
          <w:szCs w:val="22"/>
          <w:color w:val="auto"/>
        </w:rPr>
      </w:pPr>
      <w:r>
        <w:rPr>
          <w:rFonts w:ascii="Arial" w:cs="Arial" w:eastAsia="Arial" w:hAnsi="Arial"/>
          <w:sz w:val="22"/>
          <w:szCs w:val="22"/>
          <w:color w:val="auto"/>
        </w:rPr>
        <w:t xml:space="preserve">As promptly as possible after any payment of Taxes by a Loan Party to a Governmental Authority pursuant to this </w:t>
      </w:r>
      <w:r>
        <w:rPr>
          <w:rFonts w:ascii="Arial" w:cs="Arial" w:eastAsia="Arial" w:hAnsi="Arial"/>
          <w:sz w:val="22"/>
          <w:szCs w:val="22"/>
          <w:u w:val="single" w:color="auto"/>
          <w:color w:val="auto"/>
        </w:rPr>
        <w:t>Section 2.17</w:t>
      </w:r>
      <w:r>
        <w:rPr>
          <w:rFonts w:ascii="Arial" w:cs="Arial" w:eastAsia="Arial" w:hAnsi="Arial"/>
          <w:sz w:val="22"/>
          <w:szCs w:val="22"/>
          <w:color w:val="auto"/>
        </w:rPr>
        <w:t>, such Loan Party shall deliver to the Administrative Agent the original or a certified copy of a receipt issued by such Governmental Authority evidencing such payment or other evidence of such payment reasonably satisfactory to the Administrative Agent.</w:t>
      </w:r>
    </w:p>
    <w:p>
      <w:pPr>
        <w:spacing w:after="0" w:line="160" w:lineRule="exact"/>
        <w:rPr>
          <w:rFonts w:ascii="Arial" w:cs="Arial" w:eastAsia="Arial" w:hAnsi="Arial"/>
          <w:sz w:val="22"/>
          <w:szCs w:val="22"/>
          <w:color w:val="auto"/>
        </w:rPr>
      </w:pPr>
    </w:p>
    <w:p>
      <w:pPr>
        <w:jc w:val="both"/>
        <w:ind w:firstLine="1304"/>
        <w:spacing w:after="0" w:line="242" w:lineRule="auto"/>
        <w:tabs>
          <w:tab w:leader="none" w:pos="1801" w:val="left"/>
        </w:tabs>
        <w:numPr>
          <w:ilvl w:val="0"/>
          <w:numId w:val="412"/>
        </w:numPr>
        <w:rPr>
          <w:rFonts w:ascii="Arial" w:cs="Arial" w:eastAsia="Arial" w:hAnsi="Arial"/>
          <w:sz w:val="19"/>
          <w:szCs w:val="19"/>
          <w:color w:val="auto"/>
        </w:rPr>
      </w:pPr>
      <w:r>
        <w:rPr>
          <w:rFonts w:ascii="Arial" w:cs="Arial" w:eastAsia="Arial" w:hAnsi="Arial"/>
          <w:sz w:val="19"/>
          <w:szCs w:val="19"/>
          <w:color w:val="auto"/>
        </w:rPr>
        <w:t xml:space="preserve">The Loan Parties shall indemnify each Recipient for the full amount of any Indemnified Taxes that are paid or payable by such Recipient in connection with any Loan Document (including Indemnified Taxes imposed or asserted on or attributable to amounts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for which such Loan Party has failed to remit to the Administrative Agent the required receipts or other required documentary evidence and any expenses arising therefrom or with respect thereto, whether or not such Indemnified Taxes were correctly or legally imposed or asserted;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 Recipient does not notify the Loan Parties of any indemnification claim under this Section 2.17(d) within 180 days after such Recipient has received written notice of the claim of a taxing authority giving rise to such indemnification claim, the Loan Parties shall not be required to indemnify such Recipient for any incremental interest or penalties resulting from such Recipient’s failure to notify the Loan Parties within such 180-day period. The indemnity under this </w:t>
      </w:r>
      <w:r>
        <w:rPr>
          <w:rFonts w:ascii="Arial" w:cs="Arial" w:eastAsia="Arial" w:hAnsi="Arial"/>
          <w:sz w:val="19"/>
          <w:szCs w:val="19"/>
          <w:u w:val="single" w:color="auto"/>
          <w:color w:val="auto"/>
        </w:rPr>
        <w:t>Section 2.17(d)</w:t>
      </w:r>
      <w:r>
        <w:rPr>
          <w:rFonts w:ascii="Arial" w:cs="Arial" w:eastAsia="Arial" w:hAnsi="Arial"/>
          <w:sz w:val="19"/>
          <w:szCs w:val="19"/>
          <w:color w:val="auto"/>
        </w:rPr>
        <w:t xml:space="preserve"> shall be paid within 30 days after the Recipient (or the Administrative Agent, on behalf of such Recipient) delivers to the applicable Loan Party a certificate stating the amount of Indemnified Taxes so payable by such Recipient. Such certificate shall be conclusive of the amount so payable absent manifest error. Such Recipient shall deliver a copy of such certificate to the Administrative Agent.</w:t>
      </w:r>
    </w:p>
    <w:p>
      <w:pPr>
        <w:spacing w:after="0" w:line="164" w:lineRule="exact"/>
        <w:rPr>
          <w:rFonts w:ascii="Arial" w:cs="Arial" w:eastAsia="Arial" w:hAnsi="Arial"/>
          <w:sz w:val="19"/>
          <w:szCs w:val="19"/>
          <w:color w:val="auto"/>
        </w:rPr>
      </w:pPr>
    </w:p>
    <w:p>
      <w:pPr>
        <w:jc w:val="both"/>
        <w:ind w:firstLine="1304"/>
        <w:spacing w:after="0" w:line="249" w:lineRule="auto"/>
        <w:tabs>
          <w:tab w:leader="none" w:pos="1816" w:val="left"/>
        </w:tabs>
        <w:numPr>
          <w:ilvl w:val="0"/>
          <w:numId w:val="412"/>
        </w:numPr>
        <w:rPr>
          <w:rFonts w:ascii="Arial" w:cs="Arial" w:eastAsia="Arial" w:hAnsi="Arial"/>
          <w:sz w:val="19"/>
          <w:szCs w:val="19"/>
          <w:color w:val="auto"/>
        </w:rPr>
      </w:pPr>
      <w:r>
        <w:rPr>
          <w:rFonts w:ascii="Arial" w:cs="Arial" w:eastAsia="Arial" w:hAnsi="Arial"/>
          <w:sz w:val="19"/>
          <w:szCs w:val="19"/>
          <w:color w:val="auto"/>
        </w:rPr>
        <w:t>(i) Any Lender that is entitled to an exemption from, or reduction of, any applicable withholding Tax with respect to any payments under any Loan Document shall deliver to the Borrower and the Administrative Agent, at the time or times prescribed by law or reasonably requested by the Borrower or the Administrative Agent, such properly completed and executed documentation reasonably requested by the Borrower or the Administrative Agent as will permit such payments to be made without, or at a reduced rate of, withholding. In addition, any Lender, if requested by the Borrower or the Administrative Agent, shall deliver such other documentation prescribed by law or reasonably requested by the Borrower or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97" w:name="page398"/>
    <w:bookmarkEnd w:id="397"/>
    <w:p>
      <w:pPr>
        <w:jc w:val="both"/>
        <w:spacing w:after="0" w:line="243" w:lineRule="auto"/>
        <w:rPr>
          <w:sz w:val="20"/>
          <w:szCs w:val="20"/>
          <w:color w:val="auto"/>
        </w:rPr>
      </w:pPr>
      <w:r>
        <w:rPr>
          <w:rFonts w:ascii="Arial" w:cs="Arial" w:eastAsia="Arial" w:hAnsi="Arial"/>
          <w:sz w:val="19"/>
          <w:szCs w:val="19"/>
          <w:color w:val="auto"/>
        </w:rPr>
        <w:t xml:space="preserve">Agent as will enable the Borrower or the Administrative Agent to determine whether or not such Lender is subject to U.S. backup withholding or information reporting requirements, or any other U.S. or non-U.S. withholding requirements. Upon the reasonable request of the Borrower or the Administrative Agent, any Lender shall update any form or certification previously delivered pursuant to this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If any form or certification previously delivered pursuant to this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expires or becomes obsolete or inaccurate in any respect with respect to a Lender, such Lender shall promptly (and in any event within 10 days after such expiration, obsolescence or inaccuracy) notify the Borrower and the Administrative Agent in writing of such expiration, obsolescence or inaccuracy and update the form or certification if it is legally eligible to do so. Notwithstanding anything to the contrary, the completion, execution and submission of such documentation (other than such documentation set forth in </w:t>
      </w:r>
      <w:r>
        <w:rPr>
          <w:rFonts w:ascii="Arial" w:cs="Arial" w:eastAsia="Arial" w:hAnsi="Arial"/>
          <w:sz w:val="19"/>
          <w:szCs w:val="19"/>
          <w:u w:val="single" w:color="auto"/>
          <w:color w:val="auto"/>
        </w:rPr>
        <w:t>Section 2.17(e) (ii)(A)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380" w:lineRule="exact"/>
        <w:rPr>
          <w:sz w:val="20"/>
          <w:szCs w:val="20"/>
          <w:color w:val="auto"/>
        </w:rPr>
      </w:pPr>
    </w:p>
    <w:p>
      <w:pPr>
        <w:jc w:val="both"/>
        <w:ind w:left="660" w:firstLine="644"/>
        <w:spacing w:after="0" w:line="223" w:lineRule="auto"/>
        <w:tabs>
          <w:tab w:leader="none" w:pos="1826" w:val="left"/>
        </w:tabs>
        <w:numPr>
          <w:ilvl w:val="0"/>
          <w:numId w:val="413"/>
        </w:numPr>
        <w:rPr>
          <w:rFonts w:ascii="Arial" w:cs="Arial" w:eastAsia="Arial" w:hAnsi="Arial"/>
          <w:sz w:val="22"/>
          <w:szCs w:val="22"/>
          <w:color w:val="auto"/>
        </w:rPr>
      </w:pPr>
      <w:r>
        <w:rPr>
          <w:rFonts w:ascii="Arial" w:cs="Arial" w:eastAsia="Arial" w:hAnsi="Arial"/>
          <w:sz w:val="22"/>
          <w:szCs w:val="22"/>
          <w:color w:val="auto"/>
        </w:rPr>
        <w:t>Without limiting the generality of the foregoing any Lender shall, if it is legally eligible to do so, deliver to the Borrower and the Administrative Agent on or prior to the date on which such Lender becomes a party hereto, two duly completed and executed original copies of whichever of the following is applicable:</w:t>
      </w:r>
    </w:p>
    <w:p>
      <w:pPr>
        <w:spacing w:after="0" w:line="158" w:lineRule="exact"/>
        <w:rPr>
          <w:rFonts w:ascii="Arial" w:cs="Arial" w:eastAsia="Arial" w:hAnsi="Arial"/>
          <w:sz w:val="22"/>
          <w:szCs w:val="22"/>
          <w:color w:val="auto"/>
        </w:rPr>
      </w:pPr>
    </w:p>
    <w:p>
      <w:pPr>
        <w:ind w:left="1300" w:firstLine="652"/>
        <w:spacing w:after="0" w:line="232" w:lineRule="auto"/>
        <w:tabs>
          <w:tab w:leader="none" w:pos="2523" w:val="left"/>
        </w:tabs>
        <w:numPr>
          <w:ilvl w:val="1"/>
          <w:numId w:val="413"/>
        </w:numPr>
        <w:rPr>
          <w:rFonts w:ascii="Arial" w:cs="Arial" w:eastAsia="Arial" w:hAnsi="Arial"/>
          <w:sz w:val="22"/>
          <w:szCs w:val="22"/>
          <w:color w:val="auto"/>
        </w:rPr>
      </w:pPr>
      <w:r>
        <w:rPr>
          <w:rFonts w:ascii="Arial" w:cs="Arial" w:eastAsia="Arial" w:hAnsi="Arial"/>
          <w:sz w:val="22"/>
          <w:szCs w:val="22"/>
          <w:color w:val="auto"/>
        </w:rPr>
        <w:t>in the case of a Lender that is a U.S. Person, IRS Form W-9 certifying that such Lender is exempt from U.S. federal backup withholding;</w:t>
      </w:r>
    </w:p>
    <w:p>
      <w:pPr>
        <w:spacing w:after="0" w:line="158" w:lineRule="exact"/>
        <w:rPr>
          <w:rFonts w:ascii="Arial" w:cs="Arial" w:eastAsia="Arial" w:hAnsi="Arial"/>
          <w:sz w:val="22"/>
          <w:szCs w:val="22"/>
          <w:color w:val="auto"/>
        </w:rPr>
      </w:pPr>
    </w:p>
    <w:p>
      <w:pPr>
        <w:ind w:left="1300" w:firstLine="652"/>
        <w:spacing w:after="0" w:line="232" w:lineRule="auto"/>
        <w:tabs>
          <w:tab w:leader="none" w:pos="2529" w:val="left"/>
        </w:tabs>
        <w:numPr>
          <w:ilvl w:val="1"/>
          <w:numId w:val="413"/>
        </w:numPr>
        <w:rPr>
          <w:rFonts w:ascii="Arial" w:cs="Arial" w:eastAsia="Arial" w:hAnsi="Arial"/>
          <w:sz w:val="22"/>
          <w:szCs w:val="22"/>
          <w:color w:val="auto"/>
        </w:rPr>
      </w:pPr>
      <w:r>
        <w:rPr>
          <w:rFonts w:ascii="Arial" w:cs="Arial" w:eastAsia="Arial" w:hAnsi="Arial"/>
          <w:sz w:val="22"/>
          <w:szCs w:val="22"/>
          <w:color w:val="auto"/>
        </w:rPr>
        <w:t>in the case of a Foreign Lender claiming the benefits of an income tax treaty to which the United States is a party, IRS Form W-8BEN or W-8BEN-E (or any successor form);</w:t>
      </w:r>
    </w:p>
    <w:p>
      <w:pPr>
        <w:spacing w:after="0" w:line="158" w:lineRule="exact"/>
        <w:rPr>
          <w:rFonts w:ascii="Arial" w:cs="Arial" w:eastAsia="Arial" w:hAnsi="Arial"/>
          <w:sz w:val="22"/>
          <w:szCs w:val="22"/>
          <w:color w:val="auto"/>
        </w:rPr>
      </w:pPr>
    </w:p>
    <w:p>
      <w:pPr>
        <w:jc w:val="both"/>
        <w:ind w:left="1300" w:firstLine="652"/>
        <w:spacing w:after="0" w:line="223" w:lineRule="auto"/>
        <w:tabs>
          <w:tab w:leader="none" w:pos="2530" w:val="left"/>
        </w:tabs>
        <w:numPr>
          <w:ilvl w:val="1"/>
          <w:numId w:val="413"/>
        </w:numPr>
        <w:rPr>
          <w:rFonts w:ascii="Arial" w:cs="Arial" w:eastAsia="Arial" w:hAnsi="Arial"/>
          <w:sz w:val="22"/>
          <w:szCs w:val="22"/>
          <w:color w:val="auto"/>
        </w:rPr>
      </w:pPr>
      <w:r>
        <w:rPr>
          <w:rFonts w:ascii="Arial" w:cs="Arial" w:eastAsia="Arial" w:hAnsi="Arial"/>
          <w:sz w:val="22"/>
          <w:szCs w:val="22"/>
          <w:color w:val="auto"/>
        </w:rPr>
        <w:t>in the case of a Foreign Lender for whom payments under any Loan Document constitute income that is effectively connected with such Lender’s conduct of a trade or business in the United States, IRS Form W-8ECI (or any successor form);</w:t>
      </w:r>
    </w:p>
    <w:p>
      <w:pPr>
        <w:spacing w:after="0" w:line="158" w:lineRule="exact"/>
        <w:rPr>
          <w:rFonts w:ascii="Arial" w:cs="Arial" w:eastAsia="Arial" w:hAnsi="Arial"/>
          <w:sz w:val="22"/>
          <w:szCs w:val="22"/>
          <w:color w:val="auto"/>
        </w:rPr>
      </w:pPr>
    </w:p>
    <w:p>
      <w:pPr>
        <w:jc w:val="both"/>
        <w:ind w:left="1300" w:firstLine="652"/>
        <w:spacing w:after="0" w:line="234" w:lineRule="auto"/>
        <w:tabs>
          <w:tab w:leader="none" w:pos="2534" w:val="left"/>
        </w:tabs>
        <w:numPr>
          <w:ilvl w:val="1"/>
          <w:numId w:val="413"/>
        </w:numPr>
        <w:rPr>
          <w:rFonts w:ascii="Arial" w:cs="Arial" w:eastAsia="Arial" w:hAnsi="Arial"/>
          <w:sz w:val="21"/>
          <w:szCs w:val="21"/>
          <w:color w:val="auto"/>
        </w:rPr>
      </w:pPr>
      <w:r>
        <w:rPr>
          <w:rFonts w:ascii="Arial" w:cs="Arial" w:eastAsia="Arial" w:hAnsi="Arial"/>
          <w:sz w:val="21"/>
          <w:szCs w:val="21"/>
          <w:color w:val="auto"/>
        </w:rPr>
        <w:t xml:space="preserve">in the case of a Foreign Lender claiming the benefits of the exemption for portfolio interest under Section 871(h) or 881(c) of the Code both (1) IRS Form W-8BEN or W-8BEN-E (or any successor form) and (2) a certificate substantially in the form of the applicable </w:t>
      </w:r>
      <w:r>
        <w:rPr>
          <w:rFonts w:ascii="Arial" w:cs="Arial" w:eastAsia="Arial" w:hAnsi="Arial"/>
          <w:sz w:val="21"/>
          <w:szCs w:val="21"/>
          <w:u w:val="single" w:color="auto"/>
          <w:color w:val="auto"/>
        </w:rPr>
        <w:t>Exhibit H</w:t>
      </w:r>
      <w:r>
        <w:rPr>
          <w:rFonts w:ascii="Arial" w:cs="Arial" w:eastAsia="Arial" w:hAnsi="Arial"/>
          <w:sz w:val="21"/>
          <w:szCs w:val="21"/>
          <w:color w:val="auto"/>
        </w:rPr>
        <w:t xml:space="preserve"> (a “</w:t>
      </w:r>
      <w:r>
        <w:rPr>
          <w:rFonts w:ascii="Arial" w:cs="Arial" w:eastAsia="Arial" w:hAnsi="Arial"/>
          <w:sz w:val="21"/>
          <w:szCs w:val="21"/>
          <w:u w:val="single" w:color="auto"/>
          <w:color w:val="auto"/>
        </w:rPr>
        <w:t>U.S. Tax Certificate</w:t>
      </w:r>
      <w:r>
        <w:rPr>
          <w:rFonts w:ascii="Arial" w:cs="Arial" w:eastAsia="Arial" w:hAnsi="Arial"/>
          <w:sz w:val="21"/>
          <w:szCs w:val="21"/>
          <w:color w:val="auto"/>
        </w:rPr>
        <w:t>”);</w:t>
      </w:r>
    </w:p>
    <w:p>
      <w:pPr>
        <w:spacing w:after="0" w:line="157" w:lineRule="exact"/>
        <w:rPr>
          <w:rFonts w:ascii="Arial" w:cs="Arial" w:eastAsia="Arial" w:hAnsi="Arial"/>
          <w:sz w:val="21"/>
          <w:szCs w:val="21"/>
          <w:color w:val="auto"/>
        </w:rPr>
      </w:pPr>
    </w:p>
    <w:p>
      <w:pPr>
        <w:jc w:val="both"/>
        <w:ind w:left="1300" w:firstLine="652"/>
        <w:spacing w:after="0" w:line="247" w:lineRule="auto"/>
        <w:tabs>
          <w:tab w:leader="none" w:pos="2501" w:val="left"/>
        </w:tabs>
        <w:numPr>
          <w:ilvl w:val="1"/>
          <w:numId w:val="413"/>
        </w:numPr>
        <w:rPr>
          <w:rFonts w:ascii="Arial" w:cs="Arial" w:eastAsia="Arial" w:hAnsi="Arial"/>
          <w:sz w:val="19"/>
          <w:szCs w:val="19"/>
          <w:color w:val="auto"/>
        </w:rPr>
      </w:pPr>
      <w:r>
        <w:rPr>
          <w:rFonts w:ascii="Arial" w:cs="Arial" w:eastAsia="Arial" w:hAnsi="Arial"/>
          <w:sz w:val="19"/>
          <w:szCs w:val="19"/>
          <w:color w:val="auto"/>
        </w:rPr>
        <w:t xml:space="preserve">in the case of a Foreign Lender that is not the beneficial owner of payments made under any Loan Document (including a partnership or a participating Lender), (1) an IRS Form W-8IMY on behalf of itself and (2) the relevant forms prescribed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2.17(e)(ii)</w:t>
      </w:r>
      <w:r>
        <w:rPr>
          <w:rFonts w:ascii="Arial" w:cs="Arial" w:eastAsia="Arial" w:hAnsi="Arial"/>
          <w:sz w:val="19"/>
          <w:szCs w:val="19"/>
          <w:color w:val="auto"/>
        </w:rPr>
        <w:t xml:space="preserve"> that would be required of each such beneficial owner or partner of such partnership if such beneficial owner or partner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Lender is a partnership for U.S. federal income tax purposes and one or more of its partners are claiming the exemption for portfolio interest under Section 871(h) or 881(c) of the Code, such Lender may provide a U.S. Tax Certificate on behalf of such partners; or</w:t>
      </w:r>
    </w:p>
    <w:p>
      <w:pPr>
        <w:spacing w:after="0" w:line="153" w:lineRule="exact"/>
        <w:rPr>
          <w:rFonts w:ascii="Arial" w:cs="Arial" w:eastAsia="Arial" w:hAnsi="Arial"/>
          <w:sz w:val="19"/>
          <w:szCs w:val="19"/>
          <w:color w:val="auto"/>
        </w:rPr>
      </w:pPr>
    </w:p>
    <w:p>
      <w:pPr>
        <w:jc w:val="both"/>
        <w:ind w:left="1300" w:firstLine="652"/>
        <w:spacing w:after="0" w:line="268" w:lineRule="auto"/>
        <w:tabs>
          <w:tab w:leader="none" w:pos="2519" w:val="left"/>
        </w:tabs>
        <w:numPr>
          <w:ilvl w:val="1"/>
          <w:numId w:val="413"/>
        </w:numPr>
        <w:rPr>
          <w:rFonts w:ascii="Arial" w:cs="Arial" w:eastAsia="Arial" w:hAnsi="Arial"/>
          <w:sz w:val="19"/>
          <w:szCs w:val="19"/>
          <w:color w:val="auto"/>
        </w:rPr>
      </w:pPr>
      <w:r>
        <w:rPr>
          <w:rFonts w:ascii="Arial" w:cs="Arial" w:eastAsia="Arial" w:hAnsi="Arial"/>
          <w:sz w:val="19"/>
          <w:szCs w:val="19"/>
          <w:color w:val="auto"/>
        </w:rPr>
        <w:t>any other form prescribed by law as a basis for claiming exemption from, or a reduction of, U.S. federal withholding Tax together with such supplementary documentation necessary to enable the Borrower or the Administrative Agent to determine the amount of such Tax (if any) required by law to be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98" w:name="page399"/>
    <w:bookmarkEnd w:id="398"/>
    <w:p>
      <w:pPr>
        <w:jc w:val="both"/>
        <w:ind w:left="660" w:firstLine="644"/>
        <w:spacing w:after="0" w:line="244" w:lineRule="auto"/>
        <w:tabs>
          <w:tab w:leader="none" w:pos="1848" w:val="left"/>
        </w:tabs>
        <w:numPr>
          <w:ilvl w:val="0"/>
          <w:numId w:val="414"/>
        </w:numPr>
        <w:rPr>
          <w:rFonts w:ascii="Arial" w:cs="Arial" w:eastAsia="Arial" w:hAnsi="Arial"/>
          <w:sz w:val="19"/>
          <w:szCs w:val="19"/>
          <w:color w:val="auto"/>
        </w:rPr>
      </w:pPr>
      <w:r>
        <w:rPr>
          <w:rFonts w:ascii="Arial" w:cs="Arial" w:eastAsia="Arial" w:hAnsi="Arial"/>
          <w:sz w:val="19"/>
          <w:szCs w:val="19"/>
          <w:color w:val="auto"/>
        </w:rPr>
        <w:t xml:space="preserve">If a payment made to any Lender would be subject to U.S. federal withholding Tax imposed under FATCA if such Lender were to fail to comply with the applicable reporting requirements of FATCA (including those contained in Section 1471(b) or 1472(b) of the Code, as applicable), such Lender shall deliver to the Borrower and Administrative Agent, at the time or times prescribed by law and at such time or times reasonably requested by the Borrower or the Administrative Agent, such documentation prescribed by applicable law (including as prescribed by Section 1471(b)(3) (C)(i) of the Code) and such other documentation reasonably requested by the Borrower and the Administrative Agent as may be necessary for the Administrative Agent and the Borrower to comply with their obligations under FATCA, to determine whether such Lender has or has not complied with such Lender’s FATCA obligations and to determine the amount, if any, to deduct and withhold from such payment. Solely for purposes of this </w:t>
      </w:r>
      <w:r>
        <w:rPr>
          <w:rFonts w:ascii="Arial" w:cs="Arial" w:eastAsia="Arial" w:hAnsi="Arial"/>
          <w:sz w:val="19"/>
          <w:szCs w:val="19"/>
          <w:u w:val="single" w:color="auto"/>
          <w:color w:val="auto"/>
        </w:rPr>
        <w:t>Section 2.17(e)(iii)</w:t>
      </w:r>
      <w:r>
        <w:rPr>
          <w:rFonts w:ascii="Arial" w:cs="Arial" w:eastAsia="Arial" w:hAnsi="Arial"/>
          <w:sz w:val="19"/>
          <w:szCs w:val="19"/>
          <w:color w:val="auto"/>
        </w:rPr>
        <w:t>, “FATCA” shall include any amendments after the date of this Agreement.</w:t>
      </w:r>
    </w:p>
    <w:p>
      <w:pPr>
        <w:spacing w:after="0" w:line="154" w:lineRule="exact"/>
        <w:rPr>
          <w:rFonts w:ascii="Arial" w:cs="Arial" w:eastAsia="Arial" w:hAnsi="Arial"/>
          <w:sz w:val="19"/>
          <w:szCs w:val="19"/>
          <w:color w:val="auto"/>
        </w:rPr>
      </w:pPr>
    </w:p>
    <w:p>
      <w:pPr>
        <w:ind w:left="660" w:firstLine="644"/>
        <w:spacing w:after="0" w:line="232" w:lineRule="auto"/>
        <w:tabs>
          <w:tab w:leader="none" w:pos="1901" w:val="left"/>
        </w:tabs>
        <w:numPr>
          <w:ilvl w:val="0"/>
          <w:numId w:val="414"/>
        </w:numPr>
        <w:rPr>
          <w:rFonts w:ascii="Arial" w:cs="Arial" w:eastAsia="Arial" w:hAnsi="Arial"/>
          <w:sz w:val="22"/>
          <w:szCs w:val="22"/>
          <w:color w:val="auto"/>
        </w:rPr>
      </w:pPr>
      <w:r>
        <w:rPr>
          <w:rFonts w:ascii="Arial" w:cs="Arial" w:eastAsia="Arial" w:hAnsi="Arial"/>
          <w:sz w:val="22"/>
          <w:szCs w:val="22"/>
          <w:color w:val="auto"/>
        </w:rPr>
        <w:t>Notwithstanding any other provision of this Section 2.17</w:t>
      </w:r>
      <w:r>
        <w:rPr>
          <w:rFonts w:ascii="Arial" w:cs="Arial" w:eastAsia="Arial" w:hAnsi="Arial"/>
          <w:sz w:val="22"/>
          <w:szCs w:val="22"/>
          <w:u w:val="single" w:color="auto"/>
          <w:color w:val="auto"/>
        </w:rPr>
        <w:t>(e)</w:t>
      </w:r>
      <w:r>
        <w:rPr>
          <w:rFonts w:ascii="Arial" w:cs="Arial" w:eastAsia="Arial" w:hAnsi="Arial"/>
          <w:sz w:val="22"/>
          <w:szCs w:val="22"/>
          <w:color w:val="auto"/>
        </w:rPr>
        <w:t>, a Lender shall not be required to deliver any form that such Lender is not legally eligible to deliver.</w:t>
      </w:r>
    </w:p>
    <w:p>
      <w:pPr>
        <w:spacing w:after="0" w:line="159" w:lineRule="exact"/>
        <w:rPr>
          <w:sz w:val="20"/>
          <w:szCs w:val="20"/>
          <w:color w:val="auto"/>
        </w:rPr>
      </w:pPr>
    </w:p>
    <w:p>
      <w:pPr>
        <w:jc w:val="both"/>
        <w:ind w:firstLine="1304"/>
        <w:spacing w:after="0" w:line="241" w:lineRule="auto"/>
        <w:tabs>
          <w:tab w:leader="none" w:pos="1885" w:val="left"/>
        </w:tabs>
        <w:numPr>
          <w:ilvl w:val="0"/>
          <w:numId w:val="415"/>
        </w:numPr>
        <w:rPr>
          <w:rFonts w:ascii="Arial" w:cs="Arial" w:eastAsia="Arial" w:hAnsi="Arial"/>
          <w:sz w:val="19"/>
          <w:szCs w:val="19"/>
          <w:color w:val="auto"/>
        </w:rPr>
      </w:pPr>
      <w:r>
        <w:rPr>
          <w:rFonts w:ascii="Arial" w:cs="Arial" w:eastAsia="Arial" w:hAnsi="Arial"/>
          <w:sz w:val="19"/>
          <w:szCs w:val="19"/>
          <w:color w:val="auto"/>
        </w:rPr>
        <w:t xml:space="preserve">If any Recipient determines, in its sole discretion (in good faith), that it has received a refund of any Indemnified Taxes as to which it has been indemnified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(including additional amounts paid by any Loan Party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it shall promptly pay to the indemnifying party an amount equal to such refund (but only to the extent of indemnity payments made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with respect to the Taxes giving rise to such refund), net of all reasonable out-of-pocket expenses (including any Taxes) of such Recipient and without interest (other than any net after tax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indemnifying party, upon the request of such Recipient, shall repay to such Recipient the amount paid to such indemnifying party pursuant to the previous sentence (plus any penalties, interest or other charges imposed by the relevant Governmental Authority) in the event such Recipient is required to repay such refund to such Governmental Authority. Notwithstanding anything to the contrary in this </w:t>
      </w:r>
      <w:r>
        <w:rPr>
          <w:rFonts w:ascii="Arial" w:cs="Arial" w:eastAsia="Arial" w:hAnsi="Arial"/>
          <w:sz w:val="19"/>
          <w:szCs w:val="19"/>
          <w:u w:val="single" w:color="auto"/>
          <w:color w:val="auto"/>
        </w:rPr>
        <w:t>Section 2.17(f)</w:t>
      </w:r>
      <w:r>
        <w:rPr>
          <w:rFonts w:ascii="Arial" w:cs="Arial" w:eastAsia="Arial" w:hAnsi="Arial"/>
          <w:sz w:val="19"/>
          <w:szCs w:val="19"/>
          <w:color w:val="auto"/>
        </w:rPr>
        <w:t xml:space="preserve"> in no event will any Recipient be required to pay any amount to an indemnifying party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2.17(f)</w:t>
      </w:r>
      <w:r>
        <w:rPr>
          <w:rFonts w:ascii="Arial" w:cs="Arial" w:eastAsia="Arial" w:hAnsi="Arial"/>
          <w:sz w:val="19"/>
          <w:szCs w:val="19"/>
          <w:color w:val="auto"/>
        </w:rPr>
        <w:t xml:space="preserve"> the payment of which would place the Recipient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9"/>
          <w:szCs w:val="19"/>
          <w:u w:val="single" w:color="auto"/>
          <w:color w:val="auto"/>
        </w:rPr>
        <w:t>Section 2.17(f)</w:t>
      </w:r>
      <w:r>
        <w:rPr>
          <w:rFonts w:ascii="Arial" w:cs="Arial" w:eastAsia="Arial" w:hAnsi="Arial"/>
          <w:sz w:val="19"/>
          <w:szCs w:val="19"/>
          <w:color w:val="auto"/>
        </w:rPr>
        <w:t xml:space="preserve"> shall not be construed to require any Recipient to make available its Tax returns (or any other information relating to its Taxes that it deems confidential) to any Loan Party or any other Person.</w:t>
      </w:r>
    </w:p>
    <w:p>
      <w:pPr>
        <w:spacing w:after="0" w:line="384" w:lineRule="exact"/>
        <w:rPr>
          <w:rFonts w:ascii="Arial" w:cs="Arial" w:eastAsia="Arial" w:hAnsi="Arial"/>
          <w:sz w:val="19"/>
          <w:szCs w:val="19"/>
          <w:color w:val="auto"/>
        </w:rPr>
      </w:pPr>
    </w:p>
    <w:p>
      <w:pPr>
        <w:ind w:left="1780" w:hanging="476"/>
        <w:spacing w:after="0"/>
        <w:tabs>
          <w:tab w:leader="none" w:pos="1780" w:val="left"/>
        </w:tabs>
        <w:numPr>
          <w:ilvl w:val="0"/>
          <w:numId w:val="415"/>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jc w:val="both"/>
        <w:ind w:firstLine="1304"/>
        <w:spacing w:after="0" w:line="218" w:lineRule="auto"/>
        <w:tabs>
          <w:tab w:leader="none" w:pos="1827" w:val="left"/>
        </w:tabs>
        <w:numPr>
          <w:ilvl w:val="0"/>
          <w:numId w:val="415"/>
        </w:numPr>
        <w:rPr>
          <w:rFonts w:ascii="Arial" w:cs="Arial" w:eastAsia="Arial" w:hAnsi="Arial"/>
          <w:sz w:val="22"/>
          <w:szCs w:val="22"/>
          <w:color w:val="auto"/>
        </w:rPr>
      </w:pPr>
      <w:r>
        <w:rPr>
          <w:rFonts w:ascii="Arial" w:cs="Arial" w:eastAsia="Arial" w:hAnsi="Arial"/>
          <w:sz w:val="22"/>
          <w:szCs w:val="22"/>
          <w:color w:val="auto"/>
        </w:rPr>
        <w:t xml:space="preserve">The agreements in this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shall survive the resignation and/or replacement of the Administrative Agent, any assignment of rights by, or the replacement of, a Lender, the termination of the Commitments and the repayment, satisfaction or discharge of all other Obligations. For the avoidance of doubt, for purposes of this </w:t>
      </w:r>
      <w:r>
        <w:rPr>
          <w:rFonts w:ascii="Arial" w:cs="Arial" w:eastAsia="Arial" w:hAnsi="Arial"/>
          <w:sz w:val="22"/>
          <w:szCs w:val="22"/>
          <w:u w:val="single" w:color="auto"/>
          <w:color w:val="auto"/>
        </w:rPr>
        <w:t>Section 2.17</w:t>
      </w:r>
      <w:r>
        <w:rPr>
          <w:rFonts w:ascii="Arial" w:cs="Arial" w:eastAsia="Arial" w:hAnsi="Arial"/>
          <w:sz w:val="22"/>
          <w:szCs w:val="22"/>
          <w:color w:val="auto"/>
        </w:rPr>
        <w:t>, the term “Lender” includes any Issuing Bank.</w:t>
      </w:r>
    </w:p>
    <w:p>
      <w:pPr>
        <w:spacing w:after="0" w:line="16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2.18</w:t>
      </w:r>
      <w:r>
        <w:rPr>
          <w:sz w:val="20"/>
          <w:szCs w:val="20"/>
          <w:color w:val="auto"/>
        </w:rPr>
        <w:tab/>
      </w:r>
      <w:r>
        <w:rPr>
          <w:rFonts w:ascii="Arial" w:cs="Arial" w:eastAsia="Arial" w:hAnsi="Arial"/>
          <w:sz w:val="19"/>
          <w:szCs w:val="19"/>
          <w:u w:val="single" w:color="auto"/>
          <w:color w:val="auto"/>
        </w:rPr>
        <w:t>Payments Generally; Pro Rata Treatment; Sharing of Setoffs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57" w:lineRule="auto"/>
        <w:tabs>
          <w:tab w:leader="none" w:pos="1827" w:val="left"/>
        </w:tabs>
        <w:numPr>
          <w:ilvl w:val="0"/>
          <w:numId w:val="416"/>
        </w:numPr>
        <w:rPr>
          <w:rFonts w:ascii="Arial" w:cs="Arial" w:eastAsia="Arial" w:hAnsi="Arial"/>
          <w:sz w:val="19"/>
          <w:szCs w:val="19"/>
          <w:color w:val="auto"/>
        </w:rPr>
      </w:pPr>
      <w:r>
        <w:rPr>
          <w:rFonts w:ascii="Arial" w:cs="Arial" w:eastAsia="Arial" w:hAnsi="Arial"/>
          <w:sz w:val="19"/>
          <w:szCs w:val="19"/>
          <w:color w:val="auto"/>
        </w:rPr>
        <w:t xml:space="preserve">The Borrower shall make each payment required to be made by it under any Loan Document (whether of principal, interest, fees or reimbursement of LC Disbursements, or of amounts payable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or otherwise) prior to the time expressly required hereunder or under such other Loan Document for such payment (or, if no such time is expressly required, prior to 12:00 p.m., New York City time), on the date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399" w:name="page400"/>
    <w:bookmarkEnd w:id="399"/>
    <w:p>
      <w:pPr>
        <w:jc w:val="both"/>
        <w:spacing w:after="0" w:line="242" w:lineRule="auto"/>
        <w:rPr>
          <w:sz w:val="20"/>
          <w:szCs w:val="20"/>
          <w:color w:val="auto"/>
        </w:rPr>
      </w:pPr>
      <w:r>
        <w:rPr>
          <w:rFonts w:ascii="Arial" w:cs="Arial" w:eastAsia="Arial" w:hAnsi="Arial"/>
          <w:sz w:val="19"/>
          <w:szCs w:val="19"/>
          <w:color w:val="auto"/>
        </w:rPr>
        <w:t xml:space="preserve">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Agent’s Office, except payments to be made directly to an Issuing Bank or Swingline Lender as expressly provided herein and except that payments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2.12(d)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Unless otherwise provided herein,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under each Loan Document of principal or interest in respect of any Loan (or of any breakage indemnity in respect of any Loan) shall be made in the currency of such Loan and, except as otherwise set forth in any Loan Document, all other payments under each Loan Document shall be made in Dollars.</w:t>
      </w:r>
    </w:p>
    <w:p>
      <w:pPr>
        <w:spacing w:after="0" w:line="160" w:lineRule="exact"/>
        <w:rPr>
          <w:sz w:val="20"/>
          <w:szCs w:val="20"/>
          <w:color w:val="auto"/>
        </w:rPr>
      </w:pPr>
    </w:p>
    <w:p>
      <w:pPr>
        <w:jc w:val="both"/>
        <w:ind w:firstLine="1304"/>
        <w:spacing w:after="0" w:line="224" w:lineRule="auto"/>
        <w:tabs>
          <w:tab w:leader="none" w:pos="1837" w:val="left"/>
        </w:tabs>
        <w:numPr>
          <w:ilvl w:val="1"/>
          <w:numId w:val="417"/>
        </w:numPr>
        <w:rPr>
          <w:rFonts w:ascii="Arial" w:cs="Arial" w:eastAsia="Arial" w:hAnsi="Arial"/>
          <w:sz w:val="21"/>
          <w:szCs w:val="21"/>
          <w:color w:val="auto"/>
        </w:rPr>
      </w:pPr>
      <w:r>
        <w:rPr>
          <w:rFonts w:ascii="Arial" w:cs="Arial" w:eastAsia="Arial" w:hAnsi="Arial"/>
          <w:sz w:val="21"/>
          <w:szCs w:val="21"/>
          <w:color w:val="auto"/>
        </w:rPr>
        <w:t xml:space="preserve">If at any time insufficient funds are received by and available to the Administrative Agent to pay fully all amounts of principal, unreimbursed LC Disbursements, interest and fees then due hereunder, such funds shall be applied (i)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21"/>
          <w:szCs w:val="21"/>
          <w:u w:val="single" w:color="auto"/>
          <w:color w:val="auto"/>
        </w:rPr>
        <w:t>second</w:t>
      </w:r>
      <w:r>
        <w:rPr>
          <w:rFonts w:ascii="Arial" w:cs="Arial" w:eastAsia="Arial" w:hAnsi="Arial"/>
          <w:sz w:val="21"/>
          <w:szCs w:val="21"/>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59" w:lineRule="exact"/>
        <w:rPr>
          <w:rFonts w:ascii="Arial" w:cs="Arial" w:eastAsia="Arial" w:hAnsi="Arial"/>
          <w:sz w:val="21"/>
          <w:szCs w:val="21"/>
          <w:color w:val="auto"/>
        </w:rPr>
      </w:pPr>
    </w:p>
    <w:p>
      <w:pPr>
        <w:jc w:val="both"/>
        <w:ind w:firstLine="1304"/>
        <w:spacing w:after="0" w:line="238" w:lineRule="auto"/>
        <w:tabs>
          <w:tab w:leader="none" w:pos="1980" w:val="left"/>
        </w:tabs>
        <w:numPr>
          <w:ilvl w:val="1"/>
          <w:numId w:val="417"/>
        </w:numPr>
        <w:rPr>
          <w:rFonts w:ascii="Arial" w:cs="Arial" w:eastAsia="Arial" w:hAnsi="Arial"/>
          <w:sz w:val="19"/>
          <w:szCs w:val="19"/>
          <w:color w:val="auto"/>
        </w:rPr>
      </w:pPr>
      <w:r>
        <w:rPr>
          <w:rFonts w:ascii="Arial" w:cs="Arial" w:eastAsia="Arial" w:hAnsi="Arial"/>
          <w:sz w:val="19"/>
          <w:szCs w:val="19"/>
          <w:color w:val="auto"/>
        </w:rPr>
        <w:t xml:space="preserve">If, other than as provided elsewhere herein, any Lender shall, by exercising any right of setoff or counterclaim,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or Swingline Loans and accrued interest thereon than the proportion received by any other Lender, then the Lender receiving such greater proportion shall purchase (for cash at face value) participations in the Revolving Loans, Term Loans and participations in LC Disbursements or Swingline Loans of other Lenders to the extent necessary so that the benefit of all such payments shall be shared by the Lenders ratably in accordance with the aggregate amount of principal of and accrued interest on their respective Revolving Loans of the applicable Class, Term Loans of the applicable Class and participations in LC Disbursements or Swingline Loans of the applicable Class,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(v) any payment or prepayment made by or on behalf of the Borrower or any other Loan Party pursuant to and in accordance with the express terms of this Agreement (including the application of funds arising from the existence of a Defaulting Lender), (w) the application of Cash Collateral provided in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from time to time (including the application of funds arising from the existence of a Defaulting Lender),</w:t>
      </w:r>
    </w:p>
    <w:p>
      <w:pPr>
        <w:spacing w:after="0" w:line="8" w:lineRule="exact"/>
        <w:rPr>
          <w:rFonts w:ascii="Arial" w:cs="Arial" w:eastAsia="Arial" w:hAnsi="Arial"/>
          <w:sz w:val="19"/>
          <w:szCs w:val="19"/>
          <w:color w:val="auto"/>
        </w:rPr>
      </w:pPr>
    </w:p>
    <w:p>
      <w:pPr>
        <w:jc w:val="both"/>
        <w:ind w:firstLine="8"/>
        <w:spacing w:after="0" w:line="211" w:lineRule="auto"/>
        <w:tabs>
          <w:tab w:leader="none" w:pos="330" w:val="left"/>
        </w:tabs>
        <w:numPr>
          <w:ilvl w:val="0"/>
          <w:numId w:val="418"/>
        </w:numPr>
        <w:rPr>
          <w:rFonts w:ascii="Arial" w:cs="Arial" w:eastAsia="Arial" w:hAnsi="Arial"/>
          <w:sz w:val="22"/>
          <w:szCs w:val="22"/>
          <w:color w:val="auto"/>
        </w:rPr>
      </w:pPr>
      <w:r>
        <w:rPr>
          <w:rFonts w:ascii="Arial" w:cs="Arial" w:eastAsia="Arial" w:hAnsi="Arial"/>
          <w:sz w:val="22"/>
          <w:szCs w:val="22"/>
          <w:color w:val="auto"/>
        </w:rPr>
        <w:t xml:space="preserve">any payment obtained by a Lender as consideration for the assignment of or sale of a participation in any of its Loans or participations in LC Disbursements to any assignee or participant or the termination of any Lender’s commitment and non-pro rata repayment of Liens pursuant to </w:t>
      </w:r>
      <w:r>
        <w:rPr>
          <w:rFonts w:ascii="Arial" w:cs="Arial" w:eastAsia="Arial" w:hAnsi="Arial"/>
          <w:sz w:val="22"/>
          <w:szCs w:val="22"/>
          <w:u w:val="single" w:color="auto"/>
          <w:color w:val="auto"/>
        </w:rPr>
        <w:t>Section 2.19(b)</w:t>
      </w:r>
      <w:r>
        <w:rPr>
          <w:rFonts w:ascii="Arial" w:cs="Arial" w:eastAsia="Arial" w:hAnsi="Arial"/>
          <w:sz w:val="22"/>
          <w:szCs w:val="22"/>
          <w:color w:val="auto"/>
        </w:rPr>
        <w:t>, (y) transactions in connection with an open market purchase or a Dutch Auction, or (z) in connection with a transaction pursuant to an Extension Offer, Refinancing Amendment or Incremental Credit Facility Amendment or amendment in connection with Refinanced Term Loans. For the avoidance of doubt, this Section shall not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00" w:name="page401"/>
    <w:bookmarkEnd w:id="400"/>
    <w:p>
      <w:pPr>
        <w:jc w:val="both"/>
        <w:spacing w:after="0" w:line="224" w:lineRule="auto"/>
        <w:rPr>
          <w:sz w:val="20"/>
          <w:szCs w:val="20"/>
          <w:color w:val="auto"/>
        </w:rPr>
      </w:pPr>
      <w:r>
        <w:rPr>
          <w:rFonts w:ascii="Arial" w:cs="Arial" w:eastAsia="Arial" w:hAnsi="Arial"/>
          <w:sz w:val="21"/>
          <w:szCs w:val="21"/>
          <w:color w:val="auto"/>
        </w:rPr>
        <w:t>the ability of the Holding Companies the Borrower or any Restricted Subsidiary to (i) purchase and retire Term Loans pursuant to an open market purchase or a Dutch Auction or (ii) pay principal, fees, premiums and interest with respect to Other Revolving Loans, Other Term Loans, Refinanced Term Loans, Incremental Revolving Loans or Incremental Term Loans following the effectiveness of any Refinancing Amendment, any Extension Offer or Incremental Credit Facility Amendment, as applicable, on a basis different from the Loans of such Class that will continue to be held by Lenders that were not Extending Lenders or Lenders pursuant to such Incremental Credit Facility Amendment, as applicable.</w:t>
      </w:r>
    </w:p>
    <w:p>
      <w:pPr>
        <w:spacing w:after="0" w:line="160" w:lineRule="exact"/>
        <w:rPr>
          <w:sz w:val="20"/>
          <w:szCs w:val="20"/>
          <w:color w:val="auto"/>
        </w:rPr>
      </w:pPr>
    </w:p>
    <w:p>
      <w:pPr>
        <w:jc w:val="both"/>
        <w:ind w:firstLine="1304"/>
        <w:spacing w:after="0" w:line="244" w:lineRule="auto"/>
        <w:tabs>
          <w:tab w:leader="none" w:pos="1772" w:val="left"/>
        </w:tabs>
        <w:numPr>
          <w:ilvl w:val="0"/>
          <w:numId w:val="419"/>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 prior to the date on which any payment is due to the Administrative Agent for the account of the Lenders or the Issuing Banks, as applicable, hereunder that the Borrower will not make such payment, the Administrative Agent may assume that the Borrower will make such payment on such date in accordance herewith and may, in reliance upon such assumption and in its sole discretion,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60" w:lineRule="exact"/>
        <w:rPr>
          <w:rFonts w:ascii="Arial" w:cs="Arial" w:eastAsia="Arial" w:hAnsi="Arial"/>
          <w:sz w:val="19"/>
          <w:szCs w:val="19"/>
          <w:color w:val="auto"/>
        </w:rPr>
      </w:pPr>
    </w:p>
    <w:p>
      <w:pPr>
        <w:jc w:val="both"/>
        <w:ind w:firstLine="1304"/>
        <w:spacing w:after="0" w:line="247" w:lineRule="auto"/>
        <w:tabs>
          <w:tab w:leader="none" w:pos="1868" w:val="left"/>
        </w:tabs>
        <w:numPr>
          <w:ilvl w:val="0"/>
          <w:numId w:val="419"/>
        </w:numPr>
        <w:rPr>
          <w:rFonts w:ascii="Arial" w:cs="Arial" w:eastAsia="Arial" w:hAnsi="Arial"/>
          <w:sz w:val="19"/>
          <w:szCs w:val="19"/>
          <w:color w:val="auto"/>
        </w:rPr>
      </w:pPr>
      <w:r>
        <w:rPr>
          <w:rFonts w:ascii="Arial" w:cs="Arial" w:eastAsia="Arial" w:hAnsi="Arial"/>
          <w:sz w:val="19"/>
          <w:szCs w:val="19"/>
          <w:color w:val="auto"/>
        </w:rPr>
        <w:t xml:space="preserve">(i) If any Lender shall fail to make any payment required to be made by it pursuant to Section 2.04(c), </w:t>
      </w:r>
      <w:r>
        <w:rPr>
          <w:rFonts w:ascii="Arial" w:cs="Arial" w:eastAsia="Arial" w:hAnsi="Arial"/>
          <w:sz w:val="19"/>
          <w:szCs w:val="19"/>
          <w:u w:val="single" w:color="auto"/>
          <w:color w:val="auto"/>
        </w:rPr>
        <w:t>Section 2.05(d)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2.18(d)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9.03(c)</w:t>
      </w:r>
      <w:r>
        <w:rPr>
          <w:rFonts w:ascii="Arial" w:cs="Arial" w:eastAsia="Arial" w:hAnsi="Arial"/>
          <w:sz w:val="19"/>
          <w:szCs w:val="19"/>
          <w:color w:val="auto"/>
        </w:rPr>
        <w:t xml:space="preserve">,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and/or (ii) hold such amounts in a segregated account over which the Administrative Agent shall have exclusive control as cash collateral for, and application to, any future funding obligations of such Lender under any such Section, in the case of each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in any order as determined by the Administrative Agent in its discretion.</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2.19</w:t>
      </w:r>
      <w:r>
        <w:rPr>
          <w:sz w:val="20"/>
          <w:szCs w:val="20"/>
          <w:color w:val="auto"/>
        </w:rPr>
        <w:tab/>
      </w:r>
      <w:r>
        <w:rPr>
          <w:rFonts w:ascii="Arial" w:cs="Arial" w:eastAsia="Arial" w:hAnsi="Arial"/>
          <w:sz w:val="19"/>
          <w:szCs w:val="19"/>
          <w:u w:val="single" w:color="auto"/>
          <w:color w:val="auto"/>
        </w:rPr>
        <w:t>Mitigation Obligations; Replacement of Lender</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1" w:lineRule="auto"/>
        <w:tabs>
          <w:tab w:leader="none" w:pos="1753" w:val="left"/>
        </w:tabs>
        <w:numPr>
          <w:ilvl w:val="0"/>
          <w:numId w:val="420"/>
        </w:numPr>
        <w:rPr>
          <w:rFonts w:ascii="Arial" w:cs="Arial" w:eastAsia="Arial" w:hAnsi="Arial"/>
          <w:sz w:val="21"/>
          <w:szCs w:val="21"/>
          <w:color w:val="auto"/>
        </w:rPr>
      </w:pPr>
      <w:r>
        <w:rPr>
          <w:rFonts w:ascii="Arial" w:cs="Arial" w:eastAsia="Arial" w:hAnsi="Arial"/>
          <w:sz w:val="21"/>
          <w:szCs w:val="21"/>
          <w:color w:val="auto"/>
        </w:rPr>
        <w:t xml:space="preserve">If any Lender requests compensation under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or if the Borrower is required to pay any additional amount to any Lender or any Governmental Authority for the account of any Lender pursuant to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2.17</w:t>
      </w:r>
      <w:r>
        <w:rPr>
          <w:rFonts w:ascii="Arial" w:cs="Arial" w:eastAsia="Arial" w:hAnsi="Arial"/>
          <w:sz w:val="21"/>
          <w:szCs w:val="21"/>
          <w:color w:val="auto"/>
        </w:rPr>
        <w:t>, as the case may be, in the future and (ii) would not subject such Lender to any unreimbursed cost or expense and would not be inconsistent with its internal policies or otherwise be disadvantageous to such Lender. The Borrower hereby agrees to pay all reasonable costs and expenses incurred by any Lender in connection with any such designation or assignment.</w:t>
      </w:r>
    </w:p>
    <w:p>
      <w:pPr>
        <w:spacing w:after="0" w:line="158" w:lineRule="exact"/>
        <w:rPr>
          <w:rFonts w:ascii="Arial" w:cs="Arial" w:eastAsia="Arial" w:hAnsi="Arial"/>
          <w:sz w:val="21"/>
          <w:szCs w:val="21"/>
          <w:color w:val="auto"/>
        </w:rPr>
      </w:pPr>
    </w:p>
    <w:p>
      <w:pPr>
        <w:jc w:val="both"/>
        <w:ind w:firstLine="1304"/>
        <w:spacing w:after="0" w:line="257" w:lineRule="auto"/>
        <w:tabs>
          <w:tab w:leader="none" w:pos="1833" w:val="left"/>
        </w:tabs>
        <w:numPr>
          <w:ilvl w:val="0"/>
          <w:numId w:val="420"/>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if the Borrower is required to pay any additional amount to any Lender or any Governmental Authority for the account of any Lender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in each case, such Lender has declined or is unable to designate a different lending office in accordance with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immediately above, or if any Lender becomes a Defaulting Lender, then the Borrower may, at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01" w:name="page402"/>
    <w:bookmarkEnd w:id="401"/>
    <w:p>
      <w:pPr>
        <w:jc w:val="both"/>
        <w:spacing w:after="0" w:line="219" w:lineRule="auto"/>
        <w:rPr>
          <w:sz w:val="20"/>
          <w:szCs w:val="20"/>
          <w:color w:val="auto"/>
        </w:rPr>
      </w:pPr>
      <w:r>
        <w:rPr>
          <w:rFonts w:ascii="Arial" w:cs="Arial" w:eastAsia="Arial" w:hAnsi="Arial"/>
          <w:sz w:val="21"/>
          <w:szCs w:val="21"/>
          <w:color w:val="auto"/>
        </w:rPr>
        <w:t xml:space="preserve">sole expense and effort, upon notice to such Lender and the Administrative Agent, (1) terminate the unused Revolving Commitment of such Lender and repay the Loans of such Lender on a non-pro rata basis, or (2) require such Lender (and such Lender shall be obligated) to assign and delegate, without recourse (in accordance with and subject to the restrictions contained in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Lender shall have received payment of an amount equal to the outstanding principal of its Loans and funded participations in LC Disbursements and Swingline Loans and, other than in the case of a Defaulting Lender, accrued interest thereon, accrued fees and all other amounts payable to it hereunder from the assignee (to the extent of such outstanding principal and accrued interest and fees) or the Borrower (in the case of all other amounts), and (ii) in the case of any such assignment resulting from a claim for compensation under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or payments required to be made pursuant to </w:t>
      </w:r>
      <w:r>
        <w:rPr>
          <w:rFonts w:ascii="Arial" w:cs="Arial" w:eastAsia="Arial" w:hAnsi="Arial"/>
          <w:sz w:val="21"/>
          <w:szCs w:val="21"/>
          <w:u w:val="single" w:color="auto"/>
          <w:color w:val="auto"/>
        </w:rPr>
        <w:t>Section 2.17</w:t>
      </w:r>
      <w:r>
        <w:rPr>
          <w:rFonts w:ascii="Arial" w:cs="Arial" w:eastAsia="Arial" w:hAnsi="Arial"/>
          <w:sz w:val="21"/>
          <w:szCs w:val="21"/>
          <w:color w:val="auto"/>
        </w:rPr>
        <w:t>, such assignment will result in a reduction in such compensation or payments.</w:t>
      </w:r>
    </w:p>
    <w:p>
      <w:pPr>
        <w:spacing w:after="0" w:line="168" w:lineRule="exact"/>
        <w:rPr>
          <w:sz w:val="20"/>
          <w:szCs w:val="20"/>
          <w:color w:val="auto"/>
        </w:rPr>
      </w:pPr>
    </w:p>
    <w:p>
      <w:pPr>
        <w:jc w:val="both"/>
        <w:ind w:firstLine="1304"/>
        <w:spacing w:after="0" w:line="241" w:lineRule="auto"/>
        <w:tabs>
          <w:tab w:leader="none" w:pos="1828" w:val="left"/>
        </w:tabs>
        <w:numPr>
          <w:ilvl w:val="0"/>
          <w:numId w:val="421"/>
        </w:numPr>
        <w:rPr>
          <w:rFonts w:ascii="Arial" w:cs="Arial" w:eastAsia="Arial" w:hAnsi="Arial"/>
          <w:sz w:val="19"/>
          <w:szCs w:val="19"/>
          <w:color w:val="auto"/>
        </w:rPr>
      </w:pPr>
      <w:r>
        <w:rPr>
          <w:rFonts w:ascii="Arial" w:cs="Arial" w:eastAsia="Arial" w:hAnsi="Arial"/>
          <w:sz w:val="19"/>
          <w:szCs w:val="19"/>
          <w:color w:val="auto"/>
        </w:rPr>
        <w:t xml:space="preserve">Any Lender being replaced pursuant to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above shall (i) execute and deliver an Assignment and Assumption with respect to such Lender’s Commitment and outstanding Loans and participations in LC Disbursements,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such Lender to execute an Assignment and Assumption shall not render such assignment invalid and such assignment shall be recorded in the Register) and (ii) deliver Notes, if any, evidencing such Loans to the Borrower or the Administrative Agent. Pursuant to such Assignment and Assumption, (A) the assignee Lender shall acquire all or a portion, as the case may be, of the assigning Lender’s Commitments and outstanding Loans and participations in LC Disbursements, as applicable, (B) all obligations of the Loan Parties owing to the assigning Lender relating to the Loan Documents and participations so assigned shall be paid in full by the assignee Lender or the Loan Parties (as applicable) to such assigning Lender concurrently with such assignment and assumption, together with any amounts owing to the assigning Lender (other than a Defaulting Lender) under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as a consequence of such assignment and (C) upon such payment and, if so requested by the assignee Lender, the assignor Lender shall deliver to the assignee Lender the appropriate Note or Notes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2.20</w:t>
      </w:r>
      <w:r>
        <w:rPr>
          <w:sz w:val="20"/>
          <w:szCs w:val="20"/>
          <w:color w:val="auto"/>
        </w:rPr>
        <w:tab/>
      </w:r>
      <w:r>
        <w:rPr>
          <w:rFonts w:ascii="Arial" w:cs="Arial" w:eastAsia="Arial" w:hAnsi="Arial"/>
          <w:sz w:val="19"/>
          <w:szCs w:val="19"/>
          <w:u w:val="single" w:color="auto"/>
          <w:color w:val="auto"/>
        </w:rPr>
        <w:t>Incremental Loans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9" w:lineRule="auto"/>
        <w:tabs>
          <w:tab w:leader="none" w:pos="1890" w:val="left"/>
        </w:tabs>
        <w:numPr>
          <w:ilvl w:val="0"/>
          <w:numId w:val="422"/>
        </w:numPr>
        <w:rPr>
          <w:rFonts w:ascii="Arial" w:cs="Arial" w:eastAsia="Arial" w:hAnsi="Arial"/>
          <w:sz w:val="21"/>
          <w:szCs w:val="21"/>
          <w:color w:val="auto"/>
        </w:rPr>
      </w:pPr>
      <w:r>
        <w:rPr>
          <w:rFonts w:ascii="Arial" w:cs="Arial" w:eastAsia="Arial" w:hAnsi="Arial"/>
          <w:sz w:val="21"/>
          <w:szCs w:val="21"/>
          <w:color w:val="auto"/>
        </w:rPr>
        <w:t>At any time and from time to time prior to the Latest Maturity Date, subject to the terms and express conditions set forth herein, the Borrower may by no less than three (3) Business Days’ prior notice to the Administrative Agent (or such lesser number of days reasonably acceptable to the Administrative Agent), request to add one or more new credit facilities (each, an “</w:t>
      </w:r>
      <w:r>
        <w:rPr>
          <w:rFonts w:ascii="Arial" w:cs="Arial" w:eastAsia="Arial" w:hAnsi="Arial"/>
          <w:sz w:val="21"/>
          <w:szCs w:val="21"/>
          <w:u w:val="single" w:color="auto"/>
          <w:color w:val="auto"/>
        </w:rPr>
        <w:t>Incremental Credit Facility</w:t>
      </w:r>
      <w:r>
        <w:rPr>
          <w:rFonts w:ascii="Arial" w:cs="Arial" w:eastAsia="Arial" w:hAnsi="Arial"/>
          <w:sz w:val="21"/>
          <w:szCs w:val="21"/>
          <w:color w:val="auto"/>
        </w:rPr>
        <w:t>”) denominated, in the case of any Incremental Term Facility, in Dollars or any Alternative Currency or, in the case of any Incremental Revolving Facility, at the option of the Borrower, in Dollars or, solely in the case of any Incremental Revolving Facility that is structured as an additional tranche of revolving commitments (and not, for the avoidance of doubt, an increase in the Initial Revolving Commitments) any Alternative Currency, and consisting of one or more additional tranches of term loans or an increase to an existing Class of Term Loans (each, an “</w:t>
      </w:r>
      <w:r>
        <w:rPr>
          <w:rFonts w:ascii="Arial" w:cs="Arial" w:eastAsia="Arial" w:hAnsi="Arial"/>
          <w:sz w:val="21"/>
          <w:szCs w:val="21"/>
          <w:u w:val="single" w:color="auto"/>
          <w:color w:val="auto"/>
        </w:rPr>
        <w:t>Incremental Term Facility</w:t>
      </w:r>
      <w:r>
        <w:rPr>
          <w:rFonts w:ascii="Arial" w:cs="Arial" w:eastAsia="Arial" w:hAnsi="Arial"/>
          <w:sz w:val="21"/>
          <w:szCs w:val="21"/>
          <w:color w:val="auto"/>
        </w:rPr>
        <w:t>”) or one or more additional tranches of revolving commitments or an increase in an existing Class of Revolving Commitments (each, an “</w:t>
      </w:r>
      <w:r>
        <w:rPr>
          <w:rFonts w:ascii="Arial" w:cs="Arial" w:eastAsia="Arial" w:hAnsi="Arial"/>
          <w:sz w:val="21"/>
          <w:szCs w:val="21"/>
          <w:u w:val="single" w:color="auto"/>
          <w:color w:val="auto"/>
        </w:rPr>
        <w:t>Incremental Revolving Facility</w:t>
      </w:r>
      <w:r>
        <w:rPr>
          <w:rFonts w:ascii="Arial" w:cs="Arial" w:eastAsia="Arial" w:hAnsi="Arial"/>
          <w:sz w:val="21"/>
          <w:szCs w:val="21"/>
          <w:color w:val="auto"/>
        </w:rPr>
        <w:t xml:space="preserve">”), or a combination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immediately before and after giving effect to each Incremental Credit Facility Amendment and the applicable Incremental Credit Facility, no Event of Default has occurred and is continuing or would result therefrom (except in the case that the proceeds of any Incremental Credit Facility are being used to finance a Limited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02" w:name="page403"/>
    <w:bookmarkEnd w:id="402"/>
    <w:p>
      <w:pPr>
        <w:jc w:val="both"/>
        <w:spacing w:after="0"/>
        <w:rPr>
          <w:sz w:val="20"/>
          <w:szCs w:val="20"/>
          <w:color w:val="auto"/>
        </w:rPr>
      </w:pPr>
      <w:r>
        <w:rPr>
          <w:rFonts w:ascii="Arial" w:cs="Arial" w:eastAsia="Arial" w:hAnsi="Arial"/>
          <w:sz w:val="19"/>
          <w:szCs w:val="19"/>
          <w:color w:val="auto"/>
        </w:rPr>
        <w:t xml:space="preserve">Acquisition, in which case instead (x) no Event of Default shall exist or would result therefrom on the LCA Test Date and (y) no Event of Default under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 </w:t>
      </w:r>
      <w:r>
        <w:rPr>
          <w:rFonts w:ascii="Arial" w:cs="Arial" w:eastAsia="Arial" w:hAnsi="Arial"/>
          <w:sz w:val="19"/>
          <w:szCs w:val="19"/>
          <w:u w:val="single" w:color="auto"/>
          <w:color w:val="auto"/>
        </w:rPr>
        <w:t>7.01(h)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7.01(i)</w:t>
      </w:r>
      <w:r>
        <w:rPr>
          <w:rFonts w:ascii="Arial" w:cs="Arial" w:eastAsia="Arial" w:hAnsi="Arial"/>
          <w:sz w:val="19"/>
          <w:szCs w:val="19"/>
          <w:color w:val="auto"/>
        </w:rPr>
        <w:t xml:space="preserve"> shall have occurred and be continuing or would exist after giving effect thereto at the time such acquisition is consummated), (ii) subject to calculation adjustments set forth in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with respect to any Incremental Credit Facility being incurred in connection with a Limited Condition Acquisition, the aggregate principal amount of each Incremental Credit Facility at the time of issuance or incurrence shall not exceed the Maximum Additional Debt Amount at such time, and (iii) with respect to any secured Incremental Credit Facility (other than any Incremental Credit Facility (x) ranking junior in right of payment or with respect to security with the Obligations (including as a result of being “last out” in any waterfall), (y) incurred in connection with a Permitted Acquisition or other Investment permitted hereunder, or (z) any Specified Incremental Term Facility), in the event that the Yield for any Incremental Term Facility incurred in reliance on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“Maximum Additional Debt Amount” and funded within twelve (12) months of the Closing Date is higher than the Yield for the outstanding Term Loans by more than seventy-five (75) basis points, then, except in the case of any such Incremental Term Facility having an outside maturity date on or after the first anniversary of the Latest Maturity Date with respect to the Term Loans in effect at the time such Incremental Term Facility is incurred, the Applicable Margin for the outstanding Term Loans shall be increased to the extent necessary so that the Yield for such outstanding Term Loans is equal to the Yield for such Incremental Term Facility minus seventy-five (75) basis points (any such adjustment under </w:t>
      </w:r>
      <w:r>
        <w:rPr>
          <w:rFonts w:ascii="Arial" w:cs="Arial" w:eastAsia="Arial" w:hAnsi="Arial"/>
          <w:sz w:val="19"/>
          <w:szCs w:val="19"/>
          <w:u w:val="single" w:color="auto"/>
          <w:color w:val="auto"/>
        </w:rPr>
        <w:t>clause (I)</w:t>
      </w:r>
      <w:r>
        <w:rPr>
          <w:rFonts w:ascii="Arial" w:cs="Arial" w:eastAsia="Arial" w:hAnsi="Arial"/>
          <w:sz w:val="19"/>
          <w:szCs w:val="19"/>
          <w:color w:val="auto"/>
        </w:rPr>
        <w:t>, the “</w:t>
      </w:r>
      <w:r>
        <w:rPr>
          <w:rFonts w:ascii="Arial" w:cs="Arial" w:eastAsia="Arial" w:hAnsi="Arial"/>
          <w:sz w:val="19"/>
          <w:szCs w:val="19"/>
          <w:u w:val="single" w:color="auto"/>
          <w:color w:val="auto"/>
        </w:rPr>
        <w:t>MFN Adjustment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addition to the foregoing, for purposes of calculating the Yield for any Incremental Credit Facility or Additional Debt that constitutes fixed-rate Indebtedness, the fixed rate coupon of such Indebtedness shall be swapped to a floating rate on a customary matched-maturity basis, and the Yield of such fixed-rate Indebtedness on a floating rate basis shall be reasonably determined in a customary manner by the Administrative Agent based on customary financial methodology in consultation with the Borrower (or, if the Administrative Agent declines (or is unable) to determine such Yield or the appropriate floating rate swap on a matched maturity basis, as reasonably determined in a customary manner based on customary financial methodology by a financial institution reasonably acceptable to the Administrative Agent and the Borrower).</w:t>
      </w:r>
    </w:p>
    <w:p>
      <w:pPr>
        <w:spacing w:after="0" w:line="377" w:lineRule="exact"/>
        <w:rPr>
          <w:sz w:val="20"/>
          <w:szCs w:val="20"/>
          <w:color w:val="auto"/>
        </w:rPr>
      </w:pPr>
    </w:p>
    <w:p>
      <w:pPr>
        <w:jc w:val="both"/>
        <w:ind w:firstLine="1304"/>
        <w:spacing w:after="0" w:line="241" w:lineRule="auto"/>
        <w:tabs>
          <w:tab w:leader="none" w:pos="1831" w:val="left"/>
        </w:tabs>
        <w:numPr>
          <w:ilvl w:val="0"/>
          <w:numId w:val="423"/>
        </w:numPr>
        <w:rPr>
          <w:rFonts w:ascii="Arial" w:cs="Arial" w:eastAsia="Arial" w:hAnsi="Arial"/>
          <w:sz w:val="19"/>
          <w:szCs w:val="19"/>
          <w:color w:val="auto"/>
        </w:rPr>
      </w:pPr>
      <w:r>
        <w:rPr>
          <w:rFonts w:ascii="Arial" w:cs="Arial" w:eastAsia="Arial" w:hAnsi="Arial"/>
          <w:sz w:val="19"/>
          <w:szCs w:val="19"/>
          <w:color w:val="auto"/>
        </w:rPr>
        <w:t xml:space="preserve">Each Incremental Term Facility (i) if made a part of any existing tranche of Term Loans, shall have terms identical to those applicable to such Term Loans (other than with respect to fees and original issue discount payable at closing of such Incremental Term Facility) or (ii) if consisting of an additional tranche of term loans shall have such terms as determined by the Borrower and the lenders providing such Incremental Term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 such Incremental Term Facility shall rank </w:t>
      </w:r>
      <w:r>
        <w:rPr>
          <w:rFonts w:ascii="Arial" w:cs="Arial" w:eastAsia="Arial" w:hAnsi="Arial"/>
          <w:sz w:val="19"/>
          <w:szCs w:val="19"/>
          <w:u w:val="single" w:color="auto"/>
          <w:color w:val="auto"/>
        </w:rPr>
        <w:t>pari passu</w:t>
      </w:r>
      <w:r>
        <w:rPr>
          <w:rFonts w:ascii="Arial" w:cs="Arial" w:eastAsia="Arial" w:hAnsi="Arial"/>
          <w:sz w:val="19"/>
          <w:szCs w:val="19"/>
          <w:color w:val="auto"/>
        </w:rPr>
        <w:t xml:space="preserve"> or junior in right of payment and in respect of the Collateral with the Initial Term Loans, (B) no Person is the borrower or a guarantor with respect to such Incremental Term Facility unless such Person is a Loan Party which shall have previously or substantially concurrently guaranteed or borrowed, as applicable, the Obligations, and, if secured, shall only be secured by Collateral, (C) no Incremental Term Facility shall have a final maturity date earlier than the then existing Latest Maturity Date with respect to the Term Loans, and with respect to an Incremental Term Facility ranking junior in respect of the Collateral with the Initial Term Loans or that is unsecured, no such Incremental Term Facility shall mature on or prior to the date that is ninety-one (91) days after the then existing Latest Maturity Date with respect to the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restrictions in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shall not apply to the extent such Incremental Term Facility constitutes (1) a customary bridge facility, so long as the long-term debt into which such customary bridge facility is to be converted or exchanged satisfies the requirements of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and such conversion or exchange is subject only to conditions customary for similar conversions or exchanges or (2) Subject Indebtedness incurred in reliance on the Maturity Limitation Excluded Amount, (D) no Incremental Term Facility shall have a Weighted Average Life to Maturity that is shorter than the Weighted Average Life to Maturity of the then-remaining Initial Term Loans (without giving effect to nominal amortization for periods where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03" w:name="page404"/>
    <w:bookmarkEnd w:id="403"/>
    <w:p>
      <w:pPr>
        <w:jc w:val="both"/>
        <w:spacing w:after="0"/>
        <w:rPr>
          <w:sz w:val="20"/>
          <w:szCs w:val="20"/>
          <w:color w:val="auto"/>
        </w:rPr>
      </w:pPr>
      <w:r>
        <w:rPr>
          <w:rFonts w:ascii="Arial" w:cs="Arial" w:eastAsia="Arial" w:hAnsi="Arial"/>
          <w:sz w:val="19"/>
          <w:szCs w:val="19"/>
          <w:color w:val="auto"/>
        </w:rPr>
        <w:t xml:space="preserve">has been eliminated as a result of a prepayment of the applicable Initial Term Loans), and with respect to an Incremental Term Facility that ranks junior in respect of the Collateral with the Initial Term Loans or that is unsecured, no such Incremental Term Facility shall have a Weighted Average Life to Maturity that is shorter than the Weighted Average Life to Maturity of the then-remaining Initial Term Loans, plus ninety-one (91) 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restrictions in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shall not apply to the extent such Incremental Term Facility constitutes (1) a customary bridge facility, so long as the long-term debt into which such customary bridge facility is to be converted or exchanged satisfies the requirements of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 and such conversion or exchange is subject only to conditions customary for similar conversions or exchanges or (2) Subject Indebtedness incurred in reliance on the Maturity Limitation Excluded Amount, (E) for purposes of mandatory prepayments (not, for the avoidance of doubt, voluntary prepayments), such Incremental Term Facility shall be treated no more favorably than the Initial Term Loans except those that only apply after the then existing Latest Maturity Date with respect to Term Loans, unless the Borrower and the lenders in respect of such Incremental Term Facility elect lesser payments, (F) except as otherwise provided pursuant to this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any Incremental Term Facility shall be on terms and pursuant to documentation to be determined by the Borrower and the lenders providing any such Incremental Term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covenants and events of default applicable to such indebtedness, taken as a whole, shall either, at the option of the Borrower, (A) reflect market terms and conditions at the time of incurrence or effectiveness (as determined by the Borrower in good faith) or (B) be no more favorable in any material respect to the lenders providing such indebtedness than those of the Loan Documents (as reasonably determined by the Borrower and the Administrative Agent) (except for covenants or other provisions applicable only to the periods after the Latest Maturity Date at the time such Incremental Term Facility is incurred), unless such covenants and events of default are also added for the benefit of the Lenders under the Loan Documents, and (G) if an Incremental Credit Facility ranks junior in right of security or payment priority to the other Term Loans or is unsecured, such Incremental Credit Facility will be established as a separate facility from the then existing Term Loans and, if secured, shall be subject to the Second Lien Intercreditor Agreement.</w:t>
      </w:r>
    </w:p>
    <w:p>
      <w:pPr>
        <w:spacing w:after="0" w:line="164" w:lineRule="exact"/>
        <w:rPr>
          <w:sz w:val="20"/>
          <w:szCs w:val="20"/>
          <w:color w:val="auto"/>
        </w:rPr>
      </w:pPr>
    </w:p>
    <w:p>
      <w:pPr>
        <w:jc w:val="both"/>
        <w:ind w:firstLine="1304"/>
        <w:spacing w:after="0"/>
        <w:tabs>
          <w:tab w:leader="none" w:pos="1837" w:val="left"/>
        </w:tabs>
        <w:numPr>
          <w:ilvl w:val="0"/>
          <w:numId w:val="424"/>
        </w:numPr>
        <w:rPr>
          <w:rFonts w:ascii="Arial" w:cs="Arial" w:eastAsia="Arial" w:hAnsi="Arial"/>
          <w:sz w:val="19"/>
          <w:szCs w:val="19"/>
          <w:color w:val="auto"/>
        </w:rPr>
      </w:pPr>
      <w:r>
        <w:rPr>
          <w:rFonts w:ascii="Arial" w:cs="Arial" w:eastAsia="Arial" w:hAnsi="Arial"/>
          <w:sz w:val="19"/>
          <w:szCs w:val="19"/>
          <w:color w:val="auto"/>
        </w:rPr>
        <w:t xml:space="preserve">Each Incremental Revolving Facility (i) if made a part of an existing tranche of Revolving Commitments shall have terms identical to those applicable to such Class of Revolving Commitments (other than with respect to fees and original issue discount payable at closing of such Incremental Revolving Facility) or (ii) if consisting of an additional tranche of revolving loans and commitments shall be subject to substantially the same terms as the Initial Revolving Commitments (other than pricing, fees, maturity and other immaterial terms which shall be determined by the Borrower and the lenders providing such Incremental Revolving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 Incremental Revolving Facility shall have a final maturity date earlier than, or require scheduled amortization or mandatory commitment reduction prior to, the then existing Latest Maturity Date with respect to the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restrictions in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shall not apply to the extent such Incremental Revolving Facility constitutes Subject Indebtedness incurred in reliance on the Maturity Limitation Excluded Amount, (B) the covenants, events of default and guarantees (other than maturity fees, discounts, interest rate, redemption terms and redemption premiums) of such Incremental Revolving Facility, if not consistent with the terms of the Initial Revolving Facility, shall be no more favorable (as reasonably determined by the Borrower and the Administrative Agent) to the Lenders providing such Incremental Revolving Facility than the terms of the Initial Revolving Facility are to the Lenders, (C) the Incremental Revolving Facility shall not have the benefit of any financial maintenance covenant more restrictive than the covenant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6.11</w:t>
      </w:r>
      <w:r>
        <w:rPr>
          <w:rFonts w:ascii="Arial" w:cs="Arial" w:eastAsia="Arial" w:hAnsi="Arial"/>
          <w:sz w:val="19"/>
          <w:szCs w:val="19"/>
          <w:color w:val="auto"/>
        </w:rPr>
        <w:t xml:space="preserve"> unless (x) the Initial Revolving Facility has the benefit of such financial maintenance covenant on the same terms or (y) such financial maintenance covenant only applies after the Latest Maturity Date with respect to the Initial Revolving Facility in effect as of the time such Incremental Revolving Facility is incurred and (D) no Person shall be the Borrower or a guarantor with respect to such Incremental Revolving Facility unless such Person is a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04" w:name="page405"/>
    <w:bookmarkEnd w:id="404"/>
    <w:p>
      <w:pPr>
        <w:spacing w:after="0" w:line="232" w:lineRule="auto"/>
        <w:rPr>
          <w:sz w:val="20"/>
          <w:szCs w:val="20"/>
          <w:color w:val="auto"/>
        </w:rPr>
      </w:pPr>
      <w:r>
        <w:rPr>
          <w:rFonts w:ascii="Arial" w:cs="Arial" w:eastAsia="Arial" w:hAnsi="Arial"/>
          <w:sz w:val="22"/>
          <w:szCs w:val="22"/>
          <w:color w:val="auto"/>
        </w:rPr>
        <w:t>that has previously or substantially concurrently guaranteed or borrowed, as applicable, the Obligations, and, if secured, shall only be secured by Collateral.</w:t>
      </w:r>
    </w:p>
    <w:p>
      <w:pPr>
        <w:spacing w:after="0" w:line="159" w:lineRule="exact"/>
        <w:rPr>
          <w:sz w:val="20"/>
          <w:szCs w:val="20"/>
          <w:color w:val="auto"/>
        </w:rPr>
      </w:pPr>
    </w:p>
    <w:p>
      <w:pPr>
        <w:jc w:val="both"/>
        <w:ind w:firstLine="1304"/>
        <w:spacing w:after="0"/>
        <w:tabs>
          <w:tab w:leader="none" w:pos="1917" w:val="left"/>
        </w:tabs>
        <w:numPr>
          <w:ilvl w:val="0"/>
          <w:numId w:val="425"/>
        </w:numPr>
        <w:rPr>
          <w:rFonts w:ascii="Arial" w:cs="Arial" w:eastAsia="Arial" w:hAnsi="Arial"/>
          <w:sz w:val="19"/>
          <w:szCs w:val="19"/>
          <w:color w:val="auto"/>
        </w:rPr>
      </w:pPr>
      <w:r>
        <w:rPr>
          <w:rFonts w:ascii="Arial" w:cs="Arial" w:eastAsia="Arial" w:hAnsi="Arial"/>
          <w:sz w:val="19"/>
          <w:szCs w:val="19"/>
          <w:color w:val="auto"/>
        </w:rPr>
        <w:t xml:space="preserve">Each notice from the Borrower pursuant to this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shall set forth the requested amount and proposed terms of the relevant Incremental Credit Facility. Any additional bank, financial institution, existing Lender or other Person that elects to provide commitments under an Incremental Credit Facility shall be reasonably satisfactory to the Borrower and, in the case of any Incremental Revolving Facility and, to the extent such consent would be required for an assignment of such Loans or Commitments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the Administrative Agent and the Issuing Banks (such consents not to be unreasonably withheld, delayed or conditioned) (any such bank, financial institution, existing Lender or other Person being called an “</w:t>
      </w:r>
      <w:r>
        <w:rPr>
          <w:rFonts w:ascii="Arial" w:cs="Arial" w:eastAsia="Arial" w:hAnsi="Arial"/>
          <w:sz w:val="19"/>
          <w:szCs w:val="19"/>
          <w:u w:val="single" w:color="auto"/>
          <w:color w:val="auto"/>
        </w:rPr>
        <w:t>Additional Lender</w:t>
      </w:r>
      <w:r>
        <w:rPr>
          <w:rFonts w:ascii="Arial" w:cs="Arial" w:eastAsia="Arial" w:hAnsi="Arial"/>
          <w:sz w:val="19"/>
          <w:szCs w:val="19"/>
          <w:color w:val="auto"/>
        </w:rPr>
        <w:t>”) and, if not already a Lender and such Incremental Credit Facility is documented under this Agreement, shall become a Lender under this Agreement pursuant to an amendment (an “</w:t>
      </w:r>
      <w:r>
        <w:rPr>
          <w:rFonts w:ascii="Arial" w:cs="Arial" w:eastAsia="Arial" w:hAnsi="Arial"/>
          <w:sz w:val="19"/>
          <w:szCs w:val="19"/>
          <w:u w:val="single" w:color="auto"/>
          <w:color w:val="auto"/>
        </w:rPr>
        <w:t>Incremental Credit Facility Amendment</w:t>
      </w:r>
      <w:r>
        <w:rPr>
          <w:rFonts w:ascii="Arial" w:cs="Arial" w:eastAsia="Arial" w:hAnsi="Arial"/>
          <w:sz w:val="19"/>
          <w:szCs w:val="19"/>
          <w:color w:val="auto"/>
        </w:rPr>
        <w:t xml:space="preserve">”) to this Agreement and, as appropriate, the other Loan Documents, executed by the Holding Companies, the Borrower, such Additional Lender (in the case of this Agreement and, as appropriate, any other Loan Document, as applicable) and the Administrative Agent and/or the Collateral Agent. No Lender shall be obligated to provide any Commitments under an Incremental Credit Facility unless it so agrees. Commitments in respect of any Incremental Credit Facilities which are documented under this Agreement shall become Commitments under this Agreement. An Incremental Credit Facility Amendment may, without the consent of any other Lenders, effect such amendments to any Loan Documents as may be necessary, advisable or appropriate, in the reasonable opinion of the Administrative Agent and the Borrower, to effect the provisions of this </w:t>
      </w:r>
      <w:r>
        <w:rPr>
          <w:rFonts w:ascii="Arial" w:cs="Arial" w:eastAsia="Arial" w:hAnsi="Arial"/>
          <w:sz w:val="19"/>
          <w:szCs w:val="19"/>
          <w:u w:val="single" w:color="auto"/>
          <w:color w:val="auto"/>
        </w:rPr>
        <w:t>Section 2.20 (</w:t>
      </w:r>
      <w:r>
        <w:rPr>
          <w:rFonts w:ascii="Arial" w:cs="Arial" w:eastAsia="Arial" w:hAnsi="Arial"/>
          <w:sz w:val="19"/>
          <w:szCs w:val="19"/>
          <w:color w:val="auto"/>
        </w:rPr>
        <w:t xml:space="preserve">including to provide for voting provisions applicable to the Additional Lenders comparable to the provisions of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the second proviso of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and to change the amortization schedule (but not decreasing the amortization payments required to be made to any Lender) or extending the call protection or other terms of existing Term Loans in a manner required to make the Incremental Term Loans fungible with such Term Loans). The effectiveness of any Incremental Credit Facility Amendment shall, unless otherwise agreed to by the Additional Lenders, be subject to the satisfaction (or waiver) on the date thereof (each, an “</w:t>
      </w:r>
      <w:r>
        <w:rPr>
          <w:rFonts w:ascii="Arial" w:cs="Arial" w:eastAsia="Arial" w:hAnsi="Arial"/>
          <w:sz w:val="19"/>
          <w:szCs w:val="19"/>
          <w:u w:val="single" w:color="auto"/>
          <w:color w:val="auto"/>
        </w:rPr>
        <w:t>Incremental Facility Closing Date</w:t>
      </w:r>
      <w:r>
        <w:rPr>
          <w:rFonts w:ascii="Arial" w:cs="Arial" w:eastAsia="Arial" w:hAnsi="Arial"/>
          <w:sz w:val="19"/>
          <w:szCs w:val="19"/>
          <w:color w:val="auto"/>
        </w:rPr>
        <w:t xml:space="preserve">”) of the express conditions in respect of such Incremental Credit Facility Amendment to be mutually agreed upon by the Additional Lenders and the Borrower customary for transactions of the type in respect of which the applicable Incremental Credit Facility relates. The proceeds of any Loans under an Incremental Credit Facility will be used, directly or indirectly, for working capital and/or general corporate purposes and/or any other purposes not prohibited hereunder (including Restricted Payments, Acquisitions and other Investments). This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shall supersede any provisions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to the contrary.</w:t>
      </w:r>
    </w:p>
    <w:p>
      <w:pPr>
        <w:spacing w:after="0" w:line="369" w:lineRule="exact"/>
        <w:rPr>
          <w:rFonts w:ascii="Arial" w:cs="Arial" w:eastAsia="Arial" w:hAnsi="Arial"/>
          <w:sz w:val="19"/>
          <w:szCs w:val="19"/>
          <w:color w:val="auto"/>
        </w:rPr>
      </w:pPr>
    </w:p>
    <w:p>
      <w:pPr>
        <w:jc w:val="both"/>
        <w:ind w:firstLine="1304"/>
        <w:spacing w:after="0" w:line="243" w:lineRule="auto"/>
        <w:tabs>
          <w:tab w:leader="none" w:pos="1853" w:val="left"/>
        </w:tabs>
        <w:numPr>
          <w:ilvl w:val="0"/>
          <w:numId w:val="425"/>
        </w:numPr>
        <w:rPr>
          <w:rFonts w:ascii="Arial" w:cs="Arial" w:eastAsia="Arial" w:hAnsi="Arial"/>
          <w:sz w:val="19"/>
          <w:szCs w:val="19"/>
          <w:color w:val="auto"/>
        </w:rPr>
      </w:pPr>
      <w:r>
        <w:rPr>
          <w:rFonts w:ascii="Arial" w:cs="Arial" w:eastAsia="Arial" w:hAnsi="Arial"/>
          <w:sz w:val="19"/>
          <w:szCs w:val="19"/>
          <w:color w:val="auto"/>
        </w:rPr>
        <w:t xml:space="preserve">Upon each increase in the Revolving Commitments under any Revolving Credit Facility pursuant to this </w:t>
      </w:r>
      <w:r>
        <w:rPr>
          <w:rFonts w:ascii="Arial" w:cs="Arial" w:eastAsia="Arial" w:hAnsi="Arial"/>
          <w:sz w:val="19"/>
          <w:szCs w:val="19"/>
          <w:u w:val="single" w:color="auto"/>
          <w:color w:val="auto"/>
        </w:rPr>
        <w:t>Section 2.20</w:t>
      </w:r>
      <w:r>
        <w:rPr>
          <w:rFonts w:ascii="Arial" w:cs="Arial" w:eastAsia="Arial" w:hAnsi="Arial"/>
          <w:sz w:val="19"/>
          <w:szCs w:val="19"/>
          <w:color w:val="auto"/>
        </w:rPr>
        <w:t>, each Revolving Lender immediately prior to such increase will automatically and without further act be deemed to have assigned to each Lender providing a portion of the Incremental Revolving Commitments (each, an “</w:t>
      </w:r>
      <w:r>
        <w:rPr>
          <w:rFonts w:ascii="Arial" w:cs="Arial" w:eastAsia="Arial" w:hAnsi="Arial"/>
          <w:sz w:val="19"/>
          <w:szCs w:val="19"/>
          <w:u w:val="single" w:color="auto"/>
          <w:color w:val="auto"/>
        </w:rPr>
        <w:t>Incremental Revolving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 in respect of such increase, and each such Incremental Revolving Lender will automatically and without further act be deemed to have assumed, a portion of such Revolving Lender’s participations hereunder in outstanding Letters of Credit under such Revolving Credit Facility such that, after giving effect to each such deemed assignment and assumption of participations, the percentage of the aggregate outstanding participations hereunder in such Letters of Credit under such Revolving Credit Facility held by each Revolving Lender (including each such Incremental Revolving Lender), as applicable, will equal the percentage of the aggregate Revolving Commitments of all Revolving Lenders under such Revolving Credit Facility. Additionally, if any Revolving Loans are outstanding under a Revolving Credit Facility at the time any Incremental Revolving Commitments are established, the applicable Revolving Lenders immediately after effectiveness of such Incremental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05" w:name="page406"/>
    <w:bookmarkEnd w:id="405"/>
    <w:p>
      <w:pPr>
        <w:jc w:val="both"/>
        <w:spacing w:after="0" w:line="214" w:lineRule="auto"/>
        <w:rPr>
          <w:sz w:val="20"/>
          <w:szCs w:val="20"/>
          <w:color w:val="auto"/>
        </w:rPr>
      </w:pPr>
      <w:r>
        <w:rPr>
          <w:rFonts w:ascii="Arial" w:cs="Arial" w:eastAsia="Arial" w:hAnsi="Arial"/>
          <w:sz w:val="22"/>
          <w:szCs w:val="22"/>
          <w:color w:val="auto"/>
        </w:rPr>
        <w:t>Commitments shall purchase and assign at par such amounts of the Revolving Loans outstanding under such Revolving Credit Facility at such time as the Administrative Agent may require such that each Revolving Lender holds its Applicable Percentage of all Revolving Loans outstanding under such Revolving Credit Facility immediately after giving effect to all such assignments. The Administrative Agent and the Lenders hereby agree that the minimum borrowing, pro rata borrowing and pro rata payment requirements contained elsewhere in this Agreement shall not apply to the transactions effected pursuant to the immediately preceding sentence.</w:t>
      </w:r>
    </w:p>
    <w:p>
      <w:pPr>
        <w:spacing w:after="0" w:line="15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u w:val="single" w:color="auto"/>
          <w:color w:val="auto"/>
        </w:rPr>
        <w:t>Section 2.21 Refinancing Amendments</w:t>
      </w:r>
      <w:r>
        <w:rPr>
          <w:rFonts w:ascii="Arial" w:cs="Arial" w:eastAsia="Arial" w:hAnsi="Arial"/>
          <w:sz w:val="19"/>
          <w:szCs w:val="19"/>
          <w:color w:val="auto"/>
        </w:rPr>
        <w:t>. At any time after the Closing Date, the Borrower may obtain from any existing Lender or any other Person reasonably satisfactory to the Borrower (any such existing Lender or other Person being called an “</w:t>
      </w:r>
      <w:r>
        <w:rPr>
          <w:rFonts w:ascii="Arial" w:cs="Arial" w:eastAsia="Arial" w:hAnsi="Arial"/>
          <w:sz w:val="19"/>
          <w:szCs w:val="19"/>
          <w:u w:val="single" w:color="auto"/>
          <w:color w:val="auto"/>
        </w:rPr>
        <w:t>Additional Refinancing Lender</w:t>
      </w:r>
      <w:r>
        <w:rPr>
          <w:rFonts w:ascii="Arial" w:cs="Arial" w:eastAsia="Arial" w:hAnsi="Arial"/>
          <w:sz w:val="19"/>
          <w:szCs w:val="19"/>
          <w:color w:val="auto"/>
        </w:rPr>
        <w:t>”) (and, in the case of any Additional Refinancing Lender (other than any existing Lender) that will hold Other Commitments, such Person shall also be reasonably satisfactory to the Administrative Agent and, in the case of Other Revolving Commitments, each of the Issuing Banks) Credit Agreement Refinancing Indebtedness in respect of</w:t>
      </w:r>
    </w:p>
    <w:p>
      <w:pPr>
        <w:spacing w:after="0" w:line="1" w:lineRule="exact"/>
        <w:rPr>
          <w:sz w:val="20"/>
          <w:szCs w:val="20"/>
          <w:color w:val="auto"/>
        </w:rPr>
      </w:pPr>
    </w:p>
    <w:p>
      <w:pPr>
        <w:jc w:val="both"/>
        <w:ind w:firstLine="8"/>
        <w:spacing w:after="0" w:line="237" w:lineRule="auto"/>
        <w:tabs>
          <w:tab w:leader="none" w:pos="316" w:val="left"/>
        </w:tabs>
        <w:numPr>
          <w:ilvl w:val="0"/>
          <w:numId w:val="426"/>
        </w:numPr>
        <w:rPr>
          <w:rFonts w:ascii="Arial" w:cs="Arial" w:eastAsia="Arial" w:hAnsi="Arial"/>
          <w:sz w:val="19"/>
          <w:szCs w:val="19"/>
          <w:color w:val="auto"/>
        </w:rPr>
      </w:pPr>
      <w:r>
        <w:rPr>
          <w:rFonts w:ascii="Arial" w:cs="Arial" w:eastAsia="Arial" w:hAnsi="Arial"/>
          <w:sz w:val="19"/>
          <w:szCs w:val="19"/>
          <w:color w:val="auto"/>
        </w:rPr>
        <w:t xml:space="preserve">all or any portion of the Term Loans then outstanding under this Agreement (which for purposes of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will be deemed to include any then outstanding Other Term Loans constituting Term Loans) or (b) all or any portion of the Revolving Commitments (including the corresponding portion of the Revolving Loans) under this Agreement (which for purposes of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will be deemed to include any then outstanding Other Revolving Commitments (including the corresponding portion of the Other Revolving Loans)), in the form of Other Term Loans, Other Term Commitments, Other Revolving Loans or Other Revolving Commitments, in each case pursuant to a Refinancing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Credit Agreement Refinancing Indebtedness shall rank </w:t>
      </w:r>
      <w:r>
        <w:rPr>
          <w:rFonts w:ascii="Arial" w:cs="Arial" w:eastAsia="Arial" w:hAnsi="Arial"/>
          <w:sz w:val="19"/>
          <w:szCs w:val="19"/>
          <w:u w:val="single" w:color="auto"/>
          <w:color w:val="auto"/>
        </w:rPr>
        <w:t>pari passu</w:t>
      </w:r>
      <w:r>
        <w:rPr>
          <w:rFonts w:ascii="Arial" w:cs="Arial" w:eastAsia="Arial" w:hAnsi="Arial"/>
          <w:sz w:val="19"/>
          <w:szCs w:val="19"/>
          <w:color w:val="auto"/>
        </w:rPr>
        <w:t xml:space="preserve"> or junior in right of payment and of security with the other Loans and Commitments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Credit Agreement Refinancing Indebtedness ranks junior in right of security or payment priority such Credit Agreement Refinancing Indebtedness shall be established as a separate facility and, if secured, shall be subject to customary intercreditor terms reasonably agreed between the Borrower and the Administrative Agent), (ii) such Credit Agreement Refinancing Indebtedness shall have such pricing, interest, fees, premiums and optional prepayment and redemption terms as may be agreed by the Holding Companies, the Borrower and the Additional Refinancing Lenders thereof,</w:t>
      </w:r>
    </w:p>
    <w:p>
      <w:pPr>
        <w:spacing w:after="0" w:line="2" w:lineRule="exact"/>
        <w:rPr>
          <w:rFonts w:ascii="Arial" w:cs="Arial" w:eastAsia="Arial" w:hAnsi="Arial"/>
          <w:sz w:val="19"/>
          <w:szCs w:val="19"/>
          <w:color w:val="auto"/>
        </w:rPr>
      </w:pPr>
    </w:p>
    <w:p>
      <w:pPr>
        <w:jc w:val="both"/>
        <w:ind w:firstLine="8"/>
        <w:spacing w:after="0"/>
        <w:tabs>
          <w:tab w:leader="none" w:pos="411" w:val="left"/>
        </w:tabs>
        <w:numPr>
          <w:ilvl w:val="0"/>
          <w:numId w:val="427"/>
        </w:numPr>
        <w:rPr>
          <w:rFonts w:ascii="Arial" w:cs="Arial" w:eastAsia="Arial" w:hAnsi="Arial"/>
          <w:sz w:val="19"/>
          <w:szCs w:val="19"/>
          <w:color w:val="auto"/>
        </w:rPr>
      </w:pPr>
      <w:r>
        <w:rPr>
          <w:rFonts w:ascii="Arial" w:cs="Arial" w:eastAsia="Arial" w:hAnsi="Arial"/>
          <w:sz w:val="19"/>
          <w:szCs w:val="19"/>
          <w:color w:val="auto"/>
        </w:rPr>
        <w:t xml:space="preserve">such Credit Agreement Refinancing Indebtedness shall only be secured by assets consisting of Collateral, and (iv) such Credit Agreement Refinancing Indebtedness shall satisfy the requirements set forth in </w:t>
      </w:r>
      <w:r>
        <w:rPr>
          <w:rFonts w:ascii="Arial" w:cs="Arial" w:eastAsia="Arial" w:hAnsi="Arial"/>
          <w:sz w:val="19"/>
          <w:szCs w:val="19"/>
          <w:u w:val="single" w:color="auto"/>
          <w:color w:val="auto"/>
        </w:rPr>
        <w:t>clauses (u)</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(y)</w:t>
      </w:r>
      <w:r>
        <w:rPr>
          <w:rFonts w:ascii="Arial" w:cs="Arial" w:eastAsia="Arial" w:hAnsi="Arial"/>
          <w:sz w:val="19"/>
          <w:szCs w:val="19"/>
          <w:color w:val="auto"/>
        </w:rPr>
        <w:t xml:space="preserve"> of the definition of “Credit Agreement Refinancing Indebtedness”. Subject to the consent of the Issuing Banks, any Refinancing Amendment may provide for the issuance of Letters of Credit for the account of the Borrower pursuant to any Other Revolving Commitments established thereby on terms substantially equivalent to the terms applicable to Letters of Credit under this Agreement before giving effect to such Refinancing Amendment.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or reasonably advisable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Commitments). Any Refinancing Amendment may, without the consent of any other Lenders, effect such amendments to this Agreement and the other Loan Documents as may be necessary, or reasonably advisable or appropriate, in the reasonable opinion of the Administrative Agent and the Borrower, to effect the provisions of 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shall supersede any provisions in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to the contrary. Notwithstanding anything to the contrary in 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or otherwise, (1) the borrowing and repayment (except for (A) payments of interest and fees at different rates on Other Revolving Commitments (and related outstandings), (B) repayments required upon the maturity date of the Other Revolving Commitments and (C) repayment made in connection with a permanent repayment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06" w:name="page407"/>
    <w:bookmarkEnd w:id="406"/>
    <w:p>
      <w:pPr>
        <w:jc w:val="both"/>
        <w:spacing w:after="0" w:line="241" w:lineRule="auto"/>
        <w:rPr>
          <w:sz w:val="20"/>
          <w:szCs w:val="20"/>
          <w:color w:val="auto"/>
        </w:rPr>
      </w:pPr>
      <w:r>
        <w:rPr>
          <w:rFonts w:ascii="Arial" w:cs="Arial" w:eastAsia="Arial" w:hAnsi="Arial"/>
          <w:sz w:val="19"/>
          <w:szCs w:val="19"/>
          <w:color w:val="auto"/>
        </w:rPr>
        <w:t xml:space="preserve">termination in full of commitments) of Loans with respect to Other Revolving Commitments after the date of obtaining any Other Revolving Commitments shall be made on at least a pro rata basis with all other Revolving Commitments, (2) subject to the provisions of </w:t>
      </w:r>
      <w:r>
        <w:rPr>
          <w:rFonts w:ascii="Arial" w:cs="Arial" w:eastAsia="Arial" w:hAnsi="Arial"/>
          <w:sz w:val="19"/>
          <w:szCs w:val="19"/>
          <w:u w:val="single" w:color="auto"/>
          <w:color w:val="auto"/>
        </w:rPr>
        <w:t>Section 2.05(o)</w:t>
      </w:r>
      <w:r>
        <w:rPr>
          <w:rFonts w:ascii="Arial" w:cs="Arial" w:eastAsia="Arial" w:hAnsi="Arial"/>
          <w:sz w:val="19"/>
          <w:szCs w:val="19"/>
          <w:color w:val="auto"/>
        </w:rPr>
        <w:t xml:space="preserve"> to the extent dealing with Letters of Credit which mature or expire after a maturity date when there exist Other Revolving Commitments with a longer maturity date and subject to the consent of the Issuing Banks, all Letters of Credit shall be participated on a pro rata basis by all Revolving Lenders in accordance with all other Revolving Commitments (and except as provided in </w:t>
      </w:r>
      <w:r>
        <w:rPr>
          <w:rFonts w:ascii="Arial" w:cs="Arial" w:eastAsia="Arial" w:hAnsi="Arial"/>
          <w:sz w:val="19"/>
          <w:szCs w:val="19"/>
          <w:u w:val="single" w:color="auto"/>
          <w:color w:val="auto"/>
        </w:rPr>
        <w:t>Section 2.05(o)</w:t>
      </w:r>
      <w:r>
        <w:rPr>
          <w:rFonts w:ascii="Arial" w:cs="Arial" w:eastAsia="Arial" w:hAnsi="Arial"/>
          <w:sz w:val="19"/>
          <w:szCs w:val="19"/>
          <w:color w:val="auto"/>
        </w:rPr>
        <w:t xml:space="preserve"> , without giving effect to changes thereto on an earlier maturity date with respect to Letters of Credit theretofore incurred or issued), (3) the permanent repayment of Revolving Loans with respect to, and termination of, Other Revolving Commitments after the date of obtaining any Other Revolving Commitments shall be made on at least a pro rata basis with all other Revolving Commitments, except that the Borrower shall be permitted to permanently repay and terminate commitments of any such Class on a non-rata basis as compared to any other Class with a later maturity date than such Class and (4) assignments and participations of Other Revolving Commitments and Other Revolving Loans shall be governed by the same assignment and participation provisions applicable to Revolving Commitments and Revolving Loans. The Lenders agree that the Borrower may require the Lenders holding Credit Agreement Refinanced Indebtedness to assign their Loans and Commitments to the providers of the applicable Credit Agreement Refinancing Indebtedness.</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2.22</w:t>
      </w:r>
      <w:r>
        <w:rPr>
          <w:sz w:val="20"/>
          <w:szCs w:val="20"/>
          <w:color w:val="auto"/>
        </w:rPr>
        <w:tab/>
      </w:r>
      <w:r>
        <w:rPr>
          <w:rFonts w:ascii="Arial" w:cs="Arial" w:eastAsia="Arial" w:hAnsi="Arial"/>
          <w:sz w:val="19"/>
          <w:szCs w:val="19"/>
          <w:u w:val="single" w:color="auto"/>
          <w:color w:val="auto"/>
        </w:rPr>
        <w:t>Defaulting Lenders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3" w:lineRule="auto"/>
        <w:tabs>
          <w:tab w:leader="none" w:pos="1752" w:val="left"/>
        </w:tabs>
        <w:numPr>
          <w:ilvl w:val="0"/>
          <w:numId w:val="428"/>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59" w:lineRule="exact"/>
        <w:rPr>
          <w:sz w:val="20"/>
          <w:szCs w:val="20"/>
          <w:color w:val="auto"/>
        </w:rPr>
      </w:pPr>
    </w:p>
    <w:p>
      <w:pPr>
        <w:ind w:left="660" w:firstLine="644"/>
        <w:spacing w:after="0" w:line="232" w:lineRule="auto"/>
        <w:tabs>
          <w:tab w:leader="none" w:pos="1767" w:val="left"/>
        </w:tabs>
        <w:numPr>
          <w:ilvl w:val="0"/>
          <w:numId w:val="429"/>
        </w:numPr>
        <w:rPr>
          <w:rFonts w:ascii="Arial" w:cs="Arial" w:eastAsia="Arial" w:hAnsi="Arial"/>
          <w:sz w:val="22"/>
          <w:szCs w:val="22"/>
          <w:color w:val="auto"/>
        </w:rPr>
      </w:pPr>
      <w:r>
        <w:rPr>
          <w:rFonts w:ascii="Arial" w:cs="Arial" w:eastAsia="Arial" w:hAnsi="Arial"/>
          <w:sz w:val="22"/>
          <w:szCs w:val="22"/>
          <w:u w:val="single" w:color="auto"/>
          <w:color w:val="auto"/>
        </w:rPr>
        <w:t>Waivers and Amendments</w:t>
      </w:r>
      <w:r>
        <w:rPr>
          <w:rFonts w:ascii="Arial" w:cs="Arial" w:eastAsia="Arial" w:hAnsi="Arial"/>
          <w:sz w:val="22"/>
          <w:szCs w:val="22"/>
          <w:color w:val="auto"/>
        </w:rPr>
        <w:t xml:space="preserve">. That Defaulting Lender’s right to approve or disapprove any amendment, waiver or consent with respect to this Agreement shall be restricted as set forth in </w:t>
      </w:r>
      <w:r>
        <w:rPr>
          <w:rFonts w:ascii="Arial" w:cs="Arial" w:eastAsia="Arial" w:hAnsi="Arial"/>
          <w:sz w:val="22"/>
          <w:szCs w:val="22"/>
          <w:u w:val="single" w:color="auto"/>
          <w:color w:val="auto"/>
        </w:rPr>
        <w:t>Section 9.02</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660" w:firstLine="644"/>
        <w:spacing w:after="0"/>
        <w:tabs>
          <w:tab w:leader="none" w:pos="1866" w:val="left"/>
        </w:tabs>
        <w:numPr>
          <w:ilvl w:val="0"/>
          <w:numId w:val="429"/>
        </w:numPr>
        <w:rPr>
          <w:rFonts w:ascii="Arial" w:cs="Arial" w:eastAsia="Arial" w:hAnsi="Arial"/>
          <w:sz w:val="19"/>
          <w:szCs w:val="19"/>
          <w:color w:val="auto"/>
        </w:rPr>
      </w:pPr>
      <w:r>
        <w:rPr>
          <w:rFonts w:ascii="Arial" w:cs="Arial" w:eastAsia="Arial" w:hAnsi="Arial"/>
          <w:sz w:val="19"/>
          <w:szCs w:val="19"/>
          <w:u w:val="single" w:color="auto"/>
          <w:color w:val="auto"/>
        </w:rPr>
        <w:t>Reallocation of Payments</w:t>
      </w:r>
      <w:r>
        <w:rPr>
          <w:rFonts w:ascii="Arial" w:cs="Arial" w:eastAsia="Arial" w:hAnsi="Arial"/>
          <w:sz w:val="19"/>
          <w:szCs w:val="19"/>
          <w:color w:val="auto"/>
        </w:rPr>
        <w:t xml:space="preserve">. Any payment of principal, interest, fees, indemnity payments or other amounts received by the Administrative Agent for the account of that Defaulting Lender (whether voluntary or mandatory, at maturity, pursuant to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or otherwise, and including any amounts made available to the Administrative Agent by that Defaulting Lender pursuant to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that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that Defaulting Lender to the Issuing Banks;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so determined by the Administrative Agent or requested by an Issuing Bank, to be held as Cash Collateral for future funding obligations of that Defaulting Lender of any participation in any Letter of Credit;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Borrower may request, to the funding of any Loan in respect of which that Defaulting Lender has failed to fund its portion thereof as required by this Agreement;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Borrower, to be held in a non-interest-bearing deposit account and released in order to satisfy obligations of that Defaulting Lender to fund Loans under this Agreement;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or the Issuing Banks as a result of any judgment of a court of competent jurisdiction obtained by any Lender or any Issuing Bank against that Defaulting Lender as a result of that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to the payment of any amounts owing to the Borrower as a result of any judgment of a court of competent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jurisdiction obtained by the Borrower against that Defaulting Lender as a result of that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that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07" w:name="page408"/>
    <w:bookmarkEnd w:id="407"/>
    <w:p>
      <w:pPr>
        <w:jc w:val="both"/>
        <w:ind w:left="660"/>
        <w:spacing w:after="0" w:line="211" w:lineRule="auto"/>
        <w:rPr>
          <w:sz w:val="20"/>
          <w:szCs w:val="20"/>
          <w:color w:val="auto"/>
        </w:rPr>
      </w:pPr>
      <w:r>
        <w:rPr>
          <w:rFonts w:ascii="Arial" w:cs="Arial" w:eastAsia="Arial" w:hAnsi="Arial"/>
          <w:sz w:val="22"/>
          <w:szCs w:val="22"/>
          <w:color w:val="auto"/>
        </w:rPr>
        <w:t xml:space="preserve">payment of the principal amount of any Loans or LC Disbursement in respect of which that Defaulting Lender has not fully funded its appropriate share and (y) such Loans or LC Disbursements were made at a time when the conditions set forth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were satisfied or waived, such payment shall be applied solely to pay the Loans of, and LC Disbursements owed to, all non-Defaulting Lenders on a pro rata basis prior to being applied to the payment of any Loans of, or LC Disbursements owed to,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22"/>
          <w:szCs w:val="22"/>
          <w:u w:val="single" w:color="auto"/>
          <w:color w:val="auto"/>
        </w:rPr>
        <w:t>Section 2.22(a)(ii)</w:t>
      </w:r>
      <w:r>
        <w:rPr>
          <w:rFonts w:ascii="Arial" w:cs="Arial" w:eastAsia="Arial" w:hAnsi="Arial"/>
          <w:sz w:val="22"/>
          <w:szCs w:val="22"/>
          <w:color w:val="auto"/>
        </w:rPr>
        <w:t xml:space="preserve"> shall be deemed paid to and redirected by that Defaulting Lender, and each Lender irrevocably consents hereto.</w:t>
      </w:r>
    </w:p>
    <w:p>
      <w:pPr>
        <w:spacing w:after="0" w:line="165" w:lineRule="exact"/>
        <w:rPr>
          <w:sz w:val="20"/>
          <w:szCs w:val="20"/>
          <w:color w:val="auto"/>
        </w:rPr>
      </w:pPr>
    </w:p>
    <w:p>
      <w:pPr>
        <w:jc w:val="both"/>
        <w:ind w:left="660" w:firstLine="644"/>
        <w:spacing w:after="0" w:line="243" w:lineRule="auto"/>
        <w:tabs>
          <w:tab w:leader="none" w:pos="1857" w:val="left"/>
        </w:tabs>
        <w:numPr>
          <w:ilvl w:val="0"/>
          <w:numId w:val="430"/>
        </w:numPr>
        <w:rPr>
          <w:rFonts w:ascii="Arial" w:cs="Arial" w:eastAsia="Arial" w:hAnsi="Arial"/>
          <w:sz w:val="19"/>
          <w:szCs w:val="19"/>
          <w:color w:val="auto"/>
        </w:rPr>
      </w:pPr>
      <w:r>
        <w:rPr>
          <w:rFonts w:ascii="Arial" w:cs="Arial" w:eastAsia="Arial" w:hAnsi="Arial"/>
          <w:sz w:val="19"/>
          <w:szCs w:val="19"/>
          <w:u w:val="single" w:color="auto"/>
          <w:color w:val="auto"/>
        </w:rPr>
        <w:t>Certain Fees</w:t>
      </w:r>
      <w:r>
        <w:rPr>
          <w:rFonts w:ascii="Arial" w:cs="Arial" w:eastAsia="Arial" w:hAnsi="Arial"/>
          <w:sz w:val="19"/>
          <w:szCs w:val="19"/>
          <w:color w:val="auto"/>
        </w:rPr>
        <w:t xml:space="preserve">. (a) Commitment fees shall continue to accrue on the amount of the Revolving Commitment of such Defaulting Lender pursuant to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only to the extent of the Revolving Loans of such Defaulting Lender and (b) a Defaulting Lender shall not be entitled to receive any default rate of interest pursuant to </w:t>
      </w:r>
      <w:r>
        <w:rPr>
          <w:rFonts w:ascii="Arial" w:cs="Arial" w:eastAsia="Arial" w:hAnsi="Arial"/>
          <w:sz w:val="19"/>
          <w:szCs w:val="19"/>
          <w:u w:val="single" w:color="auto"/>
          <w:color w:val="auto"/>
        </w:rPr>
        <w:t>Section 2.13(c)</w:t>
      </w:r>
      <w:r>
        <w:rPr>
          <w:rFonts w:ascii="Arial" w:cs="Arial" w:eastAsia="Arial" w:hAnsi="Arial"/>
          <w:sz w:val="19"/>
          <w:szCs w:val="19"/>
          <w:color w:val="auto"/>
        </w:rPr>
        <w:t xml:space="preserve">, in each case, for any period during which that Lender is a Defaulting Lender and (A) if the participations in Letters of Credit and Swingline Loans are reallocated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 then the fees payable to the Lenders pursuant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2.12(a)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shall be adjusted to reflect the higher amounts of such participations allocated to such Lenders, and (B) if all or any portion of such Defaulting Lender’s LC Exposure or Swingline Exposure is neither reallocated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 nor Cash Collateralized pursuant to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then, without prejudice to any rights or remedies of the Issuing Banks or any other Lender hereunder, all letter of credit fees payable under </w:t>
      </w:r>
      <w:r>
        <w:rPr>
          <w:rFonts w:ascii="Arial" w:cs="Arial" w:eastAsia="Arial" w:hAnsi="Arial"/>
          <w:sz w:val="19"/>
          <w:szCs w:val="19"/>
          <w:u w:val="single" w:color="auto"/>
          <w:color w:val="auto"/>
        </w:rPr>
        <w:t>Section 2.12(c)</w:t>
      </w:r>
      <w:r>
        <w:rPr>
          <w:rFonts w:ascii="Arial" w:cs="Arial" w:eastAsia="Arial" w:hAnsi="Arial"/>
          <w:sz w:val="19"/>
          <w:szCs w:val="19"/>
          <w:color w:val="auto"/>
        </w:rPr>
        <w:t xml:space="preserve"> with respect to such Defaulting Lender’s LC Exposure shall be payable to the Issuing Banks until and to the extent that such LC Exposure is reallocated and/or Cash Collateralized.</w:t>
      </w:r>
    </w:p>
    <w:p>
      <w:pPr>
        <w:spacing w:after="0" w:line="158" w:lineRule="exact"/>
        <w:rPr>
          <w:rFonts w:ascii="Arial" w:cs="Arial" w:eastAsia="Arial" w:hAnsi="Arial"/>
          <w:sz w:val="19"/>
          <w:szCs w:val="19"/>
          <w:color w:val="auto"/>
        </w:rPr>
      </w:pPr>
    </w:p>
    <w:p>
      <w:pPr>
        <w:jc w:val="both"/>
        <w:ind w:left="660" w:firstLine="644"/>
        <w:spacing w:after="0" w:line="241" w:lineRule="auto"/>
        <w:tabs>
          <w:tab w:leader="none" w:pos="1930" w:val="left"/>
        </w:tabs>
        <w:numPr>
          <w:ilvl w:val="0"/>
          <w:numId w:val="430"/>
        </w:numPr>
        <w:rPr>
          <w:rFonts w:ascii="Arial" w:cs="Arial" w:eastAsia="Arial" w:hAnsi="Arial"/>
          <w:sz w:val="19"/>
          <w:szCs w:val="19"/>
          <w:color w:val="auto"/>
        </w:rPr>
      </w:pPr>
      <w:r>
        <w:rPr>
          <w:rFonts w:ascii="Arial" w:cs="Arial" w:eastAsia="Arial" w:hAnsi="Arial"/>
          <w:sz w:val="19"/>
          <w:szCs w:val="19"/>
          <w:u w:val="single" w:color="auto"/>
          <w:color w:val="auto"/>
        </w:rPr>
        <w:t>Reallocation of Pro Rata Shares to Reduce LC Exposure and Swingline Exposure</w:t>
      </w:r>
      <w:r>
        <w:rPr>
          <w:rFonts w:ascii="Arial" w:cs="Arial" w:eastAsia="Arial" w:hAnsi="Arial"/>
          <w:sz w:val="19"/>
          <w:szCs w:val="19"/>
          <w:color w:val="auto"/>
        </w:rPr>
        <w:t xml:space="preserve">. During any period in which there is a Defaulting Lender with a Revolving Commitment, for purposes of computing the amount of the obligation of each non-Defaulting Lender to acquire, refinance or fund participations in Letters of Credit, the “Applicable Percentage” of each non-Defaulting Lender with a Revolving Commitment, shall be computed without giving effect to the Revolving Commitment of that Defaulting Lender, and such obligation to so acquire, refinance or fund participations in such Letters of Credit or Swingline Loans, as applicable, shall automatically be reallocated among the non-Defaulting Lenders with Revolving Commitments upon such Defaulting Lender becoming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aggregate obligation of each non-Defaulting Lender to acquire, refinance or fund participations in such Letters of Credit shall not exceed the positive difference, if any, of (1) the Revolving Commitment, as applicable, of that non-Defaulting Lender minus (2) the aggregate outstanding amount of the Revolving Loans of that Lender and (y) such reallocation does not cause the aggregate Revolving Exposure of any Non-Defaulting Lender to exceed such Non-Defaulting Lender’s Revolving Commitments. No reallocation hereunder shall constitute a waiver or release of any claim of any party hereunder against a Defaulting Lender with a Revolving Commitment arising from that Lender having become a Defaulting Lender, including any claim of a non-Defaulting Revolving Lender as a result of such Non-Defaulting Lender’s increased exposure following such reallocation.</w:t>
      </w:r>
    </w:p>
    <w:p>
      <w:pPr>
        <w:spacing w:after="0" w:line="384" w:lineRule="exact"/>
        <w:rPr>
          <w:rFonts w:ascii="Arial" w:cs="Arial" w:eastAsia="Arial" w:hAnsi="Arial"/>
          <w:sz w:val="19"/>
          <w:szCs w:val="19"/>
          <w:color w:val="auto"/>
        </w:rPr>
      </w:pPr>
    </w:p>
    <w:p>
      <w:pPr>
        <w:jc w:val="both"/>
        <w:ind w:left="660" w:firstLine="644"/>
        <w:spacing w:after="0" w:line="216" w:lineRule="auto"/>
        <w:tabs>
          <w:tab w:leader="none" w:pos="1892" w:val="left"/>
        </w:tabs>
        <w:numPr>
          <w:ilvl w:val="0"/>
          <w:numId w:val="430"/>
        </w:numPr>
        <w:rPr>
          <w:rFonts w:ascii="Arial" w:cs="Arial" w:eastAsia="Arial" w:hAnsi="Arial"/>
          <w:sz w:val="22"/>
          <w:szCs w:val="22"/>
          <w:color w:val="auto"/>
        </w:rPr>
      </w:pPr>
      <w:r>
        <w:rPr>
          <w:rFonts w:ascii="Arial" w:cs="Arial" w:eastAsia="Arial" w:hAnsi="Arial"/>
          <w:sz w:val="22"/>
          <w:szCs w:val="22"/>
          <w:color w:val="auto"/>
        </w:rPr>
        <w:t xml:space="preserve">So long as such Lender is a Defaulting Lender, the Swingline Lender shall not be required to fund any Swingline Loans and no Issuing Bank shall be required to issue, amend, increase, renew or extend any Letter of Credit, unless it is satisfied that the has received assurances satisfactory to it that non-Defaulting Lenders will cover the related exposure in accordance with this </w:t>
      </w:r>
      <w:r>
        <w:rPr>
          <w:rFonts w:ascii="Arial" w:cs="Arial" w:eastAsia="Arial" w:hAnsi="Arial"/>
          <w:sz w:val="22"/>
          <w:szCs w:val="22"/>
          <w:u w:val="single" w:color="auto"/>
          <w:color w:val="auto"/>
        </w:rPr>
        <w:t>Section 2.22</w:t>
      </w:r>
      <w:r>
        <w:rPr>
          <w:rFonts w:ascii="Arial" w:cs="Arial" w:eastAsia="Arial" w:hAnsi="Arial"/>
          <w:sz w:val="22"/>
          <w:szCs w:val="22"/>
          <w:color w:val="auto"/>
        </w:rPr>
        <w:t xml:space="preserve"> and/or Cash Collateral will be provided by the Borrower in accordance with </w:t>
      </w:r>
      <w:r>
        <w:rPr>
          <w:rFonts w:ascii="Arial" w:cs="Arial" w:eastAsia="Arial" w:hAnsi="Arial"/>
          <w:sz w:val="22"/>
          <w:szCs w:val="22"/>
          <w:u w:val="single" w:color="auto"/>
          <w:color w:val="auto"/>
        </w:rPr>
        <w:t>Section 2.23</w:t>
      </w:r>
      <w:r>
        <w:rPr>
          <w:rFonts w:ascii="Arial" w:cs="Arial" w:eastAsia="Arial" w:hAnsi="Arial"/>
          <w:sz w:val="22"/>
          <w:szCs w:val="22"/>
          <w:color w:val="auto"/>
        </w:rPr>
        <w:t>, and participating interests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08" w:name="page409"/>
    <w:bookmarkEnd w:id="408"/>
    <w:p>
      <w:pPr>
        <w:jc w:val="both"/>
        <w:ind w:left="660"/>
        <w:spacing w:after="0" w:line="223" w:lineRule="auto"/>
        <w:rPr>
          <w:sz w:val="20"/>
          <w:szCs w:val="20"/>
          <w:color w:val="auto"/>
        </w:rPr>
      </w:pPr>
      <w:r>
        <w:rPr>
          <w:rFonts w:ascii="Arial" w:cs="Arial" w:eastAsia="Arial" w:hAnsi="Arial"/>
          <w:sz w:val="22"/>
          <w:szCs w:val="22"/>
          <w:color w:val="auto"/>
        </w:rPr>
        <w:t xml:space="preserve">any newly made Swingline Loan or any newly issued or increased Letter of Credit shall be allocated among non-Defaulting Lenders in a manner consistent with </w:t>
      </w:r>
      <w:r>
        <w:rPr>
          <w:rFonts w:ascii="Arial" w:cs="Arial" w:eastAsia="Arial" w:hAnsi="Arial"/>
          <w:sz w:val="22"/>
          <w:szCs w:val="22"/>
          <w:u w:val="single" w:color="auto"/>
          <w:color w:val="auto"/>
        </w:rPr>
        <w:t>Section 2.22(a)(iv)</w:t>
      </w:r>
      <w:r>
        <w:rPr>
          <w:rFonts w:ascii="Arial" w:cs="Arial" w:eastAsia="Arial" w:hAnsi="Arial"/>
          <w:sz w:val="22"/>
          <w:szCs w:val="22"/>
          <w:color w:val="auto"/>
        </w:rPr>
        <w:t xml:space="preserve"> (and such Defaulting Lender shall not participate therein).</w:t>
      </w:r>
    </w:p>
    <w:p>
      <w:pPr>
        <w:spacing w:after="0" w:line="159" w:lineRule="exact"/>
        <w:rPr>
          <w:sz w:val="20"/>
          <w:szCs w:val="20"/>
          <w:color w:val="auto"/>
        </w:rPr>
      </w:pPr>
    </w:p>
    <w:p>
      <w:pPr>
        <w:jc w:val="both"/>
        <w:ind w:left="660" w:firstLine="644"/>
        <w:spacing w:after="0" w:line="221" w:lineRule="auto"/>
        <w:tabs>
          <w:tab w:leader="none" w:pos="1964" w:val="left"/>
        </w:tabs>
        <w:numPr>
          <w:ilvl w:val="0"/>
          <w:numId w:val="431"/>
        </w:numPr>
        <w:rPr>
          <w:rFonts w:ascii="Arial" w:cs="Arial" w:eastAsia="Arial" w:hAnsi="Arial"/>
          <w:sz w:val="21"/>
          <w:szCs w:val="21"/>
          <w:color w:val="auto"/>
        </w:rPr>
      </w:pPr>
      <w:r>
        <w:rPr>
          <w:rFonts w:ascii="Arial" w:cs="Arial" w:eastAsia="Arial" w:hAnsi="Arial"/>
          <w:sz w:val="21"/>
          <w:szCs w:val="21"/>
          <w:color w:val="auto"/>
        </w:rPr>
        <w:t>If (i) a parent of any Lender shall become the subject of a proceeding under the Bankruptcy Code, as applicable, following the date hereof and for so long as such proceeding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no Issuing Bank shall be required to issue, amend or increase any Letter of Credit, unless the Swingline Lender or the Issuing Bank, as the case may be, shall have entered into arrangements with the Borrower or such Lender, satisfactory to the Swingline Lender or the Issuing Bank, as the case may be, to defease any risk to it in respect of such Lender hereunder.</w:t>
      </w:r>
    </w:p>
    <w:p>
      <w:pPr>
        <w:spacing w:after="0" w:line="165" w:lineRule="exact"/>
        <w:rPr>
          <w:sz w:val="20"/>
          <w:szCs w:val="20"/>
          <w:color w:val="auto"/>
        </w:rPr>
      </w:pPr>
    </w:p>
    <w:p>
      <w:pPr>
        <w:jc w:val="both"/>
        <w:ind w:firstLine="1304"/>
        <w:spacing w:after="0" w:line="242" w:lineRule="auto"/>
        <w:tabs>
          <w:tab w:leader="none" w:pos="1842" w:val="left"/>
        </w:tabs>
        <w:numPr>
          <w:ilvl w:val="0"/>
          <w:numId w:val="432"/>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the Swingline Lender and the Issuing Banks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Loans and funded and unfunded participations in Letters of Credit to be held on a pro rata basis by the Lenders in accordance with their Applicable Percentage without giving effect to </w:t>
      </w:r>
      <w:r>
        <w:rPr>
          <w:rFonts w:ascii="Arial" w:cs="Arial" w:eastAsia="Arial" w:hAnsi="Arial"/>
          <w:sz w:val="19"/>
          <w:szCs w:val="19"/>
          <w:u w:val="single" w:color="auto"/>
          <w:color w:val="auto"/>
        </w:rPr>
        <w:t>Section 2.22(a)(iv)</w:t>
      </w:r>
      <w:r>
        <w:rPr>
          <w:rFonts w:ascii="Arial" w:cs="Arial" w:eastAsia="Arial" w:hAnsi="Arial"/>
          <w:sz w:val="19"/>
          <w:szCs w:val="19"/>
          <w:color w:val="auto"/>
        </w:rPr>
        <w:t xml:space="preserve">, whereupon that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3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2.23</w:t>
      </w:r>
      <w:r>
        <w:rPr>
          <w:sz w:val="20"/>
          <w:szCs w:val="20"/>
          <w:color w:val="auto"/>
        </w:rPr>
        <w:tab/>
      </w:r>
      <w:r>
        <w:rPr>
          <w:rFonts w:ascii="Arial" w:cs="Arial" w:eastAsia="Arial" w:hAnsi="Arial"/>
          <w:sz w:val="19"/>
          <w:szCs w:val="19"/>
          <w:u w:val="single" w:color="auto"/>
          <w:color w:val="auto"/>
        </w:rPr>
        <w:t>Cash Collateral</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2" w:lineRule="auto"/>
        <w:tabs>
          <w:tab w:leader="none" w:pos="1871" w:val="left"/>
        </w:tabs>
        <w:numPr>
          <w:ilvl w:val="0"/>
          <w:numId w:val="433"/>
        </w:numPr>
        <w:rPr>
          <w:rFonts w:ascii="Arial" w:cs="Arial" w:eastAsia="Arial" w:hAnsi="Arial"/>
          <w:sz w:val="19"/>
          <w:szCs w:val="19"/>
          <w:color w:val="auto"/>
        </w:rPr>
      </w:pPr>
      <w:r>
        <w:rPr>
          <w:rFonts w:ascii="Arial" w:cs="Arial" w:eastAsia="Arial" w:hAnsi="Arial"/>
          <w:sz w:val="19"/>
          <w:szCs w:val="19"/>
          <w:u w:val="single" w:color="auto"/>
          <w:color w:val="auto"/>
        </w:rPr>
        <w:t>Certain Credit Support Events</w:t>
      </w:r>
      <w:r>
        <w:rPr>
          <w:rFonts w:ascii="Arial" w:cs="Arial" w:eastAsia="Arial" w:hAnsi="Arial"/>
          <w:sz w:val="19"/>
          <w:szCs w:val="19"/>
          <w:color w:val="auto"/>
        </w:rPr>
        <w:t xml:space="preserve">. If, as of the date of termination of all Revolving Commitments, any LC Exposure for any reason remains outstanding, the Borrower shall promptly provide Cash Collateral in an amount equal to 103% of the then outstanding amount of all LC Exposure. At any time that there shall exist a Defaulting Lender, on the Business Day following the written request of the Administrative Agent, the Borrower shall deliver to the Administrative Agent Cash Collateral in an amount equal to 103% of all LC Exposure (after giving effect to </w:t>
      </w:r>
      <w:r>
        <w:rPr>
          <w:rFonts w:ascii="Arial" w:cs="Arial" w:eastAsia="Arial" w:hAnsi="Arial"/>
          <w:sz w:val="19"/>
          <w:szCs w:val="19"/>
          <w:u w:val="single" w:color="auto"/>
          <w:color w:val="auto"/>
        </w:rPr>
        <w:t>Section 2.22(a)(iv)</w:t>
      </w:r>
      <w:r>
        <w:rPr>
          <w:rFonts w:ascii="Arial" w:cs="Arial" w:eastAsia="Arial" w:hAnsi="Arial"/>
          <w:sz w:val="19"/>
          <w:szCs w:val="19"/>
          <w:color w:val="auto"/>
        </w:rPr>
        <w:t xml:space="preserve"> and any Cash Collateral provided by such Defaulting Lender). If at any time the Administrative Agent determines that any funds held as Cash Collateral are subject to any right or claim of any Person other than the Administrative Agent or that the total amount of such funds is less than the aggregate outstanding amount of all LC Exposure, the Borrower will, within three Business Days of written demand by the Administrative Agent, pay to the Administrative Agent, as additional funds to be deposited as Cash Collateral, an amount equal to the excess of (x) such aggregate outstanding amount over (y) the total amount of funds, if any, then held as Cash Collateral to secure such LC Exposure that the Administrative Agent determines to be free and clear of any such right and claim. Upon the drawing of any Letter of Credit for which funds are on deposit as Cash Collateral, such funds shall be applied, to the extent permitted under applicable laws, to reimburse the applicable Issuing Bank.</w:t>
      </w:r>
    </w:p>
    <w:p>
      <w:pPr>
        <w:spacing w:after="0" w:line="160" w:lineRule="exact"/>
        <w:rPr>
          <w:rFonts w:ascii="Arial" w:cs="Arial" w:eastAsia="Arial" w:hAnsi="Arial"/>
          <w:sz w:val="19"/>
          <w:szCs w:val="19"/>
          <w:color w:val="auto"/>
        </w:rPr>
      </w:pPr>
    </w:p>
    <w:p>
      <w:pPr>
        <w:ind w:firstLine="1304"/>
        <w:spacing w:after="0" w:line="232" w:lineRule="auto"/>
        <w:tabs>
          <w:tab w:leader="none" w:pos="1855" w:val="left"/>
        </w:tabs>
        <w:numPr>
          <w:ilvl w:val="0"/>
          <w:numId w:val="433"/>
        </w:numPr>
        <w:rPr>
          <w:rFonts w:ascii="Arial" w:cs="Arial" w:eastAsia="Arial" w:hAnsi="Arial"/>
          <w:sz w:val="22"/>
          <w:szCs w:val="22"/>
          <w:color w:val="auto"/>
        </w:rPr>
      </w:pPr>
      <w:r>
        <w:rPr>
          <w:rFonts w:ascii="Arial" w:cs="Arial" w:eastAsia="Arial" w:hAnsi="Arial"/>
          <w:sz w:val="22"/>
          <w:szCs w:val="22"/>
          <w:u w:val="single" w:color="auto"/>
          <w:color w:val="auto"/>
        </w:rPr>
        <w:t>Grant of Security Interest</w:t>
      </w:r>
      <w:r>
        <w:rPr>
          <w:rFonts w:ascii="Arial" w:cs="Arial" w:eastAsia="Arial" w:hAnsi="Arial"/>
          <w:sz w:val="22"/>
          <w:szCs w:val="22"/>
          <w:color w:val="auto"/>
        </w:rPr>
        <w:t>. All Cash Collateral (other than credit support not constituting funds subject to deposit) shall be maintained in one or more blocked,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09" w:name="page410"/>
    <w:bookmarkEnd w:id="409"/>
    <w:p>
      <w:pPr>
        <w:jc w:val="both"/>
        <w:spacing w:after="0" w:line="243" w:lineRule="auto"/>
        <w:rPr>
          <w:sz w:val="20"/>
          <w:szCs w:val="20"/>
          <w:color w:val="auto"/>
        </w:rPr>
      </w:pPr>
      <w:r>
        <w:rPr>
          <w:rFonts w:ascii="Arial" w:cs="Arial" w:eastAsia="Arial" w:hAnsi="Arial"/>
          <w:sz w:val="19"/>
          <w:szCs w:val="19"/>
          <w:color w:val="auto"/>
        </w:rPr>
        <w:t xml:space="preserve">interest-bearing deposit and/or securities accounts with or established by the Administrative Agent. The Borrower, and to the extent provided by any Lender, such Lender, hereby grants to (and subjects to the control of) the Administrative Agent, for the benefit of the Administrative Agent, the Issuing Banks and the applicable Revolving Lenders, and agrees to maintain, a first priority security interest (subject to Liens of the type permitted by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in all such cash, Cash Equivalents, deposit and/or securities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2.23(c)</w:t>
      </w:r>
      <w:r>
        <w:rPr>
          <w:rFonts w:ascii="Arial" w:cs="Arial" w:eastAsia="Arial" w:hAnsi="Arial"/>
          <w:sz w:val="19"/>
          <w:szCs w:val="19"/>
          <w:color w:val="auto"/>
        </w:rPr>
        <w:t>. If at any time the Administrative Agent determines that Cash Collateral is subject to any non-permitted right or claim of any Person other than the Administrative Agent as herein provided, or that the total amount of such Cash Collateral is less than 103% of the applicable LC Exposure and other obligations secured thereby, the Borrower or the relevant Defaulting Lender will, promptly following written demand by the Administrative Agent, pay or provide to the Administrative Agent additional Cash Collateral in an amount sufficient to eliminate such deficiency.</w:t>
      </w:r>
    </w:p>
    <w:p>
      <w:pPr>
        <w:spacing w:after="0" w:line="159" w:lineRule="exact"/>
        <w:rPr>
          <w:sz w:val="20"/>
          <w:szCs w:val="20"/>
          <w:color w:val="auto"/>
        </w:rPr>
      </w:pPr>
    </w:p>
    <w:p>
      <w:pPr>
        <w:jc w:val="both"/>
        <w:ind w:firstLine="1304"/>
        <w:spacing w:after="0" w:line="216" w:lineRule="auto"/>
        <w:tabs>
          <w:tab w:leader="none" w:pos="1761" w:val="left"/>
        </w:tabs>
        <w:numPr>
          <w:ilvl w:val="0"/>
          <w:numId w:val="434"/>
        </w:numPr>
        <w:rPr>
          <w:rFonts w:ascii="Arial" w:cs="Arial" w:eastAsia="Arial" w:hAnsi="Arial"/>
          <w:sz w:val="22"/>
          <w:szCs w:val="22"/>
          <w:color w:val="auto"/>
        </w:rPr>
      </w:pPr>
      <w:r>
        <w:rPr>
          <w:rFonts w:ascii="Arial" w:cs="Arial" w:eastAsia="Arial" w:hAnsi="Arial"/>
          <w:sz w:val="22"/>
          <w:szCs w:val="22"/>
          <w:u w:val="single" w:color="auto"/>
          <w:color w:val="auto"/>
        </w:rPr>
        <w:t>Application</w:t>
      </w:r>
      <w:r>
        <w:rPr>
          <w:rFonts w:ascii="Arial" w:cs="Arial" w:eastAsia="Arial" w:hAnsi="Arial"/>
          <w:sz w:val="22"/>
          <w:szCs w:val="22"/>
          <w:color w:val="auto"/>
        </w:rPr>
        <w:t xml:space="preserve">. Notwithstanding anything to the contrary contained in this Agreement, Cash Collateral provided under this </w:t>
      </w:r>
      <w:r>
        <w:rPr>
          <w:rFonts w:ascii="Arial" w:cs="Arial" w:eastAsia="Arial" w:hAnsi="Arial"/>
          <w:sz w:val="22"/>
          <w:szCs w:val="22"/>
          <w:u w:val="single" w:color="auto"/>
          <w:color w:val="auto"/>
        </w:rPr>
        <w:t>Section 2.23</w:t>
      </w:r>
      <w:r>
        <w:rPr>
          <w:rFonts w:ascii="Arial" w:cs="Arial" w:eastAsia="Arial" w:hAnsi="Arial"/>
          <w:sz w:val="22"/>
          <w:szCs w:val="22"/>
          <w:color w:val="auto"/>
        </w:rPr>
        <w:t xml:space="preserve"> or otherwise in respect of Letters of Credit shall be held and applied to the satisfaction of the specific LC Disbursement,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57" w:lineRule="exact"/>
        <w:rPr>
          <w:rFonts w:ascii="Arial" w:cs="Arial" w:eastAsia="Arial" w:hAnsi="Arial"/>
          <w:sz w:val="22"/>
          <w:szCs w:val="22"/>
          <w:color w:val="auto"/>
        </w:rPr>
      </w:pPr>
    </w:p>
    <w:p>
      <w:pPr>
        <w:jc w:val="both"/>
        <w:ind w:firstLine="1304"/>
        <w:spacing w:after="0" w:line="247" w:lineRule="auto"/>
        <w:tabs>
          <w:tab w:leader="none" w:pos="1913" w:val="left"/>
        </w:tabs>
        <w:numPr>
          <w:ilvl w:val="0"/>
          <w:numId w:val="434"/>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Cash Collateral (or the appropriate portion thereof) provided to reduce LC Exposure or other obligations shall be released promptly following (i) the elimination of the applicable LC Exposure or other obligations giving rise thereto (including by the termination of Defaulting Lender status of the applicable Lender (or, as appropriate, its assignee)) or (ii) the Administrative Agent’s good faith determination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Cash Collateral furnished by or on behalf of a Loan Party shall not be released during the continuance of an Event of Default and (y) the Person providing Cash Collateral and the Issuing Banks may agree that Cash Collateral shall not be released but instead held to support future anticipated LC Exposure or other obligations.</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2.24</w:t>
      </w:r>
      <w:r>
        <w:rPr>
          <w:sz w:val="20"/>
          <w:szCs w:val="20"/>
          <w:color w:val="auto"/>
        </w:rPr>
        <w:tab/>
      </w:r>
      <w:r>
        <w:rPr>
          <w:rFonts w:ascii="Arial" w:cs="Arial" w:eastAsia="Arial" w:hAnsi="Arial"/>
          <w:sz w:val="19"/>
          <w:szCs w:val="19"/>
          <w:u w:val="single" w:color="auto"/>
          <w:color w:val="auto"/>
        </w:rPr>
        <w:t>Extensions of Term Loans and Revolving Commitments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1" w:lineRule="auto"/>
        <w:tabs>
          <w:tab w:leader="none" w:pos="1914" w:val="left"/>
        </w:tabs>
        <w:numPr>
          <w:ilvl w:val="0"/>
          <w:numId w:val="435"/>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pursuant to one or more offers (each, an “</w:t>
      </w:r>
      <w:r>
        <w:rPr>
          <w:rFonts w:ascii="Arial" w:cs="Arial" w:eastAsia="Arial" w:hAnsi="Arial"/>
          <w:sz w:val="19"/>
          <w:szCs w:val="19"/>
          <w:u w:val="single" w:color="auto"/>
          <w:color w:val="auto"/>
        </w:rPr>
        <w:t>Extension Offer</w:t>
      </w:r>
      <w:r>
        <w:rPr>
          <w:rFonts w:ascii="Arial" w:cs="Arial" w:eastAsia="Arial" w:hAnsi="Arial"/>
          <w:sz w:val="19"/>
          <w:szCs w:val="19"/>
          <w:color w:val="auto"/>
        </w:rPr>
        <w:t>”) made from time to time by (i) the Borrower to all Lenders of Term Loans of the applicable Class with a like maturity date or (ii) the Borrower to all Lenders with Revolving Commitments of the applicable Class with a like maturity date, in each case on a pro rata basis (based on the aggregate outstanding principal amount of the respective Term Loans or Revolving Commitments with a like maturity date, as the case may be) and offered on the same terms to each such Lender, the Borrower is hereby permitted to consummate from time to time transactions with individual Lenders that accept the terms contained in such Extension Offers to extend the maturity date of each such Lender’s Term Loans and/or Revolving Commitments and otherwise modify the terms of such Term Loans and/or Revolving Commitments pursuant to the terms of the relevant Extension Offer (including by increasing the interest rate, premiums or fees payable in respect of such Term Loans and/or Revolving Commitments (and related outstandings) and/or modifying the amortization schedule, optional prepayment terms, required prepayment dates and participation in prepayments in respect of such Lender’s Term Loans) (each, an “</w:t>
      </w:r>
      <w:r>
        <w:rPr>
          <w:rFonts w:ascii="Arial" w:cs="Arial" w:eastAsia="Arial" w:hAnsi="Arial"/>
          <w:sz w:val="19"/>
          <w:szCs w:val="19"/>
          <w:u w:val="single" w:color="auto"/>
          <w:color w:val="auto"/>
        </w:rPr>
        <w:t>Extension</w:t>
      </w:r>
      <w:r>
        <w:rPr>
          <w:rFonts w:ascii="Arial" w:cs="Arial" w:eastAsia="Arial" w:hAnsi="Arial"/>
          <w:sz w:val="19"/>
          <w:szCs w:val="19"/>
          <w:color w:val="auto"/>
        </w:rPr>
        <w:t>”, and each group of Term Loans or Revolving Commitments, as applicable, in each case as so extended, as well as the Initial Term Loans and the Initial Revolving Commitments (in each case not so extended), being a separate Class; any Extended Term Loans shall constitute a separate Class of Term Loans from the Class of Term Loans from which they were converted, and any Extended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10" w:name="page411"/>
    <w:bookmarkEnd w:id="410"/>
    <w:p>
      <w:pPr>
        <w:spacing w:after="0" w:line="232" w:lineRule="auto"/>
        <w:rPr>
          <w:sz w:val="20"/>
          <w:szCs w:val="20"/>
          <w:color w:val="auto"/>
        </w:rPr>
      </w:pPr>
      <w:r>
        <w:rPr>
          <w:rFonts w:ascii="Arial" w:cs="Arial" w:eastAsia="Arial" w:hAnsi="Arial"/>
          <w:sz w:val="22"/>
          <w:szCs w:val="22"/>
          <w:color w:val="auto"/>
        </w:rPr>
        <w:t>shall constitute a separate Class of Revolving Commitments from the Class of Revolving Commitments from which they were converted), so long as the following terms are satisfied (or waived):</w:t>
      </w:r>
    </w:p>
    <w:p>
      <w:pPr>
        <w:spacing w:after="0" w:line="159" w:lineRule="exact"/>
        <w:rPr>
          <w:sz w:val="20"/>
          <w:szCs w:val="20"/>
          <w:color w:val="auto"/>
        </w:rPr>
      </w:pPr>
    </w:p>
    <w:p>
      <w:pPr>
        <w:jc w:val="both"/>
        <w:ind w:left="660" w:firstLine="644"/>
        <w:spacing w:after="0"/>
        <w:tabs>
          <w:tab w:leader="none" w:pos="1734" w:val="left"/>
        </w:tabs>
        <w:numPr>
          <w:ilvl w:val="0"/>
          <w:numId w:val="436"/>
        </w:numPr>
        <w:rPr>
          <w:rFonts w:ascii="Arial" w:cs="Arial" w:eastAsia="Arial" w:hAnsi="Arial"/>
          <w:sz w:val="19"/>
          <w:szCs w:val="19"/>
          <w:color w:val="auto"/>
        </w:rPr>
      </w:pPr>
      <w:r>
        <w:rPr>
          <w:rFonts w:ascii="Arial" w:cs="Arial" w:eastAsia="Arial" w:hAnsi="Arial"/>
          <w:sz w:val="19"/>
          <w:szCs w:val="19"/>
          <w:color w:val="auto"/>
        </w:rPr>
        <w:t>except as to interest rates, fees, premiums, amortization, prepayments, AHYDO Catch-Up Payments and final maturity (which shall be determined by the Borrower and set forth in the relevant Extension Offer and which shall be no earlier than the maturity date of the Class of Revolving Commitments for which such Extension Offer was made), the Revolving Commitment of any Revolving Lender that agrees to an Extension with respect to such Revolving Commitment (an “</w:t>
      </w:r>
      <w:r>
        <w:rPr>
          <w:rFonts w:ascii="Arial" w:cs="Arial" w:eastAsia="Arial" w:hAnsi="Arial"/>
          <w:sz w:val="19"/>
          <w:szCs w:val="19"/>
          <w:u w:val="single" w:color="auto"/>
          <w:color w:val="auto"/>
        </w:rPr>
        <w:t>Extending Revolving Loan Lender</w:t>
      </w:r>
      <w:r>
        <w:rPr>
          <w:rFonts w:ascii="Arial" w:cs="Arial" w:eastAsia="Arial" w:hAnsi="Arial"/>
          <w:sz w:val="19"/>
          <w:szCs w:val="19"/>
          <w:color w:val="auto"/>
        </w:rPr>
        <w:t>”) extended pursuant to an Extension (an “</w:t>
      </w:r>
      <w:r>
        <w:rPr>
          <w:rFonts w:ascii="Arial" w:cs="Arial" w:eastAsia="Arial" w:hAnsi="Arial"/>
          <w:sz w:val="19"/>
          <w:szCs w:val="19"/>
          <w:u w:val="single" w:color="auto"/>
          <w:color w:val="auto"/>
        </w:rPr>
        <w:t>Extended Revolving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w:t>
      </w:r>
      <w:r>
        <w:rPr>
          <w:rFonts w:ascii="Arial" w:cs="Arial" w:eastAsia="Arial" w:hAnsi="Arial"/>
          <w:sz w:val="19"/>
          <w:szCs w:val="19"/>
          <w:color w:val="auto"/>
        </w:rPr>
        <w:t>” and the loans made pursuant thereto, the “</w:t>
      </w:r>
      <w:r>
        <w:rPr>
          <w:rFonts w:ascii="Arial" w:cs="Arial" w:eastAsia="Arial" w:hAnsi="Arial"/>
          <w:sz w:val="19"/>
          <w:szCs w:val="19"/>
          <w:u w:val="single" w:color="auto"/>
          <w:color w:val="auto"/>
        </w:rPr>
        <w:t>Extended Revolving Loans</w:t>
      </w:r>
      <w:r>
        <w:rPr>
          <w:rFonts w:ascii="Arial" w:cs="Arial" w:eastAsia="Arial" w:hAnsi="Arial"/>
          <w:sz w:val="19"/>
          <w:szCs w:val="19"/>
          <w:color w:val="auto"/>
        </w:rPr>
        <w:t xml:space="preserve">”), and the related outstandings, shall have covenants and events of default, if not consistent with the terms of the Revolving Commitments, not materially more restrictive to the Loan Parties (as determined in good faith by the Borrower), when taken as a whole, than the terms of the Revolving Commitment unless (x) the Revolving Lenders receive the benefit of such more restrictive terms or (y) any such provisions apply only after the Revolving Termination Date (as determined in good faith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the borrowing and repayment (except for (A) payments of interest and fees at different rates on Extended Revolving Commitments (and related outstandings), (B) repayments required upon the maturity date of the non-extended Revolving Commitments and (C) repayments made in connection with a permanent repayment and termination of commitments) of Loans with respect to Extended Revolving Commitments after the applicable Extension date shall be made on a pro rata basis or less with all other Revolving Commitments, (2) all Letters of Credit shall be participated on a pro rata basis or less by all Lenders with Revolving Commitments in accordance with their percentage of the Revolving Commitments, (3) the permanent repayment of Revolving Loans with respect to, and termination of, Extended Revolving Commitments after the applicable Extension date shall be made on a pro rata basis with all other Revolving Commitments, except that the Borrower shall be permitted to permanently repay and terminate commitments of any such Class on a non-pro rata basis as compared to any other Class with a later maturity date than such Class, (4) assignments and participations of Extended Revolving Commitments and Extended Revolving Loans shall be governed by the same assignment and participation provisions applicable to Revolving Commitments and Revolving Loans and (5) at no time shall there be Revolving Commitments hereunder (including Extended Revolving Commitments and any Initial Revolving Commitments) which have more than four different maturity dates,</w:t>
      </w:r>
    </w:p>
    <w:p>
      <w:pPr>
        <w:spacing w:after="0" w:line="374" w:lineRule="exact"/>
        <w:rPr>
          <w:rFonts w:ascii="Arial" w:cs="Arial" w:eastAsia="Arial" w:hAnsi="Arial"/>
          <w:sz w:val="19"/>
          <w:szCs w:val="19"/>
          <w:color w:val="auto"/>
        </w:rPr>
      </w:pPr>
    </w:p>
    <w:p>
      <w:pPr>
        <w:jc w:val="both"/>
        <w:ind w:left="660" w:firstLine="644"/>
        <w:spacing w:after="0" w:line="221" w:lineRule="auto"/>
        <w:tabs>
          <w:tab w:leader="none" w:pos="1892" w:val="left"/>
        </w:tabs>
        <w:numPr>
          <w:ilvl w:val="0"/>
          <w:numId w:val="436"/>
        </w:numPr>
        <w:rPr>
          <w:rFonts w:ascii="Arial" w:cs="Arial" w:eastAsia="Arial" w:hAnsi="Arial"/>
          <w:sz w:val="21"/>
          <w:szCs w:val="21"/>
          <w:color w:val="auto"/>
        </w:rPr>
      </w:pPr>
      <w:r>
        <w:rPr>
          <w:rFonts w:ascii="Arial" w:cs="Arial" w:eastAsia="Arial" w:hAnsi="Arial"/>
          <w:sz w:val="21"/>
          <w:szCs w:val="21"/>
          <w:color w:val="auto"/>
        </w:rPr>
        <w:t xml:space="preserve">except as to interest rates, fees, premiums, amortization, prepayments, AHYDO Catch-Up Payments and final maturity (which shall, subject to the immediately succeeding </w:t>
      </w:r>
      <w:r>
        <w:rPr>
          <w:rFonts w:ascii="Arial" w:cs="Arial" w:eastAsia="Arial" w:hAnsi="Arial"/>
          <w:sz w:val="21"/>
          <w:szCs w:val="21"/>
          <w:u w:val="single" w:color="auto"/>
          <w:color w:val="auto"/>
        </w:rPr>
        <w:t>clauses (iv)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w:t>
      </w:r>
      <w:r>
        <w:rPr>
          <w:rFonts w:ascii="Arial" w:cs="Arial" w:eastAsia="Arial" w:hAnsi="Arial"/>
          <w:sz w:val="21"/>
          <w:szCs w:val="21"/>
          <w:color w:val="auto"/>
        </w:rPr>
        <w:t>, be determined by the Borrower and set forth in the relevant Extension Offer), the Term Loans of any Term Lender that agrees to an Extension with respect to such Term Loans (an “</w:t>
      </w:r>
      <w:r>
        <w:rPr>
          <w:rFonts w:ascii="Arial" w:cs="Arial" w:eastAsia="Arial" w:hAnsi="Arial"/>
          <w:sz w:val="21"/>
          <w:szCs w:val="21"/>
          <w:u w:val="single" w:color="auto"/>
          <w:color w:val="auto"/>
        </w:rPr>
        <w:t>Extending Term Lender</w:t>
      </w:r>
      <w:r>
        <w:rPr>
          <w:rFonts w:ascii="Arial" w:cs="Arial" w:eastAsia="Arial" w:hAnsi="Arial"/>
          <w:sz w:val="21"/>
          <w:szCs w:val="21"/>
          <w:color w:val="auto"/>
        </w:rPr>
        <w:t>”, and together with Extending Revolving Loan Lenders, “</w:t>
      </w:r>
      <w:r>
        <w:rPr>
          <w:rFonts w:ascii="Arial" w:cs="Arial" w:eastAsia="Arial" w:hAnsi="Arial"/>
          <w:sz w:val="21"/>
          <w:szCs w:val="21"/>
          <w:u w:val="single" w:color="auto"/>
          <w:color w:val="auto"/>
        </w:rPr>
        <w:t>Extending Lenders</w:t>
      </w:r>
      <w:r>
        <w:rPr>
          <w:rFonts w:ascii="Arial" w:cs="Arial" w:eastAsia="Arial" w:hAnsi="Arial"/>
          <w:sz w:val="21"/>
          <w:szCs w:val="21"/>
          <w:color w:val="auto"/>
        </w:rPr>
        <w:t>”) extended pursuant to any Extension (“</w:t>
      </w:r>
      <w:r>
        <w:rPr>
          <w:rFonts w:ascii="Arial" w:cs="Arial" w:eastAsia="Arial" w:hAnsi="Arial"/>
          <w:sz w:val="21"/>
          <w:szCs w:val="21"/>
          <w:u w:val="single" w:color="auto"/>
          <w:color w:val="auto"/>
        </w:rPr>
        <w:t>Extended Term Loans</w:t>
      </w:r>
      <w:r>
        <w:rPr>
          <w:rFonts w:ascii="Arial" w:cs="Arial" w:eastAsia="Arial" w:hAnsi="Arial"/>
          <w:sz w:val="21"/>
          <w:szCs w:val="21"/>
          <w:color w:val="auto"/>
        </w:rPr>
        <w:t>”) shall have covenants and events of default, if not consistent with the terms of the Term Loans, not materially more restrictive to the Loan Parties (as determined in good faith by the Borrower), when taken as a whole, than the terms of the Term Loans unless (x) the Lenders of the Term Loans receive the benefit of such more restrictive terms or (y) any such provisions apply only after the Term Loan Maturity Date,</w:t>
      </w:r>
    </w:p>
    <w:p>
      <w:pPr>
        <w:spacing w:after="0" w:line="158" w:lineRule="exact"/>
        <w:rPr>
          <w:rFonts w:ascii="Arial" w:cs="Arial" w:eastAsia="Arial" w:hAnsi="Arial"/>
          <w:sz w:val="21"/>
          <w:szCs w:val="21"/>
          <w:color w:val="auto"/>
        </w:rPr>
      </w:pPr>
    </w:p>
    <w:p>
      <w:pPr>
        <w:ind w:left="660" w:firstLine="644"/>
        <w:spacing w:after="0" w:line="232" w:lineRule="auto"/>
        <w:tabs>
          <w:tab w:leader="none" w:pos="1862" w:val="left"/>
        </w:tabs>
        <w:numPr>
          <w:ilvl w:val="0"/>
          <w:numId w:val="436"/>
        </w:numPr>
        <w:rPr>
          <w:rFonts w:ascii="Arial" w:cs="Arial" w:eastAsia="Arial" w:hAnsi="Arial"/>
          <w:sz w:val="22"/>
          <w:szCs w:val="22"/>
          <w:color w:val="auto"/>
        </w:rPr>
      </w:pPr>
      <w:r>
        <w:rPr>
          <w:rFonts w:ascii="Arial" w:cs="Arial" w:eastAsia="Arial" w:hAnsi="Arial"/>
          <w:sz w:val="22"/>
          <w:szCs w:val="22"/>
          <w:color w:val="auto"/>
        </w:rPr>
        <w:t>the final maturity date of any Extended Term Loans shall be no earlier than the Term Loan Maturity Date of the Class of Term Loans for which such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11" w:name="page412"/>
    <w:bookmarkEnd w:id="411"/>
    <w:p>
      <w:pPr>
        <w:ind w:left="660"/>
        <w:spacing w:after="0" w:line="232" w:lineRule="auto"/>
        <w:rPr>
          <w:sz w:val="20"/>
          <w:szCs w:val="20"/>
          <w:color w:val="auto"/>
        </w:rPr>
      </w:pPr>
      <w:r>
        <w:rPr>
          <w:rFonts w:ascii="Arial" w:cs="Arial" w:eastAsia="Arial" w:hAnsi="Arial"/>
          <w:sz w:val="22"/>
          <w:szCs w:val="22"/>
          <w:color w:val="auto"/>
        </w:rPr>
        <w:t>Offer was made and at no time shall the Term Loans (including Extended Term Loans) have more than six different maturity dates,</w:t>
      </w:r>
    </w:p>
    <w:p>
      <w:pPr>
        <w:spacing w:after="0" w:line="159" w:lineRule="exact"/>
        <w:rPr>
          <w:sz w:val="20"/>
          <w:szCs w:val="20"/>
          <w:color w:val="auto"/>
        </w:rPr>
      </w:pPr>
    </w:p>
    <w:p>
      <w:pPr>
        <w:jc w:val="both"/>
        <w:ind w:left="660" w:firstLine="644"/>
        <w:spacing w:after="0" w:line="268" w:lineRule="auto"/>
        <w:tabs>
          <w:tab w:leader="none" w:pos="1873" w:val="left"/>
        </w:tabs>
        <w:numPr>
          <w:ilvl w:val="0"/>
          <w:numId w:val="437"/>
        </w:numPr>
        <w:rPr>
          <w:rFonts w:ascii="Arial" w:cs="Arial" w:eastAsia="Arial" w:hAnsi="Arial"/>
          <w:sz w:val="19"/>
          <w:szCs w:val="19"/>
          <w:color w:val="auto"/>
        </w:rPr>
      </w:pPr>
      <w:r>
        <w:rPr>
          <w:rFonts w:ascii="Arial" w:cs="Arial" w:eastAsia="Arial" w:hAnsi="Arial"/>
          <w:sz w:val="19"/>
          <w:szCs w:val="19"/>
          <w:color w:val="auto"/>
        </w:rPr>
        <w:t>the Weighted Average Life to Maturity of any Extended Term Loans shall be no shorter than the remaining Weighted Average Life to Maturity of the Term Loans extended thereby (without giving effect to nominal amortization for periods where amortization has been eliminated as a result of a prepayment of the applicable Term Loans),</w:t>
      </w:r>
    </w:p>
    <w:p>
      <w:pPr>
        <w:spacing w:after="0" w:line="132" w:lineRule="exact"/>
        <w:rPr>
          <w:rFonts w:ascii="Arial" w:cs="Arial" w:eastAsia="Arial" w:hAnsi="Arial"/>
          <w:sz w:val="19"/>
          <w:szCs w:val="19"/>
          <w:color w:val="auto"/>
        </w:rPr>
      </w:pPr>
    </w:p>
    <w:p>
      <w:pPr>
        <w:jc w:val="both"/>
        <w:ind w:left="660" w:firstLine="644"/>
        <w:spacing w:after="0" w:line="221" w:lineRule="auto"/>
        <w:tabs>
          <w:tab w:leader="none" w:pos="1913" w:val="left"/>
        </w:tabs>
        <w:numPr>
          <w:ilvl w:val="0"/>
          <w:numId w:val="437"/>
        </w:numPr>
        <w:rPr>
          <w:rFonts w:ascii="Arial" w:cs="Arial" w:eastAsia="Arial" w:hAnsi="Arial"/>
          <w:sz w:val="21"/>
          <w:szCs w:val="21"/>
          <w:color w:val="auto"/>
        </w:rPr>
      </w:pPr>
      <w:r>
        <w:rPr>
          <w:rFonts w:ascii="Arial" w:cs="Arial" w:eastAsia="Arial" w:hAnsi="Arial"/>
          <w:sz w:val="21"/>
          <w:szCs w:val="21"/>
          <w:color w:val="auto"/>
        </w:rPr>
        <w:t>if the aggregate principal amount of Term Loans (calculated on the face amount thereof) or Revolving Commitments, as the case may be, in respect of which Term Lenders or Revolving Lenders, as the case may be, shall have accepted the relevant Extension Offer shall exceed the maximum aggregate principal amount of Term Loans or Revolving Commitments, as the case may be, offered to be extended by the Borrower pursuant to such Extension Offer, then the Term Loans or Revolving Loans, as the case may be, of such Term Lenders or Revolving Lenders, as the case may be, shall be extended ratably up to such maximum amount based on the respective principal amounts (but not to exceed actual holdings of record) with respect to which such Term Lenders or Revolving Lenders, as the case may be, have accepted such Extension Offer,</w:t>
      </w:r>
    </w:p>
    <w:p>
      <w:pPr>
        <w:spacing w:after="0" w:line="165" w:lineRule="exact"/>
        <w:rPr>
          <w:rFonts w:ascii="Arial" w:cs="Arial" w:eastAsia="Arial" w:hAnsi="Arial"/>
          <w:sz w:val="21"/>
          <w:szCs w:val="21"/>
          <w:color w:val="auto"/>
        </w:rPr>
      </w:pPr>
    </w:p>
    <w:p>
      <w:pPr>
        <w:ind w:left="1840" w:hanging="536"/>
        <w:spacing w:after="0"/>
        <w:tabs>
          <w:tab w:leader="none" w:pos="1840" w:val="left"/>
        </w:tabs>
        <w:numPr>
          <w:ilvl w:val="0"/>
          <w:numId w:val="437"/>
        </w:numPr>
        <w:rPr>
          <w:rFonts w:ascii="Arial" w:cs="Arial" w:eastAsia="Arial" w:hAnsi="Arial"/>
          <w:sz w:val="22"/>
          <w:szCs w:val="22"/>
          <w:color w:val="auto"/>
        </w:rPr>
      </w:pPr>
      <w:r>
        <w:rPr>
          <w:rFonts w:ascii="Arial" w:cs="Arial" w:eastAsia="Arial" w:hAnsi="Arial"/>
          <w:sz w:val="22"/>
          <w:szCs w:val="22"/>
          <w:color w:val="auto"/>
        </w:rPr>
        <w:t>all documentation in respect of such Extension shall be consistent with the foregoing, and</w:t>
      </w:r>
    </w:p>
    <w:p>
      <w:pPr>
        <w:spacing w:after="0" w:line="179" w:lineRule="exact"/>
        <w:rPr>
          <w:rFonts w:ascii="Arial" w:cs="Arial" w:eastAsia="Arial" w:hAnsi="Arial"/>
          <w:sz w:val="22"/>
          <w:szCs w:val="22"/>
          <w:color w:val="auto"/>
        </w:rPr>
      </w:pPr>
    </w:p>
    <w:p>
      <w:pPr>
        <w:ind w:left="1900" w:hanging="596"/>
        <w:spacing w:after="0"/>
        <w:tabs>
          <w:tab w:leader="none" w:pos="1900" w:val="left"/>
        </w:tabs>
        <w:numPr>
          <w:ilvl w:val="0"/>
          <w:numId w:val="437"/>
        </w:numPr>
        <w:rPr>
          <w:rFonts w:ascii="Arial" w:cs="Arial" w:eastAsia="Arial" w:hAnsi="Arial"/>
          <w:sz w:val="22"/>
          <w:szCs w:val="22"/>
          <w:color w:val="auto"/>
        </w:rPr>
      </w:pPr>
      <w:r>
        <w:rPr>
          <w:rFonts w:ascii="Arial" w:cs="Arial" w:eastAsia="Arial" w:hAnsi="Arial"/>
          <w:sz w:val="22"/>
          <w:szCs w:val="22"/>
          <w:color w:val="auto"/>
        </w:rPr>
        <w:t>any applicable Minimum Extension Condition shall be satisfied unless waived by the Borrower.</w:t>
      </w:r>
    </w:p>
    <w:p>
      <w:pPr>
        <w:spacing w:after="0" w:line="179" w:lineRule="exact"/>
        <w:rPr>
          <w:sz w:val="20"/>
          <w:szCs w:val="20"/>
          <w:color w:val="auto"/>
        </w:rPr>
      </w:pPr>
    </w:p>
    <w:p>
      <w:pPr>
        <w:jc w:val="both"/>
        <w:ind w:firstLine="1304"/>
        <w:spacing w:after="0" w:line="243" w:lineRule="auto"/>
        <w:tabs>
          <w:tab w:leader="none" w:pos="1949" w:val="left"/>
        </w:tabs>
        <w:numPr>
          <w:ilvl w:val="0"/>
          <w:numId w:val="438"/>
        </w:numPr>
        <w:rPr>
          <w:rFonts w:ascii="Arial" w:cs="Arial" w:eastAsia="Arial" w:hAnsi="Arial"/>
          <w:sz w:val="19"/>
          <w:szCs w:val="19"/>
          <w:color w:val="auto"/>
        </w:rPr>
      </w:pPr>
      <w:r>
        <w:rPr>
          <w:rFonts w:ascii="Arial" w:cs="Arial" w:eastAsia="Arial" w:hAnsi="Arial"/>
          <w:sz w:val="19"/>
          <w:szCs w:val="19"/>
          <w:color w:val="auto"/>
        </w:rPr>
        <w:t xml:space="preserve">With respect to all Extensions consummated by the Borrower pursuant to this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(i) such Extensions shall not constitute voluntary or mandatory payments or prepayments for purposes of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and (ii) no Extension Offer is required to be in any minimum amount or any minimum increment,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may at their election specify as a condition (a “</w:t>
      </w:r>
      <w:r>
        <w:rPr>
          <w:rFonts w:ascii="Arial" w:cs="Arial" w:eastAsia="Arial" w:hAnsi="Arial"/>
          <w:sz w:val="19"/>
          <w:szCs w:val="19"/>
          <w:u w:val="single" w:color="auto"/>
          <w:color w:val="auto"/>
        </w:rPr>
        <w:t>Minimum Extension Condition</w:t>
      </w:r>
      <w:r>
        <w:rPr>
          <w:rFonts w:ascii="Arial" w:cs="Arial" w:eastAsia="Arial" w:hAnsi="Arial"/>
          <w:sz w:val="19"/>
          <w:szCs w:val="19"/>
          <w:color w:val="auto"/>
        </w:rPr>
        <w:t xml:space="preserve">”) to consummating any such Extension that a minimum amount (to be determined and specified in the relevant Extension Offer in the Borrower’s sole discretion and may be waived by the Borrower) of Term Loans or Revolving Commitments (as applicable) of any or all applicable Classes be tendered. The Administrative Agent and the Lenders hereby consent to the consummation of the transactions contemplated by this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(including, for the avoidance of doubt, payment of any interest, fees or premium in respect of any Extended Term Loans and/or Extended Revolving Commitments on such terms as may be set forth in the relevant Extension Offer) and hereby waive the requirements of any provision of this Agreement (including any pro rata payment or amendment section) or any other Loan Document that may otherwise prohibit or restrict any such Extension or any other transaction contemplated by this </w:t>
      </w:r>
      <w:r>
        <w:rPr>
          <w:rFonts w:ascii="Arial" w:cs="Arial" w:eastAsia="Arial" w:hAnsi="Arial"/>
          <w:sz w:val="19"/>
          <w:szCs w:val="19"/>
          <w:u w:val="single" w:color="auto"/>
          <w:color w:val="auto"/>
        </w:rPr>
        <w:t>Section 2.24</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1304"/>
        <w:spacing w:after="0" w:line="244" w:lineRule="auto"/>
        <w:tabs>
          <w:tab w:leader="none" w:pos="1863" w:val="left"/>
        </w:tabs>
        <w:numPr>
          <w:ilvl w:val="0"/>
          <w:numId w:val="438"/>
        </w:numPr>
        <w:rPr>
          <w:rFonts w:ascii="Arial" w:cs="Arial" w:eastAsia="Arial" w:hAnsi="Arial"/>
          <w:sz w:val="19"/>
          <w:szCs w:val="19"/>
          <w:color w:val="auto"/>
        </w:rPr>
      </w:pPr>
      <w:r>
        <w:rPr>
          <w:rFonts w:ascii="Arial" w:cs="Arial" w:eastAsia="Arial" w:hAnsi="Arial"/>
          <w:sz w:val="19"/>
          <w:szCs w:val="19"/>
          <w:color w:val="auto"/>
        </w:rPr>
        <w:t xml:space="preserve">No consent of any Lender or any Agent shall be required to effectuate any Extension, other than (i) the consent of each Lender agreeing to such Extension with respect to one or more of its Term Loans and/or Revolving Commitments (or a portion thereof), (ii) with respect to any Extension of the Revolving Commitments, the consent of each of the Issuing Banks and (iii) to the extent directly adversely amending or modifying the rights or duties of the Administrative Agent beyond those of the type already required to perform under the Loan Documents, the Administrative Agent, which consents shall not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will promptly notify the Administrative Agent of any such Extensions. All Extended Term Loans, Extended Revolving Commitments and all obligations in respect thereof shall be Obligations under this Agreement and the other Loan Documents that are secured by the Collateral on a pari passu basis with all other applicable Obligations under this Agreement and the other Loan Documents. The Lenders hereby irrevocably authorize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12" w:name="page413"/>
    <w:bookmarkEnd w:id="412"/>
    <w:p>
      <w:pPr>
        <w:jc w:val="both"/>
        <w:spacing w:after="0"/>
        <w:rPr>
          <w:sz w:val="20"/>
          <w:szCs w:val="20"/>
          <w:color w:val="auto"/>
        </w:rPr>
      </w:pPr>
      <w:r>
        <w:rPr>
          <w:rFonts w:ascii="Arial" w:cs="Arial" w:eastAsia="Arial" w:hAnsi="Arial"/>
          <w:sz w:val="19"/>
          <w:szCs w:val="19"/>
          <w:color w:val="auto"/>
        </w:rPr>
        <w:t xml:space="preserve">Administrative Agent and, to the extent applicable, the Collateral Agent, to enter into amendments to this Agreement and the other Loan Documents with the Borrower and other Loan Parties as may be necessary or advisable in order to establish new Classes in respect of Revolving Commitments or Term Loans so extended and such technical amendments as may be necessary, advisable or appropriate in the reasonable opinion of the Administrative Agent and the Borrower in connection with the establishment of such new Classes, in each case on terms consistent with this </w:t>
      </w:r>
      <w:r>
        <w:rPr>
          <w:rFonts w:ascii="Arial" w:cs="Arial" w:eastAsia="Arial" w:hAnsi="Arial"/>
          <w:sz w:val="19"/>
          <w:szCs w:val="19"/>
          <w:u w:val="single" w:color="auto"/>
          <w:color w:val="auto"/>
        </w:rPr>
        <w:t>Section 2.24</w:t>
      </w:r>
      <w:r>
        <w:rPr>
          <w:rFonts w:ascii="Arial" w:cs="Arial" w:eastAsia="Arial" w:hAnsi="Arial"/>
          <w:sz w:val="19"/>
          <w:szCs w:val="19"/>
          <w:color w:val="auto"/>
        </w:rPr>
        <w:t>. In addition, any such amendment shall provide that, to the extent consented to by each relevant Issuing Bank, (a) with respect to any Letters of Credit the expiration date for which extend beyond the maturity date for the non-extended Revolving Commitments, participations in such Letters of Credit on such maturity date shall be reallocated from Lenders holding Revolving Commitments to Lenders holding Extended Revolving Commitments in accordance with the terms of such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participation interests shall, upon receipt thereof by the relevant Lenders holding Revolving Commitments, be deemed to be participation interests in respect of such Revolving Commitments and the terms of such participation interests (including the commission applicable thereto) shall be adjusted accordingly) and (b) limitations on drawings of Revolving Loans and issuances, extensions and amendments to Letters of Credit shall be implemented giving effect to the foregoing reallocation prior to such reallocation actually occurring to ensure that sufficient Extended Revolving Commitments are available to participate in any such Letters of Credit. Without limiting the foregoing, in connection with any Extensions the respective Loan Parties shall (at their expense) amend (and the Administrative Agent is hereby directed to amend) any Mortgage that has a maturity date prior to the latest termination date of any Extended Term Loans or Extended Revolving Commitments so that such maturity date is extended to the latest termination date of any Extended Term Loans or Extended Revolving Commitments (or such later date as may be advised by local counsel to the Administrative Agent). No Lender shall be required to participate in any Extension.</w:t>
      </w:r>
    </w:p>
    <w:p>
      <w:pPr>
        <w:spacing w:after="0" w:line="387" w:lineRule="exact"/>
        <w:rPr>
          <w:sz w:val="20"/>
          <w:szCs w:val="20"/>
          <w:color w:val="auto"/>
        </w:rPr>
      </w:pPr>
    </w:p>
    <w:p>
      <w:pPr>
        <w:jc w:val="both"/>
        <w:ind w:firstLine="1304"/>
        <w:spacing w:after="0" w:line="216" w:lineRule="auto"/>
        <w:tabs>
          <w:tab w:leader="none" w:pos="1881" w:val="left"/>
        </w:tabs>
        <w:numPr>
          <w:ilvl w:val="0"/>
          <w:numId w:val="439"/>
        </w:numPr>
        <w:rPr>
          <w:rFonts w:ascii="Arial" w:cs="Arial" w:eastAsia="Arial" w:hAnsi="Arial"/>
          <w:sz w:val="22"/>
          <w:szCs w:val="22"/>
          <w:color w:val="auto"/>
        </w:rPr>
      </w:pPr>
      <w:r>
        <w:rPr>
          <w:rFonts w:ascii="Arial" w:cs="Arial" w:eastAsia="Arial" w:hAnsi="Arial"/>
          <w:sz w:val="22"/>
          <w:szCs w:val="22"/>
          <w:color w:val="auto"/>
        </w:rPr>
        <w:t xml:space="preserve">In connection with any Extension, the Borrower shall provide the Administrative Agent at least five (5) Business Days (or such shorter period as may be agreed by the Administrative Agent) prior written notice thereof, and shall agree to such procedures (to ensure reasonable administrative management of the credit facilities hereunder after such Extension), if any, as may be established by, or acceptable to, the Administrative Agent, in each case acting reasonably to accomplish the purposes of this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2.25</w:t>
      </w:r>
      <w:r>
        <w:rPr>
          <w:sz w:val="20"/>
          <w:szCs w:val="20"/>
          <w:color w:val="auto"/>
        </w:rPr>
        <w:tab/>
      </w:r>
      <w:r>
        <w:rPr>
          <w:rFonts w:ascii="Arial" w:cs="Arial" w:eastAsia="Arial" w:hAnsi="Arial"/>
          <w:sz w:val="19"/>
          <w:szCs w:val="19"/>
          <w:u w:val="single" w:color="auto"/>
          <w:color w:val="auto"/>
        </w:rPr>
        <w:t>Term Loan Exchange Notes</w:t>
      </w:r>
      <w:r>
        <w:rPr>
          <w:rFonts w:ascii="Arial" w:cs="Arial" w:eastAsia="Arial" w:hAnsi="Arial"/>
          <w:sz w:val="19"/>
          <w:szCs w:val="19"/>
          <w:color w:val="FF0000"/>
        </w:rPr>
        <w:t>.</w:t>
      </w:r>
    </w:p>
    <w:p>
      <w:pPr>
        <w:spacing w:after="0" w:line="179" w:lineRule="exact"/>
        <w:rPr>
          <w:sz w:val="20"/>
          <w:szCs w:val="20"/>
          <w:color w:val="auto"/>
        </w:rPr>
      </w:pPr>
    </w:p>
    <w:p>
      <w:pPr>
        <w:jc w:val="both"/>
        <w:ind w:firstLine="1304"/>
        <w:spacing w:after="0" w:line="242" w:lineRule="auto"/>
        <w:tabs>
          <w:tab w:leader="none" w:pos="1868" w:val="left"/>
        </w:tabs>
        <w:numPr>
          <w:ilvl w:val="0"/>
          <w:numId w:val="440"/>
        </w:numPr>
        <w:rPr>
          <w:rFonts w:ascii="Arial" w:cs="Arial" w:eastAsia="Arial" w:hAnsi="Arial"/>
          <w:sz w:val="19"/>
          <w:szCs w:val="19"/>
          <w:color w:val="auto"/>
        </w:rPr>
      </w:pPr>
      <w:r>
        <w:rPr>
          <w:rFonts w:ascii="Arial" w:cs="Arial" w:eastAsia="Arial" w:hAnsi="Arial"/>
          <w:sz w:val="19"/>
          <w:szCs w:val="19"/>
          <w:color w:val="auto"/>
        </w:rPr>
        <w:t>The Borrower may by written notice to the Administrative Agent elect to offer (each a “</w:t>
      </w:r>
      <w:r>
        <w:rPr>
          <w:rFonts w:ascii="Arial" w:cs="Arial" w:eastAsia="Arial" w:hAnsi="Arial"/>
          <w:sz w:val="19"/>
          <w:szCs w:val="19"/>
          <w:u w:val="single" w:color="auto"/>
          <w:color w:val="auto"/>
        </w:rPr>
        <w:t>Permitted Debt</w:t>
      </w:r>
      <w:r>
        <w:rPr>
          <w:rFonts w:ascii="Arial" w:cs="Arial" w:eastAsia="Arial" w:hAnsi="Arial"/>
          <w:sz w:val="19"/>
          <w:szCs w:val="19"/>
          <w:color w:val="auto"/>
        </w:rPr>
        <w:t xml:space="preserve"> </w:t>
      </w:r>
      <w:r>
        <w:rPr>
          <w:rFonts w:ascii="Arial" w:cs="Arial" w:eastAsia="Arial" w:hAnsi="Arial"/>
          <w:sz w:val="19"/>
          <w:szCs w:val="19"/>
          <w:u w:val="single" w:color="auto"/>
          <w:color w:val="auto"/>
        </w:rPr>
        <w:t>Exchange Offer</w:t>
      </w:r>
      <w:r>
        <w:rPr>
          <w:rFonts w:ascii="Arial" w:cs="Arial" w:eastAsia="Arial" w:hAnsi="Arial"/>
          <w:sz w:val="19"/>
          <w:szCs w:val="19"/>
          <w:color w:val="auto"/>
        </w:rPr>
        <w:t>”) to issue to Lenders holding Term Loans under this Agreement first priority senior secured notes and/or junior lien secured notes and/or unsecured notes (the “</w:t>
      </w:r>
      <w:r>
        <w:rPr>
          <w:rFonts w:ascii="Arial" w:cs="Arial" w:eastAsia="Arial" w:hAnsi="Arial"/>
          <w:sz w:val="19"/>
          <w:szCs w:val="19"/>
          <w:u w:val="single" w:color="auto"/>
          <w:color w:val="auto"/>
        </w:rPr>
        <w:t>Term Loan Exchange Notes</w:t>
      </w:r>
      <w:r>
        <w:rPr>
          <w:rFonts w:ascii="Arial" w:cs="Arial" w:eastAsia="Arial" w:hAnsi="Arial"/>
          <w:sz w:val="19"/>
          <w:szCs w:val="19"/>
          <w:color w:val="auto"/>
        </w:rPr>
        <w:t>”) in exchange for all or any portion of the Term Loans (each such exchange, a “</w:t>
      </w:r>
      <w:r>
        <w:rPr>
          <w:rFonts w:ascii="Arial" w:cs="Arial" w:eastAsia="Arial" w:hAnsi="Arial"/>
          <w:sz w:val="19"/>
          <w:szCs w:val="19"/>
          <w:u w:val="single" w:color="auto"/>
          <w:color w:val="auto"/>
        </w:rPr>
        <w:t>Permitted Debt Exchange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Term Loan Exchange Notes may not be in an aggregate principal amount greater than the Term Loans being exchanged (the “</w:t>
      </w:r>
      <w:r>
        <w:rPr>
          <w:rFonts w:ascii="Arial" w:cs="Arial" w:eastAsia="Arial" w:hAnsi="Arial"/>
          <w:sz w:val="19"/>
          <w:szCs w:val="19"/>
          <w:u w:val="single" w:color="auto"/>
          <w:color w:val="auto"/>
        </w:rPr>
        <w:t>Base Exchange Amount</w:t>
      </w:r>
      <w:r>
        <w:rPr>
          <w:rFonts w:ascii="Arial" w:cs="Arial" w:eastAsia="Arial" w:hAnsi="Arial"/>
          <w:sz w:val="19"/>
          <w:szCs w:val="19"/>
          <w:color w:val="auto"/>
        </w:rPr>
        <w:t xml:space="preserve">”) plus unpaid accrued interest and premium (if any) thereon and underwriting discounts, fees, commissions and expenses in connection with the issuance of the Term Loan Exchange Notes,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Borrower may issue Term Loan Exchange Notes in excess of the Base Exchange Amount so long as the incurrence of the Indebtedness in respect of such excess Term Loan Exchange Notes would otherwise be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 Each such notice shall specify the date (each, a “</w:t>
      </w:r>
      <w:r>
        <w:rPr>
          <w:rFonts w:ascii="Arial" w:cs="Arial" w:eastAsia="Arial" w:hAnsi="Arial"/>
          <w:sz w:val="19"/>
          <w:szCs w:val="19"/>
          <w:u w:val="single" w:color="auto"/>
          <w:color w:val="auto"/>
        </w:rPr>
        <w:t>Term Loan Exchange</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on which the Borrower proposes that the Term Loan Exchange Notes shall be issued, which shall be a date not less than five (5) Business Days after the date on which such notice is delivered to the Administrative Agent (or such shorter period as may be agreed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(v) the Weighted Average Life to Maturity of such Term Loan Exchange Notes shall not be shorter than the then remaining Weighted Average Life to Maturity of the Term Loans being exchanged (without giving effect to nominal amortization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13" w:name="page414"/>
    <w:bookmarkEnd w:id="413"/>
    <w:p>
      <w:pPr>
        <w:jc w:val="both"/>
        <w:spacing w:after="0"/>
        <w:rPr>
          <w:sz w:val="20"/>
          <w:szCs w:val="20"/>
          <w:color w:val="auto"/>
        </w:rPr>
      </w:pPr>
      <w:r>
        <w:rPr>
          <w:rFonts w:ascii="Arial" w:cs="Arial" w:eastAsia="Arial" w:hAnsi="Arial"/>
          <w:sz w:val="19"/>
          <w:szCs w:val="19"/>
          <w:color w:val="auto"/>
        </w:rPr>
        <w:t xml:space="preserve">periods where amortization has been eliminated as a result of a prepayment of the applicable Term Loans) and the Term Loan Exchange Notes shall not have a final maturity before the Term Loan Maturity Date then in effect for the Class or Classes of Term Loans being exchanged (it being understood that acceleration or mandatory repayment, prepayment, redemption or repurchase of such Term Loan Exchange Notes upon the occurrence of an event of default, a change in control, an event of loss or an asset disposition shall not be deemed to constitute a change in the stated final maturity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restrictions in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shall not apply to the extent such Term Loan Exchange Notes constitute Subject Indebtedness incurred in reliance on the Maturity Limitation Excluded Amount; (w) if secured, such Term Loan Exchange Notes shall rank pari passu or junior in right of payment and of security with or to the Loans being exchanged hereunder; (x) the affirmative and negative covenants (but not the financial maintenance covenants) and events of default (other than maturity, fees, discounts, interest rate, redemption terms and redemption premiums, and other than any such affirmative and negative covenants and events of default that apply only after the Latest Maturity Date in effect as of the time such Term Loan Exchange Notes are issued) of the Term Loan Exchange Notes, if not consistent with the terms of the Term Loans, shall either, at the option of the Borrower, (I) reflect market terms and conditions at the time of issuance (as determined by the Borrower in good faith) or (II) not be materially more restrictive to the Loan Parties when taken as a whole (as reasonably determined by the Borrower) than the terms of the Term Loans, in each case, unless the Term Loans are also given the benefit of such affirmative and negative covenants and events of default and (y) the obligations in respect of the Term Loan Exchange Notes (A) shall not be secured by Liens on any asset of the Holding Companies, the Borrower and the Subsidiaries other than assets constituting Collateral, (B) if such Term Loan Exchange Notes are secured, all security therefor shall be granted pursuant to documentation that is not more restrictive than the Security Documents in any material respect taken as a whole (as determined by the Borrower) and (X) if secured on a pari passu basis, the Senior Representative for such Term Loan Exchange Notes shall enter into a Pari Passu Intercreditor Agreement or (Y) if secured on a junior basis, a Senior Representative acting on behalf of the holders of such Term Loan Exchange Notes shall have become party to a Second Lien Intercreditor Agreement, or (C) shall not be incurred or Guaranteed by any Subsidiary unless such Subsidiary is a Loan Party that shall have previously or substantially concurrently Guaranteed or borrowed such Term Loans being exchanged, except to the extent otherwise permitted hereunder.</w:t>
      </w:r>
    </w:p>
    <w:p>
      <w:pPr>
        <w:spacing w:after="0" w:line="375" w:lineRule="exact"/>
        <w:rPr>
          <w:sz w:val="20"/>
          <w:szCs w:val="20"/>
          <w:color w:val="auto"/>
        </w:rPr>
      </w:pPr>
    </w:p>
    <w:p>
      <w:pPr>
        <w:jc w:val="both"/>
        <w:ind w:firstLine="1304"/>
        <w:spacing w:after="0" w:line="247" w:lineRule="auto"/>
        <w:tabs>
          <w:tab w:leader="none" w:pos="1773" w:val="left"/>
        </w:tabs>
        <w:numPr>
          <w:ilvl w:val="1"/>
          <w:numId w:val="441"/>
        </w:numPr>
        <w:rPr>
          <w:rFonts w:ascii="Arial" w:cs="Arial" w:eastAsia="Arial" w:hAnsi="Arial"/>
          <w:sz w:val="19"/>
          <w:szCs w:val="19"/>
          <w:color w:val="auto"/>
        </w:rPr>
      </w:pPr>
      <w:r>
        <w:rPr>
          <w:rFonts w:ascii="Arial" w:cs="Arial" w:eastAsia="Arial" w:hAnsi="Arial"/>
          <w:sz w:val="19"/>
          <w:szCs w:val="19"/>
          <w:color w:val="auto"/>
        </w:rPr>
        <w:t>The Borrower shall offer to issue Term Loan Exchange Notes in exchange for any Class of Term Loans to all Lenders holding such Class of Term Loans (other than any Lender that, if requested by the Borrower, is unable to certify that it is</w:t>
      </w:r>
    </w:p>
    <w:p>
      <w:pPr>
        <w:jc w:val="both"/>
        <w:ind w:firstLine="8"/>
        <w:spacing w:after="0" w:line="241" w:lineRule="auto"/>
        <w:tabs>
          <w:tab w:leader="none" w:pos="270" w:val="left"/>
        </w:tabs>
        <w:numPr>
          <w:ilvl w:val="0"/>
          <w:numId w:val="442"/>
        </w:numPr>
        <w:rPr>
          <w:rFonts w:ascii="Arial" w:cs="Arial" w:eastAsia="Arial" w:hAnsi="Arial"/>
          <w:sz w:val="19"/>
          <w:szCs w:val="19"/>
          <w:color w:val="auto"/>
        </w:rPr>
      </w:pPr>
      <w:r>
        <w:rPr>
          <w:rFonts w:ascii="Arial" w:cs="Arial" w:eastAsia="Arial" w:hAnsi="Arial"/>
          <w:sz w:val="19"/>
          <w:szCs w:val="19"/>
          <w:color w:val="auto"/>
        </w:rPr>
        <w:t>a “qualified institutional buyer” (as defined in Rule 144A under the Securities Act), (ii) an institutional “accredited investor” (as defined in Rule 501 under the Securities Act) or (iii) not a “U.S. person” as defined in Rule 902 under the Securities Act) on a pro rata basis, and such Lenders may choose to accept or decline to receive such Term Loan Exchange Notes in their sole discretion. Any such Term Loans exchanged for Term Loan Exchange Notes shall be automatically and immediately, without further action by any Person, cancelled on the Term Loan Exchange Effective Date for all purposes of this Agreement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 Permitted Debt Exchange to the Borrower for immediate cancellation), and accrued and unpaid interest on such Term Loans shall be paid to the exchanging Lenders on the Term Loan Exchange Effective Date, or, if agreed to by the Borrower and the Administrative Agent, the next scheduled Interest Payment Date with respect to such Term Loans (with such interest accruing until the date of consummation of such Permitted Debt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14" w:name="page415"/>
    <w:bookmarkEnd w:id="414"/>
    <w:p>
      <w:pPr>
        <w:jc w:val="both"/>
        <w:ind w:firstLine="1304"/>
        <w:spacing w:after="0" w:line="218" w:lineRule="auto"/>
        <w:tabs>
          <w:tab w:leader="none" w:pos="1776" w:val="left"/>
        </w:tabs>
        <w:numPr>
          <w:ilvl w:val="1"/>
          <w:numId w:val="443"/>
        </w:numPr>
        <w:rPr>
          <w:rFonts w:ascii="Arial" w:cs="Arial" w:eastAsia="Arial" w:hAnsi="Arial"/>
          <w:sz w:val="21"/>
          <w:szCs w:val="21"/>
          <w:color w:val="auto"/>
        </w:rPr>
      </w:pPr>
      <w:r>
        <w:rPr>
          <w:rFonts w:ascii="Arial" w:cs="Arial" w:eastAsia="Arial" w:hAnsi="Arial"/>
          <w:sz w:val="21"/>
          <w:szCs w:val="21"/>
          <w:color w:val="auto"/>
        </w:rPr>
        <w:t>If the aggregate principal amount of all Term Loans (calculated on the face amount thereof) of a given Class tendered by Lenders in respect of the relevant Permitted Debt Exchange Offer (with no Lender being permitted to tender a principal amount of Term Loans which exceeds the principal amount of the applicable Class actually held by it) shall exceed the maximum aggregate principal amount of Term Loans of such Class offered to be exchanged by the Borrower pursuant to such Permitted Debt Exchange Offer, then the Borrower shall exchange Term Loans under the relevant Class tendered by such Lenders ratably up to such maximum based on the respective principal amounts so tendered or, if such Permitted Debt Exchange Offer shall have been made with respect to multiple Classes without specifying a maximum aggregate principal amount offered to be exchanged for such Class, the aggregate principal amount of all Term Loans (calculated on the face amount thereof) of all Classes tendered by Lenders in respect of the relevant Permitted Debt Exchange Offer (with no Lender being permitted to tender a principal amount of Term Loans which exceeds the principal amount thereof actually held by it) shall exceed the maximum aggregate principal amount of Term Loans of all relevant Classes offered to be exchanged by the Borrower pursuant to such Permitted Debt Exchange Offer, then the Borrower shall exchange Term Loans across all Classes subject to such Permitted Debt Exchange Offer tendered by such Lenders ratably up to such maximum amount based on the respective principal amounts so tendered.</w:t>
      </w:r>
    </w:p>
    <w:p>
      <w:pPr>
        <w:spacing w:after="0" w:line="169" w:lineRule="exact"/>
        <w:rPr>
          <w:rFonts w:ascii="Arial" w:cs="Arial" w:eastAsia="Arial" w:hAnsi="Arial"/>
          <w:sz w:val="21"/>
          <w:szCs w:val="21"/>
          <w:color w:val="auto"/>
        </w:rPr>
      </w:pPr>
    </w:p>
    <w:p>
      <w:pPr>
        <w:jc w:val="both"/>
        <w:ind w:firstLine="1304"/>
        <w:spacing w:after="0" w:line="241" w:lineRule="auto"/>
        <w:tabs>
          <w:tab w:leader="none" w:pos="1793" w:val="left"/>
        </w:tabs>
        <w:numPr>
          <w:ilvl w:val="1"/>
          <w:numId w:val="443"/>
        </w:numPr>
        <w:rPr>
          <w:rFonts w:ascii="Arial" w:cs="Arial" w:eastAsia="Arial" w:hAnsi="Arial"/>
          <w:sz w:val="19"/>
          <w:szCs w:val="19"/>
          <w:color w:val="auto"/>
        </w:rPr>
      </w:pPr>
      <w:r>
        <w:rPr>
          <w:rFonts w:ascii="Arial" w:cs="Arial" w:eastAsia="Arial" w:hAnsi="Arial"/>
          <w:sz w:val="19"/>
          <w:szCs w:val="19"/>
          <w:color w:val="auto"/>
        </w:rPr>
        <w:t xml:space="preserve">With respect to all Permitted Debt Exchanges effected by the Borrower pursuant to this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unless waived by the Borrower, such Permitted Debt Exchange Offer shall be made for not less than $10,000,000 in aggregate principal amount of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foregoing the Borrower may at their election specify (A) as a condition to consummating any such Permitted Debt Exchange that a minimum amount (to be determined and specified in the relevant Permitted Debt Exchange Offer in the Borrower’s discretion) of Term Loans of any or all applicable Classes be tendered and/or</w:t>
      </w:r>
    </w:p>
    <w:p>
      <w:pPr>
        <w:spacing w:after="0" w:line="1" w:lineRule="exact"/>
        <w:rPr>
          <w:rFonts w:ascii="Arial" w:cs="Arial" w:eastAsia="Arial" w:hAnsi="Arial"/>
          <w:sz w:val="19"/>
          <w:szCs w:val="19"/>
          <w:color w:val="auto"/>
        </w:rPr>
      </w:pPr>
    </w:p>
    <w:p>
      <w:pPr>
        <w:jc w:val="both"/>
        <w:ind w:firstLine="8"/>
        <w:spacing w:after="0" w:line="244" w:lineRule="auto"/>
        <w:tabs>
          <w:tab w:leader="none" w:pos="348" w:val="left"/>
        </w:tabs>
        <w:numPr>
          <w:ilvl w:val="0"/>
          <w:numId w:val="444"/>
        </w:numPr>
        <w:rPr>
          <w:rFonts w:ascii="Arial" w:cs="Arial" w:eastAsia="Arial" w:hAnsi="Arial"/>
          <w:sz w:val="19"/>
          <w:szCs w:val="19"/>
          <w:color w:val="auto"/>
        </w:rPr>
      </w:pPr>
      <w:r>
        <w:rPr>
          <w:rFonts w:ascii="Arial" w:cs="Arial" w:eastAsia="Arial" w:hAnsi="Arial"/>
          <w:sz w:val="19"/>
          <w:szCs w:val="19"/>
          <w:color w:val="auto"/>
        </w:rPr>
        <w:t xml:space="preserve">as a condition to consummating any such Permitted Debt Exchange that no more than a maximum amount (to be determined and specified in the relevant Permitted Debt Exchange Offer in the Borrower’s discretion) of Term Loans of any or all applicable Classes will be accepted for exchange. The Administrative Agent and the Lenders hereby acknowledge and agree that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2.25</w:t>
      </w:r>
      <w:r>
        <w:rPr>
          <w:rFonts w:ascii="Arial" w:cs="Arial" w:eastAsia="Arial" w:hAnsi="Arial"/>
          <w:sz w:val="19"/>
          <w:szCs w:val="19"/>
          <w:color w:val="auto"/>
        </w:rPr>
        <w:t xml:space="preserve"> shall supersede any provisions of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to the contrary, waive the requirements of any other provision of this Agreement or any other Loan Document that may otherwise prohibit the incurrence of any Indebtedness expressly provided for by this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and hereby agree not to assert any Default or Event of Default in connection with the implementation of any such Permitted Debt Exchange or any other transaction contemplated by this </w:t>
      </w:r>
      <w:r>
        <w:rPr>
          <w:rFonts w:ascii="Arial" w:cs="Arial" w:eastAsia="Arial" w:hAnsi="Arial"/>
          <w:sz w:val="19"/>
          <w:szCs w:val="19"/>
          <w:u w:val="single" w:color="auto"/>
          <w:color w:val="auto"/>
        </w:rPr>
        <w:t>Section 2.25</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firstLine="1304"/>
        <w:spacing w:after="0" w:line="244" w:lineRule="auto"/>
        <w:tabs>
          <w:tab w:leader="none" w:pos="1812" w:val="left"/>
        </w:tabs>
        <w:numPr>
          <w:ilvl w:val="1"/>
          <w:numId w:val="444"/>
        </w:numPr>
        <w:rPr>
          <w:rFonts w:ascii="Arial" w:cs="Arial" w:eastAsia="Arial" w:hAnsi="Arial"/>
          <w:sz w:val="19"/>
          <w:szCs w:val="19"/>
          <w:color w:val="auto"/>
        </w:rPr>
      </w:pPr>
      <w:r>
        <w:rPr>
          <w:rFonts w:ascii="Arial" w:cs="Arial" w:eastAsia="Arial" w:hAnsi="Arial"/>
          <w:sz w:val="19"/>
          <w:szCs w:val="19"/>
          <w:color w:val="auto"/>
        </w:rPr>
        <w:t xml:space="preserve">In connection with each Permitted Debt Exchange, the Borrower shall provide the Administrative Agent at least five (5) Business Days’ (or such shorter period as may be agreed by the Administrative Agent) prior written notice thereof, and the Borrower and the Administrative Agent, acting reasonably, shall mutually agree to such procedures as may be necessary or advisable to accomplish the purposes of this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terms of any Permitted Debt Exchange Offer shall provide that the date by which the relevant Lenders are required to indicate their election to participate in such Permitted Debt Exchange shall be not less than five (5) Business Days following the date on which the Permitted Debt Exchange Offer is made. The Borrower shall provide the final results of such Permitted Debt Exchange to the Administrative Agent no later than one (1) Business Day prior to the proposed date of effectiveness for such Permitted Debt Exchange and the Administrative Agent shall be entitled to conclusively rely on such results.</w:t>
      </w:r>
    </w:p>
    <w:p>
      <w:pPr>
        <w:spacing w:after="0" w:line="160" w:lineRule="exact"/>
        <w:rPr>
          <w:rFonts w:ascii="Arial" w:cs="Arial" w:eastAsia="Arial" w:hAnsi="Arial"/>
          <w:sz w:val="19"/>
          <w:szCs w:val="19"/>
          <w:color w:val="auto"/>
        </w:rPr>
      </w:pPr>
    </w:p>
    <w:p>
      <w:pPr>
        <w:jc w:val="both"/>
        <w:ind w:firstLine="1304"/>
        <w:spacing w:after="0" w:line="268" w:lineRule="auto"/>
        <w:tabs>
          <w:tab w:leader="none" w:pos="1821" w:val="left"/>
        </w:tabs>
        <w:numPr>
          <w:ilvl w:val="1"/>
          <w:numId w:val="444"/>
        </w:numPr>
        <w:rPr>
          <w:rFonts w:ascii="Arial" w:cs="Arial" w:eastAsia="Arial" w:hAnsi="Arial"/>
          <w:sz w:val="19"/>
          <w:szCs w:val="19"/>
          <w:color w:val="auto"/>
        </w:rPr>
      </w:pPr>
      <w:r>
        <w:rPr>
          <w:rFonts w:ascii="Arial" w:cs="Arial" w:eastAsia="Arial" w:hAnsi="Arial"/>
          <w:sz w:val="19"/>
          <w:szCs w:val="19"/>
          <w:color w:val="auto"/>
        </w:rPr>
        <w:t>The Borrower shall be responsible for compliance with, and hereby agrees to comply with, all applicable securities and other laws in connection with each Permitted Debt Exchange, it being understood and agreed that (x) neither the Administrative Agent nor any Lender assumes any responsibility in connection with the Borrower’s compliance with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15" w:name="page416"/>
    <w:bookmarkEnd w:id="415"/>
    <w:p>
      <w:pPr>
        <w:jc w:val="both"/>
        <w:spacing w:after="0" w:line="223" w:lineRule="auto"/>
        <w:rPr>
          <w:sz w:val="20"/>
          <w:szCs w:val="20"/>
          <w:color w:val="auto"/>
        </w:rPr>
      </w:pPr>
      <w:r>
        <w:rPr>
          <w:rFonts w:ascii="Arial" w:cs="Arial" w:eastAsia="Arial" w:hAnsi="Arial"/>
          <w:sz w:val="22"/>
          <w:szCs w:val="22"/>
          <w:color w:val="auto"/>
        </w:rPr>
        <w:t>in connection with any Permitted Debt Exchange and (y) each Lender shall be solely responsible for its compliance with any applicable “insider trading” laws and regulations to which such Lender may be subject under the Securities Exchange Act of 1934, as amended.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jc w:val="center"/>
        <w:spacing w:after="0"/>
        <w:rPr>
          <w:sz w:val="20"/>
          <w:szCs w:val="20"/>
          <w:color w:val="auto"/>
        </w:rPr>
      </w:pPr>
      <w:r>
        <w:rPr>
          <w:rFonts w:ascii="Arial" w:cs="Arial" w:eastAsia="Arial" w:hAnsi="Arial"/>
          <w:sz w:val="22"/>
          <w:szCs w:val="22"/>
          <w:u w:val="single" w:color="auto"/>
          <w:color w:val="auto"/>
        </w:rPr>
        <w:t>Representations and Warranties</w:t>
      </w:r>
    </w:p>
    <w:p>
      <w:pPr>
        <w:spacing w:after="0" w:line="16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The Borrower and, solely with respect to the representations and warranties applicable to it, each Holding Company, represents and warrants to the Lenders that (it being understood that the following representations and warranties shall be deemed made with respect to any Foreign Subsidiary only to the extent relevant under applicable law), as of the Closing Date and as of each date the representations and warranties are made or deemed made in accordance with the terms of the Loan Documents:</w:t>
      </w:r>
    </w:p>
    <w:p>
      <w:pPr>
        <w:spacing w:after="0" w:line="158"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 xml:space="preserve">Section 3.01 Organization; Powers. Each of the Holding Companies, the Borrower and the Restricted Subsidiaries (a) is duly organized or incorporated and validly existing, (b) to the extent such concept is applicable in the corresponding jurisdiction, is in good standing under the laws of the jurisdiction of its organization or incorporation and (c) has all requisite organizational or constitutional power and authority to (i) carry on its business as now conducted and as proposed to be conducted and (ii) execute, deliver and perform its obligations under each Loan Document to which it is a party, except, in the case of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only, where the failure to do so, individually or in the aggregate, would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-850265</wp:posOffset>
            </wp:positionV>
            <wp:extent cx="22555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2255520" cy="8255"/>
                    </a:xfrm>
                    <a:prstGeom prst="rect">
                      <a:avLst/>
                    </a:prstGeom>
                    <a:noFill/>
                  </pic:spPr>
                </pic:pic>
              </a:graphicData>
            </a:graphic>
          </wp:anchor>
        </w:drawing>
      </w:r>
    </w:p>
    <w:p>
      <w:pPr>
        <w:spacing w:after="0" w:line="14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u w:val="single" w:color="auto"/>
          <w:color w:val="auto"/>
        </w:rPr>
        <w:t>Section 3.02 Authorization; Enforceability</w:t>
      </w:r>
      <w:r>
        <w:rPr>
          <w:rFonts w:ascii="Arial" w:cs="Arial" w:eastAsia="Arial" w:hAnsi="Arial"/>
          <w:sz w:val="19"/>
          <w:szCs w:val="19"/>
          <w:color w:val="auto"/>
        </w:rPr>
        <w:t>. This Agreement (and the lending transactions contemplated hereby to occur on the Closing Date) have been duly authorized by all necessary corporate, shareholder or other organizational action by the Holding Companies and the Borrower and constitutes, and each other Loan Document to which any Loan Party is a party has been duly authorized by all necessary corporate, shareholder or other organizational action by such Loan Party, and each Loan Document constitutes, or when executed and delivered by such Loan Party, will constitute, a legal, valid and binding obligation on such Loan Party (as the case may be), enforceable in accordance with its terms, subject to (i) applicable bankruptcy, insolvency, winding-up, reorganization, moratorium or other laws affecting creditors’ rights generally and subject to general principles of equity, regardless of whether considered in a proceeding in equity or at law and (ii) the need for filings and registrations necessary to create or perfect the Liens on the Collateral granted by the Loan Parties in favor of the Secured Parties.</w:t>
      </w:r>
    </w:p>
    <w:p>
      <w:pPr>
        <w:spacing w:after="0" w:line="161"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u w:val="single" w:color="auto"/>
          <w:color w:val="auto"/>
        </w:rPr>
        <w:t>Section 3.03 Approvals; No Conflicts</w:t>
      </w:r>
      <w:r>
        <w:rPr>
          <w:rFonts w:ascii="Arial" w:cs="Arial" w:eastAsia="Arial" w:hAnsi="Arial"/>
          <w:sz w:val="19"/>
          <w:szCs w:val="19"/>
          <w:color w:val="auto"/>
        </w:rPr>
        <w:t>. The execution, delivery and performance by the Loan Parties of the Loan Documents to which such Loan Parties are a party (a) do not require any consent or approval of, registration or filing with, or any other action by, any Governmental Authority or any other Person, except (i) such as have been obtained or made and are in full force and effect, in each case as of the Closing Date, (ii) filings and registrations of charges necessary to perfect Liens created under the Loan Documents and to release existing Liens (if any), and (iii) those consents, approvals, registrations, filings or other actions, the failure of which to obtain or make would not reasonably be expected to result in a Material Adverse Effect, (b) will not violate any Organizational Document of any Loan Party, (c) will not violate any Requirement of Law applicable to the Borrower or any Restricted Subsidiary, (d) will not violate or result in a default under any indenture, agreement or other instrument in each case constituting Material Indebtedness binding upon the Borrower or any Restricted Subsidiary or their respective assets, or give rise to a right thereunder to require any payment to be made by the Borrower or any Restricted Subsidiary or give rise to a right of, or result in, termination, cancelation or acceleration of any obligation thereunder, in each case as of the Closing Date, and (e) will not result in the creation or imposition of any Lien on any asset of the Borrower or any Restricted Subsidiary, except Liens created under the Loan Documents and Liens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16" w:name="page417"/>
    <w:bookmarkEnd w:id="416"/>
    <w:p>
      <w:pPr>
        <w:spacing w:after="0" w:line="232" w:lineRule="auto"/>
        <w:rPr>
          <w:sz w:val="20"/>
          <w:szCs w:val="20"/>
          <w:color w:val="auto"/>
        </w:rPr>
      </w:pPr>
      <w:r>
        <w:rPr>
          <w:rFonts w:ascii="Arial" w:cs="Arial" w:eastAsia="Arial" w:hAnsi="Arial"/>
          <w:sz w:val="22"/>
          <w:szCs w:val="22"/>
          <w:color w:val="auto"/>
        </w:rPr>
        <w:t xml:space="preserve">under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except in the cases of </w:t>
      </w:r>
      <w:r>
        <w:rPr>
          <w:rFonts w:ascii="Arial" w:cs="Arial" w:eastAsia="Arial" w:hAnsi="Arial"/>
          <w:sz w:val="22"/>
          <w:szCs w:val="22"/>
          <w:u w:val="single" w:color="auto"/>
          <w:color w:val="auto"/>
        </w:rPr>
        <w:t>clauses (c)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above where such violations, individually or in the aggregate, would not reasonably be expected to result in a Material Adverse Effect.</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3.04</w:t>
      </w:r>
      <w:r>
        <w:rPr>
          <w:sz w:val="20"/>
          <w:szCs w:val="20"/>
          <w:color w:val="auto"/>
        </w:rPr>
        <w:tab/>
      </w:r>
      <w:r>
        <w:rPr>
          <w:rFonts w:ascii="Arial" w:cs="Arial" w:eastAsia="Arial" w:hAnsi="Arial"/>
          <w:sz w:val="19"/>
          <w:szCs w:val="19"/>
          <w:u w:val="single" w:color="auto"/>
          <w:color w:val="auto"/>
        </w:rPr>
        <w:t>Financial Condition; No Material Adverse Change</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1" w:lineRule="auto"/>
        <w:tabs>
          <w:tab w:leader="none" w:pos="1768" w:val="left"/>
        </w:tabs>
        <w:numPr>
          <w:ilvl w:val="0"/>
          <w:numId w:val="445"/>
        </w:numPr>
        <w:rPr>
          <w:rFonts w:ascii="Arial" w:cs="Arial" w:eastAsia="Arial" w:hAnsi="Arial"/>
          <w:sz w:val="22"/>
          <w:szCs w:val="22"/>
          <w:color w:val="auto"/>
        </w:rPr>
      </w:pPr>
      <w:r>
        <w:rPr>
          <w:rFonts w:ascii="Arial" w:cs="Arial" w:eastAsia="Arial" w:hAnsi="Arial"/>
          <w:sz w:val="22"/>
          <w:szCs w:val="22"/>
          <w:color w:val="auto"/>
        </w:rPr>
        <w:t>The Audited Financial Statements and the Unaudited Financial Statements have been prepared in accordance with GAAP and present fairly in all material respects the financial condition and the results of operations and cash flows of the applicable entities to which they relate as of the dates and for the periods to which they relate. The Pro Forma Financial Statements have been prepared in good faith, based on assumptions believed by the Borrower to be reasonable as of the date of delivery thereof, and present fairly in all material respects on a pro forma basis the estimated financial position of the Borrower and its Subsidiaries as at the twelve-month period ending December 31, 2017 and their estimated results of operations for the periods covered thereby, assuming that the Transactions had actually occurred at such date or at the beginning of the periods covered thereby.</w:t>
      </w:r>
    </w:p>
    <w:p>
      <w:pPr>
        <w:spacing w:after="0" w:line="164" w:lineRule="exact"/>
        <w:rPr>
          <w:rFonts w:ascii="Arial" w:cs="Arial" w:eastAsia="Arial" w:hAnsi="Arial"/>
          <w:sz w:val="22"/>
          <w:szCs w:val="22"/>
          <w:color w:val="auto"/>
        </w:rPr>
      </w:pPr>
    </w:p>
    <w:p>
      <w:pPr>
        <w:ind w:firstLine="1304"/>
        <w:spacing w:after="0" w:line="232" w:lineRule="auto"/>
        <w:tabs>
          <w:tab w:leader="none" w:pos="1849" w:val="left"/>
        </w:tabs>
        <w:numPr>
          <w:ilvl w:val="0"/>
          <w:numId w:val="445"/>
        </w:numPr>
        <w:rPr>
          <w:rFonts w:ascii="Arial" w:cs="Arial" w:eastAsia="Arial" w:hAnsi="Arial"/>
          <w:sz w:val="22"/>
          <w:szCs w:val="22"/>
          <w:color w:val="auto"/>
        </w:rPr>
      </w:pPr>
      <w:r>
        <w:rPr>
          <w:rFonts w:ascii="Arial" w:cs="Arial" w:eastAsia="Arial" w:hAnsi="Arial"/>
          <w:sz w:val="22"/>
          <w:szCs w:val="22"/>
          <w:color w:val="auto"/>
        </w:rPr>
        <w:t>Since the Closing Date, no event, change or condition has occurred that has had, or would reasonably be expected to have, a Material Adverse Effect.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Each Lender and the Administrative Agent hereby acknowledges and agrees that the Borrower and the Subsidiaries may be required to restate historical financial statements as the result of the implementation of changes in GAAP, or the respective interpretation thereof, and that such restatements will not in and of themselves result in a Default or an Event of Default under the Loan Documents.</w:t>
      </w:r>
    </w:p>
    <w:p>
      <w:pPr>
        <w:spacing w:after="0" w:line="16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3.05</w:t>
      </w:r>
      <w:r>
        <w:rPr>
          <w:sz w:val="20"/>
          <w:szCs w:val="20"/>
          <w:color w:val="auto"/>
        </w:rPr>
        <w:tab/>
      </w:r>
      <w:r>
        <w:rPr>
          <w:rFonts w:ascii="Arial" w:cs="Arial" w:eastAsia="Arial" w:hAnsi="Arial"/>
          <w:sz w:val="19"/>
          <w:szCs w:val="19"/>
          <w:u w:val="single" w:color="auto"/>
          <w:color w:val="auto"/>
        </w:rPr>
        <w:t>Properties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34" w:lineRule="auto"/>
        <w:tabs>
          <w:tab w:leader="none" w:pos="1792" w:val="left"/>
        </w:tabs>
        <w:numPr>
          <w:ilvl w:val="0"/>
          <w:numId w:val="446"/>
        </w:numPr>
        <w:rPr>
          <w:rFonts w:ascii="Arial" w:cs="Arial" w:eastAsia="Arial" w:hAnsi="Arial"/>
          <w:sz w:val="21"/>
          <w:szCs w:val="21"/>
          <w:color w:val="auto"/>
        </w:rPr>
      </w:pPr>
      <w:r>
        <w:rPr>
          <w:rFonts w:ascii="Arial" w:cs="Arial" w:eastAsia="Arial" w:hAnsi="Arial"/>
          <w:sz w:val="21"/>
          <w:szCs w:val="21"/>
          <w:color w:val="auto"/>
        </w:rPr>
        <w:t xml:space="preserve">Each of the Borrower and the Restricted Subsidiaries has good title to, valid leasehold interests in, or rights to use, all its real and personal property material to its business, except for Liens permitted under </w:t>
      </w:r>
      <w:r>
        <w:rPr>
          <w:rFonts w:ascii="Arial" w:cs="Arial" w:eastAsia="Arial" w:hAnsi="Arial"/>
          <w:sz w:val="21"/>
          <w:szCs w:val="21"/>
          <w:u w:val="single" w:color="auto"/>
          <w:color w:val="auto"/>
        </w:rPr>
        <w:t>Section 6.02</w:t>
      </w:r>
      <w:r>
        <w:rPr>
          <w:rFonts w:ascii="Arial" w:cs="Arial" w:eastAsia="Arial" w:hAnsi="Arial"/>
          <w:sz w:val="21"/>
          <w:szCs w:val="21"/>
          <w:color w:val="auto"/>
        </w:rPr>
        <w:t xml:space="preserve"> and except where the failure to have such interest would not reasonably be expected to have a Material Adverse Effect.</w:t>
      </w:r>
    </w:p>
    <w:p>
      <w:pPr>
        <w:spacing w:after="0" w:line="157" w:lineRule="exact"/>
        <w:rPr>
          <w:rFonts w:ascii="Arial" w:cs="Arial" w:eastAsia="Arial" w:hAnsi="Arial"/>
          <w:sz w:val="21"/>
          <w:szCs w:val="21"/>
          <w:color w:val="auto"/>
        </w:rPr>
      </w:pPr>
    </w:p>
    <w:p>
      <w:pPr>
        <w:jc w:val="both"/>
        <w:ind w:firstLine="1304"/>
        <w:spacing w:after="0" w:line="223" w:lineRule="auto"/>
        <w:tabs>
          <w:tab w:leader="none" w:pos="1785" w:val="left"/>
        </w:tabs>
        <w:numPr>
          <w:ilvl w:val="0"/>
          <w:numId w:val="446"/>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3.05</w:t>
      </w:r>
      <w:r>
        <w:rPr>
          <w:rFonts w:ascii="Arial" w:cs="Arial" w:eastAsia="Arial" w:hAnsi="Arial"/>
          <w:sz w:val="22"/>
          <w:szCs w:val="22"/>
          <w:color w:val="auto"/>
        </w:rPr>
        <w:t xml:space="preserve"> hereto is a complete and accurate list of all Material Real Property owned by any Loan Party as of the Closing Date, showing as of the Closing Date the street address (to the extent available), county or other relevant jurisdiction, state and record owner</w:t>
      </w:r>
    </w:p>
    <w:p>
      <w:pPr>
        <w:spacing w:after="0" w:line="158" w:lineRule="exact"/>
        <w:rPr>
          <w:rFonts w:ascii="Arial" w:cs="Arial" w:eastAsia="Arial" w:hAnsi="Arial"/>
          <w:sz w:val="22"/>
          <w:szCs w:val="22"/>
          <w:color w:val="auto"/>
        </w:rPr>
      </w:pPr>
    </w:p>
    <w:p>
      <w:pPr>
        <w:jc w:val="both"/>
        <w:ind w:firstLine="1304"/>
        <w:spacing w:after="0" w:line="219" w:lineRule="auto"/>
        <w:tabs>
          <w:tab w:leader="none" w:pos="1844" w:val="left"/>
        </w:tabs>
        <w:numPr>
          <w:ilvl w:val="0"/>
          <w:numId w:val="446"/>
        </w:numPr>
        <w:rPr>
          <w:rFonts w:ascii="Arial" w:cs="Arial" w:eastAsia="Arial" w:hAnsi="Arial"/>
          <w:sz w:val="21"/>
          <w:szCs w:val="21"/>
          <w:color w:val="auto"/>
        </w:rPr>
      </w:pPr>
      <w:r>
        <w:rPr>
          <w:rFonts w:ascii="Arial" w:cs="Arial" w:eastAsia="Arial" w:hAnsi="Arial"/>
          <w:sz w:val="21"/>
          <w:szCs w:val="21"/>
          <w:color w:val="auto"/>
        </w:rPr>
        <w:t xml:space="preserve">Except as could not, individually or in the aggregate, reasonably be expected to have a Material Adverse Effect (i) the Borrower and the Restricted Subsidiaries own, or are licensed to use, all Intellectual Property that is necessary for the operation of their respective businesses as currently conducted, free and clear of all Liens (other than Liens permitted under </w:t>
      </w:r>
      <w:r>
        <w:rPr>
          <w:rFonts w:ascii="Arial" w:cs="Arial" w:eastAsia="Arial" w:hAnsi="Arial"/>
          <w:sz w:val="21"/>
          <w:szCs w:val="21"/>
          <w:u w:val="single" w:color="auto"/>
          <w:color w:val="auto"/>
        </w:rPr>
        <w:t>Section 6.02</w:t>
      </w:r>
      <w:r>
        <w:rPr>
          <w:rFonts w:ascii="Arial" w:cs="Arial" w:eastAsia="Arial" w:hAnsi="Arial"/>
          <w:sz w:val="21"/>
          <w:szCs w:val="21"/>
          <w:color w:val="auto"/>
        </w:rPr>
        <w:t>), (ii) to the knowledge of the Borrower, all registered and issued Intellectual Property rights owned by the Borrower and the Restricted Subsidiaries are valid and enforceable, (iii) the conduct of, and the use of Intellectual Property in, the respective businesses of the Borrower and the Restricted Subsidiaries does not infringe, misappropriate, dilute, or otherwise violate the rights of any other Person, and (iv) there are no claims, actions, suits or proceedings pending against or, to the knowledge of the Borrower, threatened in writing against the Borrower or any Restricted Subsidiary (A) alleging any infringement, misappropriation, dilution or violation by the Borrower or any Restricted Subsidiary of any Intellectual Property right of any other Person, or (B) challenging the ownership, use, validity or enforceability of any Intellectual Property owned by or licensed to the Borrower or any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17" w:name="page418"/>
    <w:bookmarkEnd w:id="417"/>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3.06</w:t>
      </w:r>
      <w:r>
        <w:rPr>
          <w:sz w:val="20"/>
          <w:szCs w:val="20"/>
          <w:color w:val="auto"/>
        </w:rPr>
        <w:tab/>
      </w:r>
      <w:r>
        <w:rPr>
          <w:rFonts w:ascii="Arial" w:cs="Arial" w:eastAsia="Arial" w:hAnsi="Arial"/>
          <w:sz w:val="19"/>
          <w:szCs w:val="19"/>
          <w:u w:val="single" w:color="auto"/>
          <w:color w:val="auto"/>
        </w:rPr>
        <w:t>Litigation and Environmental Matters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6" w:lineRule="auto"/>
        <w:tabs>
          <w:tab w:leader="none" w:pos="1912" w:val="left"/>
        </w:tabs>
        <w:numPr>
          <w:ilvl w:val="0"/>
          <w:numId w:val="447"/>
        </w:numPr>
        <w:rPr>
          <w:rFonts w:ascii="Arial" w:cs="Arial" w:eastAsia="Arial" w:hAnsi="Arial"/>
          <w:sz w:val="22"/>
          <w:szCs w:val="22"/>
          <w:color w:val="auto"/>
        </w:rPr>
      </w:pPr>
      <w:r>
        <w:rPr>
          <w:rFonts w:ascii="Arial" w:cs="Arial" w:eastAsia="Arial" w:hAnsi="Arial"/>
          <w:sz w:val="22"/>
          <w:szCs w:val="22"/>
          <w:color w:val="auto"/>
        </w:rPr>
        <w:t>There are no actions, suits, investigations or proceedings by or before any arbitrator or Governmental Authority pending against or, to the knowledge of the Borrower, threatened in writing against any Holding Company, the Borrower or any Subsidiary as to which there is a reasonable possibility of an adverse determination and that, if adversely determined would reasonably be expected, individually or in the aggregate, to result in a Material Adverse Effect (other than the Disclosed Matters).</w:t>
      </w:r>
    </w:p>
    <w:p>
      <w:pPr>
        <w:spacing w:after="0" w:line="157" w:lineRule="exact"/>
        <w:rPr>
          <w:rFonts w:ascii="Arial" w:cs="Arial" w:eastAsia="Arial" w:hAnsi="Arial"/>
          <w:sz w:val="22"/>
          <w:szCs w:val="22"/>
          <w:color w:val="auto"/>
        </w:rPr>
      </w:pPr>
    </w:p>
    <w:p>
      <w:pPr>
        <w:jc w:val="both"/>
        <w:ind w:firstLine="1304"/>
        <w:spacing w:after="0" w:line="216" w:lineRule="auto"/>
        <w:tabs>
          <w:tab w:leader="none" w:pos="1851" w:val="left"/>
        </w:tabs>
        <w:numPr>
          <w:ilvl w:val="0"/>
          <w:numId w:val="447"/>
        </w:numPr>
        <w:rPr>
          <w:rFonts w:ascii="Arial" w:cs="Arial" w:eastAsia="Arial" w:hAnsi="Arial"/>
          <w:sz w:val="22"/>
          <w:szCs w:val="22"/>
          <w:color w:val="auto"/>
        </w:rPr>
      </w:pPr>
      <w:r>
        <w:rPr>
          <w:rFonts w:ascii="Arial" w:cs="Arial" w:eastAsia="Arial" w:hAnsi="Arial"/>
          <w:sz w:val="22"/>
          <w:szCs w:val="22"/>
          <w:color w:val="auto"/>
        </w:rPr>
        <w:t>Except for the Disclosed Matters and except with respect to any other matters that, individually or in the aggregate, would not reasonably be expected to result in a Material Adverse Effect, neither any Holding Company, the Borrower nor any Subsidiary (i) has failed to comply with any Environmental Law or to obtain, maintain or comply with any Environmental Permit, (ii) has become subject to any Environmental Liability or (iii) has received written notice of any claim with respect to any Environmental Liability.</w:t>
      </w:r>
    </w:p>
    <w:p>
      <w:pPr>
        <w:spacing w:after="0" w:line="157" w:lineRule="exact"/>
        <w:rPr>
          <w:rFonts w:ascii="Arial" w:cs="Arial" w:eastAsia="Arial" w:hAnsi="Arial"/>
          <w:sz w:val="22"/>
          <w:szCs w:val="22"/>
          <w:color w:val="auto"/>
        </w:rPr>
      </w:pPr>
    </w:p>
    <w:p>
      <w:pPr>
        <w:ind w:firstLine="1304"/>
        <w:spacing w:after="0" w:line="298" w:lineRule="auto"/>
        <w:tabs>
          <w:tab w:leader="none" w:pos="1879" w:val="left"/>
        </w:tabs>
        <w:numPr>
          <w:ilvl w:val="0"/>
          <w:numId w:val="447"/>
        </w:numPr>
        <w:rPr>
          <w:rFonts w:ascii="Arial" w:cs="Arial" w:eastAsia="Arial" w:hAnsi="Arial"/>
          <w:sz w:val="19"/>
          <w:szCs w:val="19"/>
          <w:color w:val="auto"/>
        </w:rPr>
      </w:pPr>
      <w:r>
        <w:rPr>
          <w:rFonts w:ascii="Arial" w:cs="Arial" w:eastAsia="Arial" w:hAnsi="Arial"/>
          <w:sz w:val="19"/>
          <w:szCs w:val="19"/>
          <w:color w:val="auto"/>
        </w:rPr>
        <w:t>Since the date of this Agreement, there has been no change in the status of the Disclosed Matters that, individually or in the aggregate, has resulted in, or would reasonably be expected to result in, a Material Adverse Effect.</w:t>
      </w:r>
    </w:p>
    <w:p>
      <w:pPr>
        <w:spacing w:after="0" w:line="10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auto"/>
        </w:rPr>
        <w:t>Section 3.07 Compliance with Laws</w:t>
      </w:r>
      <w:r>
        <w:rPr>
          <w:rFonts w:ascii="Arial" w:cs="Arial" w:eastAsia="Arial" w:hAnsi="Arial"/>
          <w:sz w:val="22"/>
          <w:szCs w:val="22"/>
          <w:color w:val="auto"/>
        </w:rPr>
        <w:t xml:space="preserve"> . Each of Holdings, the Borrower and the Restricted Subsidiaries is in compliance with all Requirements of Law applicable to it or its property, except, where the failure to do so, individually or in the aggregate, would not reasonably be expected to result in a Material Adverse Effect.</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u w:val="single" w:color="auto"/>
          <w:color w:val="auto"/>
        </w:rPr>
        <w:t>Section 3.08 Investment Company Status</w:t>
      </w:r>
      <w:r>
        <w:rPr>
          <w:rFonts w:ascii="Arial" w:cs="Arial" w:eastAsia="Arial" w:hAnsi="Arial"/>
          <w:sz w:val="19"/>
          <w:szCs w:val="19"/>
          <w:color w:val="auto"/>
        </w:rPr>
        <w:t>. None of Holdings, the Borrower nor any other Loan Party is required to be registered as an “investment company” as defined in, or subject to regulation under, the Investment Company Act of 1940.</w:t>
      </w:r>
    </w:p>
    <w:p>
      <w:pPr>
        <w:spacing w:after="0" w:line="10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u w:val="single" w:color="auto"/>
          <w:color w:val="auto"/>
        </w:rPr>
        <w:t>Section 3.09 Taxes</w:t>
      </w:r>
      <w:r>
        <w:rPr>
          <w:rFonts w:ascii="Arial" w:cs="Arial" w:eastAsia="Arial" w:hAnsi="Arial"/>
          <w:sz w:val="22"/>
          <w:szCs w:val="22"/>
          <w:color w:val="auto"/>
        </w:rPr>
        <w:t>. Each Holding Company, the Borrower and the Restricted Subsidiaries (a) has timely filed or caused to be filed all material Tax returns, filings, elections and reports required to have been filed and (b) has paid or caused to be paid all material Taxes required to have been paid by it, except any Taxes that are being contested in good faith by appropriate proceedings for which adequate reserves have been provided in accordance with GAAP or applicable foreign accounting principles.</w:t>
      </w:r>
    </w:p>
    <w:p>
      <w:pPr>
        <w:spacing w:after="0" w:line="158"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u w:val="single" w:color="auto"/>
          <w:color w:val="auto"/>
        </w:rPr>
        <w:t>Section 3.10 ERISA</w:t>
      </w:r>
      <w:r>
        <w:rPr>
          <w:rFonts w:ascii="Arial" w:cs="Arial" w:eastAsia="Arial" w:hAnsi="Arial"/>
          <w:sz w:val="19"/>
          <w:szCs w:val="19"/>
          <w:color w:val="auto"/>
        </w:rPr>
        <w:t>. (a) No ERISA Event has occurred or is reasonably expected to occur that, when taken together with all other such ERISA Events, for which liability is reasonably expected to occur, would reasonably be expected to result in a Material Adverse Effect, (b) with respect to each employee benefit plan as defined in Section 3(3) of ERISA, each of the Borrower and its respective ERISA Affiliates is in compliance with the applicable provisions of ERISA and the Code and the regulations and published interpretations thereunder, except as would not result in a Material Adverse Effect, (c) there exists no Unfunded Pension Liability with respect to any Plans that would reasonably be expected to result in a Material Adverse Effect, and (d) each Foreign Pension Plan is in compliance with all requirements of law applicable thereto and the respective requirements of the governing documents for such plan, except as would not result in a Material Adverse Effect. With respect to each Foreign Pension Plan, neither the Borrower, any Subsidiaries nor any of their respective directors, officers, employees or agents has engaged in a transaction which would subject the Borrower or any Subsidiary, directly or indirectly, to a tax or civil penalty which could reasonably be expected, individually or in the aggregate, to result in a Material Adverse Effect. With respect to each Foreign Pension Plan, all employer and employee contributions required by applicable law or by the terms of any such Foreign Pension Plan have been made, or, if applicable, accrued in accordance with ordinary accounting practices in the jurisdiction in which any such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18" w:name="page419"/>
    <w:bookmarkEnd w:id="418"/>
    <w:p>
      <w:pPr>
        <w:spacing w:after="0" w:line="247" w:lineRule="auto"/>
        <w:rPr>
          <w:sz w:val="20"/>
          <w:szCs w:val="20"/>
          <w:color w:val="auto"/>
        </w:rPr>
      </w:pPr>
      <w:r>
        <w:rPr>
          <w:rFonts w:ascii="Arial" w:cs="Arial" w:eastAsia="Arial" w:hAnsi="Arial"/>
          <w:sz w:val="21"/>
          <w:szCs w:val="21"/>
          <w:color w:val="auto"/>
        </w:rPr>
        <w:t>Pension Plan is maintained, except as would not result in a Material Adverse Effect. The aggregate unfunded liabilities with respect to any Foreign Pension Plans would not reasonably be expected to result in a Material Adverse Effect.</w:t>
      </w:r>
    </w:p>
    <w:p>
      <w:pPr>
        <w:spacing w:after="0" w:line="15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3.11</w:t>
      </w:r>
      <w:r>
        <w:rPr>
          <w:sz w:val="20"/>
          <w:szCs w:val="20"/>
          <w:color w:val="auto"/>
        </w:rPr>
        <w:tab/>
      </w:r>
      <w:r>
        <w:rPr>
          <w:rFonts w:ascii="Arial" w:cs="Arial" w:eastAsia="Arial" w:hAnsi="Arial"/>
          <w:sz w:val="19"/>
          <w:szCs w:val="19"/>
          <w:u w:val="single" w:color="auto"/>
          <w:color w:val="auto"/>
        </w:rPr>
        <w:t>Disclosure</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1" w:lineRule="auto"/>
        <w:tabs>
          <w:tab w:leader="none" w:pos="1856" w:val="left"/>
        </w:tabs>
        <w:numPr>
          <w:ilvl w:val="0"/>
          <w:numId w:val="448"/>
        </w:numPr>
        <w:rPr>
          <w:rFonts w:ascii="Arial" w:cs="Arial" w:eastAsia="Arial" w:hAnsi="Arial"/>
          <w:sz w:val="19"/>
          <w:szCs w:val="19"/>
          <w:color w:val="auto"/>
        </w:rPr>
      </w:pPr>
      <w:r>
        <w:rPr>
          <w:rFonts w:ascii="Arial" w:cs="Arial" w:eastAsia="Arial" w:hAnsi="Arial"/>
          <w:sz w:val="19"/>
          <w:szCs w:val="19"/>
          <w:color w:val="auto"/>
        </w:rPr>
        <w:t>The representations and warranties of each Loan Party contained in any Loan Document or in any other documents, certificates or written statements furnished by or on behalf of Holdings, the Borrower or any Restricted Subsidiary to the Administrative Agent in connection with the transactions contemplated hereby (other than projections, estimates, budgets, forecasts, pro forma financial information and other forward-looking information and information of a general economic or general industry nature and other general market data), when taken as a whole, do not, as of the date furnished, contain any untrue statement of a material fact or omit to state any material fact necessary to make the statements therein not materially misleading in the light of the circumstances under which they were made (after giving effect to all supplements thereto from time to time). Any projections and pro forma financial information contained in such materials (including any Projections) were prepared in good faith based upon assumptions believed by such Loan Party to be reasonable at the time of delivery thereof, it being understood by the Agents and the Lenders that such projections as to future events (i) are not to be viewed as facts, (ii)(A) are subject to significant uncertainties and contingencies, many of which are beyond the control of the Loan Parties, (B) no assurance is given by the Loan Parties that the results forecast in any such projections will be realized and (C) the actual results during the period or periods covered by any such projections may differ from the forecast results set forth in such projections and such differences may be material and (iii) are not a guarantee of performance.</w:t>
      </w:r>
    </w:p>
    <w:p>
      <w:pPr>
        <w:spacing w:after="0" w:line="168" w:lineRule="exact"/>
        <w:rPr>
          <w:rFonts w:ascii="Arial" w:cs="Arial" w:eastAsia="Arial" w:hAnsi="Arial"/>
          <w:sz w:val="19"/>
          <w:szCs w:val="19"/>
          <w:color w:val="auto"/>
        </w:rPr>
      </w:pPr>
    </w:p>
    <w:p>
      <w:pPr>
        <w:ind w:firstLine="1304"/>
        <w:spacing w:after="0" w:line="232" w:lineRule="auto"/>
        <w:tabs>
          <w:tab w:leader="none" w:pos="1766" w:val="left"/>
        </w:tabs>
        <w:numPr>
          <w:ilvl w:val="0"/>
          <w:numId w:val="448"/>
        </w:numPr>
        <w:rPr>
          <w:rFonts w:ascii="Arial" w:cs="Arial" w:eastAsia="Arial" w:hAnsi="Arial"/>
          <w:sz w:val="22"/>
          <w:szCs w:val="22"/>
          <w:color w:val="auto"/>
        </w:rPr>
      </w:pPr>
      <w:r>
        <w:rPr>
          <w:rFonts w:ascii="Arial" w:cs="Arial" w:eastAsia="Arial" w:hAnsi="Arial"/>
          <w:sz w:val="22"/>
          <w:szCs w:val="22"/>
          <w:color w:val="auto"/>
        </w:rPr>
        <w:t>As of the Closing Date, the information included in the Beneficial Ownership Certification is true and correct in all material respects.</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u w:val="single" w:color="auto"/>
          <w:color w:val="auto"/>
        </w:rPr>
        <w:t>Section 3.12 Labor Matters</w:t>
      </w:r>
      <w:r>
        <w:rPr>
          <w:rFonts w:ascii="Arial" w:cs="Arial" w:eastAsia="Arial" w:hAnsi="Arial"/>
          <w:sz w:val="21"/>
          <w:szCs w:val="21"/>
          <w:color w:val="auto"/>
        </w:rPr>
        <w:t>. As of the Closing Date, there are no strikes, work stoppages or material labor disputes against Holdings, the Borrower or any Restricted Subsidiary pending or, to the actual knowledge of the Borrower, threatened in writing, in each case, that would reasonably be expected to have a Material Adverse Effect.</w:t>
      </w:r>
    </w:p>
    <w:p>
      <w:pPr>
        <w:spacing w:after="0" w:line="15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u w:val="single" w:color="auto"/>
          <w:color w:val="auto"/>
        </w:rPr>
        <w:t>Section 3.13 Capitalization of Subsidiaries</w:t>
      </w:r>
      <w:r>
        <w:rPr>
          <w:rFonts w:ascii="Arial" w:cs="Arial" w:eastAsia="Arial" w:hAnsi="Arial"/>
          <w:sz w:val="19"/>
          <w:szCs w:val="19"/>
          <w:color w:val="auto"/>
        </w:rPr>
        <w:t xml:space="preserve">. As of the Closing Date,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sets forth the name of and the percentage ownership by each of the Holding Companies and the Subsidiaries in each Subsidiary (other than Foreign Subsidiaries which are inactive, dormant or have only de minimis assets) and identifies each Subsidiary that is a Loan Party as of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inaccuracies in the name and ownership of any Foreign Subsidiary that is not a Material Subsidiary shall be deemed not material for all purposes under this Agreement and the other Loan Documents.</w:t>
      </w:r>
    </w:p>
    <w:p>
      <w:pPr>
        <w:spacing w:after="0" w:line="14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u w:val="single" w:color="auto"/>
          <w:color w:val="auto"/>
        </w:rPr>
        <w:t>Section 3.14 Solvency</w:t>
      </w:r>
      <w:r>
        <w:rPr>
          <w:rFonts w:ascii="Arial" w:cs="Arial" w:eastAsia="Arial" w:hAnsi="Arial"/>
          <w:sz w:val="22"/>
          <w:szCs w:val="22"/>
          <w:color w:val="auto"/>
        </w:rPr>
        <w:t>. As of the Closing Date, after giving effect to the consummation of the Transactions, Holdings and the Restricted Subsidiaries on a consolidated basis are Solvent.</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3.15</w:t>
      </w:r>
      <w:r>
        <w:rPr>
          <w:sz w:val="20"/>
          <w:szCs w:val="20"/>
          <w:color w:val="auto"/>
        </w:rPr>
        <w:tab/>
      </w: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921" w:val="left"/>
        </w:tabs>
        <w:numPr>
          <w:ilvl w:val="0"/>
          <w:numId w:val="449"/>
        </w:numPr>
        <w:rPr>
          <w:rFonts w:ascii="Arial" w:cs="Arial" w:eastAsia="Arial" w:hAnsi="Arial"/>
          <w:sz w:val="22"/>
          <w:szCs w:val="22"/>
          <w:color w:val="auto"/>
        </w:rPr>
      </w:pPr>
      <w:r>
        <w:rPr>
          <w:rFonts w:ascii="Arial" w:cs="Arial" w:eastAsia="Arial" w:hAnsi="Arial"/>
          <w:sz w:val="22"/>
          <w:szCs w:val="22"/>
          <w:color w:val="auto"/>
        </w:rPr>
        <w:t>None of Holdings, the Borrower or any Restricted Subsidiary is engaged principally, or as one of its important activities, in the business of extending credit for the purpose of buying or carrying Margin Stock.</w:t>
      </w:r>
    </w:p>
    <w:p>
      <w:pPr>
        <w:spacing w:after="0" w:line="158" w:lineRule="exact"/>
        <w:rPr>
          <w:rFonts w:ascii="Arial" w:cs="Arial" w:eastAsia="Arial" w:hAnsi="Arial"/>
          <w:sz w:val="22"/>
          <w:szCs w:val="22"/>
          <w:color w:val="auto"/>
        </w:rPr>
      </w:pPr>
    </w:p>
    <w:p>
      <w:pPr>
        <w:ind w:firstLine="1304"/>
        <w:spacing w:after="0" w:line="232" w:lineRule="auto"/>
        <w:tabs>
          <w:tab w:leader="none" w:pos="1885" w:val="left"/>
        </w:tabs>
        <w:numPr>
          <w:ilvl w:val="0"/>
          <w:numId w:val="449"/>
        </w:numPr>
        <w:rPr>
          <w:rFonts w:ascii="Arial" w:cs="Arial" w:eastAsia="Arial" w:hAnsi="Arial"/>
          <w:sz w:val="22"/>
          <w:szCs w:val="22"/>
          <w:color w:val="auto"/>
        </w:rPr>
      </w:pPr>
      <w:r>
        <w:rPr>
          <w:rFonts w:ascii="Arial" w:cs="Arial" w:eastAsia="Arial" w:hAnsi="Arial"/>
          <w:sz w:val="22"/>
          <w:szCs w:val="22"/>
          <w:color w:val="auto"/>
        </w:rPr>
        <w:t>Taking into account all of the Transactions, no part of the proceeds of the Loans will be used, whether directly or indirectly, and whether immediately, incidentally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19" w:name="page420"/>
    <w:bookmarkEnd w:id="419"/>
    <w:p>
      <w:pPr>
        <w:jc w:val="both"/>
        <w:spacing w:after="0" w:line="232" w:lineRule="auto"/>
        <w:rPr>
          <w:sz w:val="20"/>
          <w:szCs w:val="20"/>
          <w:color w:val="auto"/>
        </w:rPr>
      </w:pPr>
      <w:r>
        <w:rPr>
          <w:rFonts w:ascii="Arial" w:cs="Arial" w:eastAsia="Arial" w:hAnsi="Arial"/>
          <w:sz w:val="22"/>
          <w:szCs w:val="22"/>
          <w:color w:val="auto"/>
        </w:rPr>
        <w:t>ultimately, for any purpose that entails a violation of the provisions of the Regulations of the Board, including Regulation T, U or X thereof.</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Section 3.16 Senior Indebtedness; Subordination. The Obligations hereunder and under the other Loan Documents are within the definition of “First Lien Debt”, “Senior Debt” (or any comparable term) and “Designated Senior Debt” (or any comparable terms), to the extent applicable, under and as defined in the subordination provisions in the documentation governing Subordinated Indebtedness,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-440690</wp:posOffset>
            </wp:positionV>
            <wp:extent cx="30511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3051175" cy="8255"/>
                    </a:xfrm>
                    <a:prstGeom prst="rect">
                      <a:avLst/>
                    </a:prstGeom>
                    <a:noFill/>
                  </pic:spPr>
                </pic:pic>
              </a:graphicData>
            </a:graphic>
          </wp:anchor>
        </w:drawing>
      </w:r>
    </w:p>
    <w:p>
      <w:pPr>
        <w:spacing w:after="0" w:line="14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auto"/>
        </w:rPr>
        <w:t>Section 3.17 Use of Proceeds</w:t>
      </w:r>
      <w:r>
        <w:rPr>
          <w:rFonts w:ascii="Arial" w:cs="Arial" w:eastAsia="Arial" w:hAnsi="Arial"/>
          <w:sz w:val="22"/>
          <w:szCs w:val="22"/>
          <w:color w:val="auto"/>
        </w:rPr>
        <w:t xml:space="preserve">. The proceeds of the Term Loans and the Revolving Loans will be used in accordance with </w:t>
      </w:r>
      <w:r>
        <w:rPr>
          <w:rFonts w:ascii="Arial" w:cs="Arial" w:eastAsia="Arial" w:hAnsi="Arial"/>
          <w:sz w:val="22"/>
          <w:szCs w:val="22"/>
          <w:u w:val="single" w:color="auto"/>
          <w:color w:val="auto"/>
        </w:rPr>
        <w:t>Section 5.09</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proceeds of any Incremental Credit Facility may be used for any purpose agreed to by the lenders thereof to the extent not otherwise in violation of this Agreement.</w:t>
      </w:r>
    </w:p>
    <w:p>
      <w:pPr>
        <w:spacing w:after="0" w:line="159" w:lineRule="exact"/>
        <w:rPr>
          <w:sz w:val="20"/>
          <w:szCs w:val="20"/>
          <w:color w:val="auto"/>
        </w:rPr>
      </w:pPr>
    </w:p>
    <w:p>
      <w:pPr>
        <w:jc w:val="both"/>
        <w:ind w:firstLine="1296"/>
        <w:spacing w:after="0"/>
        <w:rPr>
          <w:sz w:val="20"/>
          <w:szCs w:val="20"/>
          <w:color w:val="auto"/>
        </w:rPr>
      </w:pPr>
      <w:r>
        <w:rPr>
          <w:rFonts w:ascii="Arial" w:cs="Arial" w:eastAsia="Arial" w:hAnsi="Arial"/>
          <w:sz w:val="19"/>
          <w:szCs w:val="19"/>
          <w:u w:val="single" w:color="auto"/>
          <w:color w:val="auto"/>
        </w:rPr>
        <w:t>Section 3.18 Security Documents</w:t>
      </w:r>
      <w:r>
        <w:rPr>
          <w:rFonts w:ascii="Arial" w:cs="Arial" w:eastAsia="Arial" w:hAnsi="Arial"/>
          <w:sz w:val="19"/>
          <w:szCs w:val="19"/>
          <w:color w:val="auto"/>
        </w:rPr>
        <w:t>. The Security Documents are effective to create in favor of the Collateral Agent for the benefit of the applicable Secured Parties legal, valid and enforceable (subject to (a) applicable bankruptcy, insolvency, winding-up, reorganization, moratorium or other laws affecting creditors’ rights generally and subject to general principles of equity, regardless of whether considered in a proceeding in equity or at law, (b) any filings, notices and recordings and other perfection requirements necessary to create or perfect the Liens on the Collateral granted by the Loan Parties in favor of the Secured Parties (which filings, notices or recordings shall be made to the extent required by any Security Document) and</w:t>
      </w:r>
    </w:p>
    <w:p>
      <w:pPr>
        <w:spacing w:after="0" w:line="3" w:lineRule="exact"/>
        <w:rPr>
          <w:sz w:val="20"/>
          <w:szCs w:val="20"/>
          <w:color w:val="auto"/>
        </w:rPr>
      </w:pPr>
    </w:p>
    <w:p>
      <w:pPr>
        <w:jc w:val="both"/>
        <w:ind w:firstLine="8"/>
        <w:spacing w:after="0" w:line="237" w:lineRule="auto"/>
        <w:tabs>
          <w:tab w:leader="none" w:pos="323" w:val="left"/>
        </w:tabs>
        <w:numPr>
          <w:ilvl w:val="0"/>
          <w:numId w:val="450"/>
        </w:numPr>
        <w:rPr>
          <w:rFonts w:ascii="Arial" w:cs="Arial" w:eastAsia="Arial" w:hAnsi="Arial"/>
          <w:sz w:val="19"/>
          <w:szCs w:val="19"/>
          <w:color w:val="auto"/>
        </w:rPr>
      </w:pPr>
      <w:r>
        <w:rPr>
          <w:rFonts w:ascii="Arial" w:cs="Arial" w:eastAsia="Arial" w:hAnsi="Arial"/>
          <w:sz w:val="19"/>
          <w:szCs w:val="19"/>
          <w:color w:val="auto"/>
        </w:rPr>
        <w:t>with respect to enforceability against Foreign Subsidiaries or under non-U.S. laws, the effect of non-U.S. laws, rules and regulations as they relate to pledges, if any, of Equity Interests in Foreign Subsidiaries and intercompany Indebtedness owed by Foreign Subsidiaries) first priority Liens on, and security interests in, the Collateral (subject to Permitted Encumbrances) and,</w:t>
      </w:r>
    </w:p>
    <w:p>
      <w:pPr>
        <w:jc w:val="both"/>
        <w:ind w:firstLine="8"/>
        <w:spacing w:after="0" w:line="209" w:lineRule="auto"/>
        <w:tabs>
          <w:tab w:leader="none" w:pos="314" w:val="left"/>
        </w:tabs>
        <w:numPr>
          <w:ilvl w:val="0"/>
          <w:numId w:val="451"/>
        </w:numPr>
        <w:rPr>
          <w:rFonts w:ascii="Arial" w:cs="Arial" w:eastAsia="Arial" w:hAnsi="Arial"/>
          <w:sz w:val="22"/>
          <w:szCs w:val="22"/>
          <w:color w:val="auto"/>
        </w:rPr>
      </w:pPr>
      <w:r>
        <w:rPr>
          <w:rFonts w:ascii="Arial" w:cs="Arial" w:eastAsia="Arial" w:hAnsi="Arial"/>
          <w:sz w:val="22"/>
          <w:szCs w:val="22"/>
          <w:color w:val="auto"/>
        </w:rPr>
        <w:t>when all appropriate filings, notices or recordings are made in the appropriate offices, corporate records or with the appropriate Persons as may be required under applicable laws and any Security Document (which filings, notices or recordings shall be made to the extent required by any Security Document) and (ii) upon the taking of possession or control by the Collateral Agent of such Collateral with respect to which a security interest may be perfected only by possession or control (which possession or control shall be given to the Collateral Agent to the extent required by any Security Document), such Security Document will constitute fully perfected Liens on, and security interests in, all right, title and interest of the Loan Parties in such Collateral to the extent such Liens and security interests can be perfected by such filings, notices, recordings, possession or control.</w:t>
      </w:r>
    </w:p>
    <w:p>
      <w:pPr>
        <w:spacing w:after="0" w:line="16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3.19</w:t>
      </w:r>
      <w:r>
        <w:rPr>
          <w:sz w:val="20"/>
          <w:szCs w:val="20"/>
          <w:color w:val="auto"/>
        </w:rPr>
        <w:tab/>
      </w:r>
      <w:r>
        <w:rPr>
          <w:rFonts w:ascii="Arial" w:cs="Arial" w:eastAsia="Arial" w:hAnsi="Arial"/>
          <w:sz w:val="19"/>
          <w:szCs w:val="19"/>
          <w:u w:val="single" w:color="auto"/>
          <w:color w:val="auto"/>
        </w:rPr>
        <w:t>OFAC; FCPA; Patriot Act</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2" w:lineRule="auto"/>
        <w:tabs>
          <w:tab w:leader="none" w:pos="1894" w:val="left"/>
        </w:tabs>
        <w:numPr>
          <w:ilvl w:val="0"/>
          <w:numId w:val="452"/>
        </w:numPr>
        <w:rPr>
          <w:rFonts w:ascii="Arial" w:cs="Arial" w:eastAsia="Arial" w:hAnsi="Arial"/>
          <w:sz w:val="21"/>
          <w:szCs w:val="21"/>
          <w:color w:val="auto"/>
        </w:rPr>
      </w:pPr>
      <w:r>
        <w:rPr>
          <w:rFonts w:ascii="Arial" w:cs="Arial" w:eastAsia="Arial" w:hAnsi="Arial"/>
          <w:sz w:val="21"/>
          <w:szCs w:val="21"/>
          <w:color w:val="auto"/>
        </w:rPr>
        <w:t>None of Holdings or any of the Restricted Subsidiaries, nor any director or officer thereof, nor, to the knowledge of the Borrower, any employee of the Borrower or any of the Restricted Subsidiaries is a Person that is, or is in the aggregate, fifty percent or greater owned by Persons that are: (i) the target of any sanctions administered or enforced by the U.S. Department of the Treasury’s Office of Foreign Assets Control or the U.S. State Department, the United Nations Security Council, the European Union, Her Majesty’s Treasury or other relevant sanctions authority (collectively, “</w:t>
      </w:r>
      <w:r>
        <w:rPr>
          <w:rFonts w:ascii="Arial" w:cs="Arial" w:eastAsia="Arial" w:hAnsi="Arial"/>
          <w:sz w:val="21"/>
          <w:szCs w:val="21"/>
          <w:u w:val="single" w:color="auto"/>
          <w:color w:val="auto"/>
        </w:rPr>
        <w:t>Sanctions</w:t>
      </w:r>
      <w:r>
        <w:rPr>
          <w:rFonts w:ascii="Arial" w:cs="Arial" w:eastAsia="Arial" w:hAnsi="Arial"/>
          <w:sz w:val="21"/>
          <w:szCs w:val="21"/>
          <w:color w:val="auto"/>
        </w:rPr>
        <w:t>”), or (ii) located, organized or resident in a country or territory that is, or whose government is, the target of Sanctions (currently, the Crimea Region of Ukraine, Cuba, Iran, North Korea and Syria).</w:t>
      </w:r>
    </w:p>
    <w:p>
      <w:pPr>
        <w:spacing w:after="0" w:line="164" w:lineRule="exact"/>
        <w:rPr>
          <w:rFonts w:ascii="Arial" w:cs="Arial" w:eastAsia="Arial" w:hAnsi="Arial"/>
          <w:sz w:val="21"/>
          <w:szCs w:val="21"/>
          <w:color w:val="auto"/>
        </w:rPr>
      </w:pPr>
    </w:p>
    <w:p>
      <w:pPr>
        <w:jc w:val="both"/>
        <w:ind w:firstLine="1304"/>
        <w:spacing w:after="0" w:line="257" w:lineRule="auto"/>
        <w:tabs>
          <w:tab w:leader="none" w:pos="1774" w:val="left"/>
        </w:tabs>
        <w:numPr>
          <w:ilvl w:val="0"/>
          <w:numId w:val="452"/>
        </w:numPr>
        <w:rPr>
          <w:rFonts w:ascii="Arial" w:cs="Arial" w:eastAsia="Arial" w:hAnsi="Arial"/>
          <w:sz w:val="19"/>
          <w:szCs w:val="19"/>
          <w:color w:val="auto"/>
        </w:rPr>
      </w:pPr>
      <w:r>
        <w:rPr>
          <w:rFonts w:ascii="Arial" w:cs="Arial" w:eastAsia="Arial" w:hAnsi="Arial"/>
          <w:sz w:val="19"/>
          <w:szCs w:val="19"/>
          <w:color w:val="auto"/>
        </w:rPr>
        <w:t>The Borrower will not, directly or, knowingly, indirectly, use the proceeds of the Loans or lend, contribute or otherwise make available such proceeds to any subsidiary, joint venture partner or other Person, (i) to fund any activities or business of or with any Person, or in any country or territory, that, at the time of such funding, is, or whose government is, the target of any Sanctions, in any manner that would cause or result in the violation of Sanctions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20" w:name="page421"/>
    <w:bookmarkEnd w:id="420"/>
    <w:p>
      <w:pPr>
        <w:jc w:val="both"/>
        <w:spacing w:after="0" w:line="218" w:lineRule="auto"/>
        <w:rPr>
          <w:sz w:val="20"/>
          <w:szCs w:val="20"/>
          <w:color w:val="auto"/>
        </w:rPr>
      </w:pPr>
      <w:r>
        <w:rPr>
          <w:rFonts w:ascii="Arial" w:cs="Arial" w:eastAsia="Arial" w:hAnsi="Arial"/>
          <w:sz w:val="22"/>
          <w:szCs w:val="22"/>
          <w:color w:val="auto"/>
        </w:rPr>
        <w:t>any Loan Party,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(the “</w:t>
      </w:r>
      <w:r>
        <w:rPr>
          <w:rFonts w:ascii="Arial" w:cs="Arial" w:eastAsia="Arial" w:hAnsi="Arial"/>
          <w:sz w:val="22"/>
          <w:szCs w:val="22"/>
          <w:u w:val="single" w:color="auto"/>
          <w:color w:val="auto"/>
        </w:rPr>
        <w:t>FCPA</w:t>
      </w:r>
      <w:r>
        <w:rPr>
          <w:rFonts w:ascii="Arial" w:cs="Arial" w:eastAsia="Arial" w:hAnsi="Arial"/>
          <w:sz w:val="22"/>
          <w:szCs w:val="22"/>
          <w:color w:val="auto"/>
        </w:rPr>
        <w:t>”) or any other applicable anti-corruption law.</w:t>
      </w:r>
    </w:p>
    <w:p>
      <w:pPr>
        <w:spacing w:after="0" w:line="161" w:lineRule="exact"/>
        <w:rPr>
          <w:sz w:val="20"/>
          <w:szCs w:val="20"/>
          <w:color w:val="auto"/>
        </w:rPr>
      </w:pPr>
    </w:p>
    <w:p>
      <w:pPr>
        <w:jc w:val="both"/>
        <w:ind w:firstLine="1304"/>
        <w:spacing w:after="0" w:line="214" w:lineRule="auto"/>
        <w:tabs>
          <w:tab w:leader="none" w:pos="1777" w:val="left"/>
        </w:tabs>
        <w:numPr>
          <w:ilvl w:val="0"/>
          <w:numId w:val="453"/>
        </w:numPr>
        <w:rPr>
          <w:rFonts w:ascii="Arial" w:cs="Arial" w:eastAsia="Arial" w:hAnsi="Arial"/>
          <w:sz w:val="22"/>
          <w:szCs w:val="22"/>
          <w:color w:val="auto"/>
        </w:rPr>
      </w:pPr>
      <w:r>
        <w:rPr>
          <w:rFonts w:ascii="Arial" w:cs="Arial" w:eastAsia="Arial" w:hAnsi="Arial"/>
          <w:sz w:val="22"/>
          <w:szCs w:val="22"/>
          <w:color w:val="auto"/>
        </w:rPr>
        <w:t>Holdings, the Borrower and the other Loan Parties are in compliance in all material respects with the Patriot Act (to the extent applicable), applicable U.S. anti-money-laundering laws, and all applicable U.S. anti-corruption laws and Sanctions, and, in the case of any applicable material jurisdictions with respect to the Borrower and the other Loan Parties, anti-money-laundering laws and anti-corruption laws and Sanctions of relevant applicable foreign jurisdictions. The Borrower has implemented and maintain measures reasonably designed to ensure compliance by the Borrower, and the Restricted Subsidiaries with all applicable anti-corruption laws.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jc w:val="center"/>
        <w:spacing w:after="0"/>
        <w:rPr>
          <w:sz w:val="20"/>
          <w:szCs w:val="20"/>
          <w:color w:val="auto"/>
        </w:rPr>
      </w:pPr>
      <w:r>
        <w:rPr>
          <w:rFonts w:ascii="Arial" w:cs="Arial" w:eastAsia="Arial" w:hAnsi="Arial"/>
          <w:sz w:val="22"/>
          <w:szCs w:val="22"/>
          <w:u w:val="single" w:color="auto"/>
          <w:color w:val="auto"/>
        </w:rPr>
        <w:t>Conditions</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auto"/>
        </w:rPr>
        <w:t>Section 4.01 Closing Date</w:t>
      </w:r>
      <w:r>
        <w:rPr>
          <w:rFonts w:ascii="Arial" w:cs="Arial" w:eastAsia="Arial" w:hAnsi="Arial"/>
          <w:sz w:val="22"/>
          <w:szCs w:val="22"/>
          <w:color w:val="auto"/>
        </w:rPr>
        <w:t>. The Agreement and the obligations of the Lenders to make the extensions of credit to be made hereunder on the Closing Date shall not become effective until the date on which each of the following express conditions is satisfied (or waived by the Joint Lead Arrangers):</w:t>
      </w:r>
    </w:p>
    <w:p>
      <w:pPr>
        <w:spacing w:after="0" w:line="159" w:lineRule="exact"/>
        <w:rPr>
          <w:sz w:val="20"/>
          <w:szCs w:val="20"/>
          <w:color w:val="auto"/>
        </w:rPr>
      </w:pPr>
    </w:p>
    <w:p>
      <w:pPr>
        <w:jc w:val="both"/>
        <w:ind w:firstLine="1304"/>
        <w:spacing w:after="0"/>
        <w:tabs>
          <w:tab w:leader="none" w:pos="1772" w:val="left"/>
        </w:tabs>
        <w:numPr>
          <w:ilvl w:val="0"/>
          <w:numId w:val="454"/>
        </w:numPr>
        <w:rPr>
          <w:rFonts w:ascii="Arial" w:cs="Arial" w:eastAsia="Arial" w:hAnsi="Arial"/>
          <w:sz w:val="19"/>
          <w:szCs w:val="19"/>
          <w:color w:val="auto"/>
        </w:rPr>
      </w:pPr>
      <w:r>
        <w:rPr>
          <w:rFonts w:ascii="Arial" w:cs="Arial" w:eastAsia="Arial" w:hAnsi="Arial"/>
          <w:sz w:val="19"/>
          <w:szCs w:val="19"/>
          <w:color w:val="auto"/>
        </w:rPr>
        <w:t xml:space="preserve">The Administrative Agent (or its counsel) shall have received: (A) from the Borrower either (i) a counterpart of this Agreement and the Security Agreement signed on behalf of the Borrower or (ii) written evidence reasonably satisfactory to the Administrative Agent (which may include telecopy or electronic transmission (including Adobe pdf file) of a signed signature page of this Agreement and the Security Agreement) that the Borrower has signed a counterpart of this Agreement, together with all Schedules hereto, and the Security Agreement, (B) from the Loan Parties, executed counterparts of the Guaranty and the Security Agreement, (C) [reserved], (D) from the Borrower, a Note executed by the Borrower for each Lender that requests such a Note at least three (3) Business Days prior to the Closing Date, (E) with respect to each Loan Party, UCC-1 financing statements, as applicable, in a form appropriate for filing in the state of organization or formation, the jurisdiction in which its chief executive office is located or the jurisdiction in which its assets are located, as the case may be, of such Loan Party or for Holdings or any other Loan Party that is a Foreign Subsidiary, the District of Columbia, (F) executed intellectual property security agreements, as required pursuant to the Security Agreement, (G) if required to be delivered on or prior to the Closing Date pursuant to the Security Agreement, delivery of stock or share certificates for certificated Equity Interests that constitute Collateral, together with appropriate instruments of transfer endorsed in blank, subject to any rules, regulations and restrictions relating to pledges or share mortgages under applicable law, (H) from the Loan Parties party thereto, executed counterparts of the Second Lien Intercreditor Agreement and (I) if required to be delivered on or prior to the Closing Date pursuant to the Security Agreement, all agreements or instruments representing or evidencing the Collateral accompanied by instruments of transfer and stock powers undated and endorsed in blank; </w:t>
      </w:r>
      <w:r>
        <w:rPr>
          <w:rFonts w:ascii="Arial" w:cs="Arial" w:eastAsia="Arial" w:hAnsi="Arial"/>
          <w:sz w:val="19"/>
          <w:szCs w:val="19"/>
          <w:u w:val="single" w:color="auto"/>
          <w:color w:val="auto"/>
        </w:rPr>
        <w:t>provided</w:t>
      </w:r>
      <w:r>
        <w:rPr>
          <w:rFonts w:ascii="Arial" w:cs="Arial" w:eastAsia="Arial" w:hAnsi="Arial"/>
          <w:sz w:val="19"/>
          <w:szCs w:val="19"/>
          <w:color w:val="auto"/>
        </w:rPr>
        <w:t>, in each case, that to the extent any Collateral or any security interests therein (including the creation, perfection or priority of any security interest) is not or cannot be provided on the Closing Date (other than (i) a lien on Collateral that may be perfected solely by the filing of a financing statement under and in connection with the UCC, (ii) by intellectual property filings with the United States Patent and Trademark Office and the United States Copyright Office and (iii) a pledge of the certificated Equity Interests of the Borrower and the Subsidiary Guarantors, in each case, organized under the laws of the United States with respect to which a lien may be perfected after the Closing Date by the delivery of a stock or equivalent certificate together with a stock power or similar instrument of transfer endorsed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21" w:name="page422"/>
    <w:bookmarkEnd w:id="421"/>
    <w:p>
      <w:pPr>
        <w:jc w:val="both"/>
        <w:spacing w:after="0" w:line="268" w:lineRule="auto"/>
        <w:rPr>
          <w:sz w:val="20"/>
          <w:szCs w:val="20"/>
          <w:color w:val="auto"/>
        </w:rPr>
      </w:pPr>
      <w:r>
        <w:rPr>
          <w:rFonts w:ascii="Arial" w:cs="Arial" w:eastAsia="Arial" w:hAnsi="Arial"/>
          <w:sz w:val="19"/>
          <w:szCs w:val="19"/>
          <w:color w:val="auto"/>
        </w:rPr>
        <w:t>blank), then the provision and/or perfection, as applicable, of any such Collateral shall not constitute a condition precedent to the Initial Term Loans or the Initial Revolving Borrowing, but may instead be delivered and/or perfected within ninety (90) days after the Closing Date, subject to such extensions as are reasonably agreed by the Administrative Agent.</w:t>
      </w:r>
    </w:p>
    <w:p>
      <w:pPr>
        <w:spacing w:after="0" w:line="132" w:lineRule="exact"/>
        <w:rPr>
          <w:sz w:val="20"/>
          <w:szCs w:val="20"/>
          <w:color w:val="auto"/>
        </w:rPr>
      </w:pPr>
    </w:p>
    <w:p>
      <w:pPr>
        <w:jc w:val="both"/>
        <w:ind w:firstLine="1304"/>
        <w:spacing w:after="0" w:line="223" w:lineRule="auto"/>
        <w:tabs>
          <w:tab w:leader="none" w:pos="1805" w:val="left"/>
        </w:tabs>
        <w:numPr>
          <w:ilvl w:val="1"/>
          <w:numId w:val="455"/>
        </w:numPr>
        <w:rPr>
          <w:rFonts w:ascii="Arial" w:cs="Arial" w:eastAsia="Arial" w:hAnsi="Arial"/>
          <w:sz w:val="22"/>
          <w:szCs w:val="22"/>
          <w:color w:val="auto"/>
        </w:rPr>
      </w:pPr>
      <w:r>
        <w:rPr>
          <w:rFonts w:ascii="Arial" w:cs="Arial" w:eastAsia="Arial" w:hAnsi="Arial"/>
          <w:sz w:val="22"/>
          <w:szCs w:val="22"/>
          <w:color w:val="auto"/>
        </w:rPr>
        <w:t>The Administrative Agent shall have received a customary written opinion (addressed to the Administrative Agent, the Collateral Agent, the Issuing Lenders and the Lenders and dated the Closing Date) of Kirkland &amp; Ellis LLP, special counsel to the Borrower and the other Loan Parties.</w:t>
      </w:r>
    </w:p>
    <w:p>
      <w:pPr>
        <w:spacing w:after="0" w:line="158" w:lineRule="exact"/>
        <w:rPr>
          <w:rFonts w:ascii="Arial" w:cs="Arial" w:eastAsia="Arial" w:hAnsi="Arial"/>
          <w:sz w:val="22"/>
          <w:szCs w:val="22"/>
          <w:color w:val="auto"/>
        </w:rPr>
      </w:pPr>
    </w:p>
    <w:p>
      <w:pPr>
        <w:jc w:val="both"/>
        <w:ind w:firstLine="1304"/>
        <w:spacing w:after="0" w:line="238" w:lineRule="auto"/>
        <w:tabs>
          <w:tab w:leader="none" w:pos="1790" w:val="left"/>
        </w:tabs>
        <w:numPr>
          <w:ilvl w:val="1"/>
          <w:numId w:val="455"/>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(i) a copy of each Organizational Document of the Borrower and the Loan Parties and, to the extent applicable, certified as of a recent date by the appropriate governmental official; (ii) signature and incumbency certificates of the officers of such Person executing the Loan Documents to which it is a party; (iii) resolutions of the board of directors or similar governing body of the Borrower and the Loan Parties approving and authorizing the execution, delivery and performance of this Agreement and the other Loan Documents to which such Loan Party is a party, certified as of the Closing Date by such Loan Party as being in full force and effect without modification or amendment; (iv) a specimen of the signature of each person authorized by the resolution referred into in paragraph (iii) above in relation to the Loan Documents and related documents; (v) a good standing certificate (to the extent such concept is known in the relevant jurisdiction) from the applicable Governmental Authority of the Borrower and the Loan Parties jurisdiction of incorporation, organization or formation dated a recent date prior to the Closing Date; and (vi) a certificate of (x) a Responsible Officer of each Loan Party that the documents referred to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are in full force and effect as of the Closing Date and (y) a Responsible Officer of the Borrower that the conditions specified in </w:t>
      </w:r>
      <w:r>
        <w:rPr>
          <w:rFonts w:ascii="Arial" w:cs="Arial" w:eastAsia="Arial" w:hAnsi="Arial"/>
          <w:sz w:val="19"/>
          <w:szCs w:val="19"/>
          <w:u w:val="single" w:color="auto"/>
          <w:color w:val="auto"/>
        </w:rPr>
        <w:t>clauses (j)</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(l)</w:t>
      </w:r>
      <w:r>
        <w:rPr>
          <w:rFonts w:ascii="Arial" w:cs="Arial" w:eastAsia="Arial" w:hAnsi="Arial"/>
          <w:sz w:val="19"/>
          <w:szCs w:val="19"/>
          <w:color w:val="auto"/>
        </w:rPr>
        <w:t xml:space="preserve"> below have been satisfied;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Loan Party on the Closing Date that is a Foreign Subsidiary, in lieu of delivery of the items set forth in </w:t>
      </w:r>
      <w:r>
        <w:rPr>
          <w:rFonts w:ascii="Arial" w:cs="Arial" w:eastAsia="Arial" w:hAnsi="Arial"/>
          <w:sz w:val="19"/>
          <w:szCs w:val="19"/>
          <w:u w:val="single" w:color="auto"/>
          <w:color w:val="auto"/>
        </w:rPr>
        <w:t>clauses</w:t>
      </w:r>
    </w:p>
    <w:p>
      <w:pPr>
        <w:spacing w:after="0" w:line="9" w:lineRule="exact"/>
        <w:rPr>
          <w:rFonts w:ascii="Arial" w:cs="Arial" w:eastAsia="Arial" w:hAnsi="Arial"/>
          <w:sz w:val="19"/>
          <w:szCs w:val="19"/>
          <w:color w:val="auto"/>
        </w:rPr>
      </w:pPr>
    </w:p>
    <w:p>
      <w:pPr>
        <w:ind w:left="260" w:hanging="252"/>
        <w:spacing w:after="0"/>
        <w:tabs>
          <w:tab w:leader="none" w:pos="260" w:val="left"/>
        </w:tabs>
        <w:numPr>
          <w:ilvl w:val="0"/>
          <w:numId w:val="456"/>
        </w:numPr>
        <w:rPr>
          <w:rFonts w:ascii="Arial" w:cs="Arial" w:eastAsia="Arial" w:hAnsi="Arial"/>
          <w:sz w:val="21"/>
          <w:szCs w:val="21"/>
          <w:u w:val="single" w:color="auto"/>
          <w:color w:val="auto"/>
        </w:rPr>
      </w:pPr>
      <w:r>
        <w:rPr>
          <w:rFonts w:ascii="Arial" w:cs="Arial" w:eastAsia="Arial" w:hAnsi="Arial"/>
          <w:sz w:val="21"/>
          <w:szCs w:val="21"/>
          <w:color w:val="auto"/>
        </w:rPr>
        <w:t xml:space="preserve">through </w:t>
      </w:r>
      <w:r>
        <w:rPr>
          <w:rFonts w:ascii="Arial" w:cs="Arial" w:eastAsia="Arial" w:hAnsi="Arial"/>
          <w:sz w:val="21"/>
          <w:szCs w:val="21"/>
          <w:u w:val="single" w:color="auto"/>
          <w:color w:val="auto"/>
        </w:rPr>
        <w:t>(iv)</w:t>
      </w:r>
      <w:r>
        <w:rPr>
          <w:rFonts w:ascii="Arial" w:cs="Arial" w:eastAsia="Arial" w:hAnsi="Arial"/>
          <w:sz w:val="21"/>
          <w:szCs w:val="21"/>
          <w:color w:val="auto"/>
        </w:rPr>
        <w:t>, such Loan Party shall deliver a customary director’s certificate, including customary attachments thereto.</w:t>
      </w:r>
    </w:p>
    <w:p>
      <w:pPr>
        <w:spacing w:after="0" w:line="172" w:lineRule="exact"/>
        <w:rPr>
          <w:rFonts w:ascii="Arial" w:cs="Arial" w:eastAsia="Arial" w:hAnsi="Arial"/>
          <w:sz w:val="21"/>
          <w:szCs w:val="21"/>
          <w:u w:val="single" w:color="auto"/>
          <w:color w:val="auto"/>
        </w:rPr>
      </w:pPr>
    </w:p>
    <w:p>
      <w:pPr>
        <w:ind w:firstLine="1304"/>
        <w:spacing w:after="0" w:line="232" w:lineRule="auto"/>
        <w:tabs>
          <w:tab w:leader="none" w:pos="1819" w:val="left"/>
        </w:tabs>
        <w:numPr>
          <w:ilvl w:val="1"/>
          <w:numId w:val="456"/>
        </w:numPr>
        <w:rPr>
          <w:rFonts w:ascii="Arial" w:cs="Arial" w:eastAsia="Arial" w:hAnsi="Arial"/>
          <w:sz w:val="22"/>
          <w:szCs w:val="22"/>
          <w:color w:val="auto"/>
        </w:rPr>
      </w:pPr>
      <w:r>
        <w:rPr>
          <w:rFonts w:ascii="Arial" w:cs="Arial" w:eastAsia="Arial" w:hAnsi="Arial"/>
          <w:sz w:val="22"/>
          <w:szCs w:val="22"/>
          <w:color w:val="auto"/>
        </w:rPr>
        <w:t>The Administrative Agent shall have received a Borrowing Request relating to the Borrowing of the Initial Term Loans and the Initial Revolving Borrowing on the Closing Date.</w:t>
      </w:r>
    </w:p>
    <w:p>
      <w:pPr>
        <w:spacing w:after="0" w:line="158" w:lineRule="exact"/>
        <w:rPr>
          <w:rFonts w:ascii="Arial" w:cs="Arial" w:eastAsia="Arial" w:hAnsi="Arial"/>
          <w:sz w:val="22"/>
          <w:szCs w:val="22"/>
          <w:color w:val="auto"/>
        </w:rPr>
      </w:pPr>
    </w:p>
    <w:p>
      <w:pPr>
        <w:jc w:val="both"/>
        <w:ind w:firstLine="1304"/>
        <w:spacing w:after="0" w:line="212" w:lineRule="auto"/>
        <w:tabs>
          <w:tab w:leader="none" w:pos="1813" w:val="left"/>
        </w:tabs>
        <w:numPr>
          <w:ilvl w:val="1"/>
          <w:numId w:val="456"/>
        </w:numPr>
        <w:rPr>
          <w:rFonts w:ascii="Arial" w:cs="Arial" w:eastAsia="Arial" w:hAnsi="Arial"/>
          <w:sz w:val="22"/>
          <w:szCs w:val="22"/>
          <w:color w:val="auto"/>
        </w:rPr>
      </w:pPr>
      <w:r>
        <w:rPr>
          <w:rFonts w:ascii="Arial" w:cs="Arial" w:eastAsia="Arial" w:hAnsi="Arial"/>
          <w:sz w:val="22"/>
          <w:szCs w:val="22"/>
          <w:color w:val="auto"/>
        </w:rPr>
        <w:t xml:space="preserve">The Administrative Agent, the Joint Lead Arrangers and the Joint Bookrunners shall have received all fees and other amounts earned, due and payable by any Loan Party on or prior to the Closing Date, including, to the extent invoiced, reimbursement or payment of all reasonable out-of-pocket expenses (including fees, charges and disbursements of counsel) required to be reimbursed or paid by Holdings or its Affiliate under the Commitment Letter, the applicable Fee Letter or any Loan Document,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expenses to be paid as a condition to the Closing Date must be invoiced at least three (3) Business Days prior to the Closing Date and may be offset against the proceeds of the Initial Term Loans or Initial Revolving Borrowing.</w:t>
      </w:r>
    </w:p>
    <w:p>
      <w:pPr>
        <w:spacing w:after="0" w:line="163" w:lineRule="exact"/>
        <w:rPr>
          <w:rFonts w:ascii="Arial" w:cs="Arial" w:eastAsia="Arial" w:hAnsi="Arial"/>
          <w:sz w:val="22"/>
          <w:szCs w:val="22"/>
          <w:color w:val="auto"/>
        </w:rPr>
      </w:pPr>
    </w:p>
    <w:p>
      <w:pPr>
        <w:ind w:firstLine="1304"/>
        <w:spacing w:after="0" w:line="232" w:lineRule="auto"/>
        <w:tabs>
          <w:tab w:leader="none" w:pos="1844" w:val="left"/>
        </w:tabs>
        <w:numPr>
          <w:ilvl w:val="1"/>
          <w:numId w:val="456"/>
        </w:numPr>
        <w:rPr>
          <w:rFonts w:ascii="Arial" w:cs="Arial" w:eastAsia="Arial" w:hAnsi="Arial"/>
          <w:sz w:val="22"/>
          <w:szCs w:val="22"/>
          <w:color w:val="auto"/>
        </w:rPr>
      </w:pPr>
      <w:r>
        <w:rPr>
          <w:rFonts w:ascii="Arial" w:cs="Arial" w:eastAsia="Arial" w:hAnsi="Arial"/>
          <w:sz w:val="22"/>
          <w:szCs w:val="22"/>
          <w:color w:val="auto"/>
        </w:rPr>
        <w:t>The Joint Lead Arrangers shall have received the Audited Financial Statements, the Unaudited Financial Statements and the Pro Forma Financial Statements.</w:t>
      </w:r>
    </w:p>
    <w:p>
      <w:pPr>
        <w:spacing w:after="0" w:line="158" w:lineRule="exact"/>
        <w:rPr>
          <w:rFonts w:ascii="Arial" w:cs="Arial" w:eastAsia="Arial" w:hAnsi="Arial"/>
          <w:sz w:val="22"/>
          <w:szCs w:val="22"/>
          <w:color w:val="auto"/>
        </w:rPr>
      </w:pPr>
    </w:p>
    <w:p>
      <w:pPr>
        <w:jc w:val="both"/>
        <w:ind w:firstLine="1304"/>
        <w:spacing w:after="0" w:line="224" w:lineRule="auto"/>
        <w:tabs>
          <w:tab w:leader="none" w:pos="1770" w:val="left"/>
        </w:tabs>
        <w:numPr>
          <w:ilvl w:val="1"/>
          <w:numId w:val="456"/>
        </w:numPr>
        <w:rPr>
          <w:rFonts w:ascii="Arial" w:cs="Arial" w:eastAsia="Arial" w:hAnsi="Arial"/>
          <w:sz w:val="21"/>
          <w:szCs w:val="21"/>
          <w:color w:val="auto"/>
        </w:rPr>
      </w:pPr>
      <w:r>
        <w:rPr>
          <w:rFonts w:ascii="Arial" w:cs="Arial" w:eastAsia="Arial" w:hAnsi="Arial"/>
          <w:sz w:val="21"/>
          <w:szCs w:val="21"/>
          <w:color w:val="auto"/>
        </w:rPr>
        <w:t>Substantially concurrently with the funding of the Initial Term Loans, the Closing Date Recapitalization shall be consummated, in all material respects, in accordance with the terms of the Recapitalization Agreement without giving effect to any amendments, waivers, consents, supplements or other modifications of any provision thereof or any condition to the obligations of the parties thereto to consummate the Closing Date Recapitalization (other than any such waivers or amendments as are not materially adverse to the interests of the Lenders) unless consented to by the Joint Lead Arrangers (it being understood that (a) any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22" w:name="page423"/>
    <w:bookmarkEnd w:id="422"/>
    <w:p>
      <w:pPr>
        <w:jc w:val="both"/>
        <w:spacing w:after="0" w:line="249" w:lineRule="auto"/>
        <w:rPr>
          <w:sz w:val="20"/>
          <w:szCs w:val="20"/>
          <w:color w:val="auto"/>
        </w:rPr>
      </w:pPr>
      <w:r>
        <w:rPr>
          <w:rFonts w:ascii="Arial" w:cs="Arial" w:eastAsia="Arial" w:hAnsi="Arial"/>
          <w:sz w:val="19"/>
          <w:szCs w:val="19"/>
          <w:color w:val="auto"/>
        </w:rPr>
        <w:t xml:space="preserve">amendment, consent or waiver to or under the definition of “Parent Material Adverse Effect” in the Recapitalization Agreement shall be deemed to be material and adverse to the interests of the Lenders, (b) any amendment that results in a change of the amount of proceeds from the sale of the Purchased Shares (as defined in the Recapitalization Agreement) shall not be deemed material so long as there is a corresponding dollar for dollar reduction in the Closing Date Distribution and (c) other than as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the granting of any consent under the Recapitalization Agreement that is not materially adverse to the interests of the Lenders shall not otherwise constitute an amendment or waiver).</w:t>
      </w:r>
    </w:p>
    <w:p>
      <w:pPr>
        <w:spacing w:after="0" w:line="152" w:lineRule="exact"/>
        <w:rPr>
          <w:sz w:val="20"/>
          <w:szCs w:val="20"/>
          <w:color w:val="auto"/>
        </w:rPr>
      </w:pPr>
    </w:p>
    <w:p>
      <w:pPr>
        <w:ind w:left="1780" w:hanging="476"/>
        <w:spacing w:after="0"/>
        <w:tabs>
          <w:tab w:leader="none" w:pos="1780" w:val="left"/>
        </w:tabs>
        <w:numPr>
          <w:ilvl w:val="0"/>
          <w:numId w:val="457"/>
        </w:numPr>
        <w:rPr>
          <w:rFonts w:ascii="Arial" w:cs="Arial" w:eastAsia="Arial" w:hAnsi="Arial"/>
          <w:sz w:val="22"/>
          <w:szCs w:val="22"/>
          <w:color w:val="auto"/>
        </w:rPr>
      </w:pPr>
      <w:r>
        <w:rPr>
          <w:rFonts w:ascii="Arial" w:cs="Arial" w:eastAsia="Arial" w:hAnsi="Arial"/>
          <w:sz w:val="22"/>
          <w:szCs w:val="22"/>
          <w:color w:val="auto"/>
        </w:rPr>
        <w:t>The Administrative Agent shall have received a Solvency Certificate.</w:t>
      </w:r>
    </w:p>
    <w:p>
      <w:pPr>
        <w:spacing w:after="0" w:line="179" w:lineRule="exact"/>
        <w:rPr>
          <w:rFonts w:ascii="Arial" w:cs="Arial" w:eastAsia="Arial" w:hAnsi="Arial"/>
          <w:sz w:val="22"/>
          <w:szCs w:val="22"/>
          <w:color w:val="auto"/>
        </w:rPr>
      </w:pPr>
    </w:p>
    <w:p>
      <w:pPr>
        <w:jc w:val="both"/>
        <w:ind w:firstLine="1304"/>
        <w:spacing w:after="0" w:line="226" w:lineRule="auto"/>
        <w:tabs>
          <w:tab w:leader="none" w:pos="1805" w:val="left"/>
        </w:tabs>
        <w:numPr>
          <w:ilvl w:val="0"/>
          <w:numId w:val="457"/>
        </w:numPr>
        <w:rPr>
          <w:rFonts w:ascii="Arial" w:cs="Arial" w:eastAsia="Arial" w:hAnsi="Arial"/>
          <w:sz w:val="21"/>
          <w:szCs w:val="21"/>
          <w:color w:val="auto"/>
        </w:rPr>
      </w:pPr>
      <w:r>
        <w:rPr>
          <w:rFonts w:ascii="Arial" w:cs="Arial" w:eastAsia="Arial" w:hAnsi="Arial"/>
          <w:sz w:val="21"/>
          <w:szCs w:val="21"/>
          <w:color w:val="auto"/>
        </w:rPr>
        <w:t>So long as requested at least ten (10) days prior to the Closing Date, the Administrative Agent shall have received, at least three (3) Business Days prior to the Closing Date, (a) all documentation and other information with respect to the Borrower that is required by regulatory authorities under applicable “know your customer” and anti-money laundering rules and regulations, including the Patriot Act and (b) a Beneficial Ownership Certification from any Borrower or Guarantor that qualifies as a Beneficial Owner under the Beneficial Ownership Regulation.</w:t>
      </w:r>
    </w:p>
    <w:p>
      <w:pPr>
        <w:spacing w:after="0" w:line="159" w:lineRule="exact"/>
        <w:rPr>
          <w:rFonts w:ascii="Arial" w:cs="Arial" w:eastAsia="Arial" w:hAnsi="Arial"/>
          <w:sz w:val="21"/>
          <w:szCs w:val="21"/>
          <w:color w:val="auto"/>
        </w:rPr>
      </w:pPr>
    </w:p>
    <w:p>
      <w:pPr>
        <w:jc w:val="both"/>
        <w:ind w:firstLine="1304"/>
        <w:spacing w:after="0" w:line="218" w:lineRule="auto"/>
        <w:tabs>
          <w:tab w:leader="none" w:pos="1729" w:val="left"/>
        </w:tabs>
        <w:numPr>
          <w:ilvl w:val="0"/>
          <w:numId w:val="457"/>
        </w:numPr>
        <w:rPr>
          <w:rFonts w:ascii="Arial" w:cs="Arial" w:eastAsia="Arial" w:hAnsi="Arial"/>
          <w:sz w:val="22"/>
          <w:szCs w:val="22"/>
          <w:color w:val="auto"/>
        </w:rPr>
      </w:pPr>
      <w:r>
        <w:rPr>
          <w:rFonts w:ascii="Arial" w:cs="Arial" w:eastAsia="Arial" w:hAnsi="Arial"/>
          <w:sz w:val="22"/>
          <w:szCs w:val="22"/>
          <w:color w:val="auto"/>
        </w:rPr>
        <w:t>(i) The Specified Recapitalization Agreement Representations shall be true and correct as of the Closing Date (or true and correct as of a specified date, if earlier) and (ii) the Specified Representations shall be true and correct in all material respects (or, if qualified by materiality, in all respects) as of the Closing Date (or true and correct in all material respects (or, if qualified by materiality, in all respects) as of a specified date, if earlier).</w:t>
      </w:r>
    </w:p>
    <w:p>
      <w:pPr>
        <w:spacing w:after="0" w:line="160" w:lineRule="exact"/>
        <w:rPr>
          <w:rFonts w:ascii="Arial" w:cs="Arial" w:eastAsia="Arial" w:hAnsi="Arial"/>
          <w:sz w:val="22"/>
          <w:szCs w:val="22"/>
          <w:color w:val="auto"/>
        </w:rPr>
      </w:pPr>
    </w:p>
    <w:p>
      <w:pPr>
        <w:jc w:val="both"/>
        <w:ind w:firstLine="1304"/>
        <w:spacing w:after="0" w:line="257" w:lineRule="auto"/>
        <w:tabs>
          <w:tab w:leader="none" w:pos="1832" w:val="left"/>
        </w:tabs>
        <w:numPr>
          <w:ilvl w:val="0"/>
          <w:numId w:val="457"/>
        </w:numPr>
        <w:rPr>
          <w:rFonts w:ascii="Arial" w:cs="Arial" w:eastAsia="Arial" w:hAnsi="Arial"/>
          <w:sz w:val="19"/>
          <w:szCs w:val="19"/>
          <w:color w:val="auto"/>
        </w:rPr>
      </w:pPr>
      <w:r>
        <w:rPr>
          <w:rFonts w:ascii="Arial" w:cs="Arial" w:eastAsia="Arial" w:hAnsi="Arial"/>
          <w:sz w:val="19"/>
          <w:szCs w:val="19"/>
          <w:color w:val="auto"/>
        </w:rPr>
        <w:t>Prior to, or substantially concurrently with the funding of the Initial Term Loans and the Initial Revolving Borrowing, all existing third-party debt for borrowed money of the Borrower and its Subsidiaries under the Existing Credit Agreement, and all Liens and guarantees in support thereof, will be repaid, redeemed, defeased, discharged, refinanced or terminated and all commitments thereunder terminated (the foregoing, collectively, the “</w:t>
      </w:r>
      <w:r>
        <w:rPr>
          <w:rFonts w:ascii="Arial" w:cs="Arial" w:eastAsia="Arial" w:hAnsi="Arial"/>
          <w:sz w:val="19"/>
          <w:szCs w:val="19"/>
          <w:u w:val="single" w:color="auto"/>
          <w:color w:val="auto"/>
        </w:rPr>
        <w:t>Closing Date Refinancing</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ind w:left="1720" w:hanging="416"/>
        <w:spacing w:after="0"/>
        <w:tabs>
          <w:tab w:leader="none" w:pos="1720" w:val="left"/>
        </w:tabs>
        <w:numPr>
          <w:ilvl w:val="0"/>
          <w:numId w:val="457"/>
        </w:numPr>
        <w:rPr>
          <w:rFonts w:ascii="Arial" w:cs="Arial" w:eastAsia="Arial" w:hAnsi="Arial"/>
          <w:sz w:val="22"/>
          <w:szCs w:val="22"/>
          <w:color w:val="auto"/>
        </w:rPr>
      </w:pPr>
      <w:r>
        <w:rPr>
          <w:rFonts w:ascii="Arial" w:cs="Arial" w:eastAsia="Arial" w:hAnsi="Arial"/>
          <w:sz w:val="22"/>
          <w:szCs w:val="22"/>
          <w:color w:val="auto"/>
        </w:rPr>
        <w:t>Since August 3, 2018, no Parent Material Adverse Effect shall have occurred.</w:t>
      </w:r>
    </w:p>
    <w:p>
      <w:pPr>
        <w:spacing w:after="0" w:line="179" w:lineRule="exact"/>
        <w:rPr>
          <w:rFonts w:ascii="Arial" w:cs="Arial" w:eastAsia="Arial" w:hAnsi="Arial"/>
          <w:sz w:val="22"/>
          <w:szCs w:val="22"/>
          <w:color w:val="auto"/>
        </w:rPr>
      </w:pPr>
    </w:p>
    <w:p>
      <w:pPr>
        <w:jc w:val="both"/>
        <w:ind w:firstLine="1304"/>
        <w:spacing w:after="0" w:line="216" w:lineRule="auto"/>
        <w:tabs>
          <w:tab w:leader="none" w:pos="1828" w:val="left"/>
        </w:tabs>
        <w:numPr>
          <w:ilvl w:val="0"/>
          <w:numId w:val="457"/>
        </w:numPr>
        <w:rPr>
          <w:rFonts w:ascii="Arial" w:cs="Arial" w:eastAsia="Arial" w:hAnsi="Arial"/>
          <w:sz w:val="22"/>
          <w:szCs w:val="22"/>
          <w:color w:val="auto"/>
        </w:rPr>
      </w:pPr>
      <w:r>
        <w:rPr>
          <w:rFonts w:ascii="Arial" w:cs="Arial" w:eastAsia="Arial" w:hAnsi="Arial"/>
          <w:sz w:val="22"/>
          <w:szCs w:val="22"/>
          <w:color w:val="auto"/>
        </w:rPr>
        <w:t>(i) Prior to, or substantially concurrently with the funding of the Initial Term Loans and the Initial Revolving Borrowing, the Borrower shall have received the cash proceeds of the Second Lien Loans and (ii) on the Closing Date, immediately after giving effect to the Transactions, Francisco Partners, Spectrum and the New Sponsor shall, collectively, directly or indirectly (whether by contract or otherwise) control not less than a majority of the economic and voting interests in Holdings.</w:t>
      </w:r>
    </w:p>
    <w:p>
      <w:pPr>
        <w:spacing w:after="0" w:line="157" w:lineRule="exact"/>
        <w:rPr>
          <w:rFonts w:ascii="Arial" w:cs="Arial" w:eastAsia="Arial" w:hAnsi="Arial"/>
          <w:sz w:val="22"/>
          <w:szCs w:val="22"/>
          <w:color w:val="auto"/>
        </w:rPr>
      </w:pPr>
    </w:p>
    <w:p>
      <w:pPr>
        <w:ind w:firstLine="1304"/>
        <w:spacing w:after="0" w:line="232" w:lineRule="auto"/>
        <w:tabs>
          <w:tab w:leader="none" w:pos="1820" w:val="left"/>
        </w:tabs>
        <w:numPr>
          <w:ilvl w:val="0"/>
          <w:numId w:val="457"/>
        </w:numPr>
        <w:rPr>
          <w:rFonts w:ascii="Arial" w:cs="Arial" w:eastAsia="Arial" w:hAnsi="Arial"/>
          <w:sz w:val="22"/>
          <w:szCs w:val="22"/>
          <w:color w:val="auto"/>
        </w:rPr>
      </w:pPr>
      <w:r>
        <w:rPr>
          <w:rFonts w:ascii="Arial" w:cs="Arial" w:eastAsia="Arial" w:hAnsi="Arial"/>
          <w:sz w:val="22"/>
          <w:szCs w:val="22"/>
          <w:color w:val="auto"/>
        </w:rPr>
        <w:t>The Borrower shall have delivered to the Administrative Agent an executed copy of the Second Lien Loan Documents to be entered into on the Closing Date.</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457"/>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For purposes of determining whether the conditions set forth in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have been satisfied, by releasing its signature page hereto or to an Assignment and Assumption, the Administrative Agent and each Lender party hereto shall be deemed to have consented to, approved, accepted or be satisfied with each document or other matter required hereunder to be consented to or approved by, or acceptable or satisfactory to, the Administrative Agent or such Lender,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23" w:name="page424"/>
    <w:bookmarkEnd w:id="423"/>
    <w:p>
      <w:pPr>
        <w:jc w:val="both"/>
        <w:ind w:firstLine="1296"/>
        <w:spacing w:after="0" w:line="229" w:lineRule="auto"/>
        <w:rPr>
          <w:sz w:val="20"/>
          <w:szCs w:val="20"/>
          <w:color w:val="auto"/>
        </w:rPr>
      </w:pPr>
      <w:r>
        <w:rPr>
          <w:rFonts w:ascii="Arial" w:cs="Arial" w:eastAsia="Arial" w:hAnsi="Arial"/>
          <w:sz w:val="21"/>
          <w:szCs w:val="21"/>
          <w:u w:val="single" w:color="auto"/>
          <w:color w:val="auto"/>
        </w:rPr>
        <w:t>Section 4.02 Each Credit Event</w:t>
      </w:r>
      <w:r>
        <w:rPr>
          <w:rFonts w:ascii="Arial" w:cs="Arial" w:eastAsia="Arial" w:hAnsi="Arial"/>
          <w:sz w:val="21"/>
          <w:szCs w:val="21"/>
          <w:color w:val="auto"/>
        </w:rPr>
        <w:t xml:space="preserve">. The obligation of (i) each Lender to make a Loan on the occasion of any Borrowing after the Closing Date and (ii) each of the Issuing Banks to issue, renew, increase or extend any Letter of Credit after the Closing Date (each event referred to in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 a “</w:t>
      </w:r>
      <w:r>
        <w:rPr>
          <w:rFonts w:ascii="Arial" w:cs="Arial" w:eastAsia="Arial" w:hAnsi="Arial"/>
          <w:sz w:val="21"/>
          <w:szCs w:val="21"/>
          <w:u w:val="single" w:color="auto"/>
          <w:color w:val="auto"/>
        </w:rPr>
        <w:t>Credit Event</w:t>
      </w:r>
      <w:r>
        <w:rPr>
          <w:rFonts w:ascii="Arial" w:cs="Arial" w:eastAsia="Arial" w:hAnsi="Arial"/>
          <w:sz w:val="21"/>
          <w:szCs w:val="21"/>
          <w:color w:val="auto"/>
        </w:rPr>
        <w:t>”), is subject to receipt of the request therefor in accordance herewith and to the satisfaction (or waiver) of the following express conditions:</w:t>
      </w:r>
    </w:p>
    <w:p>
      <w:pPr>
        <w:spacing w:after="0" w:line="158" w:lineRule="exact"/>
        <w:rPr>
          <w:sz w:val="20"/>
          <w:szCs w:val="20"/>
          <w:color w:val="auto"/>
        </w:rPr>
      </w:pPr>
    </w:p>
    <w:p>
      <w:pPr>
        <w:jc w:val="both"/>
        <w:ind w:firstLine="1304"/>
        <w:spacing w:after="0" w:line="224" w:lineRule="auto"/>
        <w:tabs>
          <w:tab w:leader="none" w:pos="1838" w:val="left"/>
        </w:tabs>
        <w:numPr>
          <w:ilvl w:val="0"/>
          <w:numId w:val="458"/>
        </w:numPr>
        <w:rPr>
          <w:rFonts w:ascii="Arial" w:cs="Arial" w:eastAsia="Arial" w:hAnsi="Arial"/>
          <w:sz w:val="21"/>
          <w:szCs w:val="21"/>
          <w:color w:val="auto"/>
        </w:rPr>
      </w:pPr>
      <w:r>
        <w:rPr>
          <w:rFonts w:ascii="Arial" w:cs="Arial" w:eastAsia="Arial" w:hAnsi="Arial"/>
          <w:sz w:val="21"/>
          <w:szCs w:val="21"/>
          <w:color w:val="auto"/>
        </w:rPr>
        <w:t>The representations and warranties of each Loan Party set forth in the Loan Documents shall be true and correct in all material respects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representations and warranties which are qualified by materiality, Material Adverse Effect or similar language shall be true and correct in all respects), in each case on and as of the date of such Credit Event (or true and correct as of a specified date, if earlier);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any Incremental Credit Facility the proceeds of which will be used to finance a Permitted Acquisition or similar permitted Investment, such representations shall be limited to customary “SunGard” specified representations.</w:t>
      </w:r>
    </w:p>
    <w:p>
      <w:pPr>
        <w:spacing w:after="0" w:line="159" w:lineRule="exact"/>
        <w:rPr>
          <w:rFonts w:ascii="Arial" w:cs="Arial" w:eastAsia="Arial" w:hAnsi="Arial"/>
          <w:sz w:val="21"/>
          <w:szCs w:val="21"/>
          <w:color w:val="auto"/>
        </w:rPr>
      </w:pPr>
    </w:p>
    <w:p>
      <w:pPr>
        <w:ind w:firstLine="1304"/>
        <w:spacing w:after="0" w:line="232" w:lineRule="auto"/>
        <w:tabs>
          <w:tab w:leader="none" w:pos="1786" w:val="left"/>
        </w:tabs>
        <w:numPr>
          <w:ilvl w:val="0"/>
          <w:numId w:val="458"/>
        </w:numPr>
        <w:rPr>
          <w:rFonts w:ascii="Arial" w:cs="Arial" w:eastAsia="Arial" w:hAnsi="Arial"/>
          <w:sz w:val="22"/>
          <w:szCs w:val="22"/>
          <w:color w:val="auto"/>
        </w:rPr>
      </w:pPr>
      <w:r>
        <w:rPr>
          <w:rFonts w:ascii="Arial" w:cs="Arial" w:eastAsia="Arial" w:hAnsi="Arial"/>
          <w:sz w:val="22"/>
          <w:szCs w:val="22"/>
          <w:color w:val="auto"/>
        </w:rPr>
        <w:t xml:space="preserve">At the time of and immediately after giving effect to such Credit Event, no Default or Event of Default shall have occurred and be continuing, subject to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of the proviso to </w:t>
      </w:r>
      <w:r>
        <w:rPr>
          <w:rFonts w:ascii="Arial" w:cs="Arial" w:eastAsia="Arial" w:hAnsi="Arial"/>
          <w:sz w:val="22"/>
          <w:szCs w:val="22"/>
          <w:u w:val="single" w:color="auto"/>
          <w:color w:val="auto"/>
        </w:rPr>
        <w:t>Section 2.20(a)</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860" w:hanging="556"/>
        <w:spacing w:after="0"/>
        <w:tabs>
          <w:tab w:leader="none" w:pos="1860" w:val="left"/>
        </w:tabs>
        <w:numPr>
          <w:ilvl w:val="0"/>
          <w:numId w:val="458"/>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 Borrowing Request meeting the requirements of </w:t>
      </w:r>
      <w:r>
        <w:rPr>
          <w:rFonts w:ascii="Arial" w:cs="Arial" w:eastAsia="Arial" w:hAnsi="Arial"/>
          <w:sz w:val="19"/>
          <w:szCs w:val="19"/>
          <w:u w:val="single" w:color="auto"/>
          <w:color w:val="auto"/>
        </w:rPr>
        <w:t>Section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2.03</w:t>
      </w:r>
      <w:r>
        <w:rPr>
          <w:rFonts w:ascii="Arial" w:cs="Arial" w:eastAsia="Arial" w:hAnsi="Arial"/>
          <w:sz w:val="22"/>
          <w:szCs w:val="22"/>
          <w:color w:val="auto"/>
        </w:rPr>
        <w:t>.</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Each Borrowing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conversion or a continuation of a Borrowing shall not constitute a “ </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for purposes of this Section) and each issuance, renewal, increase or extension of a Letter of Credit (other than any Borrowing or issuance of a Letter of Credit on the Closing Date) shall be deemed to constitute a representation and warranty by the Borrower on the date thereof as to the matters specified in </w:t>
      </w:r>
      <w:r>
        <w:rPr>
          <w:rFonts w:ascii="Arial" w:cs="Arial" w:eastAsia="Arial" w:hAnsi="Arial"/>
          <w:sz w:val="22"/>
          <w:szCs w:val="22"/>
          <w:u w:val="single" w:color="auto"/>
          <w:color w:val="auto"/>
        </w:rPr>
        <w:t>paragraphs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Section.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jc w:val="center"/>
        <w:spacing w:after="0"/>
        <w:rPr>
          <w:sz w:val="20"/>
          <w:szCs w:val="20"/>
          <w:color w:val="auto"/>
        </w:rPr>
      </w:pPr>
      <w:r>
        <w:rPr>
          <w:rFonts w:ascii="Arial" w:cs="Arial" w:eastAsia="Arial" w:hAnsi="Arial"/>
          <w:sz w:val="22"/>
          <w:szCs w:val="22"/>
          <w:u w:val="single" w:color="auto"/>
          <w:color w:val="auto"/>
        </w:rPr>
        <w:t>Affirmative Covenants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From and after the Closing Date and until the Termination Date, the Borrower covenants and agrees with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Lenders that:</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u w:val="single" w:color="auto"/>
          <w:color w:val="auto"/>
        </w:rPr>
        <w:t>Section 5.01 Financial Statements and Other Information</w:t>
      </w:r>
      <w:r>
        <w:rPr>
          <w:rFonts w:ascii="Arial" w:cs="Arial" w:eastAsia="Arial" w:hAnsi="Arial"/>
          <w:sz w:val="22"/>
          <w:szCs w:val="22"/>
          <w:color w:val="auto"/>
        </w:rPr>
        <w:t>. The Borrower will furnish to the Administrative Agent which will furnish to the Lenders:</w:t>
      </w:r>
    </w:p>
    <w:p>
      <w:pPr>
        <w:spacing w:after="0" w:line="159" w:lineRule="exact"/>
        <w:rPr>
          <w:sz w:val="20"/>
          <w:szCs w:val="20"/>
          <w:color w:val="auto"/>
        </w:rPr>
      </w:pPr>
    </w:p>
    <w:p>
      <w:pPr>
        <w:jc w:val="both"/>
        <w:ind w:firstLine="1304"/>
        <w:spacing w:after="0" w:line="239" w:lineRule="auto"/>
        <w:tabs>
          <w:tab w:leader="none" w:pos="1828" w:val="left"/>
        </w:tabs>
        <w:numPr>
          <w:ilvl w:val="1"/>
          <w:numId w:val="459"/>
        </w:numPr>
        <w:rPr>
          <w:rFonts w:ascii="Arial" w:cs="Arial" w:eastAsia="Arial" w:hAnsi="Arial"/>
          <w:sz w:val="19"/>
          <w:szCs w:val="19"/>
          <w:color w:val="auto"/>
        </w:rPr>
      </w:pPr>
      <w:r>
        <w:rPr>
          <w:rFonts w:ascii="Arial" w:cs="Arial" w:eastAsia="Arial" w:hAnsi="Arial"/>
          <w:sz w:val="19"/>
          <w:szCs w:val="19"/>
          <w:color w:val="auto"/>
        </w:rPr>
        <w:t>within 120 days after the end of each fiscal year of the Borrower (or within 150 days after the end of the fiscal year ending December 31, 2018), the audited consolidated balance sheet and audited consolidated statements of income, stockholders’ equity and cash flows as of the end of and for such year for the Borrower and the Subsidiaries, and related notes thereto, setting forth in each case in comparative form the figures for the previous fiscal year (beginning with the fiscal year ending December 31, 2019), all reported on by an independent public accountants of recognized national standing or other independent public accountants reasonably acceptable to the Administrative Agent, with an unmodified report and opinion by such independent public accountants without an emphasis of matter paragraph related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(except to the extent such emphasis paragraph results solely from (i) the impending maturity of any Credit Facility, any Additional Debt, the Second Lien Loans or any Permitted Refinancing of any of the foregoing within twelve months,</w:t>
      </w:r>
    </w:p>
    <w:p>
      <w:pPr>
        <w:ind w:left="320" w:hanging="312"/>
        <w:spacing w:after="0"/>
        <w:tabs>
          <w:tab w:leader="none" w:pos="320" w:val="left"/>
        </w:tabs>
        <w:numPr>
          <w:ilvl w:val="0"/>
          <w:numId w:val="460"/>
        </w:numPr>
        <w:rPr>
          <w:rFonts w:ascii="Arial" w:cs="Arial" w:eastAsia="Arial" w:hAnsi="Arial"/>
          <w:sz w:val="22"/>
          <w:szCs w:val="22"/>
          <w:color w:val="auto"/>
        </w:rPr>
      </w:pPr>
      <w:r>
        <w:rPr>
          <w:rFonts w:ascii="Arial" w:cs="Arial" w:eastAsia="Arial" w:hAnsi="Arial"/>
          <w:sz w:val="22"/>
          <w:szCs w:val="22"/>
          <w:color w:val="auto"/>
        </w:rPr>
        <w:t>the activities, operations, financial results, assets or liabilities of any Unrestricted Subsidiary or (iii) any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24" w:name="page425"/>
    <w:bookmarkEnd w:id="424"/>
    <w:p>
      <w:pPr>
        <w:jc w:val="both"/>
        <w:spacing w:after="0" w:line="216" w:lineRule="auto"/>
        <w:rPr>
          <w:sz w:val="20"/>
          <w:szCs w:val="20"/>
          <w:color w:val="auto"/>
        </w:rPr>
      </w:pPr>
      <w:r>
        <w:rPr>
          <w:rFonts w:ascii="Arial" w:cs="Arial" w:eastAsia="Arial" w:hAnsi="Arial"/>
          <w:sz w:val="22"/>
          <w:szCs w:val="22"/>
          <w:color w:val="auto"/>
        </w:rPr>
        <w:t>or impending breach of the covenant in Section 6.11 or any other financial covenant in the documentation evidencing any Material Indebtedness (if any)) and, for avoidance of doubt, without modification as to the scope of such audit, to the effect that such consolidated financial statements present fairly in all material respects the financial condition and results of operations of the Borrower and its Subsidiaries on a consolidated basis in accordance in all material respects with GAAP (except as otherwise disclosed in such financial statements);</w:t>
      </w:r>
    </w:p>
    <w:p>
      <w:pPr>
        <w:spacing w:after="0" w:line="158" w:lineRule="exact"/>
        <w:rPr>
          <w:sz w:val="20"/>
          <w:szCs w:val="20"/>
          <w:color w:val="auto"/>
        </w:rPr>
      </w:pPr>
    </w:p>
    <w:p>
      <w:pPr>
        <w:jc w:val="both"/>
        <w:ind w:firstLine="1304"/>
        <w:spacing w:after="0" w:line="244" w:lineRule="auto"/>
        <w:tabs>
          <w:tab w:leader="none" w:pos="1806" w:val="left"/>
        </w:tabs>
        <w:numPr>
          <w:ilvl w:val="1"/>
          <w:numId w:val="461"/>
        </w:numPr>
        <w:rPr>
          <w:rFonts w:ascii="Arial" w:cs="Arial" w:eastAsia="Arial" w:hAnsi="Arial"/>
          <w:sz w:val="19"/>
          <w:szCs w:val="19"/>
          <w:color w:val="auto"/>
        </w:rPr>
      </w:pPr>
      <w:r>
        <w:rPr>
          <w:rFonts w:ascii="Arial" w:cs="Arial" w:eastAsia="Arial" w:hAnsi="Arial"/>
          <w:sz w:val="19"/>
          <w:szCs w:val="19"/>
          <w:color w:val="auto"/>
        </w:rPr>
        <w:t>within forty-five (45) days (or, in the case of the first three fiscal quarters ending after the Closing Date for which financials are required to be delivered hereunder, sixty (60) days) after the end of each of the first three fiscal quarters of each fiscal year of the Borrower, commencing with the fiscal quarter ending September 30, 2018, the unaudited consolidated balance sheet and unaudited consolidated statements of income and cash flows as of the end of and for such fiscal quarter and the then-elapsed portion of the fiscal year for the Borrower and the Subsidiaries, setting forth in each case in comparative form the figures for the corresponding period or periods of (or, in the case of the balance sheet, as of the end of) the previous fiscal year (beginning with the fiscal quarter ending September 30, 2019), all certified by its Financial Officer as presenting fairly in all material respects the financial condition and results of operations of the Borrower and the Subsidiaries, subject to normal year-end audit adjustments and the absence of footnotes;</w:t>
      </w:r>
    </w:p>
    <w:p>
      <w:pPr>
        <w:spacing w:after="0" w:line="160" w:lineRule="exact"/>
        <w:rPr>
          <w:rFonts w:ascii="Arial" w:cs="Arial" w:eastAsia="Arial" w:hAnsi="Arial"/>
          <w:sz w:val="19"/>
          <w:szCs w:val="19"/>
          <w:color w:val="auto"/>
        </w:rPr>
      </w:pPr>
    </w:p>
    <w:p>
      <w:pPr>
        <w:jc w:val="both"/>
        <w:ind w:firstLine="1304"/>
        <w:spacing w:after="0"/>
        <w:tabs>
          <w:tab w:leader="none" w:pos="1768" w:val="left"/>
        </w:tabs>
        <w:numPr>
          <w:ilvl w:val="1"/>
          <w:numId w:val="461"/>
        </w:numPr>
        <w:rPr>
          <w:rFonts w:ascii="Arial" w:cs="Arial" w:eastAsia="Arial" w:hAnsi="Arial"/>
          <w:sz w:val="19"/>
          <w:szCs w:val="19"/>
          <w:color w:val="auto"/>
        </w:rPr>
      </w:pPr>
      <w:r>
        <w:rPr>
          <w:rFonts w:ascii="Arial" w:cs="Arial" w:eastAsia="Arial" w:hAnsi="Arial"/>
          <w:sz w:val="19"/>
          <w:szCs w:val="19"/>
          <w:color w:val="auto"/>
        </w:rPr>
        <w:t xml:space="preserve">commencing with the first full fiscal quarter beginning after the Closing Date, concurrently with the delivery of any financial statements under </w:t>
      </w:r>
      <w:r>
        <w:rPr>
          <w:rFonts w:ascii="Arial" w:cs="Arial" w:eastAsia="Arial" w:hAnsi="Arial"/>
          <w:sz w:val="19"/>
          <w:szCs w:val="19"/>
          <w:u w:val="single" w:color="auto"/>
          <w:color w:val="auto"/>
        </w:rPr>
        <w:t>paragraphs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 Compliance Certificate (i) certifying as to whether a Default has occurred and is continuing and, if a Default has occurred and is continuing, specifying the details thereof and any action taken or proposed to be taken with respect thereto, (ii) setting forth a reasonably detailed calculation of the First Lien Net Leverage Ratio and, in the case of financial statements delivered under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above, beginning with the financial statements for the fiscal year of the Borrower ending December 31, 2019, a reasonably detailed calculation of Excess Cash Flow for such fiscal year and</w:t>
      </w:r>
    </w:p>
    <w:p>
      <w:pPr>
        <w:spacing w:after="0" w:line="3" w:lineRule="exact"/>
        <w:rPr>
          <w:rFonts w:ascii="Arial" w:cs="Arial" w:eastAsia="Arial" w:hAnsi="Arial"/>
          <w:sz w:val="19"/>
          <w:szCs w:val="19"/>
          <w:color w:val="auto"/>
        </w:rPr>
      </w:pPr>
    </w:p>
    <w:p>
      <w:pPr>
        <w:jc w:val="both"/>
        <w:ind w:firstLine="8"/>
        <w:spacing w:after="0" w:line="214" w:lineRule="auto"/>
        <w:tabs>
          <w:tab w:leader="none" w:pos="406" w:val="left"/>
        </w:tabs>
        <w:numPr>
          <w:ilvl w:val="0"/>
          <w:numId w:val="462"/>
        </w:numPr>
        <w:rPr>
          <w:rFonts w:ascii="Arial" w:cs="Arial" w:eastAsia="Arial" w:hAnsi="Arial"/>
          <w:sz w:val="22"/>
          <w:szCs w:val="22"/>
          <w:color w:val="auto"/>
        </w:rPr>
      </w:pPr>
      <w:r>
        <w:rPr>
          <w:rFonts w:ascii="Arial" w:cs="Arial" w:eastAsia="Arial" w:hAnsi="Arial"/>
          <w:sz w:val="22"/>
          <w:szCs w:val="22"/>
          <w:color w:val="auto"/>
        </w:rPr>
        <w:t>stating whether any material change in GAAP or in the application thereof has occurred since the date of the then most recently delivered audited financial statements that would affect the compliance or non-compliance with any financial ratio or requirement in this Agreement and, if any such change has occurred, specifying the effect of such change on the financial statements accompanying such certificate;</w:t>
      </w:r>
    </w:p>
    <w:p>
      <w:pPr>
        <w:spacing w:after="0" w:line="159" w:lineRule="exact"/>
        <w:rPr>
          <w:rFonts w:ascii="Arial" w:cs="Arial" w:eastAsia="Arial" w:hAnsi="Arial"/>
          <w:sz w:val="22"/>
          <w:szCs w:val="22"/>
          <w:color w:val="auto"/>
        </w:rPr>
      </w:pPr>
    </w:p>
    <w:p>
      <w:pPr>
        <w:jc w:val="both"/>
        <w:ind w:firstLine="1304"/>
        <w:spacing w:after="0" w:line="246" w:lineRule="auto"/>
        <w:tabs>
          <w:tab w:leader="none" w:pos="1901" w:val="left"/>
        </w:tabs>
        <w:numPr>
          <w:ilvl w:val="1"/>
          <w:numId w:val="462"/>
        </w:numPr>
        <w:rPr>
          <w:rFonts w:ascii="Arial" w:cs="Arial" w:eastAsia="Arial" w:hAnsi="Arial"/>
          <w:sz w:val="19"/>
          <w:szCs w:val="19"/>
          <w:color w:val="auto"/>
        </w:rPr>
      </w:pPr>
      <w:r>
        <w:rPr>
          <w:rFonts w:ascii="Arial" w:cs="Arial" w:eastAsia="Arial" w:hAnsi="Arial"/>
          <w:sz w:val="19"/>
          <w:szCs w:val="19"/>
          <w:color w:val="auto"/>
        </w:rPr>
        <w:t xml:space="preserve">prior to the consummation of an IPO, concurrently with the delivery of any financial statements under paragraph (a) above, a reasonably detailed consolidated budget for the following fiscal year as customarily prepared by management of the Borrower for its internal use consistent in scope with the financial statements provided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5.01(a)</w:t>
      </w:r>
      <w:r>
        <w:rPr>
          <w:rFonts w:ascii="Arial" w:cs="Arial" w:eastAsia="Arial" w:hAnsi="Arial"/>
          <w:sz w:val="19"/>
          <w:szCs w:val="19"/>
          <w:color w:val="auto"/>
        </w:rPr>
        <w:t xml:space="preserve"> setting forth the principal assumptions upon which such budget is based (collectively, the “</w:t>
      </w:r>
      <w:r>
        <w:rPr>
          <w:rFonts w:ascii="Arial" w:cs="Arial" w:eastAsia="Arial" w:hAnsi="Arial"/>
          <w:sz w:val="19"/>
          <w:szCs w:val="19"/>
          <w:u w:val="single" w:color="auto"/>
          <w:color w:val="auto"/>
        </w:rPr>
        <w:t>Projections</w:t>
      </w:r>
      <w:r>
        <w:rPr>
          <w:rFonts w:ascii="Arial" w:cs="Arial" w:eastAsia="Arial" w:hAnsi="Arial"/>
          <w:sz w:val="19"/>
          <w:szCs w:val="19"/>
          <w:color w:val="auto"/>
        </w:rPr>
        <w:t>”), it being understood and agreed that any financial or business projections furnished by any Loan Party (i)(A) are subject to significant uncertainties and contingencies, which may be beyond the control of the Loan Parties, (B) no assurance is given by the Loan Parties that the results or forecast in any such projections will be realized and (C) the actual results may differ from the forecast results set forth in such projections and such differences may be material and (ii) are not a guarantee of performance;</w:t>
      </w:r>
    </w:p>
    <w:p>
      <w:pPr>
        <w:spacing w:after="0" w:line="152" w:lineRule="exact"/>
        <w:rPr>
          <w:rFonts w:ascii="Arial" w:cs="Arial" w:eastAsia="Arial" w:hAnsi="Arial"/>
          <w:sz w:val="19"/>
          <w:szCs w:val="19"/>
          <w:color w:val="auto"/>
        </w:rPr>
      </w:pPr>
    </w:p>
    <w:p>
      <w:pPr>
        <w:jc w:val="both"/>
        <w:ind w:firstLine="1304"/>
        <w:spacing w:after="0" w:line="223" w:lineRule="auto"/>
        <w:tabs>
          <w:tab w:leader="none" w:pos="1812" w:val="left"/>
        </w:tabs>
        <w:numPr>
          <w:ilvl w:val="1"/>
          <w:numId w:val="462"/>
        </w:numPr>
        <w:rPr>
          <w:rFonts w:ascii="Arial" w:cs="Arial" w:eastAsia="Arial" w:hAnsi="Arial"/>
          <w:sz w:val="22"/>
          <w:szCs w:val="22"/>
          <w:color w:val="auto"/>
        </w:rPr>
      </w:pPr>
      <w:r>
        <w:rPr>
          <w:rFonts w:ascii="Arial" w:cs="Arial" w:eastAsia="Arial" w:hAnsi="Arial"/>
          <w:sz w:val="22"/>
          <w:szCs w:val="22"/>
          <w:color w:val="auto"/>
        </w:rPr>
        <w:t>promptly after the same become publicly available, copies of all material periodic and other reports, proxy statements and other materials filed by Holdings, the Borrower or any Restricted Subsidiary with the SEC or with any national securities exchange;</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75" w:val="left"/>
        </w:tabs>
        <w:numPr>
          <w:ilvl w:val="1"/>
          <w:numId w:val="462"/>
        </w:numPr>
        <w:rPr>
          <w:rFonts w:ascii="Arial" w:cs="Arial" w:eastAsia="Arial" w:hAnsi="Arial"/>
          <w:sz w:val="22"/>
          <w:szCs w:val="22"/>
          <w:color w:val="auto"/>
        </w:rPr>
      </w:pPr>
      <w:r>
        <w:rPr>
          <w:rFonts w:ascii="Arial" w:cs="Arial" w:eastAsia="Arial" w:hAnsi="Arial"/>
          <w:sz w:val="22"/>
          <w:szCs w:val="22"/>
          <w:color w:val="auto"/>
        </w:rPr>
        <w:t xml:space="preserve">simultaneously with the delivery of each set of consolidated financial statements referred to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the related consolidating financial statements reflecting the adjustments necessary to eliminate the accounts of Unrestricted Subsidiaries (if any) from such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25" w:name="page426"/>
    <w:bookmarkEnd w:id="425"/>
    <w:p>
      <w:pPr>
        <w:jc w:val="both"/>
        <w:ind w:firstLine="1304"/>
        <w:spacing w:after="0" w:line="219" w:lineRule="auto"/>
        <w:tabs>
          <w:tab w:leader="none" w:pos="1964" w:val="left"/>
        </w:tabs>
        <w:numPr>
          <w:ilvl w:val="0"/>
          <w:numId w:val="463"/>
        </w:numPr>
        <w:rPr>
          <w:rFonts w:ascii="Arial" w:cs="Arial" w:eastAsia="Arial" w:hAnsi="Arial"/>
          <w:sz w:val="21"/>
          <w:szCs w:val="21"/>
          <w:color w:val="auto"/>
        </w:rPr>
      </w:pPr>
      <w:r>
        <w:rPr>
          <w:rFonts w:ascii="Arial" w:cs="Arial" w:eastAsia="Arial" w:hAnsi="Arial"/>
          <w:sz w:val="21"/>
          <w:szCs w:val="21"/>
          <w:color w:val="auto"/>
        </w:rPr>
        <w:t xml:space="preserve">promptly following any reasonable request therefor, such other information regarding the operations, business affairs and financial condition of Holdings, the Borrower or any Restricted Subsidiary as the Administrative Agent may reasonably request, including information requested on behalf of any Lender to comply with </w:t>
      </w:r>
      <w:r>
        <w:rPr>
          <w:rFonts w:ascii="Arial" w:cs="Arial" w:eastAsia="Arial" w:hAnsi="Arial"/>
          <w:sz w:val="21"/>
          <w:szCs w:val="21"/>
          <w:u w:val="single" w:color="auto"/>
          <w:color w:val="auto"/>
        </w:rPr>
        <w:t>Section 9.14</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none of Holdings, the Borrower nor any Restricted Subsidiary will be required to disclose or permit the inspection or discussion of, any document, information or other matter (i) that constitutes trade secrets or proprietary information, (ii) in respect of which disclosure to the Administrative Agent or any Lender (or their representatives or contractors) is prohibited by law, fiduciary duty or any binding third-party agreement (not entered into in contemplation hereof) or (iii) that is subject to attorney-client or similar privilege or constitutes attorney work product;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in the event that Holdings, the Borrower or any Restricted Subsidiary do not provide information in reliance on the foregoing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(iii)</w:t>
      </w:r>
      <w:r>
        <w:rPr>
          <w:rFonts w:ascii="Arial" w:cs="Arial" w:eastAsia="Arial" w:hAnsi="Arial"/>
          <w:sz w:val="21"/>
          <w:szCs w:val="21"/>
          <w:color w:val="auto"/>
        </w:rPr>
        <w:t>, Holdings, the Borrower or such Restricted Subsidiary shall provide notice to the Administrative Agent that such information is being withheld and shall use commercially reasonable efforts to communicate the applicable information in a way that would not violate the applicable restrictions; and</w:t>
      </w:r>
    </w:p>
    <w:p>
      <w:pPr>
        <w:spacing w:after="0" w:line="163" w:lineRule="exact"/>
        <w:rPr>
          <w:rFonts w:ascii="Arial" w:cs="Arial" w:eastAsia="Arial" w:hAnsi="Arial"/>
          <w:sz w:val="21"/>
          <w:szCs w:val="21"/>
          <w:color w:val="auto"/>
        </w:rPr>
      </w:pPr>
    </w:p>
    <w:p>
      <w:pPr>
        <w:jc w:val="both"/>
        <w:ind w:firstLine="1304"/>
        <w:spacing w:after="0" w:line="223" w:lineRule="auto"/>
        <w:tabs>
          <w:tab w:leader="none" w:pos="1956" w:val="left"/>
        </w:tabs>
        <w:numPr>
          <w:ilvl w:val="0"/>
          <w:numId w:val="463"/>
        </w:numPr>
        <w:rPr>
          <w:rFonts w:ascii="Arial" w:cs="Arial" w:eastAsia="Arial" w:hAnsi="Arial"/>
          <w:sz w:val="22"/>
          <w:szCs w:val="22"/>
          <w:color w:val="auto"/>
        </w:rPr>
      </w:pPr>
      <w:r>
        <w:rPr>
          <w:rFonts w:ascii="Arial" w:cs="Arial" w:eastAsia="Arial" w:hAnsi="Arial"/>
          <w:sz w:val="22"/>
          <w:szCs w:val="22"/>
          <w:color w:val="auto"/>
        </w:rPr>
        <w:t>promptly following any request therefor, information and documentation reasonably requested by the Administrative Agent or any Lender for purposes of compliance with applicable “know your customer” requirements under the PATRIOT Act or other applicable anti-money laundering laws.</w:t>
      </w:r>
    </w:p>
    <w:p>
      <w:pPr>
        <w:spacing w:after="0" w:line="15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Notwithstanding the foregoing, the obligations in </w:t>
      </w:r>
      <w:r>
        <w:rPr>
          <w:rFonts w:ascii="Arial" w:cs="Arial" w:eastAsia="Arial" w:hAnsi="Arial"/>
          <w:sz w:val="19"/>
          <w:szCs w:val="19"/>
          <w:u w:val="single" w:color="auto"/>
          <w:color w:val="auto"/>
        </w:rPr>
        <w:t>paragraphs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may be satisfied with respect to financial information of the Borrower and the Subsidiaries by furnishing (A) the applicable consolidated financial statements of Holdings or any direct or indirect parent of the Holding Companies that, directly or indirectly, holds all of the Equity Interests of the Holding Companies or (B) the Form 10-K or 10-Q, as applicable, of Holdings or any direct or indirect parent of the Holding Companies filed with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each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to the extent such information is in lieu of information required to be provided under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(1) such materials are accompanied by a report and opinion of an independent registered public accounting firm of nationally recognized standing or other Person reasonably acceptable to the Administrative Agent, with an unmodified report by such independent public accountants without an emphasis of matter paragraph related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(except to the extent such emphasis paragraph results solely from (i) a current maturity of any Credit Facility, any Additional Debt, the Second Lien Loans, any Permitted Refinancing of any of the foregoing or any other Material Indebtedness or (ii) any potential inability to satisfy the covenant under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or any other financial covenant in the documentation evidencing any Material Indebtedness (if any) on a future date or in a future period) and, for avoidance of doubt, without modification as to the scope of such audit, to the effect that such consolidated financial statements present fairly in all material respects the financial condition and results of operations of the Borrower and the Subsidiaries on a consolidated basis in accordance in all material respects with GAAP (except as otherwise disclosed in such financial statements) and (2) such materials are accompanied by the related consolidated financial statements reflecting the adjustments necessary to eliminate the accounts of Persons other than the Borrower and its Restricted Subsidiaries from such consolidated financial statements.</w:t>
      </w:r>
    </w:p>
    <w:p>
      <w:pPr>
        <w:spacing w:after="0" w:line="38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Any financial statements or other documents, reports, proxy statements or other materials (to the extent any such financial statements or documents, reports, proxy statements or other materials are included in materials otherwise filed with the SEC) required to be delivered pursuant to this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Sections 5.01(c)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may be satisfied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26" w:name="page427"/>
    <w:bookmarkEnd w:id="426"/>
    <w:p>
      <w:pPr>
        <w:jc w:val="both"/>
        <w:spacing w:after="0" w:line="241" w:lineRule="auto"/>
        <w:rPr>
          <w:sz w:val="20"/>
          <w:szCs w:val="20"/>
          <w:color w:val="auto"/>
        </w:rPr>
      </w:pPr>
      <w:r>
        <w:rPr>
          <w:rFonts w:ascii="Arial" w:cs="Arial" w:eastAsia="Arial" w:hAnsi="Arial"/>
          <w:sz w:val="19"/>
          <w:szCs w:val="19"/>
          <w:color w:val="auto"/>
        </w:rPr>
        <w:t xml:space="preserve">respect to such financial statements or other documents, reports, proxy statements or other materials by the filing of Form 8-K, 10-K or 10-Q, as applicable, of Holdings or any direct or indirect parent of Holdings with the SEC. All financial statements and other documents, reports, proxy statements or other materials required to be delivered pursuant to this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5.02</w:t>
      </w:r>
      <w:r>
        <w:rPr>
          <w:rFonts w:ascii="Arial" w:cs="Arial" w:eastAsia="Arial" w:hAnsi="Arial"/>
          <w:sz w:val="19"/>
          <w:szCs w:val="19"/>
          <w:color w:val="auto"/>
        </w:rPr>
        <w:t xml:space="preserve"> may be delivered electronically and, if so delivered, shall be deemed to have been delivered on the date (i) such financial statements and/or other documents are posted on the SEC’s website on the Internet at www.sec.gov, (ii) on which the Borrower posts such documents, or provide a link thereto, on the Borrower’s website or (iii) on which such documents are posted on the Borrower’s behalf on an Internet or Intranet website, if any, to which the Administrative Agent and each Lender has access (whether a commercial third-party website or a website sponsored by an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Borrower shall, at the request of the Administrative Agent, continue to deliver copies (which delivery may be by electronic transmission (including Adobe pdf copy)) of such documents to the Administrative Agent and (B) the Borrower shall notify (which notification may be by facsimile or electronic transmission (including Adobe pdf copy)) the Administrative Agent of the posting of any such documents on any website. Each Lender shall be solely responsible for timely accessing posted documents or requesting delivery of paper copies of such documents from the Administrative Agent and maintaining its copies of such documents. Each Lender and the Administrative Agent hereby acknowledges and agrees that the Holding Companies and the Restricted Subsidiaries may be required to restate historical financial statements as the result of the implementation of changes in GAAP, or the respective interpretation thereof, and that such restatements will not in and of themselves result in a Default or an Event of Default under the Loan Documents solely as a result of such restatement.</w:t>
      </w:r>
    </w:p>
    <w:p>
      <w:pPr>
        <w:spacing w:after="0" w:line="378"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The Borrower hereby acknowledges that (a) the Administrative Agent will make available to the Lenders and the Issuing Banks materials and/or information provided by or on behalf of the Borrower hereunder (collectively,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w:t>
      </w:r>
      <w:r>
        <w:rPr>
          <w:rFonts w:ascii="Arial" w:cs="Arial" w:eastAsia="Arial" w:hAnsi="Arial"/>
          <w:sz w:val="19"/>
          <w:szCs w:val="19"/>
          <w:u w:val="single" w:color="auto"/>
          <w:color w:val="auto"/>
        </w:rPr>
        <w:t>Materials</w:t>
      </w:r>
      <w:r>
        <w:rPr>
          <w:rFonts w:ascii="Arial" w:cs="Arial" w:eastAsia="Arial" w:hAnsi="Arial"/>
          <w:sz w:val="19"/>
          <w:szCs w:val="19"/>
          <w:color w:val="auto"/>
        </w:rPr>
        <w:t>”) by posting the Borrower Materials on IntraLinks or another similar electronic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and (b) certain of the Lenders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may have personnel who do not wish to receive material non-public information with respect to the Holding Companies, the Borrower or the Subsidiaries, or the respective securities of any of the foregoing, and who may be engaged in investment and other market-related activities with respect to such Persons’ securities. The Borrower hereby agrees that it will identify in writing that portion of the Borrower Materials that are to be made available to Public Lenders and</w:t>
      </w:r>
    </w:p>
    <w:p>
      <w:pPr>
        <w:spacing w:after="0" w:line="1" w:lineRule="exact"/>
        <w:rPr>
          <w:sz w:val="20"/>
          <w:szCs w:val="20"/>
          <w:color w:val="auto"/>
        </w:rPr>
      </w:pPr>
    </w:p>
    <w:p>
      <w:pPr>
        <w:jc w:val="both"/>
        <w:ind w:firstLine="8"/>
        <w:spacing w:after="0" w:line="218" w:lineRule="auto"/>
        <w:tabs>
          <w:tab w:leader="none" w:pos="318" w:val="left"/>
        </w:tabs>
        <w:numPr>
          <w:ilvl w:val="0"/>
          <w:numId w:val="464"/>
        </w:numPr>
        <w:rPr>
          <w:rFonts w:ascii="Arial" w:cs="Arial" w:eastAsia="Arial" w:hAnsi="Arial"/>
          <w:sz w:val="21"/>
          <w:szCs w:val="21"/>
          <w:color w:val="auto"/>
        </w:rPr>
      </w:pPr>
      <w:r>
        <w:rPr>
          <w:rFonts w:ascii="Arial" w:cs="Arial" w:eastAsia="Arial" w:hAnsi="Arial"/>
          <w:sz w:val="21"/>
          <w:szCs w:val="21"/>
          <w:color w:val="auto"/>
        </w:rPr>
        <w:t>by clearly and conspicuously marking Borrower Materials “PUBLIC,” the Borrower shall be deemed to have authorized the Administrative Agent, the Joint Lead Arrangers, the Issuing Banks and the Lenders to treat the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to the extent the Borrower Materials constitute Information, they shall remain subject to the provisions of </w:t>
      </w:r>
      <w:r>
        <w:rPr>
          <w:rFonts w:ascii="Arial" w:cs="Arial" w:eastAsia="Arial" w:hAnsi="Arial"/>
          <w:sz w:val="21"/>
          <w:szCs w:val="21"/>
          <w:u w:val="single" w:color="auto"/>
          <w:color w:val="auto"/>
        </w:rPr>
        <w:t>Section 9.12</w:t>
      </w:r>
      <w:r>
        <w:rPr>
          <w:rFonts w:ascii="Arial" w:cs="Arial" w:eastAsia="Arial" w:hAnsi="Arial"/>
          <w:sz w:val="21"/>
          <w:szCs w:val="21"/>
          <w:color w:val="auto"/>
        </w:rPr>
        <w:t xml:space="preserve">); (y) all Borrower Materials marked “PUBLIC” are permitted to be made available through a portion of the Platform designated “Public Side Information;” and (z) unless expressly identified as containing material non-public information, Borrower Materials will be deemed to be appropriate for distribution to Public Lenders. Notwithstanding the foregoing, to the extent the Borrower has had reasonable opportunity to review, the following Borrower Materials shall be deemed to be marked “PUBLIC,” unless the Borrower notifies the Administrative Agent promptly that any such document contains material non-public information: (1) the Loan Documents, (2) notification of changes in the terms of the Loans, and (3) the financial statements and certificates delivered in connection with </w:t>
      </w:r>
      <w:r>
        <w:rPr>
          <w:rFonts w:ascii="Arial" w:cs="Arial" w:eastAsia="Arial" w:hAnsi="Arial"/>
          <w:sz w:val="21"/>
          <w:szCs w:val="21"/>
          <w:u w:val="single" w:color="auto"/>
          <w:color w:val="auto"/>
        </w:rPr>
        <w:t>Section 5.01(a)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w:t>
      </w:r>
    </w:p>
    <w:p>
      <w:pPr>
        <w:spacing w:after="0" w:line="15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27" w:name="page428"/>
    <w:bookmarkEnd w:id="427"/>
    <w:p>
      <w:pPr>
        <w:jc w:val="both"/>
        <w:spacing w:after="0" w:line="234" w:lineRule="auto"/>
        <w:rPr>
          <w:sz w:val="20"/>
          <w:szCs w:val="20"/>
          <w:color w:val="auto"/>
        </w:rPr>
      </w:pPr>
      <w:r>
        <w:rPr>
          <w:rFonts w:ascii="Arial" w:cs="Arial" w:eastAsia="Arial" w:hAnsi="Arial"/>
          <w:sz w:val="21"/>
          <w:szCs w:val="21"/>
          <w:color w:val="auto"/>
        </w:rPr>
        <w:t>including foreign, United States Federal and state securities laws, to make reference to Communications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58"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THE PLATFORM IS PROVIDED “AS IS” AND “AS AVAILABLE.” THE ADMINISTRATIVE AGENT DOES NOT WARRANT THE ACCURACY OR COMPLETENESS OF THE BORROWER MATERIALS OR THE ADEQUACY OF THE PLATFORM, AND EXPRESSLY DISCLAIMS LIABILITY FOR ERRORS IN OR OMISSIONS FROM THE BORROWER MATERIALS. NO WARRANTY OF ANY KIND, EXPRESS, IMPLIED OR STATUTORY, INCLUDING ANY WARRANTY OF MERCHANTABILITY, FITNESS FOR A PARTICULAR PURPOSE, NON-INFRINGEMENT OF THIRD-PARTY RIGHTS OR FREEDOM FROM VIRUSES OR OTHER CODE DEFECTS, IS MADE BY THE ADMINISTRATIVE AGENT IN CONNECTION WITH THE BORROWER MATERIALS OR THE PLATFORM.</w:t>
      </w:r>
    </w:p>
    <w:p>
      <w:pPr>
        <w:spacing w:after="0" w:line="16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auto"/>
        </w:rPr>
        <w:t>Section 5.02 Notices of Material Events</w:t>
      </w:r>
      <w:r>
        <w:rPr>
          <w:rFonts w:ascii="Arial" w:cs="Arial" w:eastAsia="Arial" w:hAnsi="Arial"/>
          <w:sz w:val="22"/>
          <w:szCs w:val="22"/>
          <w:color w:val="auto"/>
        </w:rPr>
        <w:t>. The Borrower will furnish to the Administrative Agent (for distribution to each Lender through the Administrative Agent) prompt written notice of a Responsible Officer of the Borrower’s obtaining knowledge of any of the following:</w:t>
      </w:r>
    </w:p>
    <w:p>
      <w:pPr>
        <w:spacing w:after="0" w:line="159" w:lineRule="exact"/>
        <w:rPr>
          <w:sz w:val="20"/>
          <w:szCs w:val="20"/>
          <w:color w:val="auto"/>
        </w:rPr>
      </w:pPr>
    </w:p>
    <w:p>
      <w:pPr>
        <w:ind w:firstLine="1304"/>
        <w:spacing w:after="0" w:line="232" w:lineRule="auto"/>
        <w:tabs>
          <w:tab w:leader="none" w:pos="1755" w:val="left"/>
        </w:tabs>
        <w:numPr>
          <w:ilvl w:val="0"/>
          <w:numId w:val="465"/>
        </w:numPr>
        <w:rPr>
          <w:rFonts w:ascii="Arial" w:cs="Arial" w:eastAsia="Arial" w:hAnsi="Arial"/>
          <w:sz w:val="22"/>
          <w:szCs w:val="22"/>
          <w:color w:val="auto"/>
        </w:rPr>
      </w:pPr>
      <w:r>
        <w:rPr>
          <w:rFonts w:ascii="Arial" w:cs="Arial" w:eastAsia="Arial" w:hAnsi="Arial"/>
          <w:sz w:val="22"/>
          <w:szCs w:val="22"/>
          <w:color w:val="auto"/>
        </w:rPr>
        <w:t>the occurrence of any Default or Event of Default, in each case, except to the extent the Administrative Agent shall have furnished the Borrower written notice thereof;</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764" w:val="left"/>
        </w:tabs>
        <w:numPr>
          <w:ilvl w:val="0"/>
          <w:numId w:val="465"/>
        </w:numPr>
        <w:rPr>
          <w:rFonts w:ascii="Arial" w:cs="Arial" w:eastAsia="Arial" w:hAnsi="Arial"/>
          <w:sz w:val="22"/>
          <w:szCs w:val="22"/>
          <w:color w:val="auto"/>
        </w:rPr>
      </w:pPr>
      <w:r>
        <w:rPr>
          <w:rFonts w:ascii="Arial" w:cs="Arial" w:eastAsia="Arial" w:hAnsi="Arial"/>
          <w:sz w:val="22"/>
          <w:szCs w:val="22"/>
          <w:color w:val="auto"/>
        </w:rPr>
        <w:t>to the knowledge of a Responsible Officer of the Borrower, the filing or commencement of any action, suit or proceeding by or before any arbitrator or Governmental Authority against or threatened in writing against the Borrower or any Restricted Subsidiary that would reasonably be expected to be adversely determined and if adversely determined, would reasonably be expected to result, after giving effect to the coverage and policy limits of applicable insurance policies, in a Material Adverse Effect;</w:t>
      </w:r>
    </w:p>
    <w:p>
      <w:pPr>
        <w:spacing w:after="0" w:line="157" w:lineRule="exact"/>
        <w:rPr>
          <w:rFonts w:ascii="Arial" w:cs="Arial" w:eastAsia="Arial" w:hAnsi="Arial"/>
          <w:sz w:val="22"/>
          <w:szCs w:val="22"/>
          <w:color w:val="auto"/>
        </w:rPr>
      </w:pPr>
    </w:p>
    <w:p>
      <w:pPr>
        <w:ind w:left="1760" w:hanging="456"/>
        <w:spacing w:after="0"/>
        <w:tabs>
          <w:tab w:leader="none" w:pos="1760" w:val="left"/>
        </w:tabs>
        <w:numPr>
          <w:ilvl w:val="0"/>
          <w:numId w:val="465"/>
        </w:numPr>
        <w:rPr>
          <w:rFonts w:ascii="Arial" w:cs="Arial" w:eastAsia="Arial" w:hAnsi="Arial"/>
          <w:sz w:val="19"/>
          <w:szCs w:val="19"/>
          <w:color w:val="auto"/>
        </w:rPr>
      </w:pPr>
      <w:r>
        <w:rPr>
          <w:rFonts w:ascii="Arial" w:cs="Arial" w:eastAsia="Arial" w:hAnsi="Arial"/>
          <w:sz w:val="19"/>
          <w:szCs w:val="19"/>
          <w:color w:val="auto"/>
        </w:rPr>
        <w:t>the occurrence of any ERISA Event that would reasonably be expected to result in a Material Adverse Effect;</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61" w:lineRule="exact"/>
        <w:rPr>
          <w:rFonts w:ascii="Arial" w:cs="Arial" w:eastAsia="Arial" w:hAnsi="Arial"/>
          <w:sz w:val="19"/>
          <w:szCs w:val="19"/>
          <w:color w:val="auto"/>
        </w:rPr>
      </w:pPr>
    </w:p>
    <w:p>
      <w:pPr>
        <w:ind w:firstLine="1304"/>
        <w:spacing w:after="0" w:line="298" w:lineRule="auto"/>
        <w:tabs>
          <w:tab w:leader="none" w:pos="1774" w:val="left"/>
        </w:tabs>
        <w:numPr>
          <w:ilvl w:val="0"/>
          <w:numId w:val="465"/>
        </w:numPr>
        <w:rPr>
          <w:rFonts w:ascii="Arial" w:cs="Arial" w:eastAsia="Arial" w:hAnsi="Arial"/>
          <w:sz w:val="19"/>
          <w:szCs w:val="19"/>
          <w:color w:val="auto"/>
        </w:rPr>
      </w:pPr>
      <w:r>
        <w:rPr>
          <w:rFonts w:ascii="Arial" w:cs="Arial" w:eastAsia="Arial" w:hAnsi="Arial"/>
          <w:sz w:val="19"/>
          <w:szCs w:val="19"/>
          <w:color w:val="auto"/>
        </w:rPr>
        <w:t>any other development (including receipt of written notice of any claim or condition arising under or relating to any Environmental Law) that results in, or would reasonably be expected to result in, a Material Adverse Effect.</w:t>
      </w:r>
    </w:p>
    <w:p>
      <w:pPr>
        <w:spacing w:after="0" w:line="10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Each notice delivered under this Section shall be accompanied by a written statement of a Responsible Officer of the Borrower setting forth the details of the event or development requiring such notice and any action taken or proposed to be taken with respect thereto. Documents required to be delivered pursuant to this </w:t>
      </w: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may be delivered electronically in accordance with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16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u w:val="single" w:color="auto"/>
          <w:color w:val="auto"/>
        </w:rPr>
        <w:t>Section 5.03 Existence; Conduct of Business</w:t>
      </w:r>
      <w:r>
        <w:rPr>
          <w:rFonts w:ascii="Arial" w:cs="Arial" w:eastAsia="Arial" w:hAnsi="Arial"/>
          <w:sz w:val="19"/>
          <w:szCs w:val="19"/>
          <w:color w:val="auto"/>
        </w:rPr>
        <w:t xml:space="preserve">. The Borrower will, and Holdings will cause each of the Holding Companies and each of the Restricted Subsidiaries to, do or cause to be done all things reasonably necessary to obtain, preserve, renew and keep in full force and effect (a) its legal existence (except as otherwise permitted hereunder), (b) the business licenses, permits, privileges, franchises and other rights, other than Intellectual Property rights (which are covered in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necessary to conduct its business and (c) the Intellectual Property rights owned by the Borrower or a Restricted Subsidiary and necessary to conduct their respective businesses, except, in the case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(other than with respect to the Borrower),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to the extent that the failure to do so would not reasonably be expected to result in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28" w:name="page429"/>
    <w:bookmarkEnd w:id="428"/>
    <w:p>
      <w:pPr>
        <w:spacing w:after="0"/>
        <w:rPr>
          <w:sz w:val="20"/>
          <w:szCs w:val="20"/>
          <w:color w:val="auto"/>
        </w:rPr>
      </w:pPr>
      <w:r>
        <w:rPr>
          <w:rFonts w:ascii="Arial" w:cs="Arial" w:eastAsia="Arial" w:hAnsi="Arial"/>
          <w:sz w:val="22"/>
          <w:szCs w:val="22"/>
          <w:color w:val="auto"/>
        </w:rPr>
        <w:t xml:space="preserve">Adverse Effect,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prohibit any transaction otherwise permitted hereunder.</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u w:val="single" w:color="auto"/>
          <w:color w:val="auto"/>
        </w:rPr>
        <w:t>Section 5.04 Payment of Taxes</w:t>
      </w:r>
      <w:r>
        <w:rPr>
          <w:rFonts w:ascii="Arial" w:cs="Arial" w:eastAsia="Arial" w:hAnsi="Arial"/>
          <w:sz w:val="19"/>
          <w:szCs w:val="19"/>
          <w:color w:val="auto"/>
        </w:rPr>
        <w:t>. The Borrower and each Holding Company will, and Holdings will cause each Restricted Subsidiary to, pay all Tax liabilities and file all Tax returns, elections, filings and reports in respect thereof, before any penalty accrues thereon, except where (a)(i) any such payment is being contested in good faith by appropriate proceedings and</w:t>
      </w:r>
    </w:p>
    <w:p>
      <w:pPr>
        <w:spacing w:after="0" w:line="2" w:lineRule="exact"/>
        <w:rPr>
          <w:sz w:val="20"/>
          <w:szCs w:val="20"/>
          <w:color w:val="auto"/>
        </w:rPr>
      </w:pPr>
    </w:p>
    <w:p>
      <w:pPr>
        <w:jc w:val="both"/>
        <w:ind w:firstLine="8"/>
        <w:spacing w:after="0" w:line="217" w:lineRule="auto"/>
        <w:tabs>
          <w:tab w:leader="none" w:pos="356" w:val="left"/>
        </w:tabs>
        <w:numPr>
          <w:ilvl w:val="0"/>
          <w:numId w:val="466"/>
        </w:numPr>
        <w:rPr>
          <w:rFonts w:ascii="Arial" w:cs="Arial" w:eastAsia="Arial" w:hAnsi="Arial"/>
          <w:sz w:val="22"/>
          <w:szCs w:val="22"/>
          <w:color w:val="auto"/>
        </w:rPr>
      </w:pPr>
      <w:r>
        <w:rPr>
          <w:rFonts w:ascii="Arial" w:cs="Arial" w:eastAsia="Arial" w:hAnsi="Arial"/>
          <w:sz w:val="22"/>
          <w:szCs w:val="22"/>
          <w:color w:val="auto"/>
        </w:rPr>
        <w:t>Holdings, the Borrower or such Restricted Subsidiary has set aside on its books adequate reserves or other appropriate provision with respect thereto in accordance with GAAP or (b) the failure to make payment would not reasonably be expected to result in a Material Adverse Effect.</w:t>
      </w:r>
    </w:p>
    <w:p>
      <w:pPr>
        <w:spacing w:after="0" w:line="16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 xml:space="preserve">Section 5.05 Maintenance of Properties. Except if the failure to do so would not, individually or in the aggregate, reasonably be expected to result in a Material Adverse Effect, the Borrower will, and Holdings will cause the Restricted Subsidiaries to, keep and maintain all property material to the conduct of its business (other than any tangible property referenced in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and Intellectual Property) in good working order and condition, ordinary wear and tear excepted and casualty or condemnation excepted,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any transaction otherwise permitted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-585470</wp:posOffset>
            </wp:positionV>
            <wp:extent cx="24803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2480310" cy="8255"/>
                    </a:xfrm>
                    <a:prstGeom prst="rect">
                      <a:avLst/>
                    </a:prstGeom>
                    <a:noFill/>
                  </pic:spPr>
                </pic:pic>
              </a:graphicData>
            </a:graphic>
          </wp:anchor>
        </w:drawing>
      </w:r>
    </w:p>
    <w:p>
      <w:pPr>
        <w:spacing w:after="0" w:line="12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u w:val="single" w:color="auto"/>
          <w:color w:val="auto"/>
        </w:rPr>
        <w:t>Section 5.06 Insurance</w:t>
      </w:r>
      <w:r>
        <w:rPr>
          <w:rFonts w:ascii="Arial" w:cs="Arial" w:eastAsia="Arial" w:hAnsi="Arial"/>
          <w:sz w:val="19"/>
          <w:szCs w:val="19"/>
          <w:color w:val="auto"/>
        </w:rPr>
        <w:t xml:space="preserve">. The Borrower and Holdings will, and Holdings will cause each Restricted Subsidiary to, maintain, with financially sound and reputable insurance companies, (a) insurance in such amounts (after giving effect to any self-insurance reasonable and customary for similarly-situated Persons engaged in the same or similar business) and against such risks as is (i) customarily maintained by companies engaged in the same or similar businesses operating in the same or similar locations as reasonably determined by management of the Borrower and (ii) considered adequate by the Borrower. The Borrower will furnish to the Administrative Agent, promptly following written request, information in reasonable detail as to the insurance so maintained;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Event of Default has occurred and is continuing, the Borrower shall only be required to provide such information one time in any fiscal year of Holdings. Without limiting the generality of the foregoing, the Borrower will, or will cause each Loan Party to, maintain or cause to be maintained flood insurance with respect to each Flood Hazard Property that is located in a community that participates in the National Flood Insurance Program, in each case in compliance in all respects with all Flood Insurance Laws and as otherwise reasonably required by the Collateral Agent. No later than ninety (90) days (as such period may be extended in the reasonable discretion of the Collateral Agent) after the Closing Date (or the date any such insurance is obtained, renewed or extended in the case of insurance obtained, renewed or extended after the Closing Date), the Borrower will cause all property and casualty insurance policies with respect to Collateral to be endorsed or otherwise amended to include a lender’s loss payable, mortgagee or additional insured, as applicable, endorsement, or otherwise reasonably satisfactory to the Collateral Agent.</w:t>
      </w:r>
    </w:p>
    <w:p>
      <w:pPr>
        <w:spacing w:after="0" w:line="38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u w:val="single" w:color="auto"/>
          <w:color w:val="auto"/>
        </w:rPr>
        <w:t>Section 5.07 Books and Records; Inspection and Audit Rights</w:t>
      </w:r>
      <w:r>
        <w:rPr>
          <w:rFonts w:ascii="Arial" w:cs="Arial" w:eastAsia="Arial" w:hAnsi="Arial"/>
          <w:sz w:val="19"/>
          <w:szCs w:val="19"/>
          <w:color w:val="auto"/>
        </w:rPr>
        <w:t xml:space="preserve">. The Borrower and Holdings will, and Holdings will cause each Restricted Subsidiary to, keep proper books of record and account in which full, true and correct entries (in all material respects) are made of all material financial transactions in relation to its business and activities. The Borrower and Holdings will, and will cause each Restricted Subsidiary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only the Administrative Agent on behalf of the Lenders may exercise rights under this </w:t>
      </w:r>
      <w:r>
        <w:rPr>
          <w:rFonts w:ascii="Arial" w:cs="Arial" w:eastAsia="Arial" w:hAnsi="Arial"/>
          <w:sz w:val="19"/>
          <w:szCs w:val="19"/>
          <w:u w:val="single" w:color="auto"/>
          <w:color w:val="auto"/>
        </w:rPr>
        <w:t>Section 5.07</w:t>
      </w:r>
      <w:r>
        <w:rPr>
          <w:rFonts w:ascii="Arial" w:cs="Arial" w:eastAsia="Arial" w:hAnsi="Arial"/>
          <w:sz w:val="19"/>
          <w:szCs w:val="19"/>
          <w:color w:val="auto"/>
        </w:rPr>
        <w:t xml:space="preserve"> and (ii) other than during the continuance of an Event of Default, the Administrative Agent shall not exercise such rights more often than one time during any fiscal year and, in any event, only one such time shall be at the Borrower’s expense,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when an Event of Default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29" w:name="page430"/>
    <w:bookmarkEnd w:id="429"/>
    <w:p>
      <w:pPr>
        <w:jc w:val="both"/>
        <w:spacing w:after="0" w:line="242" w:lineRule="auto"/>
        <w:rPr>
          <w:sz w:val="20"/>
          <w:szCs w:val="20"/>
          <w:color w:val="auto"/>
        </w:rPr>
      </w:pPr>
      <w:r>
        <w:rPr>
          <w:rFonts w:ascii="Arial" w:cs="Arial" w:eastAsia="Arial" w:hAnsi="Arial"/>
          <w:sz w:val="19"/>
          <w:szCs w:val="19"/>
          <w:color w:val="auto"/>
        </w:rPr>
        <w:t xml:space="preserve">and is continuing the Administrative Agent or any Lender (or any of their designated representatives) may do any of the foregoing at the expense of the Borrower at any time during normal business hours and upon reasonable advance notice. The Administrative Agent shall provide the Borrower with the opportunity to participate in any discussion with any such independent accountants. Notwithstanding anything to the contrary in this </w:t>
      </w:r>
      <w:r>
        <w:rPr>
          <w:rFonts w:ascii="Arial" w:cs="Arial" w:eastAsia="Arial" w:hAnsi="Arial"/>
          <w:sz w:val="19"/>
          <w:szCs w:val="19"/>
          <w:u w:val="single" w:color="auto"/>
          <w:color w:val="auto"/>
        </w:rPr>
        <w:t>Section 5.07</w:t>
      </w:r>
      <w:r>
        <w:rPr>
          <w:rFonts w:ascii="Arial" w:cs="Arial" w:eastAsia="Arial" w:hAnsi="Arial"/>
          <w:sz w:val="19"/>
          <w:szCs w:val="19"/>
          <w:color w:val="auto"/>
        </w:rPr>
        <w:t xml:space="preserve">, neither the Borrower nor any Restricted Subsidiary will be required to disclose or permit the inspection or discussion of, any document, information or other matter (i) that constitutes trade secrets or proprietary information, (ii) in respect of which disclosure to the Administrative Agent or any Lender (or their representatives or contractors) is prohibited by law, fiduciary duty or any binding third-party agreement (not entered into in contemplation hereof) or (iii) that is subject to attorney-client or similar privilege or constitutes attorney work product;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Borrower or any Restricted Subsidiary does not disclose or permit the inspection or discussion of, any document, information or other matter in reliance on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the Borrower or such Restricted Subsidiary shall provide notice to the Administrative Agent that such information is being withheld and shall use commercially reasonable efforts to disclose or permit the inspection or discussion of such document, information or other matter in a way that would not violate the applicable restrictions.</w:t>
      </w:r>
    </w:p>
    <w:p>
      <w:pPr>
        <w:spacing w:after="0" w:line="38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5.08</w:t>
      </w:r>
      <w:r>
        <w:rPr>
          <w:sz w:val="20"/>
          <w:szCs w:val="20"/>
          <w:color w:val="auto"/>
        </w:rPr>
        <w:tab/>
      </w:r>
      <w:r>
        <w:rPr>
          <w:rFonts w:ascii="Arial" w:cs="Arial" w:eastAsia="Arial" w:hAnsi="Arial"/>
          <w:sz w:val="19"/>
          <w:szCs w:val="19"/>
          <w:u w:val="single" w:color="auto"/>
          <w:color w:val="auto"/>
        </w:rPr>
        <w:t>Compliance with Laws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3" w:lineRule="auto"/>
        <w:tabs>
          <w:tab w:leader="none" w:pos="1842" w:val="left"/>
        </w:tabs>
        <w:numPr>
          <w:ilvl w:val="0"/>
          <w:numId w:val="467"/>
        </w:numPr>
        <w:rPr>
          <w:rFonts w:ascii="Arial" w:cs="Arial" w:eastAsia="Arial" w:hAnsi="Arial"/>
          <w:sz w:val="22"/>
          <w:szCs w:val="22"/>
          <w:color w:val="auto"/>
        </w:rPr>
      </w:pPr>
      <w:r>
        <w:rPr>
          <w:rFonts w:ascii="Arial" w:cs="Arial" w:eastAsia="Arial" w:hAnsi="Arial"/>
          <w:sz w:val="22"/>
          <w:szCs w:val="22"/>
          <w:color w:val="auto"/>
        </w:rPr>
        <w:t>The Borrower and Holdings will, and Holdings will cause each Restricted Subsidiary to, comply with all Requirements of Law with respect to it or its property, except where the failure to do so, individually or in the aggregate, would not reasonably be expected to result in a Material Adverse Effect.</w:t>
      </w:r>
    </w:p>
    <w:p>
      <w:pPr>
        <w:spacing w:after="0" w:line="158" w:lineRule="exact"/>
        <w:rPr>
          <w:rFonts w:ascii="Arial" w:cs="Arial" w:eastAsia="Arial" w:hAnsi="Arial"/>
          <w:sz w:val="22"/>
          <w:szCs w:val="22"/>
          <w:color w:val="auto"/>
        </w:rPr>
      </w:pPr>
    </w:p>
    <w:p>
      <w:pPr>
        <w:jc w:val="both"/>
        <w:ind w:firstLine="1304"/>
        <w:spacing w:after="0" w:line="242" w:lineRule="auto"/>
        <w:tabs>
          <w:tab w:leader="none" w:pos="1774" w:val="left"/>
        </w:tabs>
        <w:numPr>
          <w:ilvl w:val="0"/>
          <w:numId w:val="467"/>
        </w:numPr>
        <w:rPr>
          <w:rFonts w:ascii="Arial" w:cs="Arial" w:eastAsia="Arial" w:hAnsi="Arial"/>
          <w:sz w:val="19"/>
          <w:szCs w:val="19"/>
          <w:color w:val="auto"/>
        </w:rPr>
      </w:pPr>
      <w:r>
        <w:rPr>
          <w:rFonts w:ascii="Arial" w:cs="Arial" w:eastAsia="Arial" w:hAnsi="Arial"/>
          <w:sz w:val="19"/>
          <w:szCs w:val="19"/>
          <w:color w:val="auto"/>
        </w:rPr>
        <w:t xml:space="preserve">The Borrower and Holdings will, and Holdings will (i) cause each Restricted Subsidiary to comply, and shall use commercially reasonable efforts to cause all lessees and other Persons operating or occupying its properties to comply, with all applicable Environmental Laws and Environmental Permits; (ii) obtain and renew all Environmental Permits required by Environmental Laws for its operations and the ownership or occupancy of its properties; (iii) conduct any investigation, study, sampling and testing, and undertake any cleanup, response or other corrective action, in each case as required by applicable Environmental Laws, to address any Releases of Hazardous Materials at, on, under or emanating from any property owned, leased or operated by it to the extent caused by the acts of the Borrower or any of the Restricted Subsidiaries, and (iv) make an appropriate response to any investigation, notice, demand, claim, suit or other proceeding asserting Environmental Liability against the Borrower or any Restricted Subsidiaries, except in the case of each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where the failure to do so would not reasonably be expected to have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Borrower nor any of the Restricted Subsidiaries shall be required to undertake any such investigation, study, sampling and testing, or any cleanup, removal, remedial or other responsive action to the extent that its obligation to do so is being contested in good faith and by proper proceedings and appropriate reserves are being maintained with respect to such circumstances in accordance with GAAP.</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5.09</w:t>
      </w:r>
      <w:r>
        <w:rPr>
          <w:sz w:val="20"/>
          <w:szCs w:val="20"/>
          <w:color w:val="auto"/>
        </w:rPr>
        <w:tab/>
      </w:r>
      <w:r>
        <w:rPr>
          <w:rFonts w:ascii="Arial" w:cs="Arial" w:eastAsia="Arial" w:hAnsi="Arial"/>
          <w:sz w:val="19"/>
          <w:szCs w:val="19"/>
          <w:u w:val="single" w:color="auto"/>
          <w:color w:val="auto"/>
        </w:rPr>
        <w:t>Use of Proceeds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52" w:lineRule="auto"/>
        <w:tabs>
          <w:tab w:leader="none" w:pos="1793" w:val="left"/>
        </w:tabs>
        <w:numPr>
          <w:ilvl w:val="0"/>
          <w:numId w:val="468"/>
        </w:numPr>
        <w:rPr>
          <w:rFonts w:ascii="Arial" w:cs="Arial" w:eastAsia="Arial" w:hAnsi="Arial"/>
          <w:sz w:val="19"/>
          <w:szCs w:val="19"/>
          <w:color w:val="auto"/>
        </w:rPr>
      </w:pPr>
      <w:r>
        <w:rPr>
          <w:rFonts w:ascii="Arial" w:cs="Arial" w:eastAsia="Arial" w:hAnsi="Arial"/>
          <w:sz w:val="19"/>
          <w:szCs w:val="19"/>
          <w:color w:val="auto"/>
        </w:rPr>
        <w:t>The proceeds of the Initial Term Loans will be used, directly or indirectly (including, without limitation, by way of intra-group loans to any Restricted Subsidiary of Holdings), by the Borrower, together with proceeds of the Second Lien Loans on the Closing Date, and cash on hand, to (i) consummate the Transactions and (ii) pay all or a portion of the Transaction Costs associated therewith. The proceeds of the Initial Revolving Borrowing will be used on the Closing Date to the extent permitted in accordance with the definition of the term “Permitted Initial Revolving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30" w:name="page431"/>
    <w:bookmarkEnd w:id="430"/>
    <w:p>
      <w:pPr>
        <w:jc w:val="both"/>
        <w:ind w:firstLine="1304"/>
        <w:spacing w:after="0" w:line="223" w:lineRule="auto"/>
        <w:tabs>
          <w:tab w:leader="none" w:pos="1908" w:val="left"/>
        </w:tabs>
        <w:numPr>
          <w:ilvl w:val="0"/>
          <w:numId w:val="469"/>
        </w:numPr>
        <w:rPr>
          <w:rFonts w:ascii="Arial" w:cs="Arial" w:eastAsia="Arial" w:hAnsi="Arial"/>
          <w:sz w:val="22"/>
          <w:szCs w:val="22"/>
          <w:color w:val="auto"/>
        </w:rPr>
      </w:pPr>
      <w:r>
        <w:rPr>
          <w:rFonts w:ascii="Arial" w:cs="Arial" w:eastAsia="Arial" w:hAnsi="Arial"/>
          <w:sz w:val="22"/>
          <w:szCs w:val="22"/>
          <w:color w:val="auto"/>
        </w:rPr>
        <w:t>The proceeds of the 2019 Incremental Funding Term Loans will be used, directly or indirectly, by the Borrower, together with cash on hand, to prepay the Second Lien Facility in full (and to pay fees, costs and expenses in connection with the foregoing) and to fund cash to the Borrower’s balance sheet.</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790" w:val="left"/>
        </w:tabs>
        <w:numPr>
          <w:ilvl w:val="0"/>
          <w:numId w:val="469"/>
        </w:numPr>
        <w:rPr>
          <w:rFonts w:ascii="Arial" w:cs="Arial" w:eastAsia="Arial" w:hAnsi="Arial"/>
          <w:sz w:val="22"/>
          <w:szCs w:val="22"/>
          <w:color w:val="auto"/>
        </w:rPr>
      </w:pPr>
      <w:r>
        <w:rPr>
          <w:rFonts w:ascii="Arial" w:cs="Arial" w:eastAsia="Arial" w:hAnsi="Arial"/>
          <w:sz w:val="22"/>
          <w:szCs w:val="22"/>
          <w:color w:val="auto"/>
        </w:rPr>
        <w:t>The proceeds of the Revolving Loans and Letters of Credit and any other Loans borrowed after the Closing Date will be used for working capital, capital expenditures, general corporate purposes and any other purpose of the Borrower and its Restricted Subsidiaries not otherwise prohibited under this Agreement (including Restricted Payments, Investments, Acquisitions and to fund Transaction Costs).</w:t>
      </w:r>
    </w:p>
    <w:p>
      <w:pPr>
        <w:spacing w:after="0" w:line="160" w:lineRule="exact"/>
        <w:rPr>
          <w:rFonts w:ascii="Arial" w:cs="Arial" w:eastAsia="Arial" w:hAnsi="Arial"/>
          <w:sz w:val="22"/>
          <w:szCs w:val="22"/>
          <w:color w:val="auto"/>
        </w:rPr>
      </w:pPr>
    </w:p>
    <w:p>
      <w:pPr>
        <w:ind w:firstLine="1304"/>
        <w:spacing w:after="0" w:line="232" w:lineRule="auto"/>
        <w:tabs>
          <w:tab w:leader="none" w:pos="1767" w:val="left"/>
        </w:tabs>
        <w:numPr>
          <w:ilvl w:val="0"/>
          <w:numId w:val="469"/>
        </w:numPr>
        <w:rPr>
          <w:rFonts w:ascii="Arial" w:cs="Arial" w:eastAsia="Arial" w:hAnsi="Arial"/>
          <w:sz w:val="22"/>
          <w:szCs w:val="22"/>
          <w:color w:val="auto"/>
        </w:rPr>
      </w:pPr>
      <w:r>
        <w:rPr>
          <w:rFonts w:ascii="Arial" w:cs="Arial" w:eastAsia="Arial" w:hAnsi="Arial"/>
          <w:sz w:val="22"/>
          <w:szCs w:val="22"/>
          <w:color w:val="auto"/>
        </w:rPr>
        <w:t>No part of the proceeds of any Loan will be used, whether directly or indirectly, for any purpose that entails a violation of any of the Regulations of the Board, including Regulations T, U and X.</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5.10</w:t>
      </w:r>
      <w:r>
        <w:rPr>
          <w:sz w:val="20"/>
          <w:szCs w:val="20"/>
          <w:color w:val="auto"/>
        </w:rPr>
        <w:tab/>
      </w:r>
      <w:r>
        <w:rPr>
          <w:rFonts w:ascii="Arial" w:cs="Arial" w:eastAsia="Arial" w:hAnsi="Arial"/>
          <w:sz w:val="19"/>
          <w:szCs w:val="19"/>
          <w:u w:val="single" w:color="auto"/>
          <w:color w:val="auto"/>
        </w:rPr>
        <w:t>Execution of Guaranty and Security Documents after the Closing Date</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1" w:lineRule="auto"/>
        <w:tabs>
          <w:tab w:leader="none" w:pos="1846" w:val="left"/>
        </w:tabs>
        <w:numPr>
          <w:ilvl w:val="0"/>
          <w:numId w:val="47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5.11(b)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in the event that any Person becomes a Restricted Subsidiary (including any Unrestricted Subsidiary that becomes a Restricted Subsidiary) after the date hereof (other than any Restricted Subsidiary for so long as it is an Excluded Subsidiary) or any Restricted Subsidiary (including any Electing Guarantor) ceases to be an Excluded Subsidiary, the Borrower or other applicable Loan Parties will promptly (and in no event later than forty-five (45) days thereafter or such later date as the Administrative Agent may agree in its reasonable discretion) notify the Administrative Agent of that fact and cause such Restricted Subsidiary to execute and deliver to the Administrative Agent counterparts of the applicable Guaranty and Security Agreement and each other applicable Security Document, to execute and deliver a joinder to the Second Lien Intercreditor Agreement in substantially the form attached as Exhibit L thereto and to take all such further actions and execute all such further documents and instruments as required by the Security Agreement and each other Security Document to secure the Secured Obligations for the benefit of the Secured Parties (including all actions necessary to cause such Lien to be duly perfected to the extent required by such Security Document, including the filing of financing statements in such jurisdictions as may be reasonably requested by the Administrative Agent). In addition, as and to the extent provided in the Security Agreement, as applicable (subject to all applicable exceptions and limitations therein and herein), the applicable Loan Party shall deliver to the Collateral Agent all certificates, if any, representing Equity Interests of such Restricted Subsidiary (accompanied by undated stock powers, duly endorsed in blank) and any other possessory Collateral, in each case as required thereunder. Under no circumstance will any Loan Party be required to execute any Security Documents governed by the laws of any jurisdiction other than the United States, any State thereof or the District of Columbia.</w:t>
      </w:r>
    </w:p>
    <w:p>
      <w:pPr>
        <w:spacing w:after="0" w:line="158" w:lineRule="exact"/>
        <w:rPr>
          <w:rFonts w:ascii="Arial" w:cs="Arial" w:eastAsia="Arial" w:hAnsi="Arial"/>
          <w:sz w:val="19"/>
          <w:szCs w:val="19"/>
          <w:color w:val="auto"/>
        </w:rPr>
      </w:pPr>
    </w:p>
    <w:p>
      <w:pPr>
        <w:jc w:val="both"/>
        <w:ind w:firstLine="1304"/>
        <w:spacing w:after="0" w:line="244" w:lineRule="auto"/>
        <w:tabs>
          <w:tab w:leader="none" w:pos="1770" w:val="left"/>
        </w:tabs>
        <w:numPr>
          <w:ilvl w:val="0"/>
          <w:numId w:val="47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5.11(b)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in the event that any Person becomes a Restricted Subsidiary after the date hereof (other than any Restricted Subsidiary for so long as it is an Excluded Subsidiary), concurrently with the execution and delivery of counterparts to the Guaranty and the Security Agreement pursuant to </w:t>
      </w:r>
      <w:r>
        <w:rPr>
          <w:rFonts w:ascii="Arial" w:cs="Arial" w:eastAsia="Arial" w:hAnsi="Arial"/>
          <w:sz w:val="19"/>
          <w:szCs w:val="19"/>
          <w:u w:val="single" w:color="auto"/>
          <w:color w:val="auto"/>
        </w:rPr>
        <w:t>Section 5.10(a)</w:t>
      </w:r>
      <w:r>
        <w:rPr>
          <w:rFonts w:ascii="Arial" w:cs="Arial" w:eastAsia="Arial" w:hAnsi="Arial"/>
          <w:sz w:val="19"/>
          <w:szCs w:val="19"/>
          <w:color w:val="auto"/>
        </w:rPr>
        <w:t>, such Restricted Subsidiary shall deliver to the Administrative Agent, (i) certified copies of such Restricted Subsidiary’s Organizational Documents or, if such document is of a type that may not be so certified, certified by the secretary or similar officer of the applicable Restricted Subsidiary, and (ii) a certificate executed on behalf of such Restricted Subsidiary by the secretary or similar officer of such Restricted Subsidiary as to (a) the fact that the attached resolutions of the Governing Body of such Restricted Subsidiary approving and authorizing the execution, delivery and performance of such Loan Documents are in full force and effect and have not been modified or amended and (b) the incumbency and signatures of the officers of such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31" w:name="page432"/>
    <w:bookmarkEnd w:id="431"/>
    <w:p>
      <w:pPr>
        <w:jc w:val="both"/>
        <w:spacing w:after="0" w:line="223" w:lineRule="auto"/>
        <w:rPr>
          <w:sz w:val="20"/>
          <w:szCs w:val="20"/>
          <w:color w:val="auto"/>
        </w:rPr>
      </w:pPr>
      <w:r>
        <w:rPr>
          <w:rFonts w:ascii="Arial" w:cs="Arial" w:eastAsia="Arial" w:hAnsi="Arial"/>
          <w:sz w:val="22"/>
          <w:szCs w:val="22"/>
          <w:color w:val="auto"/>
        </w:rPr>
        <w:t xml:space="preserve">Subsidiary executing such Loan Documents;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any Loan Party that is a Foreign Subsidiary, in lieu of delivery of the items set forth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and (ii), such Loan Party shall deliver a customary director’s certificate, including customary attachments thereto.</w:t>
      </w:r>
    </w:p>
    <w:p>
      <w:pPr>
        <w:spacing w:after="0" w:line="159" w:lineRule="exact"/>
        <w:rPr>
          <w:sz w:val="20"/>
          <w:szCs w:val="20"/>
          <w:color w:val="auto"/>
        </w:rPr>
      </w:pPr>
    </w:p>
    <w:p>
      <w:pPr>
        <w:jc w:val="both"/>
        <w:ind w:firstLine="1304"/>
        <w:spacing w:after="0" w:line="244" w:lineRule="auto"/>
        <w:tabs>
          <w:tab w:leader="none" w:pos="1870" w:val="left"/>
        </w:tabs>
        <w:numPr>
          <w:ilvl w:val="0"/>
          <w:numId w:val="471"/>
        </w:numPr>
        <w:rPr>
          <w:rFonts w:ascii="Arial" w:cs="Arial" w:eastAsia="Arial" w:hAnsi="Arial"/>
          <w:sz w:val="19"/>
          <w:szCs w:val="19"/>
          <w:color w:val="auto"/>
        </w:rPr>
      </w:pPr>
      <w:r>
        <w:rPr>
          <w:rFonts w:ascii="Arial" w:cs="Arial" w:eastAsia="Arial" w:hAnsi="Arial"/>
          <w:sz w:val="19"/>
          <w:szCs w:val="19"/>
          <w:color w:val="auto"/>
        </w:rPr>
        <w:t xml:space="preserve">If, at any time, (x) a Restricted Subsidiary is designated as an Unrestricted Subsidiary or an Immaterial Subsidiary in accordance with this Agreement or (y) an Electing Guarantor has been re-designated (at the option, and in the sole discretion, of the Borrower in accordance with </w:t>
      </w:r>
      <w:r>
        <w:rPr>
          <w:rFonts w:ascii="Arial" w:cs="Arial" w:eastAsia="Arial" w:hAnsi="Arial"/>
          <w:sz w:val="19"/>
          <w:szCs w:val="19"/>
          <w:u w:val="single" w:color="auto"/>
          <w:color w:val="auto"/>
        </w:rPr>
        <w:t>Section 5.12(b)</w:t>
      </w:r>
      <w:r>
        <w:rPr>
          <w:rFonts w:ascii="Arial" w:cs="Arial" w:eastAsia="Arial" w:hAnsi="Arial"/>
          <w:sz w:val="19"/>
          <w:szCs w:val="19"/>
          <w:color w:val="auto"/>
        </w:rPr>
        <w:t>) as an Excluded Subsidiary, the Collateral Agent shall release such Subsidiary from any Guaranty and all Security Documents to which it may be a party and to the extent such Subsidiary’s Equity Interests were pledged (or otherwise secured) as Collateral, such pledge (or other security) shall be released and, upon the request of any Loan Party, any certificates in respect thereof shall be promptly returned to the applicable Loan Party. Notwithstanding the foregoing, in no event shall Equity Interests of any Unrestricted Subsidiary or any of such Unrestricted Subsidiary’s assets constitute Collateral, and the Administrative Agent and Collateral Agent shall take all actions required hereunder and under the other Loan Documents to effect the foregoing.</w:t>
      </w:r>
    </w:p>
    <w:p>
      <w:pPr>
        <w:spacing w:after="0" w:line="160" w:lineRule="exact"/>
        <w:rPr>
          <w:rFonts w:ascii="Arial" w:cs="Arial" w:eastAsia="Arial" w:hAnsi="Arial"/>
          <w:sz w:val="19"/>
          <w:szCs w:val="19"/>
          <w:color w:val="auto"/>
        </w:rPr>
      </w:pPr>
    </w:p>
    <w:p>
      <w:pPr>
        <w:jc w:val="both"/>
        <w:ind w:firstLine="1304"/>
        <w:spacing w:after="0" w:line="247" w:lineRule="auto"/>
        <w:tabs>
          <w:tab w:leader="none" w:pos="1829" w:val="left"/>
        </w:tabs>
        <w:numPr>
          <w:ilvl w:val="0"/>
          <w:numId w:val="47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5.11(b)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from and after the Closing Date, in the event that (i) any Loan Party acquires any Material Real Property located in the United States or any state or territory thereof or (ii) at the time any Person becomes a Loan Party, such Person owns any Material Real Property located in the United States or any state or territory thereof, such Loan Party shall deliver to the Collateral Agent (and in the case of clause (vi) below, each Revolving Lender), within ninety (90) days (or such later date as the Administrative Agent may agree in its reasonable discretion) after such Person acquires such Material Real Property or becomes a Loan Party, as the case may be, the following with respect to each such parcel of Material Real Property (each an “</w:t>
      </w:r>
      <w:r>
        <w:rPr>
          <w:rFonts w:ascii="Arial" w:cs="Arial" w:eastAsia="Arial" w:hAnsi="Arial"/>
          <w:sz w:val="19"/>
          <w:szCs w:val="19"/>
          <w:u w:val="single" w:color="auto"/>
          <w:color w:val="auto"/>
        </w:rPr>
        <w:t>Additional Mortgaged Property</w:t>
      </w:r>
      <w:r>
        <w:rPr>
          <w:rFonts w:ascii="Arial" w:cs="Arial" w:eastAsia="Arial" w:hAnsi="Arial"/>
          <w:sz w:val="19"/>
          <w:szCs w:val="19"/>
          <w:color w:val="auto"/>
        </w:rPr>
        <w:t>”):</w:t>
      </w:r>
    </w:p>
    <w:p>
      <w:pPr>
        <w:spacing w:after="0" w:line="154" w:lineRule="exact"/>
        <w:rPr>
          <w:sz w:val="20"/>
          <w:szCs w:val="20"/>
          <w:color w:val="auto"/>
        </w:rPr>
      </w:pPr>
    </w:p>
    <w:p>
      <w:pPr>
        <w:jc w:val="both"/>
        <w:ind w:left="660" w:firstLine="644"/>
        <w:spacing w:after="0" w:line="234" w:lineRule="auto"/>
        <w:tabs>
          <w:tab w:leader="none" w:pos="1794" w:val="left"/>
        </w:tabs>
        <w:numPr>
          <w:ilvl w:val="0"/>
          <w:numId w:val="472"/>
        </w:numPr>
        <w:rPr>
          <w:rFonts w:ascii="Arial" w:cs="Arial" w:eastAsia="Arial" w:hAnsi="Arial"/>
          <w:sz w:val="21"/>
          <w:szCs w:val="21"/>
          <w:color w:val="auto"/>
        </w:rPr>
      </w:pPr>
      <w:r>
        <w:rPr>
          <w:rFonts w:ascii="Arial" w:cs="Arial" w:eastAsia="Arial" w:hAnsi="Arial"/>
          <w:sz w:val="21"/>
          <w:szCs w:val="21"/>
          <w:color w:val="auto"/>
        </w:rPr>
        <w:t>A fully executed and, where required in the applicable jurisdiction, notarized Mortgage, in proper form for recording in the applicable jurisdictions required by law to establish and perfect the Mortgage in favor of the Collateral Agent, encumbering the interest of such Loan Party in such Additional Mortgaged Property;</w:t>
      </w:r>
    </w:p>
    <w:p>
      <w:pPr>
        <w:spacing w:after="0" w:line="157" w:lineRule="exact"/>
        <w:rPr>
          <w:rFonts w:ascii="Arial" w:cs="Arial" w:eastAsia="Arial" w:hAnsi="Arial"/>
          <w:sz w:val="21"/>
          <w:szCs w:val="21"/>
          <w:color w:val="auto"/>
        </w:rPr>
      </w:pPr>
    </w:p>
    <w:p>
      <w:pPr>
        <w:jc w:val="both"/>
        <w:ind w:left="660" w:firstLine="644"/>
        <w:spacing w:after="0" w:line="223" w:lineRule="auto"/>
        <w:tabs>
          <w:tab w:leader="none" w:pos="1899" w:val="left"/>
        </w:tabs>
        <w:numPr>
          <w:ilvl w:val="0"/>
          <w:numId w:val="472"/>
        </w:numPr>
        <w:rPr>
          <w:rFonts w:ascii="Arial" w:cs="Arial" w:eastAsia="Arial" w:hAnsi="Arial"/>
          <w:sz w:val="22"/>
          <w:szCs w:val="22"/>
          <w:color w:val="auto"/>
        </w:rPr>
      </w:pPr>
      <w:r>
        <w:rPr>
          <w:rFonts w:ascii="Arial" w:cs="Arial" w:eastAsia="Arial" w:hAnsi="Arial"/>
          <w:sz w:val="22"/>
          <w:szCs w:val="22"/>
          <w:color w:val="auto"/>
        </w:rPr>
        <w:t>An opinion of counsel in the state or other jurisdiction in which such Additional Mortgaged Property is located with respect to the enforceability of such Mortgage to be recorded in such state and such other customary matters as the Administrative Agent may reasonably request;</w:t>
      </w:r>
    </w:p>
    <w:p>
      <w:pPr>
        <w:spacing w:after="0" w:line="158" w:lineRule="exact"/>
        <w:rPr>
          <w:rFonts w:ascii="Arial" w:cs="Arial" w:eastAsia="Arial" w:hAnsi="Arial"/>
          <w:sz w:val="22"/>
          <w:szCs w:val="22"/>
          <w:color w:val="auto"/>
        </w:rPr>
      </w:pPr>
    </w:p>
    <w:p>
      <w:pPr>
        <w:jc w:val="both"/>
        <w:ind w:left="660" w:firstLine="644"/>
        <w:spacing w:after="0" w:line="219" w:lineRule="auto"/>
        <w:tabs>
          <w:tab w:leader="none" w:pos="1873" w:val="left"/>
        </w:tabs>
        <w:numPr>
          <w:ilvl w:val="0"/>
          <w:numId w:val="472"/>
        </w:numPr>
        <w:rPr>
          <w:rFonts w:ascii="Arial" w:cs="Arial" w:eastAsia="Arial" w:hAnsi="Arial"/>
          <w:sz w:val="21"/>
          <w:szCs w:val="21"/>
          <w:color w:val="auto"/>
        </w:rPr>
      </w:pPr>
      <w:r>
        <w:rPr>
          <w:rFonts w:ascii="Arial" w:cs="Arial" w:eastAsia="Arial" w:hAnsi="Arial"/>
          <w:sz w:val="21"/>
          <w:szCs w:val="21"/>
          <w:color w:val="auto"/>
        </w:rPr>
        <w:t>(A) ALTA mortgagee title insurance policy or unconditional commitments therefor (the “</w:t>
      </w:r>
      <w:r>
        <w:rPr>
          <w:rFonts w:ascii="Arial" w:cs="Arial" w:eastAsia="Arial" w:hAnsi="Arial"/>
          <w:sz w:val="21"/>
          <w:szCs w:val="21"/>
          <w:u w:val="single" w:color="auto"/>
          <w:color w:val="auto"/>
        </w:rPr>
        <w:t>Mortgage Policy</w:t>
      </w:r>
      <w:r>
        <w:rPr>
          <w:rFonts w:ascii="Arial" w:cs="Arial" w:eastAsia="Arial" w:hAnsi="Arial"/>
          <w:sz w:val="21"/>
          <w:szCs w:val="21"/>
          <w:color w:val="auto"/>
        </w:rPr>
        <w:t>”) issued by a Title Company with respect to such Additional Mortgaged Property, in an amount to be mutually agreed between the Borrower, the Administrative Agent and Collateral Agent but in no event less than the fair market value of the Additional Mortgaged Property as reasonably determined by the applicable Loan Party, insuring title to such Additional Mortgaged Property vested in such Loan Party, which such Mortgage Policy shall, to the extent available under applicable state law, include customary affirmative insurance and endorsements and contain no exceptions to title except Permitted Encumbrances; and (B) evidence reasonably satisfactory to the Administrative Agent that such Loan Party has (i) delivered to the Title Company all certificates and affidavits required by the Title Company in connection with the issuance of the Mortgage Policy and (ii) paid (or made provision for payment) to the Title Company of all expenses and premiums and to the appropriate Governmental Authorities all taxes and fees, including stamp taxes, mortgage recording taxes and fees and intangible taxes, payable in connection with recording the Mortgage in the appropriate real estate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32" w:name="page433"/>
    <w:bookmarkEnd w:id="432"/>
    <w:p>
      <w:pPr>
        <w:ind w:left="1840" w:hanging="536"/>
        <w:spacing w:after="0"/>
        <w:tabs>
          <w:tab w:leader="none" w:pos="184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Upon the reasonable request of the Collateral Agent, an appraisal;</w:t>
      </w:r>
    </w:p>
    <w:p>
      <w:pPr>
        <w:spacing w:after="0" w:line="179" w:lineRule="exact"/>
        <w:rPr>
          <w:rFonts w:ascii="Arial" w:cs="Arial" w:eastAsia="Arial" w:hAnsi="Arial"/>
          <w:sz w:val="22"/>
          <w:szCs w:val="22"/>
          <w:color w:val="auto"/>
        </w:rPr>
      </w:pPr>
    </w:p>
    <w:p>
      <w:pPr>
        <w:ind w:left="660" w:firstLine="644"/>
        <w:spacing w:after="0" w:line="298" w:lineRule="auto"/>
        <w:tabs>
          <w:tab w:leader="none" w:pos="1783" w:val="left"/>
        </w:tabs>
        <w:numPr>
          <w:ilvl w:val="0"/>
          <w:numId w:val="473"/>
        </w:numPr>
        <w:rPr>
          <w:rFonts w:ascii="Arial" w:cs="Arial" w:eastAsia="Arial" w:hAnsi="Arial"/>
          <w:sz w:val="19"/>
          <w:szCs w:val="19"/>
          <w:color w:val="auto"/>
        </w:rPr>
      </w:pPr>
      <w:r>
        <w:rPr>
          <w:rFonts w:ascii="Arial" w:cs="Arial" w:eastAsia="Arial" w:hAnsi="Arial"/>
          <w:sz w:val="19"/>
          <w:szCs w:val="19"/>
          <w:color w:val="auto"/>
        </w:rPr>
        <w:t>An ALTA survey of the Additional Mortgaged Property reasonably acceptable to the Collateral Agent and the Title Company (in order to remove the so-called “standard survey exception” and provide customary endorsements); and</w:t>
      </w:r>
    </w:p>
    <w:p>
      <w:pPr>
        <w:spacing w:after="0" w:line="105" w:lineRule="exact"/>
        <w:rPr>
          <w:rFonts w:ascii="Arial" w:cs="Arial" w:eastAsia="Arial" w:hAnsi="Arial"/>
          <w:sz w:val="19"/>
          <w:szCs w:val="19"/>
          <w:color w:val="auto"/>
        </w:rPr>
      </w:pPr>
    </w:p>
    <w:p>
      <w:pPr>
        <w:jc w:val="both"/>
        <w:ind w:left="660" w:firstLine="644"/>
        <w:spacing w:after="0" w:line="249" w:lineRule="auto"/>
        <w:tabs>
          <w:tab w:leader="none" w:pos="1887" w:val="left"/>
        </w:tabs>
        <w:numPr>
          <w:ilvl w:val="0"/>
          <w:numId w:val="473"/>
        </w:numPr>
        <w:rPr>
          <w:rFonts w:ascii="Arial" w:cs="Arial" w:eastAsia="Arial" w:hAnsi="Arial"/>
          <w:sz w:val="19"/>
          <w:szCs w:val="19"/>
          <w:color w:val="auto"/>
        </w:rPr>
      </w:pPr>
      <w:r>
        <w:rPr>
          <w:rFonts w:ascii="Arial" w:cs="Arial" w:eastAsia="Arial" w:hAnsi="Arial"/>
          <w:sz w:val="19"/>
          <w:szCs w:val="19"/>
          <w:color w:val="auto"/>
        </w:rPr>
        <w:t>A flood determination on a form promulgated by the Federal Emergency Management Agency and if such Additional Mortgaged Property is a Flood Hazard Property, a flood determination counter-signed by the applicable Borrower and if the community in which any such Flood Hazard Property is located is participating in the National Flood Insurance Program, evidence of flood insurance that is in compliance in all respects with the Flood Insurance Laws and as otherwise reasonably required by the Collateral Agent or any Revolving Lender and each of the foregoing shall be in form and substance reasonably satisfactory to the Collateral Agent and the Revolving Lenders.</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5.11</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79" w:lineRule="exact"/>
        <w:rPr>
          <w:sz w:val="20"/>
          <w:szCs w:val="20"/>
          <w:color w:val="auto"/>
        </w:rPr>
      </w:pPr>
    </w:p>
    <w:p>
      <w:pPr>
        <w:jc w:val="both"/>
        <w:ind w:firstLine="1304"/>
        <w:spacing w:after="0" w:line="246" w:lineRule="auto"/>
        <w:tabs>
          <w:tab w:leader="none" w:pos="1791" w:val="left"/>
        </w:tabs>
        <w:numPr>
          <w:ilvl w:val="1"/>
          <w:numId w:val="474"/>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5.11(b)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and the terms, conditions and provisions of the Security Documents applicable to such Loan Party, the Borrower shall, and shall cause the other Loan Parties to, promptly upon reasonable request by the Administrative Agent or the Collateral Agent, (i) correct any jointly identified material defect or error that may be discovered in the execution, acknowledgment, filing or recordation of any Security Document or other document or instrument relating to any Collateral, and (ii) do, execute, acknowledge, deliver, record, re-record, file, re-file, register and re-register any and all such further acts, deeds, certificates, assurances and other instruments as the Administrative Agent or the Collateral Agent may reasonably request from time to time, and in order to carry out more effectively the purposes thereof, in each case, to the extent required by this Agreement and the Security Documents.</w:t>
      </w:r>
    </w:p>
    <w:p>
      <w:pPr>
        <w:spacing w:after="0" w:line="152" w:lineRule="exact"/>
        <w:rPr>
          <w:rFonts w:ascii="Arial" w:cs="Arial" w:eastAsia="Arial" w:hAnsi="Arial"/>
          <w:sz w:val="19"/>
          <w:szCs w:val="19"/>
          <w:color w:val="auto"/>
        </w:rPr>
      </w:pPr>
    </w:p>
    <w:p>
      <w:pPr>
        <w:jc w:val="both"/>
        <w:ind w:firstLine="1304"/>
        <w:spacing w:after="0" w:line="239" w:lineRule="auto"/>
        <w:tabs>
          <w:tab w:leader="none" w:pos="1919" w:val="left"/>
        </w:tabs>
        <w:numPr>
          <w:ilvl w:val="1"/>
          <w:numId w:val="474"/>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or any Security Document to the contrary: (i) neither the Administrative Agent nor the Collateral Agent shall take, and the Loan Parties shall not be required to grant, a security interest in any Excluded Property; (ii) any security interest required to be granted or any action required to be taken, including to perfect such security interest, shall be subject to the same exceptions and limitations as those set forth in the Security Documents; (iii) no such Loan Party shall be required, nor shall the Administrative Agent or Collateral Agent be authorized, except with respect to the pledge of 65% of the voting capital stock and 100% of the non-voting capital stock of a CFC or CFC Holding Company, in each case, as set forth in </w:t>
      </w:r>
      <w:r>
        <w:rPr>
          <w:rFonts w:ascii="Arial" w:cs="Arial" w:eastAsia="Arial" w:hAnsi="Arial"/>
          <w:sz w:val="19"/>
          <w:szCs w:val="19"/>
          <w:u w:val="single" w:color="auto"/>
          <w:color w:val="auto"/>
        </w:rPr>
        <w:t>Section 5.10(a)</w:t>
      </w:r>
      <w:r>
        <w:rPr>
          <w:rFonts w:ascii="Arial" w:cs="Arial" w:eastAsia="Arial" w:hAnsi="Arial"/>
          <w:sz w:val="19"/>
          <w:szCs w:val="19"/>
          <w:color w:val="auto"/>
        </w:rPr>
        <w:t>, to perfect any pledges, charges, assignments, security interests and mortgages in any Collateral by any means other than (A) filings pursuant to the UCC in the office of the secretary of state of the relevant State(s),</w:t>
      </w:r>
    </w:p>
    <w:p>
      <w:pPr>
        <w:spacing w:after="0" w:line="5" w:lineRule="exact"/>
        <w:rPr>
          <w:rFonts w:ascii="Arial" w:cs="Arial" w:eastAsia="Arial" w:hAnsi="Arial"/>
          <w:sz w:val="19"/>
          <w:szCs w:val="19"/>
          <w:color w:val="auto"/>
        </w:rPr>
      </w:pPr>
    </w:p>
    <w:p>
      <w:pPr>
        <w:jc w:val="both"/>
        <w:ind w:firstLine="8"/>
        <w:spacing w:after="0" w:line="241" w:lineRule="auto"/>
        <w:tabs>
          <w:tab w:leader="none" w:pos="380" w:val="left"/>
        </w:tabs>
        <w:numPr>
          <w:ilvl w:val="0"/>
          <w:numId w:val="475"/>
        </w:numPr>
        <w:rPr>
          <w:rFonts w:ascii="Arial" w:cs="Arial" w:eastAsia="Arial" w:hAnsi="Arial"/>
          <w:sz w:val="19"/>
          <w:szCs w:val="19"/>
          <w:color w:val="auto"/>
        </w:rPr>
      </w:pPr>
      <w:r>
        <w:rPr>
          <w:rFonts w:ascii="Arial" w:cs="Arial" w:eastAsia="Arial" w:hAnsi="Arial"/>
          <w:sz w:val="19"/>
          <w:szCs w:val="19"/>
          <w:color w:val="auto"/>
        </w:rPr>
        <w:t>filings of intellectual property security agreements in the United States Patent and Trademark Office and United States Copyright Office and payment of associated fees, as applicable, with respect to issued, registered and applied-for United States Intellectual Property, as expressly required by the Loan Documents, (C) delivery to the Collateral Agent to be held in its possession of all Collateral consisting of intercompany notes in an amount in excess of $10,000,000, in the aggregate, stock certificates of the Borrower and the Restricted Subsidiaries and other Instruments issued to any Loan Party in an amount in excess of $10,000,000, in the aggregate, (D) mortgages in respect of Material Real Property and (E) necessary perfection steps with respect to Commercial Tort Claims (as defined in the UCC) over $10,000,000 individually and Letter of Credit Rights (as defined in the UCC) over $10,000,000 individually; (iv) no such Loan Party shall have any obligation under any Loan Document to enter into any landlord, bailee or warehousemen waiver, estoppel or consent or any other document of similar effect; (v) in no event shall any such Loan Party be required to take any action to perfect the security interest granted under the Security Documents in Collateral consisting of (A) cash or Cash Equivalents, (B) entering into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33" w:name="page434"/>
    <w:bookmarkEnd w:id="433"/>
    <w:p>
      <w:pPr>
        <w:jc w:val="both"/>
        <w:spacing w:after="0" w:line="222" w:lineRule="auto"/>
        <w:rPr>
          <w:sz w:val="20"/>
          <w:szCs w:val="20"/>
          <w:color w:val="auto"/>
        </w:rPr>
      </w:pPr>
      <w:r>
        <w:rPr>
          <w:rFonts w:ascii="Arial" w:cs="Arial" w:eastAsia="Arial" w:hAnsi="Arial"/>
          <w:sz w:val="21"/>
          <w:szCs w:val="21"/>
          <w:color w:val="auto"/>
        </w:rPr>
        <w:t xml:space="preserve">deposit account control agreement or securities account control agreement with respect to any deposit account or securities account (including securities entitlements and related assets credited thereto) or (C) other assets requiring perfection through the implementation of control agreements or perfection by “control” (other than with respect to uncertificated securities and with respect to possession by the Collateral Agent, in each case, to the extent expressly required under the Security Documents) in each case under this </w:t>
      </w:r>
      <w:r>
        <w:rPr>
          <w:rFonts w:ascii="Arial" w:cs="Arial" w:eastAsia="Arial" w:hAnsi="Arial"/>
          <w:sz w:val="21"/>
          <w:szCs w:val="21"/>
          <w:u w:val="single" w:color="auto"/>
          <w:color w:val="auto"/>
        </w:rPr>
        <w:t>clause (v)</w:t>
      </w:r>
      <w:r>
        <w:rPr>
          <w:rFonts w:ascii="Arial" w:cs="Arial" w:eastAsia="Arial" w:hAnsi="Arial"/>
          <w:sz w:val="21"/>
          <w:szCs w:val="21"/>
          <w:color w:val="auto"/>
        </w:rPr>
        <w:t>, except, in each case, to the extent such perfection may be achieved by the filing of a UCC financing statement, as applicable; and (vi) no Loan Party shall be required to enter into any source code escrow arrangement or be obligated to register Intellectual Property.</w:t>
      </w:r>
    </w:p>
    <w:p>
      <w:pPr>
        <w:spacing w:after="0" w:line="164" w:lineRule="exact"/>
        <w:rPr>
          <w:sz w:val="20"/>
          <w:szCs w:val="20"/>
          <w:color w:val="auto"/>
        </w:rPr>
      </w:pPr>
    </w:p>
    <w:p>
      <w:pPr>
        <w:jc w:val="both"/>
        <w:ind w:firstLine="1304"/>
        <w:spacing w:after="0" w:line="257" w:lineRule="auto"/>
        <w:tabs>
          <w:tab w:leader="none" w:pos="1768" w:val="left"/>
        </w:tabs>
        <w:numPr>
          <w:ilvl w:val="0"/>
          <w:numId w:val="476"/>
        </w:numPr>
        <w:rPr>
          <w:rFonts w:ascii="Arial" w:cs="Arial" w:eastAsia="Arial" w:hAnsi="Arial"/>
          <w:sz w:val="19"/>
          <w:szCs w:val="19"/>
          <w:color w:val="auto"/>
        </w:rPr>
      </w:pPr>
      <w:r>
        <w:rPr>
          <w:rFonts w:ascii="Arial" w:cs="Arial" w:eastAsia="Arial" w:hAnsi="Arial"/>
          <w:sz w:val="19"/>
          <w:szCs w:val="19"/>
          <w:color w:val="auto"/>
        </w:rPr>
        <w:t>Notwithstanding anything in this Agreement or any Security Document to the contrary, no Loan Party or any Restricted Subsidiary shall be required to take any action outside the United States, any state, province, territory or jurisdiction thereof to perfect any security interest in the Collateral (including the execution of any agreement, document or other instrument governed by the law of any jurisdiction other than the United States or any state, province, territory or jurisdiction thereof).</w:t>
      </w:r>
    </w:p>
    <w:p>
      <w:pPr>
        <w:spacing w:after="0" w:line="144" w:lineRule="exact"/>
        <w:rPr>
          <w:rFonts w:ascii="Arial" w:cs="Arial" w:eastAsia="Arial" w:hAnsi="Arial"/>
          <w:sz w:val="19"/>
          <w:szCs w:val="19"/>
          <w:color w:val="auto"/>
        </w:rPr>
      </w:pPr>
    </w:p>
    <w:p>
      <w:pPr>
        <w:jc w:val="both"/>
        <w:ind w:firstLine="1304"/>
        <w:spacing w:after="0" w:line="214" w:lineRule="auto"/>
        <w:tabs>
          <w:tab w:leader="none" w:pos="1994" w:val="left"/>
        </w:tabs>
        <w:numPr>
          <w:ilvl w:val="0"/>
          <w:numId w:val="476"/>
        </w:numPr>
        <w:rPr>
          <w:rFonts w:ascii="Arial" w:cs="Arial" w:eastAsia="Arial" w:hAnsi="Arial"/>
          <w:sz w:val="22"/>
          <w:szCs w:val="22"/>
          <w:color w:val="auto"/>
        </w:rPr>
      </w:pPr>
      <w:r>
        <w:rPr>
          <w:rFonts w:ascii="Arial" w:cs="Arial" w:eastAsia="Arial" w:hAnsi="Arial"/>
          <w:sz w:val="22"/>
          <w:szCs w:val="22"/>
          <w:color w:val="auto"/>
        </w:rPr>
        <w:t>Notwithstanding anything in this Agreement or any Security Document to the contrary, neither the Administrative Agent nor the Collateral Agent shall obtain or perfect a security interest in any assets of any Loan Party as to which the Administrative Agent shall determine, in its reasonable discretion, that the cost of obtaining or perfecting such security interest is excessive in relation to the benefit to the Lenders of the security afforded thereby (such comparison to be determined in a manner consistent with any such determination made in connection with the Closing Date) or would otherwise violate applicable law.</w:t>
      </w:r>
    </w:p>
    <w:p>
      <w:pPr>
        <w:spacing w:after="0" w:line="158" w:lineRule="exact"/>
        <w:rPr>
          <w:rFonts w:ascii="Arial" w:cs="Arial" w:eastAsia="Arial" w:hAnsi="Arial"/>
          <w:sz w:val="22"/>
          <w:szCs w:val="22"/>
          <w:color w:val="auto"/>
        </w:rPr>
      </w:pPr>
    </w:p>
    <w:p>
      <w:pPr>
        <w:jc w:val="both"/>
        <w:ind w:firstLine="1304"/>
        <w:spacing w:after="0" w:line="224" w:lineRule="auto"/>
        <w:tabs>
          <w:tab w:leader="none" w:pos="1823" w:val="left"/>
        </w:tabs>
        <w:numPr>
          <w:ilvl w:val="0"/>
          <w:numId w:val="476"/>
        </w:numPr>
        <w:rPr>
          <w:rFonts w:ascii="Arial" w:cs="Arial" w:eastAsia="Arial" w:hAnsi="Arial"/>
          <w:sz w:val="21"/>
          <w:szCs w:val="21"/>
          <w:color w:val="auto"/>
        </w:rPr>
      </w:pPr>
      <w:r>
        <w:rPr>
          <w:rFonts w:ascii="Arial" w:cs="Arial" w:eastAsia="Arial" w:hAnsi="Arial"/>
          <w:sz w:val="21"/>
          <w:szCs w:val="21"/>
          <w:color w:val="auto"/>
        </w:rPr>
        <w:t xml:space="preserve">Notwithstanding anything in this Agreement or any Security Document to the contrary, the Administrative Agent may, in its sole discretion, grant extensions of time for the satisfaction of any of the requirements under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5.11</w:t>
      </w:r>
      <w:r>
        <w:rPr>
          <w:rFonts w:ascii="Arial" w:cs="Arial" w:eastAsia="Arial" w:hAnsi="Arial"/>
          <w:sz w:val="21"/>
          <w:szCs w:val="21"/>
          <w:color w:val="auto"/>
        </w:rPr>
        <w:t xml:space="preserve"> in respect of any particular Collateral or any particular Subsidiary if it determines that the satisfaction thereof with respect to such Collateral or such Subsidiary cannot be accomplished without undue expense or unreasonable effort or due to factors beyond the control of the Borrower and the Restricted Subsidiaries by the time or times at which it would otherwise be required to be satisfied under this Agreement or any Security Document.</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5.12</w:t>
      </w:r>
      <w:r>
        <w:rPr>
          <w:sz w:val="20"/>
          <w:szCs w:val="20"/>
          <w:color w:val="auto"/>
        </w:rPr>
        <w:tab/>
      </w:r>
      <w:r>
        <w:rPr>
          <w:rFonts w:ascii="Arial" w:cs="Arial" w:eastAsia="Arial" w:hAnsi="Arial"/>
          <w:sz w:val="19"/>
          <w:szCs w:val="19"/>
          <w:u w:val="single" w:color="auto"/>
          <w:color w:val="auto"/>
        </w:rPr>
        <w:t>Designation of Subsidiaries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2" w:lineRule="auto"/>
        <w:tabs>
          <w:tab w:leader="none" w:pos="1790" w:val="left"/>
        </w:tabs>
        <w:numPr>
          <w:ilvl w:val="0"/>
          <w:numId w:val="477"/>
        </w:numPr>
        <w:rPr>
          <w:rFonts w:ascii="Arial" w:cs="Arial" w:eastAsia="Arial" w:hAnsi="Arial"/>
          <w:sz w:val="19"/>
          <w:szCs w:val="19"/>
          <w:color w:val="auto"/>
        </w:rPr>
      </w:pPr>
      <w:r>
        <w:rPr>
          <w:rFonts w:ascii="Arial" w:cs="Arial" w:eastAsia="Arial" w:hAnsi="Arial"/>
          <w:sz w:val="19"/>
          <w:szCs w:val="19"/>
          <w:color w:val="auto"/>
        </w:rPr>
        <w:t xml:space="preserve">The Borrower may designate (or re-designate) any Restricted Subsidiary (other than a Holding Company or the Borrower) as an Unrestricted Subsidiary or any Unrestricted Subsidiary as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before and after such designation, no Event of Default shall have occurred and be continuing. The designation of any Subsidiary as an Unrestricted Subsidiary after the Closing Date in accordance with this </w:t>
      </w:r>
      <w:r>
        <w:rPr>
          <w:rFonts w:ascii="Arial" w:cs="Arial" w:eastAsia="Arial" w:hAnsi="Arial"/>
          <w:sz w:val="19"/>
          <w:szCs w:val="19"/>
          <w:u w:val="single" w:color="auto"/>
          <w:color w:val="auto"/>
        </w:rPr>
        <w:t>Section 5.12(a)</w:t>
      </w:r>
      <w:r>
        <w:rPr>
          <w:rFonts w:ascii="Arial" w:cs="Arial" w:eastAsia="Arial" w:hAnsi="Arial"/>
          <w:sz w:val="19"/>
          <w:szCs w:val="19"/>
          <w:color w:val="auto"/>
        </w:rPr>
        <w:t xml:space="preserve"> shall constitute an Investment by the relevant Borrower or the relevant Restricted Subsidiary, as applicable, therein at the date of designation in an amount equal to the fair market value (as determined in good faith by the Borrower) of the Investments held by the applicable Borrower and/or the applicable Restricted Subsidiaries in such Unrestricted Subsidiary immediately prior to such designation. Upon any such designation (but without duplication of any amount reducing such Investment in such Unrestricted Subsidiary pursuant to the definition of “Investment”), the applicable Borrower and/or the applicable Restricted Subsidiaries shall receive a credit against the applicable clause in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that was utilized for the Investment in such Unrestricted Subsidiary for all Returns in respect of such Investment. The designation of any Unrestricted Subsidiary as a Restricted Subsidiary in accordance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5.12</w:t>
      </w:r>
      <w:r>
        <w:rPr>
          <w:rFonts w:ascii="Arial" w:cs="Arial" w:eastAsia="Arial" w:hAnsi="Arial"/>
          <w:sz w:val="19"/>
          <w:szCs w:val="19"/>
          <w:color w:val="auto"/>
        </w:rPr>
        <w:t xml:space="preserve"> shall constitute the incurrence by such Restricted Subsidiary at the time of designation of any Indebtedness or Liens of such Restricted Subsidiary outstanding at such time (to the extent assumed). No Restricted Subsidiary may be designated as an Unrestricted Subsidiary and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34" w:name="page435"/>
    <w:bookmarkEnd w:id="434"/>
    <w:p>
      <w:pPr>
        <w:spacing w:after="0" w:line="232" w:lineRule="auto"/>
        <w:rPr>
          <w:sz w:val="20"/>
          <w:szCs w:val="20"/>
          <w:color w:val="auto"/>
        </w:rPr>
      </w:pPr>
      <w:r>
        <w:rPr>
          <w:rFonts w:ascii="Arial" w:cs="Arial" w:eastAsia="Arial" w:hAnsi="Arial"/>
          <w:sz w:val="22"/>
          <w:szCs w:val="22"/>
          <w:color w:val="auto"/>
        </w:rPr>
        <w:t>Unrestricted Subsidiary may be designated as a Restricted Subsidiary unless such Subsidiary is also a Restricted Subsidiary or Unrestricted Subsidiary, as the case may be, under the Second Lien Loan Documents.</w:t>
      </w:r>
    </w:p>
    <w:p>
      <w:pPr>
        <w:spacing w:after="0" w:line="159" w:lineRule="exact"/>
        <w:rPr>
          <w:sz w:val="20"/>
          <w:szCs w:val="20"/>
          <w:color w:val="auto"/>
        </w:rPr>
      </w:pPr>
    </w:p>
    <w:p>
      <w:pPr>
        <w:jc w:val="both"/>
        <w:ind w:firstLine="1304"/>
        <w:spacing w:after="0" w:line="219" w:lineRule="auto"/>
        <w:tabs>
          <w:tab w:leader="none" w:pos="1817" w:val="left"/>
        </w:tabs>
        <w:numPr>
          <w:ilvl w:val="0"/>
          <w:numId w:val="478"/>
        </w:numPr>
        <w:rPr>
          <w:rFonts w:ascii="Arial" w:cs="Arial" w:eastAsia="Arial" w:hAnsi="Arial"/>
          <w:sz w:val="21"/>
          <w:szCs w:val="21"/>
          <w:color w:val="auto"/>
        </w:rPr>
      </w:pPr>
      <w:r>
        <w:rPr>
          <w:rFonts w:ascii="Arial" w:cs="Arial" w:eastAsia="Arial" w:hAnsi="Arial"/>
          <w:sz w:val="21"/>
          <w:szCs w:val="21"/>
          <w:color w:val="auto"/>
        </w:rPr>
        <w:t xml:space="preserve">The Borrower may designate (or re-designate) any Restricted Subsidiary that is an Excluded Subsidiary, as an Electing Guarantor. The Borrower may designate (or re-designate) any Electing Guarantor as an Excluded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after giving effect to such designation (or re-designation), such Restricted Subsidiary shall not be a guarantor of Second Lien Loans or any other Second Lien Obligations, any Credit Agreement Refinancing Indebtedness, any Term Loan Exchange Notes, any Second Lien Additional Debt or any Additional Debt, (ii) such designation (or re-designation) shall constitute an Investment by the relevant Borrower or the relevant Restricted Subsidiary, as applicable, therein at the date of designation (or re-designation) in an amount equal to the fair market value (as determined in good faith by the Borrower) of the Investments held by the Borrower and/or the Restricted Subsidiaries in such Electing Guarantor immediately prior to such designation (or re-designation) and such Investments shall otherwise be permitted hereunder and (iii) any Indebtedness or Liens of such Restricted Subsidiary (after giving effect to such designation (or re-designation)) shall be deemed to be incurred at the time of such designation (or re-designation) by such Electing Guarantor and such incurrence shall otherwise be permitted hereunder.</w:t>
      </w:r>
    </w:p>
    <w:p>
      <w:pPr>
        <w:spacing w:after="0" w:line="16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u w:val="single" w:color="auto"/>
          <w:color w:val="auto"/>
        </w:rPr>
        <w:t>Section 5.13 Lender Calls</w:t>
      </w:r>
      <w:r>
        <w:rPr>
          <w:rFonts w:ascii="Arial" w:cs="Arial" w:eastAsia="Arial" w:hAnsi="Arial"/>
          <w:sz w:val="19"/>
          <w:szCs w:val="19"/>
          <w:color w:val="auto"/>
        </w:rPr>
        <w:t>. The Borrower will engage in an annual telephonic meeting with the Administrative Agent and the Lenders to review the consolidated financial results of operations and the financial condition of the Borrower and its Restricted Subsidiaries to the extent reasonably requested by the Administrative Agent on behalf of the Lenders.</w:t>
      </w:r>
    </w:p>
    <w:p>
      <w:pPr>
        <w:spacing w:after="0" w:line="132"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 xml:space="preserve">Section 5.14 Post-Closing Covenants. The Borrower agrees to deliver, or cause to be delivered, to the Administrative Agent, the items described on </w:t>
      </w:r>
      <w:r>
        <w:rPr>
          <w:rFonts w:ascii="Arial" w:cs="Arial" w:eastAsia="Arial" w:hAnsi="Arial"/>
          <w:sz w:val="21"/>
          <w:szCs w:val="21"/>
          <w:u w:val="single" w:color="auto"/>
          <w:color w:val="auto"/>
        </w:rPr>
        <w:t>Schedule 5.14</w:t>
      </w:r>
      <w:r>
        <w:rPr>
          <w:rFonts w:ascii="Arial" w:cs="Arial" w:eastAsia="Arial" w:hAnsi="Arial"/>
          <w:sz w:val="21"/>
          <w:szCs w:val="21"/>
          <w:color w:val="auto"/>
        </w:rPr>
        <w:t xml:space="preserve"> on the dates and by the times specified with respect to such items, in each case, or such later time as may be agreed to by the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-305435</wp:posOffset>
            </wp:positionV>
            <wp:extent cx="23590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2359025" cy="8890"/>
                    </a:xfrm>
                    <a:prstGeom prst="rect">
                      <a:avLst/>
                    </a:prstGeom>
                    <a:noFill/>
                  </pic:spPr>
                </pic:pic>
              </a:graphicData>
            </a:graphic>
          </wp:anchor>
        </w:drawing>
      </w:r>
    </w:p>
    <w:p>
      <w:pPr>
        <w:spacing w:after="0" w:line="13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5.15</w:t>
      </w:r>
      <w:r>
        <w:rPr>
          <w:sz w:val="20"/>
          <w:szCs w:val="20"/>
          <w:color w:val="auto"/>
        </w:rPr>
        <w:tab/>
      </w:r>
      <w:r>
        <w:rPr>
          <w:rFonts w:ascii="Arial" w:cs="Arial" w:eastAsia="Arial" w:hAnsi="Arial"/>
          <w:sz w:val="19"/>
          <w:szCs w:val="19"/>
          <w:u w:val="single" w:color="auto"/>
          <w:color w:val="auto"/>
        </w:rPr>
        <w:t>Sanctions; Anti-Corruption Laws and Anti-Money Laundering Laws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9" w:lineRule="auto"/>
        <w:tabs>
          <w:tab w:leader="none" w:pos="1764" w:val="left"/>
        </w:tabs>
        <w:numPr>
          <w:ilvl w:val="0"/>
          <w:numId w:val="479"/>
        </w:numPr>
        <w:rPr>
          <w:rFonts w:ascii="Arial" w:cs="Arial" w:eastAsia="Arial" w:hAnsi="Arial"/>
          <w:sz w:val="19"/>
          <w:szCs w:val="19"/>
          <w:color w:val="auto"/>
        </w:rPr>
      </w:pPr>
      <w:r>
        <w:rPr>
          <w:rFonts w:ascii="Arial" w:cs="Arial" w:eastAsia="Arial" w:hAnsi="Arial"/>
          <w:sz w:val="19"/>
          <w:szCs w:val="19"/>
          <w:color w:val="auto"/>
        </w:rPr>
        <w:t>The Borrower will not, directly or, knowingly, indirectly, use the proceeds of the Loans or lend, contribute or otherwise make available such proceeds to any subsidiary, joint venture partner or other Person, (i) to fund any activities or business of or with any Person, or in any country or territory, that, at the time of such funding, is the target of any Sanctions, in violation of Sanctions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 or any other applicable anti-corruption law.</w:t>
      </w:r>
    </w:p>
    <w:p>
      <w:pPr>
        <w:spacing w:after="0" w:line="151" w:lineRule="exact"/>
        <w:rPr>
          <w:rFonts w:ascii="Arial" w:cs="Arial" w:eastAsia="Arial" w:hAnsi="Arial"/>
          <w:sz w:val="19"/>
          <w:szCs w:val="19"/>
          <w:color w:val="auto"/>
        </w:rPr>
      </w:pPr>
    </w:p>
    <w:p>
      <w:pPr>
        <w:ind w:firstLine="1304"/>
        <w:spacing w:after="0" w:line="247" w:lineRule="auto"/>
        <w:tabs>
          <w:tab w:leader="none" w:pos="1852" w:val="left"/>
        </w:tabs>
        <w:numPr>
          <w:ilvl w:val="0"/>
          <w:numId w:val="479"/>
        </w:numPr>
        <w:rPr>
          <w:rFonts w:ascii="Arial" w:cs="Arial" w:eastAsia="Arial" w:hAnsi="Arial"/>
          <w:sz w:val="21"/>
          <w:szCs w:val="21"/>
          <w:color w:val="auto"/>
        </w:rPr>
      </w:pPr>
      <w:r>
        <w:rPr>
          <w:rFonts w:ascii="Arial" w:cs="Arial" w:eastAsia="Arial" w:hAnsi="Arial"/>
          <w:sz w:val="21"/>
          <w:szCs w:val="21"/>
          <w:color w:val="auto"/>
        </w:rPr>
        <w:t>The Borrower and the other Loan Parties will comply in all material respects with the Patriot Act (to the extent applicable), applicable anti money-laundering laws, and all applicable anti-corruption laws and Sanctions.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jc w:val="center"/>
        <w:spacing w:after="0"/>
        <w:rPr>
          <w:sz w:val="20"/>
          <w:szCs w:val="20"/>
          <w:color w:val="auto"/>
        </w:rPr>
      </w:pPr>
      <w:r>
        <w:rPr>
          <w:rFonts w:ascii="Arial" w:cs="Arial" w:eastAsia="Arial" w:hAnsi="Arial"/>
          <w:sz w:val="22"/>
          <w:szCs w:val="22"/>
          <w:u w:val="single" w:color="auto"/>
          <w:color w:val="auto"/>
        </w:rPr>
        <w:t>Negative Covenants</w:t>
      </w:r>
    </w:p>
    <w:p>
      <w:pPr>
        <w:spacing w:after="0" w:line="161"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From and after the Closing Date and until the Termination Date, each of the Borrower and Holdings, as applicable, covenants and agrees with the Lenders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35" w:name="page436"/>
    <w:bookmarkEnd w:id="435"/>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6.01</w:t>
      </w:r>
      <w:r>
        <w:rPr>
          <w:sz w:val="20"/>
          <w:szCs w:val="20"/>
          <w:color w:val="auto"/>
        </w:rPr>
        <w:tab/>
      </w:r>
      <w:r>
        <w:rPr>
          <w:rFonts w:ascii="Arial" w:cs="Arial" w:eastAsia="Arial" w:hAnsi="Arial"/>
          <w:sz w:val="19"/>
          <w:szCs w:val="19"/>
          <w:u w:val="single" w:color="auto"/>
          <w:color w:val="auto"/>
        </w:rPr>
        <w:t>Indebtedness; Certain Equity Securities</w:t>
      </w:r>
      <w:r>
        <w:rPr>
          <w:rFonts w:ascii="Arial" w:cs="Arial" w:eastAsia="Arial" w:hAnsi="Arial"/>
          <w:sz w:val="19"/>
          <w:szCs w:val="19"/>
          <w:color w:val="auto"/>
        </w:rPr>
        <w:t>.</w:t>
      </w:r>
    </w:p>
    <w:p>
      <w:pPr>
        <w:spacing w:after="0" w:line="179"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The Borrower will not, nor will the Borrower permit any Restricted Subsidiary to, create, incur, assume or permit to exist any Indebtedness, except:</w:t>
      </w:r>
    </w:p>
    <w:p>
      <w:pPr>
        <w:spacing w:after="0" w:line="159" w:lineRule="exact"/>
        <w:rPr>
          <w:sz w:val="20"/>
          <w:szCs w:val="20"/>
          <w:color w:val="auto"/>
        </w:rPr>
      </w:pPr>
    </w:p>
    <w:p>
      <w:pPr>
        <w:ind w:left="1760" w:hanging="456"/>
        <w:spacing w:after="0"/>
        <w:tabs>
          <w:tab w:leader="none" w:pos="1760" w:val="left"/>
        </w:tabs>
        <w:numPr>
          <w:ilvl w:val="1"/>
          <w:numId w:val="480"/>
        </w:numPr>
        <w:rPr>
          <w:rFonts w:ascii="Arial" w:cs="Arial" w:eastAsia="Arial" w:hAnsi="Arial"/>
          <w:sz w:val="22"/>
          <w:szCs w:val="22"/>
          <w:color w:val="auto"/>
        </w:rPr>
      </w:pPr>
      <w:r>
        <w:rPr>
          <w:rFonts w:ascii="Arial" w:cs="Arial" w:eastAsia="Arial" w:hAnsi="Arial"/>
          <w:sz w:val="22"/>
          <w:szCs w:val="22"/>
          <w:color w:val="auto"/>
        </w:rPr>
        <w:t>Indebtedness created under the Loan Documents;</w:t>
      </w:r>
    </w:p>
    <w:p>
      <w:pPr>
        <w:spacing w:after="0" w:line="179" w:lineRule="exact"/>
        <w:rPr>
          <w:rFonts w:ascii="Arial" w:cs="Arial" w:eastAsia="Arial" w:hAnsi="Arial"/>
          <w:sz w:val="22"/>
          <w:szCs w:val="22"/>
          <w:color w:val="auto"/>
        </w:rPr>
      </w:pPr>
    </w:p>
    <w:p>
      <w:pPr>
        <w:jc w:val="both"/>
        <w:ind w:firstLine="1304"/>
        <w:spacing w:after="0" w:line="214" w:lineRule="auto"/>
        <w:tabs>
          <w:tab w:leader="none" w:pos="1869" w:val="left"/>
        </w:tabs>
        <w:numPr>
          <w:ilvl w:val="1"/>
          <w:numId w:val="480"/>
        </w:numPr>
        <w:rPr>
          <w:rFonts w:ascii="Arial" w:cs="Arial" w:eastAsia="Arial" w:hAnsi="Arial"/>
          <w:sz w:val="22"/>
          <w:szCs w:val="22"/>
          <w:color w:val="auto"/>
        </w:rPr>
      </w:pPr>
      <w:r>
        <w:rPr>
          <w:rFonts w:ascii="Arial" w:cs="Arial" w:eastAsia="Arial" w:hAnsi="Arial"/>
          <w:sz w:val="22"/>
          <w:szCs w:val="22"/>
          <w:color w:val="auto"/>
        </w:rPr>
        <w:t xml:space="preserve">Indebtedness of any Restricted Subsidiary to Holdings, the Borrower or any other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(1) Indebtedness of any Restricted Subsidiary that is not a Loan Party owing to any Loan Party shall, in each case, be otherwise permitted by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6.04</w:t>
      </w:r>
      <w:r>
        <w:rPr>
          <w:rFonts w:ascii="Arial" w:cs="Arial" w:eastAsia="Arial" w:hAnsi="Arial"/>
          <w:sz w:val="22"/>
          <w:szCs w:val="22"/>
          <w:u w:val="single" w:color="auto"/>
          <w:color w:val="auto"/>
        </w:rPr>
        <w:t>(d)(iii)</w:t>
      </w:r>
      <w:r>
        <w:rPr>
          <w:rFonts w:ascii="Arial" w:cs="Arial" w:eastAsia="Arial" w:hAnsi="Arial"/>
          <w:sz w:val="22"/>
          <w:szCs w:val="22"/>
          <w:color w:val="auto"/>
        </w:rPr>
        <w:t xml:space="preserve"> and (2) Indebtedness of any Loan Party owing to a Subsidiary that is not a Loan Party shall be subordinated to the Obligations on terms which prohibit the repayment thereof after the occurrence of an Event of Default pursuant to </w:t>
      </w:r>
      <w:r>
        <w:rPr>
          <w:rFonts w:ascii="Arial" w:cs="Arial" w:eastAsia="Arial" w:hAnsi="Arial"/>
          <w:sz w:val="22"/>
          <w:szCs w:val="22"/>
          <w:u w:val="single" w:color="auto"/>
          <w:color w:val="auto"/>
        </w:rPr>
        <w:t>Section 7.01(h)</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w:t>
      </w:r>
      <w:r>
        <w:rPr>
          <w:rFonts w:ascii="Arial" w:cs="Arial" w:eastAsia="Arial" w:hAnsi="Arial"/>
          <w:sz w:val="22"/>
          <w:szCs w:val="22"/>
          <w:color w:val="auto"/>
        </w:rPr>
        <w:t xml:space="preserve"> or the acceleration of the Obligations pursuant to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after the occurrence of any other Event of Default;</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1853" w:val="left"/>
        </w:tabs>
        <w:numPr>
          <w:ilvl w:val="1"/>
          <w:numId w:val="480"/>
        </w:numPr>
        <w:rPr>
          <w:rFonts w:ascii="Arial" w:cs="Arial" w:eastAsia="Arial" w:hAnsi="Arial"/>
          <w:sz w:val="21"/>
          <w:szCs w:val="21"/>
          <w:color w:val="auto"/>
        </w:rPr>
      </w:pPr>
      <w:r>
        <w:rPr>
          <w:rFonts w:ascii="Arial" w:cs="Arial" w:eastAsia="Arial" w:hAnsi="Arial"/>
          <w:sz w:val="21"/>
          <w:szCs w:val="21"/>
          <w:color w:val="auto"/>
        </w:rPr>
        <w:t xml:space="preserve">Guarantees by any Restricted Subsidiary of Indebtedness of any Holding Company, the Borrower or any other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(1) the Indebtedness so Guaranteed is otherwise permitted by this Section, (2) Guarantees by any Loan Party of Indebtedness of any Restricted Subsidiary that is not a Loan Party shall, in each case, be permitted by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(other than due to </w:t>
      </w:r>
      <w:r>
        <w:rPr>
          <w:rFonts w:ascii="Arial" w:cs="Arial" w:eastAsia="Arial" w:hAnsi="Arial"/>
          <w:sz w:val="21"/>
          <w:szCs w:val="21"/>
          <w:u w:val="single" w:color="auto"/>
          <w:color w:val="auto"/>
        </w:rPr>
        <w:t>Section 6.04(aa)</w:t>
      </w:r>
      <w:r>
        <w:rPr>
          <w:rFonts w:ascii="Arial" w:cs="Arial" w:eastAsia="Arial" w:hAnsi="Arial"/>
          <w:sz w:val="21"/>
          <w:szCs w:val="21"/>
          <w:color w:val="auto"/>
        </w:rPr>
        <w:t xml:space="preserve">), (3) if Indebtedness being guaranteed is subordinated in right of payment to the Obligations under the Loan Documents, such Guarantees permitted under this </w:t>
      </w:r>
      <w:r>
        <w:rPr>
          <w:rFonts w:ascii="Arial" w:cs="Arial" w:eastAsia="Arial" w:hAnsi="Arial"/>
          <w:sz w:val="21"/>
          <w:szCs w:val="21"/>
          <w:u w:val="single" w:color="auto"/>
          <w:color w:val="auto"/>
        </w:rPr>
        <w:t>clause (c)</w:t>
      </w:r>
      <w:r>
        <w:rPr>
          <w:rFonts w:ascii="Arial" w:cs="Arial" w:eastAsia="Arial" w:hAnsi="Arial"/>
          <w:sz w:val="21"/>
          <w:szCs w:val="21"/>
          <w:color w:val="auto"/>
        </w:rPr>
        <w:t xml:space="preserve"> shall be subordinated to the applicable Loan Party’s Obligations to the same extent and on the same terms as the Indebtedness so Guaranteed is subordinated to the Obligations and (4) none of the Second Lien Loans or other Second Lien Obligations shall be Guaranteed by any Restricted Subsidiary unless such Restricted Subsidiary is, prior to, or substantially concurrent with, issuing such Guarantee becomes a Loan Party;</w:t>
      </w:r>
    </w:p>
    <w:p>
      <w:pPr>
        <w:spacing w:after="0" w:line="158" w:lineRule="exact"/>
        <w:rPr>
          <w:rFonts w:ascii="Arial" w:cs="Arial" w:eastAsia="Arial" w:hAnsi="Arial"/>
          <w:sz w:val="21"/>
          <w:szCs w:val="21"/>
          <w:color w:val="auto"/>
        </w:rPr>
      </w:pPr>
    </w:p>
    <w:p>
      <w:pPr>
        <w:jc w:val="both"/>
        <w:ind w:firstLine="1304"/>
        <w:spacing w:after="0" w:line="239" w:lineRule="auto"/>
        <w:tabs>
          <w:tab w:leader="none" w:pos="1873" w:val="left"/>
        </w:tabs>
        <w:numPr>
          <w:ilvl w:val="1"/>
          <w:numId w:val="480"/>
        </w:numPr>
        <w:rPr>
          <w:rFonts w:ascii="Arial" w:cs="Arial" w:eastAsia="Arial" w:hAnsi="Arial"/>
          <w:sz w:val="19"/>
          <w:szCs w:val="19"/>
          <w:color w:val="auto"/>
        </w:rPr>
      </w:pPr>
      <w:r>
        <w:rPr>
          <w:rFonts w:ascii="Arial" w:cs="Arial" w:eastAsia="Arial" w:hAnsi="Arial"/>
          <w:sz w:val="19"/>
          <w:szCs w:val="19"/>
          <w:color w:val="auto"/>
        </w:rPr>
        <w:t xml:space="preserve">(1) Indebtedness incurred to finance the acquisition, development, construction, restoration, replacement, rebuilding, maintenance, upgrade or improvement of any fixed or capital assets, including Capital Lease Obligations, Synthetic Lease Obligations and any Indebtedness assumed in connection with the acquisition of any such assets or secured by a Lien on any such assets prior to the acquisition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is incurred prior to or within 270 days after such acquisition or the completion of such development, construction, restoration, replacement, rebuilding, maintenance, upgrade or improvement and (2) extensions, renewals and replacements of any such Indebtedness (including any Permitted Refinancing) so long as the principal amount of such extensions, renewals and replacements does not exceed the principal amount of the Indebtedness being extended, renewed or replaced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but unpaid interest (including any portion thereof which is payable in kind in accordance with the terms of such extended, renewed or replaced Indebtedness) and premium payable by the terms of such Indebtedness thereon and fees and expenses associated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original principal amount of Indebtedness permitted by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at any time outstanding shall not exceed the greater of (x) $30,000,000 and</w:t>
      </w:r>
    </w:p>
    <w:p>
      <w:pPr>
        <w:ind w:left="320" w:hanging="312"/>
        <w:spacing w:after="0"/>
        <w:tabs>
          <w:tab w:leader="none" w:pos="320" w:val="left"/>
        </w:tabs>
        <w:numPr>
          <w:ilvl w:val="0"/>
          <w:numId w:val="481"/>
        </w:numPr>
        <w:rPr>
          <w:rFonts w:ascii="Arial" w:cs="Arial" w:eastAsia="Arial" w:hAnsi="Arial"/>
          <w:sz w:val="22"/>
          <w:szCs w:val="22"/>
          <w:color w:val="auto"/>
        </w:rPr>
      </w:pPr>
      <w:r>
        <w:rPr>
          <w:rFonts w:ascii="Arial" w:cs="Arial" w:eastAsia="Arial" w:hAnsi="Arial"/>
          <w:sz w:val="22"/>
          <w:szCs w:val="22"/>
          <w:color w:val="auto"/>
        </w:rPr>
        <w:t>30.0% of LTM EBITDA calculated on a Pro Forma Basis as of the Applicable Date of Determination;</w:t>
      </w:r>
    </w:p>
    <w:p>
      <w:pPr>
        <w:spacing w:after="0" w:line="161" w:lineRule="exact"/>
        <w:rPr>
          <w:rFonts w:ascii="Arial" w:cs="Arial" w:eastAsia="Arial" w:hAnsi="Arial"/>
          <w:sz w:val="22"/>
          <w:szCs w:val="22"/>
          <w:color w:val="auto"/>
        </w:rPr>
      </w:pPr>
    </w:p>
    <w:p>
      <w:pPr>
        <w:jc w:val="both"/>
        <w:ind w:firstLine="1304"/>
        <w:spacing w:after="0" w:line="222" w:lineRule="auto"/>
        <w:tabs>
          <w:tab w:leader="none" w:pos="1760" w:val="left"/>
        </w:tabs>
        <w:numPr>
          <w:ilvl w:val="1"/>
          <w:numId w:val="481"/>
        </w:numPr>
        <w:rPr>
          <w:rFonts w:ascii="Arial" w:cs="Arial" w:eastAsia="Arial" w:hAnsi="Arial"/>
          <w:sz w:val="21"/>
          <w:szCs w:val="21"/>
          <w:color w:val="auto"/>
        </w:rPr>
      </w:pPr>
      <w:r>
        <w:rPr>
          <w:rFonts w:ascii="Arial" w:cs="Arial" w:eastAsia="Arial" w:hAnsi="Arial"/>
          <w:sz w:val="21"/>
          <w:szCs w:val="21"/>
          <w:color w:val="auto"/>
        </w:rPr>
        <w:t xml:space="preserve">(1) Indebtedness of (A) any Person incurred, acquired or assumed in connection with a Permitted Acquisition or permitted Investment or assumed in connection with the acquisition of any assets and (B) any Unrestricted Subsidiary that is redesignated as a Restricted Subsidiary (it being acknowledged that, subject to the proviso to this </w:t>
      </w:r>
      <w:r>
        <w:rPr>
          <w:rFonts w:ascii="Arial" w:cs="Arial" w:eastAsia="Arial" w:hAnsi="Arial"/>
          <w:sz w:val="21"/>
          <w:szCs w:val="21"/>
          <w:u w:val="single" w:color="auto"/>
          <w:color w:val="auto"/>
        </w:rPr>
        <w:t>clause (e)</w:t>
      </w:r>
      <w:r>
        <w:rPr>
          <w:rFonts w:ascii="Arial" w:cs="Arial" w:eastAsia="Arial" w:hAnsi="Arial"/>
          <w:sz w:val="21"/>
          <w:szCs w:val="21"/>
          <w:color w:val="auto"/>
        </w:rPr>
        <w:t xml:space="preserve">, (x) a Person that becomes a direct or indirect Restricted Subsidiary as a result of a Permitted Acquisition or a permitted Investment may remain liable with respect to Indebtedness existing on the date of such acquisition and (y) an Unrestricted Subsidiary that is redesignated as a Restricted Subsidiary may remain liable with respect to Indebtedness existing on the date of such redesignation);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if acquired or assumed, such Indebtedness is not created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36" w:name="page437"/>
    <w:bookmarkEnd w:id="436"/>
    <w:p>
      <w:pPr>
        <w:jc w:val="both"/>
        <w:spacing w:after="0" w:line="239" w:lineRule="auto"/>
        <w:rPr>
          <w:sz w:val="20"/>
          <w:szCs w:val="20"/>
          <w:color w:val="auto"/>
        </w:rPr>
      </w:pPr>
      <w:r>
        <w:rPr>
          <w:rFonts w:ascii="Arial" w:cs="Arial" w:eastAsia="Arial" w:hAnsi="Arial"/>
          <w:sz w:val="19"/>
          <w:szCs w:val="19"/>
          <w:color w:val="auto"/>
        </w:rPr>
        <w:t xml:space="preserve">anticipation of such acquisition or redesignation, (ii) in the case of such Indebtedness acquired or assumed in connection with a Permitted Acquisition or permitted Investment or redesignation, (I) such Indebtedness is not secured by any property or asset other than the property or assets acquired, (II) such Indebtedness is not guaranteed by any Loan Party (other than a Person acquired in the Permitted Acquisition or permitted Investment or any other Person who merges with or acquires the assets of such Person in connection with such Permitted Acquisition or permitted Investment) and (III) either (X) immediately after giving effect to such Permitted Acquisition, permitted Investment or redesignation, as the case may be, the Borrower shall be in compliance on a Pro Forma Basis as of the Applicable Date of Determination with the First Lien Net Leverage Ratio, the Senior Secured Net Leverage Ratio or the Total Net Leverage Ratio that in each case would be applicable to such type of Indebtedness pursuant to </w:t>
      </w:r>
      <w:r>
        <w:rPr>
          <w:rFonts w:ascii="Arial" w:cs="Arial" w:eastAsia="Arial" w:hAnsi="Arial"/>
          <w:sz w:val="19"/>
          <w:szCs w:val="19"/>
          <w:u w:val="single" w:color="auto"/>
          <w:color w:val="auto"/>
        </w:rPr>
        <w:t>clause (iv)(I)(x)</w:t>
      </w:r>
      <w:r>
        <w:rPr>
          <w:rFonts w:ascii="Arial" w:cs="Arial" w:eastAsia="Arial" w:hAnsi="Arial"/>
          <w:sz w:val="19"/>
          <w:szCs w:val="19"/>
          <w:color w:val="auto"/>
        </w:rPr>
        <w:t xml:space="preserve"> below, </w:t>
      </w:r>
      <w:r>
        <w:rPr>
          <w:rFonts w:ascii="Arial" w:cs="Arial" w:eastAsia="Arial" w:hAnsi="Arial"/>
          <w:sz w:val="19"/>
          <w:szCs w:val="19"/>
          <w:u w:val="single" w:color="auto"/>
          <w:color w:val="auto"/>
        </w:rPr>
        <w:t>clause (iv)(II)(x)(A)</w:t>
      </w:r>
      <w:r>
        <w:rPr>
          <w:rFonts w:ascii="Arial" w:cs="Arial" w:eastAsia="Arial" w:hAnsi="Arial"/>
          <w:sz w:val="19"/>
          <w:szCs w:val="19"/>
          <w:color w:val="auto"/>
        </w:rPr>
        <w:t xml:space="preserve"> below or </w:t>
      </w:r>
      <w:r>
        <w:rPr>
          <w:rFonts w:ascii="Arial" w:cs="Arial" w:eastAsia="Arial" w:hAnsi="Arial"/>
          <w:sz w:val="19"/>
          <w:szCs w:val="19"/>
          <w:u w:val="single" w:color="auto"/>
          <w:color w:val="auto"/>
        </w:rPr>
        <w:t>clause (iv)(III)(x)(A)</w:t>
      </w:r>
      <w:r>
        <w:rPr>
          <w:rFonts w:ascii="Arial" w:cs="Arial" w:eastAsia="Arial" w:hAnsi="Arial"/>
          <w:sz w:val="19"/>
          <w:szCs w:val="19"/>
          <w:color w:val="auto"/>
        </w:rPr>
        <w:t xml:space="preserve"> below, as the case may be, or (Y) the aggregate amount of assumed Indebtedness at any time outstanding pursuant to this </w:t>
      </w:r>
      <w:r>
        <w:rPr>
          <w:rFonts w:ascii="Arial" w:cs="Arial" w:eastAsia="Arial" w:hAnsi="Arial"/>
          <w:sz w:val="19"/>
          <w:szCs w:val="19"/>
          <w:u w:val="single" w:color="auto"/>
          <w:color w:val="auto"/>
        </w:rPr>
        <w:t>clause (ii)(III)(Y)</w:t>
      </w:r>
      <w:r>
        <w:rPr>
          <w:rFonts w:ascii="Arial" w:cs="Arial" w:eastAsia="Arial" w:hAnsi="Arial"/>
          <w:sz w:val="19"/>
          <w:szCs w:val="19"/>
          <w:color w:val="auto"/>
        </w:rPr>
        <w:t xml:space="preserve"> shall not exceed the greater of (x) $50,000,000 and (y) 50% of LTM EBITDA calculated on a Pro Forma Basis as of the Applicable Date of Determination,</w:t>
      </w:r>
    </w:p>
    <w:p>
      <w:pPr>
        <w:spacing w:after="0" w:line="1" w:lineRule="exact"/>
        <w:rPr>
          <w:sz w:val="20"/>
          <w:szCs w:val="20"/>
          <w:color w:val="auto"/>
        </w:rPr>
      </w:pPr>
    </w:p>
    <w:p>
      <w:pPr>
        <w:jc w:val="both"/>
        <w:ind w:firstLine="8"/>
        <w:spacing w:after="0" w:line="237" w:lineRule="auto"/>
        <w:tabs>
          <w:tab w:leader="none" w:pos="380" w:val="left"/>
        </w:tabs>
        <w:numPr>
          <w:ilvl w:val="0"/>
          <w:numId w:val="482"/>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no Event of Default has occurred and is continuing or would result therefrom, (iv) in the case of such Indebtedness that is incurred, immediately after giving effect to such Permitted Acquisition, permitted Investment or redesignation, as the case may be, and the incurrence of such Indebtedness, (I) if such Indebtedness is secured on a pari passu basis with the Obligations, the First Lien Net Leverage Ratio, calculated on a Pro Forma Basis as of the Applicable Date of Determination, either (x) is no greater than 5.20 to 1.00 or (y) is no greater than the First Lien Net Leverage Ratio in effect immediately prior to the applicable Permitted Acquisition, other permitted Investment or redesignation, (II) if such Indebtedness is secured on a junior lien basis to the Obligations, the Senior Secured Net Leverage Ratio, calculated on a Pro Forma Basis as of the Applicable Date of Determination, either (x) is no greater than 7.00 to 1.00 or (y) is no greater than the Senior Secured Net Leverage Ratio in effect on such Applicable Date of Determination immediately prior to such Permitted Acquisition, other permitted Investment or redesignation;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any such Indebtedness is secured by Liens on the Collateral</w:t>
      </w:r>
    </w:p>
    <w:p>
      <w:pPr>
        <w:spacing w:after="0" w:line="2" w:lineRule="exact"/>
        <w:rPr>
          <w:rFonts w:ascii="Arial" w:cs="Arial" w:eastAsia="Arial" w:hAnsi="Arial"/>
          <w:sz w:val="19"/>
          <w:szCs w:val="19"/>
          <w:color w:val="auto"/>
        </w:rPr>
      </w:pPr>
    </w:p>
    <w:p>
      <w:pPr>
        <w:jc w:val="both"/>
        <w:spacing w:after="0"/>
        <w:rPr>
          <w:rFonts w:ascii="Arial" w:cs="Arial" w:eastAsia="Arial" w:hAnsi="Arial"/>
          <w:sz w:val="19"/>
          <w:szCs w:val="19"/>
          <w:color w:val="auto"/>
        </w:rPr>
      </w:pPr>
      <w:r>
        <w:rPr>
          <w:rFonts w:ascii="Arial" w:cs="Arial" w:eastAsia="Arial" w:hAnsi="Arial"/>
          <w:sz w:val="19"/>
          <w:szCs w:val="19"/>
          <w:color w:val="auto"/>
        </w:rPr>
        <w:t xml:space="preserve">(1) on a junior lien basis, the secured parties thereunder, or a trustee or collateral agent or other Senior Representative on their behalf, shall have become a party to a Second Lien Intercreditor Agreement or (2) on a pari passu lien basis, the secured parties thereunder, or a trustee or collateral agent or other Senior Representative on their behalf, shall have become a party to the Pari Passu Intercreditor Agreement or other intercreditor arrangements reasonably acceptable to the Borrower and the Administrative Agent, and (III) if such Indebtedness is unsecured or is secured by assets other than the Collateral, either (x) the Total Net Leverage Ratio, calculated on a Pro Forma Basis as of the Applicable Date of Determination, either (A) is no greater than 7.00 to 1.00 or (B) is no greater than the Total Net Leverage Ratio in effect on such Applicable Date of Determination immediately prior to such Permitted Acquisition, other permitted Investment or redesignation or (y) the Interest Coverage Ratio, calculated on a Pro Forma Basis as of the Applicable Date of Determination, either (A) is no less than 2.00 to 1.00 or (B) is no less than the Interest Coverage Ratio in effect on such Applicable Date of Determination immediately prior to such Permitted Acquisition, other permitted Investment or redesignation;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such leverage ratios shall be calculated without giving effect to any amount incurred simultaneously under the Revolving Credit Facility, (v) such Indebtedness shall comply with the requirements set forth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of the definition of “Additional Debt” to the same extent as if such Indebtedness were Additional Debt and (vi) in the case of such Indebtedness that is incurred, such Indebtedness shall comply with the requirements set forth in </w:t>
      </w:r>
      <w:r>
        <w:rPr>
          <w:rFonts w:ascii="Arial" w:cs="Arial" w:eastAsia="Arial" w:hAnsi="Arial"/>
          <w:sz w:val="19"/>
          <w:szCs w:val="19"/>
          <w:u w:val="single" w:color="auto"/>
          <w:color w:val="auto"/>
        </w:rPr>
        <w:t>clauses (vii)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of the definition of “Additional Debt” to the same extent as if such Indebtedness were Additional Debt and (2) any Permitted Refinancings thereof;</w:t>
      </w:r>
    </w:p>
    <w:p>
      <w:pPr>
        <w:spacing w:after="0" w:line="376" w:lineRule="exact"/>
        <w:rPr>
          <w:rFonts w:ascii="Arial" w:cs="Arial" w:eastAsia="Arial" w:hAnsi="Arial"/>
          <w:sz w:val="19"/>
          <w:szCs w:val="19"/>
          <w:color w:val="auto"/>
        </w:rPr>
      </w:pPr>
    </w:p>
    <w:p>
      <w:pPr>
        <w:jc w:val="both"/>
        <w:ind w:firstLine="1304"/>
        <w:spacing w:after="0" w:line="223" w:lineRule="auto"/>
        <w:tabs>
          <w:tab w:leader="none" w:pos="1862" w:val="left"/>
        </w:tabs>
        <w:numPr>
          <w:ilvl w:val="1"/>
          <w:numId w:val="482"/>
        </w:numPr>
        <w:rPr>
          <w:rFonts w:ascii="Arial" w:cs="Arial" w:eastAsia="Arial" w:hAnsi="Arial"/>
          <w:sz w:val="22"/>
          <w:szCs w:val="22"/>
          <w:color w:val="auto"/>
        </w:rPr>
      </w:pPr>
      <w:r>
        <w:rPr>
          <w:rFonts w:ascii="Arial" w:cs="Arial" w:eastAsia="Arial" w:hAnsi="Arial"/>
          <w:sz w:val="22"/>
          <w:szCs w:val="22"/>
          <w:color w:val="auto"/>
        </w:rPr>
        <w:t>other Indebtedness in an aggregate original principal amount outstanding at any time not exceeding the greater of (x) $45,000,000 and (y) 45.0% of LTM EBITDA calculated on a Pro Forma Basis as of the Applicable Date of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37" w:name="page438"/>
    <w:bookmarkEnd w:id="437"/>
    <w:p>
      <w:pPr>
        <w:jc w:val="both"/>
        <w:ind w:firstLine="1304"/>
        <w:spacing w:after="0" w:line="218" w:lineRule="auto"/>
        <w:tabs>
          <w:tab w:leader="none" w:pos="1800" w:val="left"/>
        </w:tabs>
        <w:numPr>
          <w:ilvl w:val="0"/>
          <w:numId w:val="483"/>
        </w:numPr>
        <w:rPr>
          <w:rFonts w:ascii="Arial" w:cs="Arial" w:eastAsia="Arial" w:hAnsi="Arial"/>
          <w:sz w:val="22"/>
          <w:szCs w:val="22"/>
          <w:color w:val="auto"/>
        </w:rPr>
      </w:pPr>
      <w:r>
        <w:rPr>
          <w:rFonts w:ascii="Arial" w:cs="Arial" w:eastAsia="Arial" w:hAnsi="Arial"/>
          <w:sz w:val="22"/>
          <w:szCs w:val="22"/>
          <w:color w:val="auto"/>
        </w:rPr>
        <w:t>Indebtedness owed to any Person (including obligations in respect of letters of credit for the benefit of such Person) providing workers’ compensation, health, disability or other employee benefits or property, casualty, liability insurance, self-insurance, pursuant to reimbursement or indemnification obligations to such Person, in each case incurred in the ordinary course of business or consistent with past practice;</w:t>
      </w:r>
    </w:p>
    <w:p>
      <w:pPr>
        <w:spacing w:after="0" w:line="160" w:lineRule="exact"/>
        <w:rPr>
          <w:rFonts w:ascii="Arial" w:cs="Arial" w:eastAsia="Arial" w:hAnsi="Arial"/>
          <w:sz w:val="22"/>
          <w:szCs w:val="22"/>
          <w:color w:val="auto"/>
        </w:rPr>
      </w:pPr>
    </w:p>
    <w:p>
      <w:pPr>
        <w:jc w:val="both"/>
        <w:ind w:firstLine="1304"/>
        <w:spacing w:after="0" w:line="216" w:lineRule="auto"/>
        <w:tabs>
          <w:tab w:leader="none" w:pos="1916" w:val="left"/>
        </w:tabs>
        <w:numPr>
          <w:ilvl w:val="0"/>
          <w:numId w:val="483"/>
        </w:numPr>
        <w:rPr>
          <w:rFonts w:ascii="Arial" w:cs="Arial" w:eastAsia="Arial" w:hAnsi="Arial"/>
          <w:sz w:val="22"/>
          <w:szCs w:val="22"/>
          <w:color w:val="auto"/>
        </w:rPr>
      </w:pPr>
      <w:r>
        <w:rPr>
          <w:rFonts w:ascii="Arial" w:cs="Arial" w:eastAsia="Arial" w:hAnsi="Arial"/>
          <w:sz w:val="22"/>
          <w:szCs w:val="22"/>
          <w:color w:val="auto"/>
        </w:rPr>
        <w:t>Indebtedness in respect of or guarantee of performance bonds, bid bonds, appeal bonds, surety bonds, performance and completion guarantees, workers’ compensation claims, letters of credit, bank guarantees and banker’s acceptances, warehouse receipts or similar instruments and similar obligations (other than in respect of other Indebtedness for borrowed money) including those incurred to secure health, safety and environmental obligations, in each case provided in the ordinary course of business or consistent with past practice;</w:t>
      </w:r>
    </w:p>
    <w:p>
      <w:pPr>
        <w:spacing w:after="0" w:line="157" w:lineRule="exact"/>
        <w:rPr>
          <w:rFonts w:ascii="Arial" w:cs="Arial" w:eastAsia="Arial" w:hAnsi="Arial"/>
          <w:sz w:val="22"/>
          <w:szCs w:val="22"/>
          <w:color w:val="auto"/>
        </w:rPr>
      </w:pPr>
    </w:p>
    <w:p>
      <w:pPr>
        <w:ind w:left="1720" w:hanging="416"/>
        <w:spacing w:after="0"/>
        <w:tabs>
          <w:tab w:leader="none" w:pos="1720" w:val="left"/>
        </w:tabs>
        <w:numPr>
          <w:ilvl w:val="0"/>
          <w:numId w:val="483"/>
        </w:numPr>
        <w:rPr>
          <w:rFonts w:ascii="Arial" w:cs="Arial" w:eastAsia="Arial" w:hAnsi="Arial"/>
          <w:sz w:val="22"/>
          <w:szCs w:val="22"/>
          <w:color w:val="auto"/>
        </w:rPr>
      </w:pPr>
      <w:r>
        <w:rPr>
          <w:rFonts w:ascii="Arial" w:cs="Arial" w:eastAsia="Arial" w:hAnsi="Arial"/>
          <w:sz w:val="22"/>
          <w:szCs w:val="22"/>
          <w:color w:val="auto"/>
        </w:rPr>
        <w:t>Indebtedness in respect of Swap Agreements not entered into for speculative purposes;</w:t>
      </w:r>
    </w:p>
    <w:p>
      <w:pPr>
        <w:spacing w:after="0" w:line="179" w:lineRule="exact"/>
        <w:rPr>
          <w:rFonts w:ascii="Arial" w:cs="Arial" w:eastAsia="Arial" w:hAnsi="Arial"/>
          <w:sz w:val="22"/>
          <w:szCs w:val="22"/>
          <w:color w:val="auto"/>
        </w:rPr>
      </w:pPr>
    </w:p>
    <w:p>
      <w:pPr>
        <w:jc w:val="both"/>
        <w:ind w:firstLine="1304"/>
        <w:spacing w:after="0" w:line="214" w:lineRule="auto"/>
        <w:tabs>
          <w:tab w:leader="none" w:pos="1826" w:val="left"/>
        </w:tabs>
        <w:numPr>
          <w:ilvl w:val="0"/>
          <w:numId w:val="483"/>
        </w:numPr>
        <w:rPr>
          <w:rFonts w:ascii="Arial" w:cs="Arial" w:eastAsia="Arial" w:hAnsi="Arial"/>
          <w:sz w:val="22"/>
          <w:szCs w:val="22"/>
          <w:color w:val="auto"/>
        </w:rPr>
      </w:pPr>
      <w:r>
        <w:rPr>
          <w:rFonts w:ascii="Arial" w:cs="Arial" w:eastAsia="Arial" w:hAnsi="Arial"/>
          <w:sz w:val="22"/>
          <w:szCs w:val="22"/>
          <w:color w:val="auto"/>
        </w:rPr>
        <w:t xml:space="preserve">Indebtedness of any Restricted Subsidiary that is not a Loan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principal amount of Indebtedness permitted under this </w:t>
      </w:r>
      <w:r>
        <w:rPr>
          <w:rFonts w:ascii="Arial" w:cs="Arial" w:eastAsia="Arial" w:hAnsi="Arial"/>
          <w:sz w:val="22"/>
          <w:szCs w:val="22"/>
          <w:u w:val="single" w:color="auto"/>
          <w:color w:val="auto"/>
        </w:rPr>
        <w:t>clause (j)</w:t>
      </w:r>
      <w:r>
        <w:rPr>
          <w:rFonts w:ascii="Arial" w:cs="Arial" w:eastAsia="Arial" w:hAnsi="Arial"/>
          <w:sz w:val="22"/>
          <w:szCs w:val="22"/>
          <w:color w:val="auto"/>
        </w:rPr>
        <w:t xml:space="preserve"> shall not exceed the greater of (x) $45,000,000 and (y) 45.0% of LTM EBITDA calculated on a Pro Forma Basis as of the Applicable Date of Determination;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(1) if secured, such Indebtedness is secured solely by Liens on the current assets of Restricted Subsidiaries that are not Loan Parties (and not on the Collateral) and (2) Loan Parties shall not Guarantee such Indebtedness unless such Guarantee would otherwise be permitted under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855" w:val="left"/>
        </w:tabs>
        <w:numPr>
          <w:ilvl w:val="0"/>
          <w:numId w:val="483"/>
        </w:numPr>
        <w:rPr>
          <w:rFonts w:ascii="Arial" w:cs="Arial" w:eastAsia="Arial" w:hAnsi="Arial"/>
          <w:sz w:val="19"/>
          <w:szCs w:val="19"/>
          <w:color w:val="auto"/>
        </w:rPr>
      </w:pPr>
      <w:r>
        <w:rPr>
          <w:rFonts w:ascii="Arial" w:cs="Arial" w:eastAsia="Arial" w:hAnsi="Arial"/>
          <w:sz w:val="19"/>
          <w:szCs w:val="19"/>
          <w:color w:val="auto"/>
        </w:rPr>
        <w:t>Indebtedness with respect to financial accommodations of the nature described in the definition of “Cash Management Obligations,” and other Indebtedness in respect of treasury, depositary, cash management and netting services, automatic clearinghouse arrangements, overdraft protections and similar arrangements or otherwise in connection with securities accounts and deposit accounts, in each case, in the ordinary course of business or consistent with past practice;</w:t>
      </w:r>
    </w:p>
    <w:p>
      <w:pPr>
        <w:spacing w:after="0" w:line="144" w:lineRule="exact"/>
        <w:rPr>
          <w:rFonts w:ascii="Arial" w:cs="Arial" w:eastAsia="Arial" w:hAnsi="Arial"/>
          <w:sz w:val="19"/>
          <w:szCs w:val="19"/>
          <w:color w:val="auto"/>
        </w:rPr>
      </w:pPr>
    </w:p>
    <w:p>
      <w:pPr>
        <w:ind w:firstLine="1304"/>
        <w:spacing w:after="0" w:line="232" w:lineRule="auto"/>
        <w:tabs>
          <w:tab w:leader="none" w:pos="1719" w:val="left"/>
        </w:tabs>
        <w:numPr>
          <w:ilvl w:val="0"/>
          <w:numId w:val="483"/>
        </w:numPr>
        <w:rPr>
          <w:rFonts w:ascii="Arial" w:cs="Arial" w:eastAsia="Arial" w:hAnsi="Arial"/>
          <w:sz w:val="22"/>
          <w:szCs w:val="22"/>
          <w:color w:val="auto"/>
        </w:rPr>
      </w:pPr>
      <w:r>
        <w:rPr>
          <w:rFonts w:ascii="Arial" w:cs="Arial" w:eastAsia="Arial" w:hAnsi="Arial"/>
          <w:sz w:val="22"/>
          <w:szCs w:val="22"/>
          <w:color w:val="auto"/>
        </w:rPr>
        <w:t>Indebtedness consisting of (1) the financing of insurance premiums or (2) take or pay obligations contained in supply arrangements, in each case, in the ordinary course of business or consistent with past practice;</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2084" w:val="left"/>
        </w:tabs>
        <w:numPr>
          <w:ilvl w:val="0"/>
          <w:numId w:val="483"/>
        </w:numPr>
        <w:rPr>
          <w:rFonts w:ascii="Arial" w:cs="Arial" w:eastAsia="Arial" w:hAnsi="Arial"/>
          <w:sz w:val="22"/>
          <w:szCs w:val="22"/>
          <w:color w:val="auto"/>
        </w:rPr>
      </w:pPr>
      <w:r>
        <w:rPr>
          <w:rFonts w:ascii="Arial" w:cs="Arial" w:eastAsia="Arial" w:hAnsi="Arial"/>
          <w:sz w:val="22"/>
          <w:szCs w:val="22"/>
          <w:color w:val="auto"/>
        </w:rPr>
        <w:t>Indebtedness arising from agreements providing for indemnification, adjustment of purchase price adjustments (including earn-outs) or similar obligations, in each case incurred or assumed in connection with the acquisition or disposition of any business or assets permitted under this Agreement;</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93" w:val="left"/>
        </w:tabs>
        <w:numPr>
          <w:ilvl w:val="0"/>
          <w:numId w:val="483"/>
        </w:numPr>
        <w:rPr>
          <w:rFonts w:ascii="Arial" w:cs="Arial" w:eastAsia="Arial" w:hAnsi="Arial"/>
          <w:sz w:val="22"/>
          <w:szCs w:val="22"/>
          <w:color w:val="auto"/>
        </w:rPr>
      </w:pPr>
      <w:r>
        <w:rPr>
          <w:rFonts w:ascii="Arial" w:cs="Arial" w:eastAsia="Arial" w:hAnsi="Arial"/>
          <w:sz w:val="22"/>
          <w:szCs w:val="22"/>
          <w:color w:val="auto"/>
        </w:rPr>
        <w:t xml:space="preserve">(1) Credit Agreement Refinancing Indebtedness issued, incurred or otherwise obtained in exchange for or to refinance Term Loans and/or Revolving Loans and Commitments so long as the requirements of </w:t>
      </w:r>
      <w:r>
        <w:rPr>
          <w:rFonts w:ascii="Arial" w:cs="Arial" w:eastAsia="Arial" w:hAnsi="Arial"/>
          <w:sz w:val="22"/>
          <w:szCs w:val="22"/>
          <w:u w:val="single" w:color="auto"/>
          <w:color w:val="auto"/>
        </w:rPr>
        <w:t>Section 2.11(e)</w:t>
      </w:r>
      <w:r>
        <w:rPr>
          <w:rFonts w:ascii="Arial" w:cs="Arial" w:eastAsia="Arial" w:hAnsi="Arial"/>
          <w:sz w:val="22"/>
          <w:szCs w:val="22"/>
          <w:color w:val="auto"/>
        </w:rPr>
        <w:t xml:space="preserve"> are complied with and (2) any Permitted Refinancing thereof;</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483"/>
        </w:numPr>
        <w:rPr>
          <w:rFonts w:ascii="Arial" w:cs="Arial" w:eastAsia="Arial" w:hAnsi="Arial"/>
          <w:sz w:val="19"/>
          <w:szCs w:val="19"/>
          <w:color w:val="auto"/>
        </w:rPr>
      </w:pPr>
      <w:r>
        <w:rPr>
          <w:rFonts w:ascii="Arial" w:cs="Arial" w:eastAsia="Arial" w:hAnsi="Arial"/>
          <w:sz w:val="19"/>
          <w:szCs w:val="19"/>
          <w:color w:val="auto"/>
        </w:rPr>
        <w:t xml:space="preserve">(1) Indebtedness described on </w:t>
      </w:r>
      <w:r>
        <w:rPr>
          <w:rFonts w:ascii="Arial" w:cs="Arial" w:eastAsia="Arial" w:hAnsi="Arial"/>
          <w:sz w:val="19"/>
          <w:szCs w:val="19"/>
          <w:u w:val="single" w:color="auto"/>
          <w:color w:val="auto"/>
        </w:rPr>
        <w:t>Schedule 6.01</w:t>
      </w:r>
      <w:r>
        <w:rPr>
          <w:rFonts w:ascii="Arial" w:cs="Arial" w:eastAsia="Arial" w:hAnsi="Arial"/>
          <w:sz w:val="19"/>
          <w:szCs w:val="19"/>
          <w:color w:val="auto"/>
        </w:rPr>
        <w:t xml:space="preserve"> annexed hereto and (2) any Permitted Refinancing of any of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foregoing;</w:t>
      </w:r>
    </w:p>
    <w:p>
      <w:pPr>
        <w:spacing w:after="0" w:line="161" w:lineRule="exact"/>
        <w:rPr>
          <w:rFonts w:ascii="Arial" w:cs="Arial" w:eastAsia="Arial" w:hAnsi="Arial"/>
          <w:sz w:val="19"/>
          <w:szCs w:val="19"/>
          <w:color w:val="auto"/>
        </w:rPr>
      </w:pPr>
    </w:p>
    <w:p>
      <w:pPr>
        <w:jc w:val="both"/>
        <w:ind w:firstLine="1304"/>
        <w:spacing w:after="0" w:line="223" w:lineRule="auto"/>
        <w:tabs>
          <w:tab w:leader="none" w:pos="1912" w:val="left"/>
        </w:tabs>
        <w:numPr>
          <w:ilvl w:val="0"/>
          <w:numId w:val="483"/>
        </w:numPr>
        <w:rPr>
          <w:rFonts w:ascii="Arial" w:cs="Arial" w:eastAsia="Arial" w:hAnsi="Arial"/>
          <w:sz w:val="22"/>
          <w:szCs w:val="22"/>
          <w:color w:val="auto"/>
        </w:rPr>
      </w:pPr>
      <w:r>
        <w:rPr>
          <w:rFonts w:ascii="Arial" w:cs="Arial" w:eastAsia="Arial" w:hAnsi="Arial"/>
          <w:sz w:val="22"/>
          <w:szCs w:val="22"/>
          <w:color w:val="auto"/>
        </w:rPr>
        <w:t>endorsement of instruments or other payment items for deposit in the ordinary course of business and Indebtedness arising from the honoring by a bank or other financial institution of a check, draft or similar instrument inadvertently drawn against insufficient funds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38" w:name="page439"/>
    <w:bookmarkEnd w:id="438"/>
    <w:p>
      <w:pPr>
        <w:ind w:left="1820" w:hanging="516"/>
        <w:spacing w:after="0"/>
        <w:tabs>
          <w:tab w:leader="none" w:pos="1820" w:val="left"/>
        </w:tabs>
        <w:numPr>
          <w:ilvl w:val="1"/>
          <w:numId w:val="484"/>
        </w:numPr>
        <w:rPr>
          <w:rFonts w:ascii="Arial" w:cs="Arial" w:eastAsia="Arial" w:hAnsi="Arial"/>
          <w:sz w:val="19"/>
          <w:szCs w:val="19"/>
          <w:color w:val="auto"/>
        </w:rPr>
      </w:pPr>
      <w:r>
        <w:rPr>
          <w:rFonts w:ascii="Arial" w:cs="Arial" w:eastAsia="Arial" w:hAnsi="Arial"/>
          <w:sz w:val="19"/>
          <w:szCs w:val="19"/>
          <w:color w:val="auto"/>
        </w:rPr>
        <w:t xml:space="preserve">(1) Indebtedness incurred in connection with the repurchase of Equity Interests pursuant to </w:t>
      </w:r>
      <w:r>
        <w:rPr>
          <w:rFonts w:ascii="Arial" w:cs="Arial" w:eastAsia="Arial" w:hAnsi="Arial"/>
          <w:sz w:val="19"/>
          <w:szCs w:val="19"/>
          <w:u w:val="single" w:color="auto"/>
          <w:color w:val="auto"/>
        </w:rPr>
        <w:t>Section 6.06(a)</w:t>
      </w:r>
    </w:p>
    <w:p>
      <w:pPr>
        <w:spacing w:after="0" w:line="15" w:lineRule="exact"/>
        <w:rPr>
          <w:rFonts w:ascii="Arial" w:cs="Arial" w:eastAsia="Arial" w:hAnsi="Arial"/>
          <w:sz w:val="19"/>
          <w:szCs w:val="19"/>
          <w:color w:val="auto"/>
        </w:rPr>
      </w:pPr>
    </w:p>
    <w:p>
      <w:pPr>
        <w:jc w:val="both"/>
        <w:ind w:firstLine="8"/>
        <w:spacing w:after="0" w:line="217" w:lineRule="auto"/>
        <w:tabs>
          <w:tab w:leader="none" w:pos="351" w:val="left"/>
        </w:tabs>
        <w:numPr>
          <w:ilvl w:val="0"/>
          <w:numId w:val="485"/>
        </w:numPr>
        <w:rPr>
          <w:rFonts w:ascii="Arial" w:cs="Arial" w:eastAsia="Arial" w:hAnsi="Arial"/>
          <w:sz w:val="22"/>
          <w:szCs w:val="22"/>
          <w:u w:val="single" w:color="auto"/>
          <w:color w:val="auto"/>
        </w:rPr>
      </w:pPr>
      <w:r>
        <w:rPr>
          <w:rFonts w:ascii="Arial" w:cs="Arial" w:eastAsia="Arial" w:hAnsi="Arial"/>
          <w:sz w:val="22"/>
          <w:szCs w:val="22"/>
          <w:color w:val="auto"/>
        </w:rPr>
        <w:t xml:space="preserve">and (2) Permitted Refinancings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original principal amount of any such Indebtedness incurred pursuant this </w:t>
      </w:r>
      <w:r>
        <w:rPr>
          <w:rFonts w:ascii="Arial" w:cs="Arial" w:eastAsia="Arial" w:hAnsi="Arial"/>
          <w:sz w:val="22"/>
          <w:szCs w:val="22"/>
          <w:u w:val="single" w:color="auto"/>
          <w:color w:val="auto"/>
        </w:rPr>
        <w:t>clause (q)</w:t>
      </w:r>
      <w:r>
        <w:rPr>
          <w:rFonts w:ascii="Arial" w:cs="Arial" w:eastAsia="Arial" w:hAnsi="Arial"/>
          <w:sz w:val="22"/>
          <w:szCs w:val="22"/>
          <w:color w:val="auto"/>
        </w:rPr>
        <w:t xml:space="preserve"> shall not exceed the amount of such Equity Interests so repurchased with such Indebtedness (or with the proceeds thereof);</w:t>
      </w:r>
    </w:p>
    <w:p>
      <w:pPr>
        <w:spacing w:after="0" w:line="159" w:lineRule="exact"/>
        <w:rPr>
          <w:rFonts w:ascii="Arial" w:cs="Arial" w:eastAsia="Arial" w:hAnsi="Arial"/>
          <w:sz w:val="22"/>
          <w:szCs w:val="22"/>
          <w:u w:val="single" w:color="auto"/>
          <w:color w:val="auto"/>
        </w:rPr>
      </w:pPr>
    </w:p>
    <w:p>
      <w:pPr>
        <w:ind w:firstLine="1304"/>
        <w:spacing w:after="0" w:line="232" w:lineRule="auto"/>
        <w:tabs>
          <w:tab w:leader="none" w:pos="1765" w:val="left"/>
        </w:tabs>
        <w:numPr>
          <w:ilvl w:val="1"/>
          <w:numId w:val="485"/>
        </w:numPr>
        <w:rPr>
          <w:rFonts w:ascii="Arial" w:cs="Arial" w:eastAsia="Arial" w:hAnsi="Arial"/>
          <w:sz w:val="22"/>
          <w:szCs w:val="22"/>
          <w:color w:val="auto"/>
        </w:rPr>
      </w:pPr>
      <w:r>
        <w:rPr>
          <w:rFonts w:ascii="Arial" w:cs="Arial" w:eastAsia="Arial" w:hAnsi="Arial"/>
          <w:sz w:val="22"/>
          <w:szCs w:val="22"/>
          <w:color w:val="auto"/>
        </w:rPr>
        <w:t>Indebtedness under the Second Lien Facility (1) in an original principal amount not to exceed $200,000,000 and (2) any Permitted Refinancing thereof;</w:t>
      </w:r>
    </w:p>
    <w:p>
      <w:pPr>
        <w:spacing w:after="0" w:line="158" w:lineRule="exact"/>
        <w:rPr>
          <w:rFonts w:ascii="Arial" w:cs="Arial" w:eastAsia="Arial" w:hAnsi="Arial"/>
          <w:sz w:val="22"/>
          <w:szCs w:val="22"/>
          <w:color w:val="auto"/>
        </w:rPr>
      </w:pPr>
    </w:p>
    <w:p>
      <w:pPr>
        <w:ind w:firstLine="1304"/>
        <w:spacing w:after="0" w:line="232" w:lineRule="auto"/>
        <w:tabs>
          <w:tab w:leader="none" w:pos="1809" w:val="left"/>
        </w:tabs>
        <w:numPr>
          <w:ilvl w:val="1"/>
          <w:numId w:val="485"/>
        </w:numPr>
        <w:rPr>
          <w:rFonts w:ascii="Arial" w:cs="Arial" w:eastAsia="Arial" w:hAnsi="Arial"/>
          <w:sz w:val="22"/>
          <w:szCs w:val="22"/>
          <w:color w:val="auto"/>
        </w:rPr>
      </w:pPr>
      <w:r>
        <w:rPr>
          <w:rFonts w:ascii="Arial" w:cs="Arial" w:eastAsia="Arial" w:hAnsi="Arial"/>
          <w:sz w:val="22"/>
          <w:szCs w:val="22"/>
          <w:color w:val="auto"/>
        </w:rPr>
        <w:t>to the extent constituting Indebtedness, Guarantees in the ordinary course of business of the obligations of suppliers, customers, franchisees and licensees of the Borrower and its Subsidiaries;</w:t>
      </w:r>
    </w:p>
    <w:p>
      <w:pPr>
        <w:spacing w:after="0" w:line="158" w:lineRule="exact"/>
        <w:rPr>
          <w:rFonts w:ascii="Arial" w:cs="Arial" w:eastAsia="Arial" w:hAnsi="Arial"/>
          <w:sz w:val="22"/>
          <w:szCs w:val="22"/>
          <w:color w:val="auto"/>
        </w:rPr>
      </w:pPr>
    </w:p>
    <w:p>
      <w:pPr>
        <w:ind w:firstLine="1304"/>
        <w:spacing w:after="0" w:line="232" w:lineRule="auto"/>
        <w:tabs>
          <w:tab w:leader="none" w:pos="1751" w:val="left"/>
        </w:tabs>
        <w:numPr>
          <w:ilvl w:val="1"/>
          <w:numId w:val="485"/>
        </w:numPr>
        <w:rPr>
          <w:rFonts w:ascii="Arial" w:cs="Arial" w:eastAsia="Arial" w:hAnsi="Arial"/>
          <w:sz w:val="22"/>
          <w:szCs w:val="22"/>
          <w:color w:val="auto"/>
        </w:rPr>
      </w:pPr>
      <w:r>
        <w:rPr>
          <w:rFonts w:ascii="Arial" w:cs="Arial" w:eastAsia="Arial" w:hAnsi="Arial"/>
          <w:sz w:val="22"/>
          <w:szCs w:val="22"/>
          <w:color w:val="auto"/>
        </w:rPr>
        <w:t>Indebtedness (other than Indebtedness for borrowed money) supported by any Letter of Credit, in each case, in an amount not to exceed the face amount of such Letter of Credit;</w:t>
      </w:r>
    </w:p>
    <w:p>
      <w:pPr>
        <w:spacing w:after="0" w:line="158" w:lineRule="exact"/>
        <w:rPr>
          <w:rFonts w:ascii="Arial" w:cs="Arial" w:eastAsia="Arial" w:hAnsi="Arial"/>
          <w:sz w:val="22"/>
          <w:szCs w:val="22"/>
          <w:color w:val="auto"/>
        </w:rPr>
      </w:pPr>
    </w:p>
    <w:p>
      <w:pPr>
        <w:jc w:val="both"/>
        <w:ind w:firstLine="1304"/>
        <w:spacing w:after="0" w:line="234" w:lineRule="auto"/>
        <w:tabs>
          <w:tab w:leader="none" w:pos="1791" w:val="left"/>
        </w:tabs>
        <w:numPr>
          <w:ilvl w:val="1"/>
          <w:numId w:val="485"/>
        </w:numPr>
        <w:rPr>
          <w:rFonts w:ascii="Arial" w:cs="Arial" w:eastAsia="Arial" w:hAnsi="Arial"/>
          <w:sz w:val="21"/>
          <w:szCs w:val="21"/>
          <w:color w:val="auto"/>
        </w:rPr>
      </w:pPr>
      <w:r>
        <w:rPr>
          <w:rFonts w:ascii="Arial" w:cs="Arial" w:eastAsia="Arial" w:hAnsi="Arial"/>
          <w:sz w:val="21"/>
          <w:szCs w:val="21"/>
          <w:color w:val="auto"/>
        </w:rPr>
        <w:t>obligations in respect of letters of support, guarantees or similar obligations issued, made or incurred for the benefit of the Borrower or any Subsidiary of the Borrower to the extent required by law or in connection with any statutory filing or the delivery of audit opinions performed in jurisdictions other than within the United States;</w:t>
      </w:r>
    </w:p>
    <w:p>
      <w:pPr>
        <w:spacing w:after="0" w:line="157" w:lineRule="exact"/>
        <w:rPr>
          <w:rFonts w:ascii="Arial" w:cs="Arial" w:eastAsia="Arial" w:hAnsi="Arial"/>
          <w:sz w:val="21"/>
          <w:szCs w:val="21"/>
          <w:color w:val="auto"/>
        </w:rPr>
      </w:pPr>
    </w:p>
    <w:p>
      <w:pPr>
        <w:ind w:firstLine="1304"/>
        <w:spacing w:after="0" w:line="232" w:lineRule="auto"/>
        <w:tabs>
          <w:tab w:leader="none" w:pos="1834" w:val="left"/>
        </w:tabs>
        <w:numPr>
          <w:ilvl w:val="1"/>
          <w:numId w:val="485"/>
        </w:numPr>
        <w:rPr>
          <w:rFonts w:ascii="Arial" w:cs="Arial" w:eastAsia="Arial" w:hAnsi="Arial"/>
          <w:sz w:val="22"/>
          <w:szCs w:val="22"/>
          <w:color w:val="auto"/>
        </w:rPr>
      </w:pPr>
      <w:r>
        <w:rPr>
          <w:rFonts w:ascii="Arial" w:cs="Arial" w:eastAsia="Arial" w:hAnsi="Arial"/>
          <w:sz w:val="22"/>
          <w:szCs w:val="22"/>
          <w:color w:val="auto"/>
        </w:rPr>
        <w:t>Indebtedness incurred in connection with (1) Permitted Sale Leaseback transactions and (2) any Permitted Refinancing of any of the foregoing;</w:t>
      </w:r>
    </w:p>
    <w:p>
      <w:pPr>
        <w:spacing w:after="0" w:line="158" w:lineRule="exact"/>
        <w:rPr>
          <w:rFonts w:ascii="Arial" w:cs="Arial" w:eastAsia="Arial" w:hAnsi="Arial"/>
          <w:sz w:val="22"/>
          <w:szCs w:val="22"/>
          <w:color w:val="auto"/>
        </w:rPr>
      </w:pPr>
    </w:p>
    <w:p>
      <w:pPr>
        <w:ind w:firstLine="1304"/>
        <w:spacing w:after="0" w:line="232" w:lineRule="auto"/>
        <w:tabs>
          <w:tab w:leader="none" w:pos="1983" w:val="left"/>
        </w:tabs>
        <w:numPr>
          <w:ilvl w:val="1"/>
          <w:numId w:val="485"/>
        </w:numPr>
        <w:rPr>
          <w:rFonts w:ascii="Arial" w:cs="Arial" w:eastAsia="Arial" w:hAnsi="Arial"/>
          <w:sz w:val="22"/>
          <w:szCs w:val="22"/>
          <w:color w:val="auto"/>
        </w:rPr>
      </w:pPr>
      <w:r>
        <w:rPr>
          <w:rFonts w:ascii="Arial" w:cs="Arial" w:eastAsia="Arial" w:hAnsi="Arial"/>
          <w:sz w:val="22"/>
          <w:szCs w:val="22"/>
          <w:color w:val="auto"/>
        </w:rPr>
        <w:t>Indebtedness of (1) any Securitization Subsidiary arising under any Securitization Facility or (2) any Restricted Subsidiary arising under any Receivables Facility;</w:t>
      </w:r>
    </w:p>
    <w:p>
      <w:pPr>
        <w:spacing w:after="0" w:line="151" w:lineRule="exact"/>
        <w:rPr>
          <w:rFonts w:ascii="Arial" w:cs="Arial" w:eastAsia="Arial" w:hAnsi="Arial"/>
          <w:sz w:val="22"/>
          <w:szCs w:val="22"/>
          <w:color w:val="auto"/>
        </w:rPr>
      </w:pPr>
    </w:p>
    <w:p>
      <w:pPr>
        <w:ind w:left="1940" w:hanging="636"/>
        <w:spacing w:after="0"/>
        <w:tabs>
          <w:tab w:leader="none" w:pos="1940" w:val="left"/>
        </w:tabs>
        <w:numPr>
          <w:ilvl w:val="1"/>
          <w:numId w:val="485"/>
        </w:numPr>
        <w:rPr>
          <w:rFonts w:ascii="Arial" w:cs="Arial" w:eastAsia="Arial" w:hAnsi="Arial"/>
          <w:sz w:val="21"/>
          <w:szCs w:val="21"/>
          <w:color w:val="auto"/>
        </w:rPr>
      </w:pPr>
      <w:r>
        <w:rPr>
          <w:rFonts w:ascii="Arial" w:cs="Arial" w:eastAsia="Arial" w:hAnsi="Arial"/>
          <w:sz w:val="21"/>
          <w:szCs w:val="21"/>
          <w:color w:val="auto"/>
        </w:rPr>
        <w:t>(1) Refinancing Notes and Term Loan Exchange Notes and (2) Permitted Refinancings of any of the</w:t>
      </w:r>
    </w:p>
    <w:p>
      <w:pPr>
        <w:spacing w:after="0"/>
        <w:rPr>
          <w:rFonts w:ascii="Arial" w:cs="Arial" w:eastAsia="Arial" w:hAnsi="Arial"/>
          <w:sz w:val="21"/>
          <w:szCs w:val="21"/>
          <w:color w:val="auto"/>
        </w:rPr>
      </w:pPr>
      <w:r>
        <w:rPr>
          <w:rFonts w:ascii="Arial" w:cs="Arial" w:eastAsia="Arial" w:hAnsi="Arial"/>
          <w:sz w:val="22"/>
          <w:szCs w:val="22"/>
          <w:color w:val="auto"/>
        </w:rPr>
        <w:t>foregoing;</w:t>
      </w:r>
    </w:p>
    <w:p>
      <w:pPr>
        <w:spacing w:after="0" w:line="161" w:lineRule="exact"/>
        <w:rPr>
          <w:rFonts w:ascii="Arial" w:cs="Arial" w:eastAsia="Arial" w:hAnsi="Arial"/>
          <w:sz w:val="21"/>
          <w:szCs w:val="21"/>
          <w:color w:val="auto"/>
        </w:rPr>
      </w:pPr>
    </w:p>
    <w:p>
      <w:pPr>
        <w:jc w:val="both"/>
        <w:ind w:firstLine="1304"/>
        <w:spacing w:after="0" w:line="223" w:lineRule="auto"/>
        <w:tabs>
          <w:tab w:leader="none" w:pos="1954" w:val="left"/>
        </w:tabs>
        <w:numPr>
          <w:ilvl w:val="1"/>
          <w:numId w:val="485"/>
        </w:numPr>
        <w:rPr>
          <w:rFonts w:ascii="Arial" w:cs="Arial" w:eastAsia="Arial" w:hAnsi="Arial"/>
          <w:sz w:val="22"/>
          <w:szCs w:val="22"/>
          <w:color w:val="auto"/>
        </w:rPr>
      </w:pPr>
      <w:r>
        <w:rPr>
          <w:rFonts w:ascii="Arial" w:cs="Arial" w:eastAsia="Arial" w:hAnsi="Arial"/>
          <w:sz w:val="22"/>
          <w:szCs w:val="22"/>
          <w:color w:val="auto"/>
        </w:rPr>
        <w:t>obligations in respect of Disqualified Equity Interests in an amount not to exceed the greater of (x) $5,000,000 and (y) 5.0% of LTM EBITDA calculated on a Pro Forma Basis as of the Applicable Date of Determination outstanding at any time;</w:t>
      </w:r>
    </w:p>
    <w:p>
      <w:pPr>
        <w:spacing w:after="0" w:line="151" w:lineRule="exact"/>
        <w:rPr>
          <w:rFonts w:ascii="Arial" w:cs="Arial" w:eastAsia="Arial" w:hAnsi="Arial"/>
          <w:sz w:val="22"/>
          <w:szCs w:val="22"/>
          <w:color w:val="auto"/>
        </w:rPr>
      </w:pPr>
    </w:p>
    <w:p>
      <w:pPr>
        <w:ind w:left="1940" w:hanging="636"/>
        <w:spacing w:after="0"/>
        <w:tabs>
          <w:tab w:leader="none" w:pos="1940" w:val="left"/>
        </w:tabs>
        <w:numPr>
          <w:ilvl w:val="1"/>
          <w:numId w:val="485"/>
        </w:numPr>
        <w:rPr>
          <w:rFonts w:ascii="Arial" w:cs="Arial" w:eastAsia="Arial" w:hAnsi="Arial"/>
          <w:sz w:val="21"/>
          <w:szCs w:val="21"/>
          <w:color w:val="auto"/>
        </w:rPr>
      </w:pPr>
      <w:r>
        <w:rPr>
          <w:rFonts w:ascii="Arial" w:cs="Arial" w:eastAsia="Arial" w:hAnsi="Arial"/>
          <w:sz w:val="21"/>
          <w:szCs w:val="21"/>
          <w:color w:val="auto"/>
        </w:rPr>
        <w:t>(1) Additional Debt (including any Incremental Second Lien Facility) and (2) Permitted Refinancings</w:t>
      </w:r>
    </w:p>
    <w:p>
      <w:pPr>
        <w:spacing w:after="0"/>
        <w:rPr>
          <w:rFonts w:ascii="Arial" w:cs="Arial" w:eastAsia="Arial" w:hAnsi="Arial"/>
          <w:sz w:val="21"/>
          <w:szCs w:val="21"/>
          <w:color w:val="auto"/>
        </w:rPr>
      </w:pPr>
      <w:r>
        <w:rPr>
          <w:rFonts w:ascii="Arial" w:cs="Arial" w:eastAsia="Arial" w:hAnsi="Arial"/>
          <w:sz w:val="22"/>
          <w:szCs w:val="22"/>
          <w:color w:val="auto"/>
        </w:rPr>
        <w:t>thereof;</w:t>
      </w:r>
    </w:p>
    <w:p>
      <w:pPr>
        <w:spacing w:after="0" w:line="161" w:lineRule="exact"/>
        <w:rPr>
          <w:sz w:val="20"/>
          <w:szCs w:val="20"/>
          <w:color w:val="auto"/>
        </w:rPr>
      </w:pPr>
    </w:p>
    <w:p>
      <w:pPr>
        <w:jc w:val="both"/>
        <w:ind w:firstLine="1304"/>
        <w:spacing w:after="0" w:line="243" w:lineRule="auto"/>
        <w:tabs>
          <w:tab w:leader="none" w:pos="1964" w:val="left"/>
        </w:tabs>
        <w:numPr>
          <w:ilvl w:val="1"/>
          <w:numId w:val="486"/>
        </w:numPr>
        <w:rPr>
          <w:rFonts w:ascii="Arial" w:cs="Arial" w:eastAsia="Arial" w:hAnsi="Arial"/>
          <w:sz w:val="19"/>
          <w:szCs w:val="19"/>
          <w:color w:val="auto"/>
        </w:rPr>
      </w:pPr>
      <w:r>
        <w:rPr>
          <w:rFonts w:ascii="Arial" w:cs="Arial" w:eastAsia="Arial" w:hAnsi="Arial"/>
          <w:sz w:val="19"/>
          <w:szCs w:val="19"/>
          <w:color w:val="auto"/>
        </w:rPr>
        <w:t>(1) Indebtedness maturing no earlier than the Latest Maturity Date in an amount equal to 200% of the aggregate Net Proceeds received by Holdings after the Closing Date from (A) any capital contributions made in cash by any Person other than a Restricted Subsidiary to Holdings (other than any Cure Amount) to the extent Not Otherwise Applied; and</w:t>
      </w:r>
    </w:p>
    <w:p>
      <w:pPr>
        <w:spacing w:after="0" w:line="2" w:lineRule="exact"/>
        <w:rPr>
          <w:rFonts w:ascii="Arial" w:cs="Arial" w:eastAsia="Arial" w:hAnsi="Arial"/>
          <w:sz w:val="19"/>
          <w:szCs w:val="19"/>
          <w:color w:val="auto"/>
        </w:rPr>
      </w:pPr>
    </w:p>
    <w:p>
      <w:pPr>
        <w:jc w:val="both"/>
        <w:ind w:firstLine="8"/>
        <w:spacing w:after="0" w:line="214" w:lineRule="auto"/>
        <w:tabs>
          <w:tab w:leader="none" w:pos="342" w:val="left"/>
        </w:tabs>
        <w:numPr>
          <w:ilvl w:val="0"/>
          <w:numId w:val="487"/>
        </w:numPr>
        <w:rPr>
          <w:rFonts w:ascii="Arial" w:cs="Arial" w:eastAsia="Arial" w:hAnsi="Arial"/>
          <w:sz w:val="22"/>
          <w:szCs w:val="22"/>
          <w:color w:val="auto"/>
        </w:rPr>
      </w:pPr>
      <w:r>
        <w:rPr>
          <w:rFonts w:ascii="Arial" w:cs="Arial" w:eastAsia="Arial" w:hAnsi="Arial"/>
          <w:sz w:val="22"/>
          <w:szCs w:val="22"/>
          <w:color w:val="auto"/>
        </w:rPr>
        <w:t>any Net Proceeds of any issuance of Qualified Equity Interests of Holdings (other than any Cure Amount) to any Person other than a Restricted Subsidiary to the extent Not Otherwise Applied, and to the extent, in each case, such Net Proceeds have been contributed to the Qualified Equity Interests of the Borrower or any other Loan Party (other than Holdings); and (2) any Permitted Refinancings thereof;</w:t>
      </w:r>
    </w:p>
    <w:p>
      <w:pPr>
        <w:spacing w:after="0" w:line="159" w:lineRule="exact"/>
        <w:rPr>
          <w:rFonts w:ascii="Arial" w:cs="Arial" w:eastAsia="Arial" w:hAnsi="Arial"/>
          <w:sz w:val="22"/>
          <w:szCs w:val="22"/>
          <w:color w:val="auto"/>
        </w:rPr>
      </w:pPr>
    </w:p>
    <w:p>
      <w:pPr>
        <w:jc w:val="both"/>
        <w:ind w:firstLine="1304"/>
        <w:spacing w:after="0" w:line="226" w:lineRule="auto"/>
        <w:tabs>
          <w:tab w:leader="none" w:pos="2007" w:val="left"/>
        </w:tabs>
        <w:numPr>
          <w:ilvl w:val="1"/>
          <w:numId w:val="487"/>
        </w:numPr>
        <w:rPr>
          <w:rFonts w:ascii="Arial" w:cs="Arial" w:eastAsia="Arial" w:hAnsi="Arial"/>
          <w:sz w:val="21"/>
          <w:szCs w:val="21"/>
          <w:color w:val="auto"/>
        </w:rPr>
      </w:pPr>
      <w:r>
        <w:rPr>
          <w:rFonts w:ascii="Arial" w:cs="Arial" w:eastAsia="Arial" w:hAnsi="Arial"/>
          <w:sz w:val="21"/>
          <w:szCs w:val="21"/>
          <w:color w:val="auto"/>
        </w:rPr>
        <w:t xml:space="preserve">unsecured Subordinated Indebtedness in an aggregate principal amount at any time outstanding not to exceed $50,000,000, that is subject to subordination terms that are (i) in the case of any such Indebtedness issued pursuant to a Rule 144A transaction or other private placement, customary for senior subordinated notes issued in a Rule 144A debt offering and (ii) otherwise reasonably satisfactory to the Administrative Agent and the Required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Indebtedness has a final maturity equal to or later than the date that is ninety-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39" w:name="page440"/>
    <w:bookmarkEnd w:id="439"/>
    <w:p>
      <w:pPr>
        <w:spacing w:after="0"/>
        <w:rPr>
          <w:sz w:val="20"/>
          <w:szCs w:val="20"/>
          <w:color w:val="auto"/>
        </w:rPr>
      </w:pPr>
      <w:r>
        <w:rPr>
          <w:rFonts w:ascii="Arial" w:cs="Arial" w:eastAsia="Arial" w:hAnsi="Arial"/>
          <w:sz w:val="19"/>
          <w:szCs w:val="19"/>
          <w:color w:val="auto"/>
        </w:rPr>
        <w:t>one (91) days after the Latest Maturity Date applicable to the Term Loans and no scheduled amortization prior to such date; and</w:t>
      </w:r>
    </w:p>
    <w:p>
      <w:pPr>
        <w:spacing w:after="0" w:line="214" w:lineRule="exact"/>
        <w:rPr>
          <w:sz w:val="20"/>
          <w:szCs w:val="20"/>
          <w:color w:val="auto"/>
        </w:rPr>
      </w:pPr>
    </w:p>
    <w:p>
      <w:pPr>
        <w:ind w:firstLine="1304"/>
        <w:spacing w:after="0" w:line="232" w:lineRule="auto"/>
        <w:tabs>
          <w:tab w:leader="none" w:pos="1848" w:val="left"/>
        </w:tabs>
        <w:numPr>
          <w:ilvl w:val="0"/>
          <w:numId w:val="488"/>
        </w:numPr>
        <w:rPr>
          <w:rFonts w:ascii="Arial" w:cs="Arial" w:eastAsia="Arial" w:hAnsi="Arial"/>
          <w:sz w:val="22"/>
          <w:szCs w:val="22"/>
          <w:color w:val="auto"/>
        </w:rPr>
      </w:pPr>
      <w:r>
        <w:rPr>
          <w:rFonts w:ascii="Arial" w:cs="Arial" w:eastAsia="Arial" w:hAnsi="Arial"/>
          <w:sz w:val="22"/>
          <w:szCs w:val="22"/>
          <w:color w:val="auto"/>
        </w:rPr>
        <w:t xml:space="preserve">Indebtedness in an aggregate principal amount at any time outstanding up to the unused amounts pursuant to </w:t>
      </w:r>
      <w:r>
        <w:rPr>
          <w:rFonts w:ascii="Arial" w:cs="Arial" w:eastAsia="Arial" w:hAnsi="Arial"/>
          <w:sz w:val="22"/>
          <w:szCs w:val="22"/>
          <w:u w:val="single" w:color="auto"/>
          <w:color w:val="auto"/>
        </w:rPr>
        <w:t>Sections 6.06(a)(v)</w:t>
      </w:r>
      <w:r>
        <w:rPr>
          <w:rFonts w:ascii="Arial" w:cs="Arial" w:eastAsia="Arial" w:hAnsi="Arial"/>
          <w:sz w:val="22"/>
          <w:szCs w:val="22"/>
          <w:color w:val="auto"/>
        </w:rPr>
        <w:t xml:space="preserve">, </w:t>
      </w:r>
      <w:r>
        <w:rPr>
          <w:rFonts w:ascii="Arial" w:cs="Arial" w:eastAsia="Arial" w:hAnsi="Arial"/>
          <w:sz w:val="22"/>
          <w:szCs w:val="22"/>
          <w:u w:val="single" w:color="auto"/>
          <w:color w:val="auto"/>
        </w:rPr>
        <w:t>6.06(a)(xiv)(A)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6.06(a)(xix)</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The accrual of interest, the accretion of accreted value, the payment of interest in the form of additional Indebtedness, the payment of dividends on Disqualified Equity Interests in the form of additional shares of Disqualified Equity Interests and accretion or amortization of original issue discount or liquidation preference will not be deemed to be an incurrence of Indebtedness for purposes of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For the avoidance of doubt, if any indebtedness is incurred under a basket set forth above that is subject to a cap based on a dollar amount and/or a percentage of Consolidated EBITDA and is subsequently subject to a Permitted Refinancing, then such Indebtedness shall continue to be deemed to utilize such basket in an amount equal to the outstanding principal amount of such Indebtedness immediately prior to such Permitted Refinancing.</w:t>
      </w:r>
    </w:p>
    <w:p>
      <w:pPr>
        <w:spacing w:after="0" w:line="154"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u w:val="single" w:color="auto"/>
          <w:color w:val="auto"/>
        </w:rPr>
        <w:t>Section 6.02 Liens</w:t>
      </w:r>
      <w:r>
        <w:rPr>
          <w:rFonts w:ascii="Arial" w:cs="Arial" w:eastAsia="Arial" w:hAnsi="Arial"/>
          <w:sz w:val="21"/>
          <w:szCs w:val="21"/>
          <w:color w:val="auto"/>
        </w:rPr>
        <w:t>. The Borrower will not, nor will the Borrower permit any Restricted Subsidiary to, create, incur, assume or permit to exist any Lien on any property or asset now owned or hereafter acquired by it, except:</w:t>
      </w:r>
    </w:p>
    <w:p>
      <w:pPr>
        <w:spacing w:after="0" w:line="151" w:lineRule="exact"/>
        <w:rPr>
          <w:sz w:val="20"/>
          <w:szCs w:val="20"/>
          <w:color w:val="auto"/>
        </w:rPr>
      </w:pPr>
    </w:p>
    <w:p>
      <w:pPr>
        <w:ind w:left="1760" w:hanging="456"/>
        <w:spacing w:after="0"/>
        <w:tabs>
          <w:tab w:leader="none" w:pos="1760" w:val="left"/>
        </w:tabs>
        <w:numPr>
          <w:ilvl w:val="0"/>
          <w:numId w:val="489"/>
        </w:numPr>
        <w:rPr>
          <w:rFonts w:ascii="Arial" w:cs="Arial" w:eastAsia="Arial" w:hAnsi="Arial"/>
          <w:sz w:val="22"/>
          <w:szCs w:val="22"/>
          <w:color w:val="auto"/>
        </w:rPr>
      </w:pPr>
      <w:r>
        <w:rPr>
          <w:rFonts w:ascii="Arial" w:cs="Arial" w:eastAsia="Arial" w:hAnsi="Arial"/>
          <w:sz w:val="22"/>
          <w:szCs w:val="22"/>
          <w:color w:val="auto"/>
        </w:rPr>
        <w:t>Liens pursuant to any Loan Document;</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489"/>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179" w:lineRule="exact"/>
        <w:rPr>
          <w:rFonts w:ascii="Arial" w:cs="Arial" w:eastAsia="Arial" w:hAnsi="Arial"/>
          <w:sz w:val="22"/>
          <w:szCs w:val="22"/>
          <w:color w:val="auto"/>
        </w:rPr>
      </w:pPr>
    </w:p>
    <w:p>
      <w:pPr>
        <w:jc w:val="both"/>
        <w:ind w:firstLine="1304"/>
        <w:spacing w:after="0" w:line="241" w:lineRule="auto"/>
        <w:tabs>
          <w:tab w:leader="none" w:pos="1776" w:val="left"/>
        </w:tabs>
        <w:numPr>
          <w:ilvl w:val="0"/>
          <w:numId w:val="489"/>
        </w:numPr>
        <w:rPr>
          <w:rFonts w:ascii="Arial" w:cs="Arial" w:eastAsia="Arial" w:hAnsi="Arial"/>
          <w:sz w:val="19"/>
          <w:szCs w:val="19"/>
          <w:color w:val="auto"/>
        </w:rPr>
      </w:pPr>
      <w:r>
        <w:rPr>
          <w:rFonts w:ascii="Arial" w:cs="Arial" w:eastAsia="Arial" w:hAnsi="Arial"/>
          <w:sz w:val="19"/>
          <w:szCs w:val="19"/>
          <w:color w:val="auto"/>
        </w:rPr>
        <w:t xml:space="preserve">any Lien on any property or asset of the Borrower or any Restricted Subsidiary existing on the Closing Date and listed in </w:t>
      </w:r>
      <w:r>
        <w:rPr>
          <w:rFonts w:ascii="Arial" w:cs="Arial" w:eastAsia="Arial" w:hAnsi="Arial"/>
          <w:sz w:val="19"/>
          <w:szCs w:val="19"/>
          <w:u w:val="single" w:color="auto"/>
          <w:color w:val="auto"/>
        </w:rPr>
        <w:t>Schedule 6.02</w:t>
      </w:r>
      <w:r>
        <w:rPr>
          <w:rFonts w:ascii="Arial" w:cs="Arial" w:eastAsia="Arial" w:hAnsi="Arial"/>
          <w:sz w:val="19"/>
          <w:szCs w:val="19"/>
          <w:color w:val="auto"/>
        </w:rPr>
        <w:t xml:space="preserve">, plus Liens securing obligations existing on the Closing Date not to exceed $5,000,000 in the aggregate;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shall not apply to any other property or asset of the Borrower or any Restricted Subsidiary (other than any replacements of such property or assets and additions and accessions thereto,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or asset of the Borrower or any Restricted Subsidiary and the proceeds and the products thereof and customary security deposits in respect thereof and in the case of multiple financings of equipment provided by any lender, other equipment financed by such lender) and (ii) such Lien shall secure only those obligations and unused commitment that it secures on the date hereof and extensions, renewals and replacements thereof so long as the principal amount of such extensions, renewals and replacements does not exceed the principal amount of the obligations being extended, renewed or replaced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but unpaid interest (including any portion thereof which is payable in kind in accordance with the terms of such extended, renewed or replaced Indebtedness) and premium payable by the terms of such obligations thereon and reasonable fees and expenses associated therewith);</w:t>
      </w:r>
    </w:p>
    <w:p>
      <w:pPr>
        <w:spacing w:after="0" w:line="384" w:lineRule="exact"/>
        <w:rPr>
          <w:rFonts w:ascii="Arial" w:cs="Arial" w:eastAsia="Arial" w:hAnsi="Arial"/>
          <w:sz w:val="19"/>
          <w:szCs w:val="19"/>
          <w:color w:val="auto"/>
        </w:rPr>
      </w:pPr>
    </w:p>
    <w:p>
      <w:pPr>
        <w:jc w:val="both"/>
        <w:ind w:firstLine="1304"/>
        <w:spacing w:after="0" w:line="249" w:lineRule="auto"/>
        <w:tabs>
          <w:tab w:leader="none" w:pos="1793" w:val="left"/>
        </w:tabs>
        <w:numPr>
          <w:ilvl w:val="0"/>
          <w:numId w:val="489"/>
        </w:numPr>
        <w:rPr>
          <w:rFonts w:ascii="Arial" w:cs="Arial" w:eastAsia="Arial" w:hAnsi="Arial"/>
          <w:sz w:val="19"/>
          <w:szCs w:val="19"/>
          <w:color w:val="auto"/>
        </w:rPr>
      </w:pPr>
      <w:r>
        <w:rPr>
          <w:rFonts w:ascii="Arial" w:cs="Arial" w:eastAsia="Arial" w:hAnsi="Arial"/>
          <w:sz w:val="19"/>
          <w:szCs w:val="19"/>
          <w:color w:val="auto"/>
        </w:rPr>
        <w:t xml:space="preserve">any Lien existing on any property or asset prior to the acquisition thereof by the Borrower or any Restricted Subsidiary or existing on any property or asset of any Person that became or becomes a Restricted Subsidiary (including as a result of any Unrestricted Subsidiary being redesignated as a Restricted Subsidiary) after the Closing Date prior to the time such Person became or becomes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such acquisition or such Person becoming a Restricted Subsidiary, as the case may be, (ii) such Lien shall not apply to any other property or asset of the Borrower or any Restricted Subsidiary (other than any replacements of such property or assets and additions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40" w:name="page441"/>
    <w:bookmarkEnd w:id="440"/>
    <w:p>
      <w:pPr>
        <w:jc w:val="both"/>
        <w:spacing w:after="0" w:line="243" w:lineRule="auto"/>
        <w:rPr>
          <w:sz w:val="20"/>
          <w:szCs w:val="20"/>
          <w:color w:val="auto"/>
        </w:rPr>
      </w:pPr>
      <w:r>
        <w:rPr>
          <w:rFonts w:ascii="Arial" w:cs="Arial" w:eastAsia="Arial" w:hAnsi="Arial"/>
          <w:sz w:val="19"/>
          <w:szCs w:val="19"/>
          <w:color w:val="auto"/>
        </w:rPr>
        <w:t>and accessions thereto, after-acquired property subjected to a Lien securing Indebtedness and other obligations incurred prior to such time and which Indebtedness and other obligations are permitted hereunder that require, pursuant to their terms at such time, a pledge of after-acquired property, and the proceeds and the products thereof and customary security deposits in respect thereof and in the case of multiple financings of equipment provided by any lender, other equipment financed by such lender) and (iii) such Lien shall secure only those obligations and unused commitments (and to the extent such obligations and commitments constitute Indebtedness, such Indebtedness is permitted hereunder) that it secures on the date of such acquisition or the date such Person becomes a Restricted Subsidiary, as the case may be, and extensions, renewals and replacements thereof so long as the principal amount of such extensions, renewals and replacements does not exceed the principal amount of the obligations being extended, renewed or replaced (plus any accrued but unpaid interest (including any portion thereof which is payable in kind in accordance with the terms of such extended, renewed or replaced Indebtedness) and premium payable by the terms of such obligations thereon and fees and expenses associated therewith);</w:t>
      </w:r>
    </w:p>
    <w:p>
      <w:pPr>
        <w:spacing w:after="0" w:line="159" w:lineRule="exact"/>
        <w:rPr>
          <w:sz w:val="20"/>
          <w:szCs w:val="20"/>
          <w:color w:val="auto"/>
        </w:rPr>
      </w:pPr>
    </w:p>
    <w:p>
      <w:pPr>
        <w:jc w:val="both"/>
        <w:ind w:firstLine="1304"/>
        <w:spacing w:after="0" w:line="242" w:lineRule="auto"/>
        <w:tabs>
          <w:tab w:leader="none" w:pos="1871" w:val="left"/>
        </w:tabs>
        <w:numPr>
          <w:ilvl w:val="0"/>
          <w:numId w:val="490"/>
        </w:numPr>
        <w:rPr>
          <w:rFonts w:ascii="Arial" w:cs="Arial" w:eastAsia="Arial" w:hAnsi="Arial"/>
          <w:sz w:val="19"/>
          <w:szCs w:val="19"/>
          <w:color w:val="auto"/>
        </w:rPr>
      </w:pPr>
      <w:r>
        <w:rPr>
          <w:rFonts w:ascii="Arial" w:cs="Arial" w:eastAsia="Arial" w:hAnsi="Arial"/>
          <w:sz w:val="19"/>
          <w:szCs w:val="19"/>
          <w:color w:val="auto"/>
        </w:rPr>
        <w:t xml:space="preserve">Liens on fixed or capital assets acquired, developed, constructed, restored, replaced, rebuilt, maintained, upgraded or improved (including any such assets made the subject of a Capital Lease Obligation or Synthetic Lease Obligation incurred) by the Borrower 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secure Indebtedness incurred to finance such acquisition, development, construction, restoration, replacement, rebuilding, maintenance, upgrade or improvement and that is permitted by </w:t>
      </w:r>
      <w:r>
        <w:rPr>
          <w:rFonts w:ascii="Arial" w:cs="Arial" w:eastAsia="Arial" w:hAnsi="Arial"/>
          <w:sz w:val="19"/>
          <w:szCs w:val="19"/>
          <w:u w:val="single" w:color="auto"/>
          <w:color w:val="auto"/>
        </w:rPr>
        <w:t>Section 6.01(d)</w:t>
      </w:r>
      <w:r>
        <w:rPr>
          <w:rFonts w:ascii="Arial" w:cs="Arial" w:eastAsia="Arial" w:hAnsi="Arial"/>
          <w:sz w:val="19"/>
          <w:szCs w:val="19"/>
          <w:color w:val="auto"/>
        </w:rPr>
        <w:t xml:space="preserve">, or to extend, renew or replace such Indebtedness and that is permitted by </w:t>
      </w:r>
      <w:r>
        <w:rPr>
          <w:rFonts w:ascii="Arial" w:cs="Arial" w:eastAsia="Arial" w:hAnsi="Arial"/>
          <w:sz w:val="19"/>
          <w:szCs w:val="19"/>
          <w:u w:val="single" w:color="auto"/>
          <w:color w:val="auto"/>
        </w:rPr>
        <w:t>Section 6.01(e)</w:t>
      </w:r>
      <w:r>
        <w:rPr>
          <w:rFonts w:ascii="Arial" w:cs="Arial" w:eastAsia="Arial" w:hAnsi="Arial"/>
          <w:sz w:val="19"/>
          <w:szCs w:val="19"/>
          <w:color w:val="auto"/>
        </w:rPr>
        <w:t>, (ii) such Liens and the Indebtedness secured thereby are incurred prior to or within 270 days after such acquisition or the completion of such development, construction, restoration, replacement, rebuilding, maintenance, upgrade or improvement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shall not apply to any Indebtedness permitted by </w:t>
      </w:r>
      <w:r>
        <w:rPr>
          <w:rFonts w:ascii="Arial" w:cs="Arial" w:eastAsia="Arial" w:hAnsi="Arial"/>
          <w:sz w:val="19"/>
          <w:szCs w:val="19"/>
          <w:u w:val="single" w:color="auto"/>
          <w:color w:val="auto"/>
        </w:rPr>
        <w:t>Section 6.01(e)</w:t>
      </w:r>
      <w:r>
        <w:rPr>
          <w:rFonts w:ascii="Arial" w:cs="Arial" w:eastAsia="Arial" w:hAnsi="Arial"/>
          <w:sz w:val="19"/>
          <w:szCs w:val="19"/>
          <w:color w:val="auto"/>
        </w:rPr>
        <w:t xml:space="preserve"> or any Lien securing such Indebtedness) and (iii) such Liens shall not apply to any other property or assets of the Borrower or any Restricted Subsidiary (other than any replacements of such property or assets and additions and accessions thereto and the proceeds and the products thereof and customary security deposits in respect thereof and in the case of multiple financings of equipment provided by any lender, other equipment financed by such lender);</w:t>
      </w:r>
    </w:p>
    <w:p>
      <w:pPr>
        <w:spacing w:after="0" w:line="384" w:lineRule="exact"/>
        <w:rPr>
          <w:rFonts w:ascii="Arial" w:cs="Arial" w:eastAsia="Arial" w:hAnsi="Arial"/>
          <w:sz w:val="19"/>
          <w:szCs w:val="19"/>
          <w:color w:val="auto"/>
        </w:rPr>
      </w:pPr>
    </w:p>
    <w:p>
      <w:pPr>
        <w:jc w:val="both"/>
        <w:ind w:firstLine="1304"/>
        <w:spacing w:after="0" w:line="249" w:lineRule="auto"/>
        <w:tabs>
          <w:tab w:leader="none" w:pos="1772" w:val="left"/>
        </w:tabs>
        <w:numPr>
          <w:ilvl w:val="0"/>
          <w:numId w:val="490"/>
        </w:numPr>
        <w:rPr>
          <w:rFonts w:ascii="Arial" w:cs="Arial" w:eastAsia="Arial" w:hAnsi="Arial"/>
          <w:sz w:val="19"/>
          <w:szCs w:val="19"/>
          <w:color w:val="auto"/>
        </w:rPr>
      </w:pPr>
      <w:r>
        <w:rPr>
          <w:rFonts w:ascii="Arial" w:cs="Arial" w:eastAsia="Arial" w:hAnsi="Arial"/>
          <w:sz w:val="19"/>
          <w:szCs w:val="19"/>
          <w:color w:val="auto"/>
        </w:rPr>
        <w:t>Liens (i) of a collecting bank arising in the ordinary course of business under Section 4-208 of the Uniform Commercial Code in effect in the relevant jurisdiction covering only the items being collected upon, (ii) in favor of a banking or other financial institution arising as a matter of law encumbering deposits or other funds maintained with a financial institution (including the right of set off) and which are within the general parameters customary in the banking industry or (iii) encumbering reasonable customary initial deposits and margin deposits and similar Liens attaching to commodity trading accounts or other brokerage accounts incurred in the ordinary course of business and not for speculative purposes;</w:t>
      </w:r>
    </w:p>
    <w:p>
      <w:pPr>
        <w:spacing w:after="0" w:line="151" w:lineRule="exact"/>
        <w:rPr>
          <w:rFonts w:ascii="Arial" w:cs="Arial" w:eastAsia="Arial" w:hAnsi="Arial"/>
          <w:sz w:val="19"/>
          <w:szCs w:val="19"/>
          <w:color w:val="auto"/>
        </w:rPr>
      </w:pPr>
    </w:p>
    <w:p>
      <w:pPr>
        <w:jc w:val="both"/>
        <w:ind w:firstLine="1304"/>
        <w:spacing w:after="0" w:line="218" w:lineRule="auto"/>
        <w:tabs>
          <w:tab w:leader="none" w:pos="1802" w:val="left"/>
        </w:tabs>
        <w:numPr>
          <w:ilvl w:val="0"/>
          <w:numId w:val="490"/>
        </w:numPr>
        <w:rPr>
          <w:rFonts w:ascii="Arial" w:cs="Arial" w:eastAsia="Arial" w:hAnsi="Arial"/>
          <w:sz w:val="22"/>
          <w:szCs w:val="22"/>
          <w:color w:val="auto"/>
        </w:rPr>
      </w:pPr>
      <w:r>
        <w:rPr>
          <w:rFonts w:ascii="Arial" w:cs="Arial" w:eastAsia="Arial" w:hAnsi="Arial"/>
          <w:sz w:val="22"/>
          <w:szCs w:val="22"/>
          <w:color w:val="auto"/>
        </w:rPr>
        <w:t>Liens representing (i) any interest or title of a licensor, lessor or sublicensor or sublessor under any lease or license permitted by this Agreement, (ii) any Lien or restriction that the interest or title of such lessor, licensor, sublessor or sublicensor may be subject to, or (iii) the interest of a licensee, lessee, sublicensee or sublessee arising by virtue of being granted a license or lease permitted by this Agreement;</w:t>
      </w:r>
    </w:p>
    <w:p>
      <w:pPr>
        <w:spacing w:after="0" w:line="160" w:lineRule="exact"/>
        <w:rPr>
          <w:rFonts w:ascii="Arial" w:cs="Arial" w:eastAsia="Arial" w:hAnsi="Arial"/>
          <w:sz w:val="22"/>
          <w:szCs w:val="22"/>
          <w:color w:val="auto"/>
        </w:rPr>
      </w:pPr>
    </w:p>
    <w:p>
      <w:pPr>
        <w:ind w:left="1880" w:hanging="576"/>
        <w:spacing w:after="0"/>
        <w:tabs>
          <w:tab w:leader="none" w:pos="1880" w:val="left"/>
        </w:tabs>
        <w:numPr>
          <w:ilvl w:val="0"/>
          <w:numId w:val="490"/>
        </w:numPr>
        <w:rPr>
          <w:rFonts w:ascii="Arial" w:cs="Arial" w:eastAsia="Arial" w:hAnsi="Arial"/>
          <w:sz w:val="19"/>
          <w:szCs w:val="19"/>
          <w:color w:val="auto"/>
        </w:rPr>
      </w:pPr>
      <w:r>
        <w:rPr>
          <w:rFonts w:ascii="Arial" w:cs="Arial" w:eastAsia="Arial" w:hAnsi="Arial"/>
          <w:sz w:val="19"/>
          <w:szCs w:val="19"/>
          <w:color w:val="auto"/>
        </w:rPr>
        <w:t>Liens arising out of conditional sale, title retention, consignment or similar arrangements for the sale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goods;</w:t>
      </w:r>
    </w:p>
    <w:p>
      <w:pPr>
        <w:spacing w:after="0" w:line="161" w:lineRule="exact"/>
        <w:rPr>
          <w:rFonts w:ascii="Arial" w:cs="Arial" w:eastAsia="Arial" w:hAnsi="Arial"/>
          <w:sz w:val="19"/>
          <w:szCs w:val="19"/>
          <w:color w:val="auto"/>
        </w:rPr>
      </w:pPr>
    </w:p>
    <w:p>
      <w:pPr>
        <w:ind w:firstLine="1304"/>
        <w:spacing w:after="0" w:line="232" w:lineRule="auto"/>
        <w:tabs>
          <w:tab w:leader="none" w:pos="1758" w:val="left"/>
        </w:tabs>
        <w:numPr>
          <w:ilvl w:val="0"/>
          <w:numId w:val="490"/>
        </w:numPr>
        <w:rPr>
          <w:rFonts w:ascii="Arial" w:cs="Arial" w:eastAsia="Arial" w:hAnsi="Arial"/>
          <w:sz w:val="22"/>
          <w:szCs w:val="22"/>
          <w:color w:val="auto"/>
        </w:rPr>
      </w:pPr>
      <w:r>
        <w:rPr>
          <w:rFonts w:ascii="Arial" w:cs="Arial" w:eastAsia="Arial" w:hAnsi="Arial"/>
          <w:sz w:val="22"/>
          <w:szCs w:val="22"/>
          <w:color w:val="auto"/>
        </w:rPr>
        <w:t>the filing of UCC (or equivalent) financing statements solely as a precautionary measure in connection with operating leases or consignment of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41" w:name="page442"/>
    <w:bookmarkEnd w:id="441"/>
    <w:p>
      <w:pPr>
        <w:jc w:val="both"/>
        <w:ind w:firstLine="1304"/>
        <w:spacing w:after="0" w:line="257" w:lineRule="auto"/>
        <w:tabs>
          <w:tab w:leader="none" w:pos="1768" w:val="left"/>
        </w:tabs>
        <w:numPr>
          <w:ilvl w:val="0"/>
          <w:numId w:val="491"/>
        </w:numPr>
        <w:rPr>
          <w:rFonts w:ascii="Arial" w:cs="Arial" w:eastAsia="Arial" w:hAnsi="Arial"/>
          <w:sz w:val="19"/>
          <w:szCs w:val="19"/>
          <w:color w:val="auto"/>
        </w:rPr>
      </w:pPr>
      <w:r>
        <w:rPr>
          <w:rFonts w:ascii="Arial" w:cs="Arial" w:eastAsia="Arial" w:hAnsi="Arial"/>
          <w:sz w:val="19"/>
          <w:szCs w:val="19"/>
          <w:color w:val="auto"/>
        </w:rPr>
        <w:t xml:space="preserve">Liens not otherwise permitted by this Section to the extent that the aggregate outstanding amount (or in the case of Indebtedness, the original principal amount) of the obligations secured thereby at any time (considered together with any Liens under </w:t>
      </w:r>
      <w:r>
        <w:rPr>
          <w:rFonts w:ascii="Arial" w:cs="Arial" w:eastAsia="Arial" w:hAnsi="Arial"/>
          <w:sz w:val="19"/>
          <w:szCs w:val="19"/>
          <w:u w:val="single" w:color="auto"/>
          <w:color w:val="auto"/>
        </w:rPr>
        <w:t>clause (bb)</w:t>
      </w:r>
      <w:r>
        <w:rPr>
          <w:rFonts w:ascii="Arial" w:cs="Arial" w:eastAsia="Arial" w:hAnsi="Arial"/>
          <w:sz w:val="19"/>
          <w:szCs w:val="19"/>
          <w:color w:val="auto"/>
        </w:rPr>
        <w:t xml:space="preserve"> below in respect of Liens initially incurred under this </w:t>
      </w:r>
      <w:r>
        <w:rPr>
          <w:rFonts w:ascii="Arial" w:cs="Arial" w:eastAsia="Arial" w:hAnsi="Arial"/>
          <w:sz w:val="19"/>
          <w:szCs w:val="19"/>
          <w:u w:val="single" w:color="auto"/>
          <w:color w:val="auto"/>
        </w:rPr>
        <w:t>clause (j))</w:t>
      </w:r>
      <w:r>
        <w:rPr>
          <w:rFonts w:ascii="Arial" w:cs="Arial" w:eastAsia="Arial" w:hAnsi="Arial"/>
          <w:sz w:val="19"/>
          <w:szCs w:val="19"/>
          <w:color w:val="auto"/>
        </w:rPr>
        <w:t xml:space="preserve"> does not exceed the greater of (i) $45,000,000 and (ii) 45.0% of LTM EBITDA calculated on a Pro Forma Basis as of the Applicable Date of Determination;</w:t>
      </w:r>
    </w:p>
    <w:p>
      <w:pPr>
        <w:spacing w:after="0" w:line="144" w:lineRule="exact"/>
        <w:rPr>
          <w:rFonts w:ascii="Arial" w:cs="Arial" w:eastAsia="Arial" w:hAnsi="Arial"/>
          <w:sz w:val="19"/>
          <w:szCs w:val="19"/>
          <w:color w:val="auto"/>
        </w:rPr>
      </w:pPr>
    </w:p>
    <w:p>
      <w:pPr>
        <w:ind w:firstLine="1304"/>
        <w:spacing w:after="0" w:line="232" w:lineRule="auto"/>
        <w:tabs>
          <w:tab w:leader="none" w:pos="1836" w:val="left"/>
        </w:tabs>
        <w:numPr>
          <w:ilvl w:val="0"/>
          <w:numId w:val="491"/>
        </w:numPr>
        <w:rPr>
          <w:rFonts w:ascii="Arial" w:cs="Arial" w:eastAsia="Arial" w:hAnsi="Arial"/>
          <w:sz w:val="22"/>
          <w:szCs w:val="22"/>
          <w:color w:val="auto"/>
        </w:rPr>
      </w:pPr>
      <w:r>
        <w:rPr>
          <w:rFonts w:ascii="Arial" w:cs="Arial" w:eastAsia="Arial" w:hAnsi="Arial"/>
          <w:sz w:val="22"/>
          <w:szCs w:val="22"/>
          <w:color w:val="auto"/>
        </w:rPr>
        <w:t>Liens granted by a Restricted Subsidiary that is not a Loan Party in favor of any Loan Party in respect of Indebtedness or other obligations owed by such Restricted Subsidiary to such Loan Party;</w:t>
      </w:r>
    </w:p>
    <w:p>
      <w:pPr>
        <w:spacing w:after="0" w:line="158" w:lineRule="exact"/>
        <w:rPr>
          <w:rFonts w:ascii="Arial" w:cs="Arial" w:eastAsia="Arial" w:hAnsi="Arial"/>
          <w:sz w:val="22"/>
          <w:szCs w:val="22"/>
          <w:color w:val="auto"/>
        </w:rPr>
      </w:pPr>
    </w:p>
    <w:p>
      <w:pPr>
        <w:ind w:firstLine="1304"/>
        <w:spacing w:after="0" w:line="298" w:lineRule="auto"/>
        <w:tabs>
          <w:tab w:leader="none" w:pos="1763" w:val="left"/>
        </w:tabs>
        <w:numPr>
          <w:ilvl w:val="0"/>
          <w:numId w:val="491"/>
        </w:numPr>
        <w:rPr>
          <w:rFonts w:ascii="Arial" w:cs="Arial" w:eastAsia="Arial" w:hAnsi="Arial"/>
          <w:sz w:val="19"/>
          <w:szCs w:val="19"/>
          <w:color w:val="auto"/>
        </w:rPr>
      </w:pPr>
      <w:r>
        <w:rPr>
          <w:rFonts w:ascii="Arial" w:cs="Arial" w:eastAsia="Arial" w:hAnsi="Arial"/>
          <w:sz w:val="19"/>
          <w:szCs w:val="19"/>
          <w:color w:val="auto"/>
        </w:rPr>
        <w:t xml:space="preserve">Liens (i) attaching solely to cash advances and cash earnest money deposits in connection with Investments permitted under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or (ii) consisting of an agreement to Dispose of any property in a Disposition permitted hereunder;</w:t>
      </w:r>
    </w:p>
    <w:p>
      <w:pPr>
        <w:spacing w:after="0" w:line="105" w:lineRule="exact"/>
        <w:rPr>
          <w:rFonts w:ascii="Arial" w:cs="Arial" w:eastAsia="Arial" w:hAnsi="Arial"/>
          <w:sz w:val="19"/>
          <w:szCs w:val="19"/>
          <w:color w:val="auto"/>
        </w:rPr>
      </w:pPr>
    </w:p>
    <w:p>
      <w:pPr>
        <w:ind w:firstLine="1304"/>
        <w:spacing w:after="0" w:line="232" w:lineRule="auto"/>
        <w:tabs>
          <w:tab w:leader="none" w:pos="1844" w:val="left"/>
        </w:tabs>
        <w:numPr>
          <w:ilvl w:val="0"/>
          <w:numId w:val="491"/>
        </w:numPr>
        <w:rPr>
          <w:rFonts w:ascii="Arial" w:cs="Arial" w:eastAsia="Arial" w:hAnsi="Arial"/>
          <w:sz w:val="22"/>
          <w:szCs w:val="22"/>
          <w:color w:val="auto"/>
        </w:rPr>
      </w:pPr>
      <w:r>
        <w:rPr>
          <w:rFonts w:ascii="Arial" w:cs="Arial" w:eastAsia="Arial" w:hAnsi="Arial"/>
          <w:sz w:val="22"/>
          <w:szCs w:val="22"/>
          <w:color w:val="auto"/>
        </w:rPr>
        <w:t>Liens consisting of customary rights of set-off or banker’s liens on amounts on deposit, to the extent arising by operation of law and incurred in the ordinary course of business;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66" w:val="left"/>
        </w:tabs>
        <w:numPr>
          <w:ilvl w:val="0"/>
          <w:numId w:val="491"/>
        </w:numPr>
        <w:rPr>
          <w:rFonts w:ascii="Arial" w:cs="Arial" w:eastAsia="Arial" w:hAnsi="Arial"/>
          <w:sz w:val="22"/>
          <w:szCs w:val="22"/>
          <w:color w:val="auto"/>
        </w:rPr>
      </w:pPr>
      <w:r>
        <w:rPr>
          <w:rFonts w:ascii="Arial" w:cs="Arial" w:eastAsia="Arial" w:hAnsi="Arial"/>
          <w:sz w:val="22"/>
          <w:szCs w:val="22"/>
          <w:color w:val="auto"/>
        </w:rPr>
        <w:t xml:space="preserve">Liens securing reimbursement obligations permitted by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in respect of documentary letters of credit or bankers’ acceptances;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attach only to the documents, goods covered thereby and proceeds thereto;</w:t>
      </w:r>
    </w:p>
    <w:p>
      <w:pPr>
        <w:spacing w:after="0" w:line="158" w:lineRule="exact"/>
        <w:rPr>
          <w:rFonts w:ascii="Arial" w:cs="Arial" w:eastAsia="Arial" w:hAnsi="Arial"/>
          <w:sz w:val="22"/>
          <w:szCs w:val="22"/>
          <w:color w:val="auto"/>
        </w:rPr>
      </w:pPr>
    </w:p>
    <w:p>
      <w:pPr>
        <w:ind w:left="1820" w:hanging="516"/>
        <w:spacing w:after="0"/>
        <w:tabs>
          <w:tab w:leader="none" w:pos="1820" w:val="left"/>
        </w:tabs>
        <w:numPr>
          <w:ilvl w:val="0"/>
          <w:numId w:val="491"/>
        </w:numPr>
        <w:rPr>
          <w:rFonts w:ascii="Arial" w:cs="Arial" w:eastAsia="Arial" w:hAnsi="Arial"/>
          <w:sz w:val="19"/>
          <w:szCs w:val="19"/>
          <w:color w:val="auto"/>
        </w:rPr>
      </w:pPr>
      <w:r>
        <w:rPr>
          <w:rFonts w:ascii="Arial" w:cs="Arial" w:eastAsia="Arial" w:hAnsi="Arial"/>
          <w:sz w:val="19"/>
          <w:szCs w:val="19"/>
          <w:color w:val="auto"/>
        </w:rPr>
        <w:t>Liens on insurance policies and the proceeds thereof granted to secure the financing of insurance premiums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respect thereto;</w:t>
      </w:r>
    </w:p>
    <w:p>
      <w:pPr>
        <w:spacing w:after="0" w:line="161" w:lineRule="exact"/>
        <w:rPr>
          <w:rFonts w:ascii="Arial" w:cs="Arial" w:eastAsia="Arial" w:hAnsi="Arial"/>
          <w:sz w:val="19"/>
          <w:szCs w:val="19"/>
          <w:color w:val="auto"/>
        </w:rPr>
      </w:pPr>
    </w:p>
    <w:p>
      <w:pPr>
        <w:ind w:left="1780" w:hanging="476"/>
        <w:spacing w:after="0"/>
        <w:tabs>
          <w:tab w:leader="none" w:pos="1780" w:val="left"/>
        </w:tabs>
        <w:numPr>
          <w:ilvl w:val="0"/>
          <w:numId w:val="491"/>
        </w:numPr>
        <w:rPr>
          <w:rFonts w:ascii="Arial" w:cs="Arial" w:eastAsia="Arial" w:hAnsi="Arial"/>
          <w:sz w:val="19"/>
          <w:szCs w:val="19"/>
          <w:color w:val="auto"/>
        </w:rPr>
      </w:pPr>
      <w:r>
        <w:rPr>
          <w:rFonts w:ascii="Arial" w:cs="Arial" w:eastAsia="Arial" w:hAnsi="Arial"/>
          <w:sz w:val="19"/>
          <w:szCs w:val="19"/>
          <w:color w:val="auto"/>
        </w:rPr>
        <w:t>Liens encumbering deposits made to secure obligations arising from contractual or warranty requirements;</w:t>
      </w:r>
    </w:p>
    <w:p>
      <w:pPr>
        <w:spacing w:after="0" w:line="213" w:lineRule="exact"/>
        <w:rPr>
          <w:rFonts w:ascii="Arial" w:cs="Arial" w:eastAsia="Arial" w:hAnsi="Arial"/>
          <w:sz w:val="19"/>
          <w:szCs w:val="19"/>
          <w:color w:val="auto"/>
        </w:rPr>
      </w:pPr>
    </w:p>
    <w:p>
      <w:pPr>
        <w:ind w:firstLine="1304"/>
        <w:spacing w:after="0" w:line="232" w:lineRule="auto"/>
        <w:tabs>
          <w:tab w:leader="none" w:pos="1846" w:val="left"/>
        </w:tabs>
        <w:numPr>
          <w:ilvl w:val="0"/>
          <w:numId w:val="491"/>
        </w:numPr>
        <w:rPr>
          <w:rFonts w:ascii="Arial" w:cs="Arial" w:eastAsia="Arial" w:hAnsi="Arial"/>
          <w:sz w:val="22"/>
          <w:szCs w:val="22"/>
          <w:color w:val="auto"/>
        </w:rPr>
      </w:pPr>
      <w:r>
        <w:rPr>
          <w:rFonts w:ascii="Arial" w:cs="Arial" w:eastAsia="Arial" w:hAnsi="Arial"/>
          <w:sz w:val="22"/>
          <w:szCs w:val="22"/>
          <w:color w:val="auto"/>
        </w:rPr>
        <w:t xml:space="preserve">Liens on Collateral securing obligations of any of the Loan Parties in respect of Indebtedness and related obligations permitted by </w:t>
      </w:r>
      <w:r>
        <w:rPr>
          <w:rFonts w:ascii="Arial" w:cs="Arial" w:eastAsia="Arial" w:hAnsi="Arial"/>
          <w:sz w:val="22"/>
          <w:szCs w:val="22"/>
          <w:u w:val="single" w:color="auto"/>
          <w:color w:val="auto"/>
        </w:rPr>
        <w:t>Section 6.01(x)</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304"/>
        <w:spacing w:after="0" w:line="232" w:lineRule="auto"/>
        <w:tabs>
          <w:tab w:leader="none" w:pos="1737" w:val="left"/>
        </w:tabs>
        <w:numPr>
          <w:ilvl w:val="0"/>
          <w:numId w:val="491"/>
        </w:numPr>
        <w:rPr>
          <w:rFonts w:ascii="Arial" w:cs="Arial" w:eastAsia="Arial" w:hAnsi="Arial"/>
          <w:sz w:val="22"/>
          <w:szCs w:val="22"/>
          <w:color w:val="auto"/>
        </w:rPr>
      </w:pPr>
      <w:r>
        <w:rPr>
          <w:rFonts w:ascii="Arial" w:cs="Arial" w:eastAsia="Arial" w:hAnsi="Arial"/>
          <w:sz w:val="22"/>
          <w:szCs w:val="22"/>
          <w:color w:val="auto"/>
        </w:rPr>
        <w:t xml:space="preserve">Liens securing obligations referred to in </w:t>
      </w:r>
      <w:r>
        <w:rPr>
          <w:rFonts w:ascii="Arial" w:cs="Arial" w:eastAsia="Arial" w:hAnsi="Arial"/>
          <w:sz w:val="22"/>
          <w:szCs w:val="22"/>
          <w:u w:val="single" w:color="auto"/>
          <w:color w:val="auto"/>
        </w:rPr>
        <w:t>Section 6.01(k)</w:t>
      </w:r>
      <w:r>
        <w:rPr>
          <w:rFonts w:ascii="Arial" w:cs="Arial" w:eastAsia="Arial" w:hAnsi="Arial"/>
          <w:sz w:val="22"/>
          <w:szCs w:val="22"/>
          <w:color w:val="auto"/>
        </w:rPr>
        <w:t xml:space="preserve"> or on assets subject of any Permitted Sale Leaseback under </w:t>
      </w:r>
      <w:r>
        <w:rPr>
          <w:rFonts w:ascii="Arial" w:cs="Arial" w:eastAsia="Arial" w:hAnsi="Arial"/>
          <w:sz w:val="22"/>
          <w:szCs w:val="22"/>
          <w:u w:val="single" w:color="auto"/>
          <w:color w:val="auto"/>
        </w:rPr>
        <w:t>Section 6.01(v)</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304"/>
        <w:spacing w:after="0" w:line="232" w:lineRule="auto"/>
        <w:tabs>
          <w:tab w:leader="none" w:pos="1795" w:val="left"/>
        </w:tabs>
        <w:numPr>
          <w:ilvl w:val="0"/>
          <w:numId w:val="491"/>
        </w:numPr>
        <w:rPr>
          <w:rFonts w:ascii="Arial" w:cs="Arial" w:eastAsia="Arial" w:hAnsi="Arial"/>
          <w:sz w:val="22"/>
          <w:szCs w:val="22"/>
          <w:color w:val="auto"/>
        </w:rPr>
      </w:pPr>
      <w:r>
        <w:rPr>
          <w:rFonts w:ascii="Arial" w:cs="Arial" w:eastAsia="Arial" w:hAnsi="Arial"/>
          <w:sz w:val="22"/>
          <w:szCs w:val="22"/>
          <w:color w:val="auto"/>
        </w:rPr>
        <w:t>Liens on (i) the Securitization Assets arising in connection with a Qualified Securitization Financing or (ii) the Receivables Assets arising in connection with a Receivables Facility;</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74" w:val="left"/>
        </w:tabs>
        <w:numPr>
          <w:ilvl w:val="0"/>
          <w:numId w:val="491"/>
        </w:numPr>
        <w:rPr>
          <w:rFonts w:ascii="Arial" w:cs="Arial" w:eastAsia="Arial" w:hAnsi="Arial"/>
          <w:sz w:val="22"/>
          <w:szCs w:val="22"/>
          <w:color w:val="auto"/>
        </w:rPr>
      </w:pPr>
      <w:r>
        <w:rPr>
          <w:rFonts w:ascii="Arial" w:cs="Arial" w:eastAsia="Arial" w:hAnsi="Arial"/>
          <w:sz w:val="22"/>
          <w:szCs w:val="22"/>
          <w:color w:val="auto"/>
        </w:rPr>
        <w:t>licenses and sublicenses (with respect to Intellectual Property and other property), and leases and subleases granted to third parties in the ordinary course of business, to the extent they do not materially interfere with the business of the Borrower and the Restricted Subsidiaries taken as a whole;</w:t>
      </w:r>
    </w:p>
    <w:p>
      <w:pPr>
        <w:spacing w:after="0" w:line="158" w:lineRule="exact"/>
        <w:rPr>
          <w:rFonts w:ascii="Arial" w:cs="Arial" w:eastAsia="Arial" w:hAnsi="Arial"/>
          <w:sz w:val="22"/>
          <w:szCs w:val="22"/>
          <w:color w:val="auto"/>
        </w:rPr>
      </w:pPr>
    </w:p>
    <w:p>
      <w:pPr>
        <w:ind w:firstLine="1304"/>
        <w:spacing w:after="0" w:line="232" w:lineRule="auto"/>
        <w:tabs>
          <w:tab w:leader="none" w:pos="1768" w:val="left"/>
        </w:tabs>
        <w:numPr>
          <w:ilvl w:val="0"/>
          <w:numId w:val="491"/>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to secure payment of customs duties in connection with the importation of goods;</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491"/>
        </w:numPr>
        <w:rPr>
          <w:rFonts w:ascii="Arial" w:cs="Arial" w:eastAsia="Arial" w:hAnsi="Arial"/>
          <w:sz w:val="22"/>
          <w:szCs w:val="22"/>
          <w:color w:val="auto"/>
        </w:rPr>
      </w:pPr>
      <w:r>
        <w:rPr>
          <w:rFonts w:ascii="Arial" w:cs="Arial" w:eastAsia="Arial" w:hAnsi="Arial"/>
          <w:sz w:val="22"/>
          <w:szCs w:val="22"/>
          <w:color w:val="auto"/>
        </w:rPr>
        <w:t>Liens of bailees in the ordinary course of business;</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913" w:val="left"/>
        </w:tabs>
        <w:numPr>
          <w:ilvl w:val="0"/>
          <w:numId w:val="491"/>
        </w:numPr>
        <w:rPr>
          <w:rFonts w:ascii="Arial" w:cs="Arial" w:eastAsia="Arial" w:hAnsi="Arial"/>
          <w:sz w:val="22"/>
          <w:szCs w:val="22"/>
          <w:color w:val="auto"/>
        </w:rPr>
      </w:pPr>
      <w:r>
        <w:rPr>
          <w:rFonts w:ascii="Arial" w:cs="Arial" w:eastAsia="Arial" w:hAnsi="Arial"/>
          <w:sz w:val="22"/>
          <w:szCs w:val="22"/>
          <w:color w:val="auto"/>
        </w:rPr>
        <w:t>Liens securing obligations (other than obligations representing Indebtedness for borrowed money) under operating, reciprocal easement or similar agreements entered into in the ordinary course of business of the Borrower and its Subsidiaries;</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491"/>
        </w:numPr>
        <w:rPr>
          <w:rFonts w:ascii="Arial" w:cs="Arial" w:eastAsia="Arial" w:hAnsi="Arial"/>
          <w:sz w:val="22"/>
          <w:szCs w:val="22"/>
          <w:color w:val="auto"/>
        </w:rPr>
      </w:pPr>
      <w:r>
        <w:rPr>
          <w:rFonts w:ascii="Arial" w:cs="Arial" w:eastAsia="Arial" w:hAnsi="Arial"/>
          <w:sz w:val="22"/>
          <w:szCs w:val="22"/>
          <w:color w:val="auto"/>
        </w:rPr>
        <w:t>utility and similar deposits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42" w:name="page443"/>
    <w:bookmarkEnd w:id="442"/>
    <w:p>
      <w:pPr>
        <w:ind w:firstLine="1304"/>
        <w:spacing w:after="0" w:line="232" w:lineRule="auto"/>
        <w:tabs>
          <w:tab w:leader="none" w:pos="1829" w:val="left"/>
        </w:tabs>
        <w:numPr>
          <w:ilvl w:val="0"/>
          <w:numId w:val="492"/>
        </w:numPr>
        <w:rPr>
          <w:rFonts w:ascii="Arial" w:cs="Arial" w:eastAsia="Arial" w:hAnsi="Arial"/>
          <w:sz w:val="22"/>
          <w:szCs w:val="22"/>
          <w:color w:val="auto"/>
        </w:rPr>
      </w:pPr>
      <w:r>
        <w:rPr>
          <w:rFonts w:ascii="Arial" w:cs="Arial" w:eastAsia="Arial" w:hAnsi="Arial"/>
          <w:sz w:val="22"/>
          <w:szCs w:val="22"/>
          <w:color w:val="auto"/>
        </w:rPr>
        <w:t>purchase options, call and similar rights of, and restrictions for the benefit of, a third party with respect to Equity Interests held by the Borrower or any Restricted Subsidiary in Joint Ventures;</w:t>
      </w:r>
    </w:p>
    <w:p>
      <w:pPr>
        <w:spacing w:after="0" w:line="158" w:lineRule="exact"/>
        <w:rPr>
          <w:rFonts w:ascii="Arial" w:cs="Arial" w:eastAsia="Arial" w:hAnsi="Arial"/>
          <w:sz w:val="22"/>
          <w:szCs w:val="22"/>
          <w:color w:val="auto"/>
        </w:rPr>
      </w:pPr>
    </w:p>
    <w:p>
      <w:pPr>
        <w:ind w:firstLine="1304"/>
        <w:spacing w:after="0" w:line="232" w:lineRule="auto"/>
        <w:tabs>
          <w:tab w:leader="none" w:pos="1776" w:val="left"/>
        </w:tabs>
        <w:numPr>
          <w:ilvl w:val="0"/>
          <w:numId w:val="492"/>
        </w:numPr>
        <w:rPr>
          <w:rFonts w:ascii="Arial" w:cs="Arial" w:eastAsia="Arial" w:hAnsi="Arial"/>
          <w:sz w:val="22"/>
          <w:szCs w:val="22"/>
          <w:color w:val="auto"/>
        </w:rPr>
      </w:pPr>
      <w:r>
        <w:rPr>
          <w:rFonts w:ascii="Arial" w:cs="Arial" w:eastAsia="Arial" w:hAnsi="Arial"/>
          <w:sz w:val="22"/>
          <w:szCs w:val="22"/>
          <w:color w:val="auto"/>
        </w:rPr>
        <w:t>Liens disclosed as exceptions to coverage in the final title policies and endorsements issued to the Collateral Agent with respect to any Mortgaged Properties;</w:t>
      </w:r>
    </w:p>
    <w:p>
      <w:pPr>
        <w:spacing w:after="0" w:line="159" w:lineRule="exact"/>
        <w:rPr>
          <w:sz w:val="20"/>
          <w:szCs w:val="20"/>
          <w:color w:val="auto"/>
        </w:rPr>
      </w:pPr>
    </w:p>
    <w:p>
      <w:pPr>
        <w:jc w:val="both"/>
        <w:ind w:firstLine="1304"/>
        <w:spacing w:after="0" w:line="252" w:lineRule="auto"/>
        <w:tabs>
          <w:tab w:leader="none" w:pos="1859" w:val="left"/>
        </w:tabs>
        <w:numPr>
          <w:ilvl w:val="0"/>
          <w:numId w:val="493"/>
        </w:numPr>
        <w:rPr>
          <w:rFonts w:ascii="Arial" w:cs="Arial" w:eastAsia="Arial" w:hAnsi="Arial"/>
          <w:sz w:val="19"/>
          <w:szCs w:val="19"/>
          <w:color w:val="auto"/>
        </w:rPr>
      </w:pPr>
      <w:r>
        <w:rPr>
          <w:rFonts w:ascii="Arial" w:cs="Arial" w:eastAsia="Arial" w:hAnsi="Arial"/>
          <w:sz w:val="19"/>
          <w:szCs w:val="19"/>
          <w:color w:val="auto"/>
        </w:rPr>
        <w:t>Liens that are contractual rights of set-off (i) relating to the establishment of depository relations with banks or other financial institutions not given in connection with the incurrence of Indebtedness for borrowed money, (ii) relating to pooled deposit or sweep accounts of the Borrower or any Restricted Subsidiary to permit satisfaction of overdraft or similar obligations incurred in the ordinary course of business of the Borrower or the Restricted Subsidiaries or (iii) relating to purchase orders and other agreements entered into by the Borrower or any Restricted Subsidiary in the ordinary course of business;</w:t>
      </w:r>
    </w:p>
    <w:p>
      <w:pPr>
        <w:spacing w:after="0" w:line="148" w:lineRule="exact"/>
        <w:rPr>
          <w:rFonts w:ascii="Arial" w:cs="Arial" w:eastAsia="Arial" w:hAnsi="Arial"/>
          <w:sz w:val="19"/>
          <w:szCs w:val="19"/>
          <w:color w:val="auto"/>
        </w:rPr>
      </w:pPr>
    </w:p>
    <w:p>
      <w:pPr>
        <w:jc w:val="both"/>
        <w:ind w:firstLine="1304"/>
        <w:spacing w:after="0" w:line="216" w:lineRule="auto"/>
        <w:tabs>
          <w:tab w:leader="none" w:pos="1917" w:val="left"/>
        </w:tabs>
        <w:numPr>
          <w:ilvl w:val="0"/>
          <w:numId w:val="493"/>
        </w:numPr>
        <w:rPr>
          <w:rFonts w:ascii="Arial" w:cs="Arial" w:eastAsia="Arial" w:hAnsi="Arial"/>
          <w:sz w:val="22"/>
          <w:szCs w:val="22"/>
          <w:color w:val="auto"/>
        </w:rPr>
      </w:pPr>
      <w:r>
        <w:rPr>
          <w:rFonts w:ascii="Arial" w:cs="Arial" w:eastAsia="Arial" w:hAnsi="Arial"/>
          <w:sz w:val="22"/>
          <w:szCs w:val="22"/>
          <w:color w:val="auto"/>
        </w:rPr>
        <w:t xml:space="preserve">the modification, replacement, renewal or extension of any Lien permitted by </w:t>
      </w:r>
      <w:r>
        <w:rPr>
          <w:rFonts w:ascii="Arial" w:cs="Arial" w:eastAsia="Arial" w:hAnsi="Arial"/>
          <w:sz w:val="22"/>
          <w:szCs w:val="22"/>
          <w:u w:val="single" w:color="auto"/>
          <w:color w:val="auto"/>
        </w:rPr>
        <w:t>Section 6.02(c)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the Lien does not extend to any additional property other than (A) after-acquired property that is affixed or incorporated into the property covered by such Lien or financed by Indebtedness permitted under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and (B) proceeds and products thereof; and (ii) the renewal, extension or refinancing of the obligations secured or benefited by such Liens is not prohibited by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ind w:left="1860" w:hanging="556"/>
        <w:spacing w:after="0"/>
        <w:tabs>
          <w:tab w:leader="none" w:pos="1860" w:val="left"/>
        </w:tabs>
        <w:numPr>
          <w:ilvl w:val="0"/>
          <w:numId w:val="493"/>
        </w:numPr>
        <w:rPr>
          <w:rFonts w:ascii="Arial" w:cs="Arial" w:eastAsia="Arial" w:hAnsi="Arial"/>
          <w:sz w:val="22"/>
          <w:szCs w:val="22"/>
          <w:color w:val="auto"/>
        </w:rPr>
      </w:pPr>
      <w:r>
        <w:rPr>
          <w:rFonts w:ascii="Arial" w:cs="Arial" w:eastAsia="Arial" w:hAnsi="Arial"/>
          <w:sz w:val="22"/>
          <w:szCs w:val="22"/>
          <w:color w:val="auto"/>
        </w:rPr>
        <w:t>Liens arising in connection with Intercompany License Agreements;</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910" w:val="left"/>
        </w:tabs>
        <w:numPr>
          <w:ilvl w:val="0"/>
          <w:numId w:val="493"/>
        </w:numPr>
        <w:rPr>
          <w:rFonts w:ascii="Arial" w:cs="Arial" w:eastAsia="Arial" w:hAnsi="Arial"/>
          <w:sz w:val="22"/>
          <w:szCs w:val="22"/>
          <w:color w:val="auto"/>
        </w:rPr>
      </w:pPr>
      <w:r>
        <w:rPr>
          <w:rFonts w:ascii="Arial" w:cs="Arial" w:eastAsia="Arial" w:hAnsi="Arial"/>
          <w:sz w:val="22"/>
          <w:szCs w:val="22"/>
          <w:color w:val="auto"/>
        </w:rPr>
        <w:t>Liens securing any Swap Agreement so long as the fair market value of the Collateral securing such Swap Agreement does not exceed the greater of (x) $7,500,000 and (y) 7.5% of LTM EBITDA calculated on a Pro Forma Basis as of the Applicable Date of Determination outstanding at any time;</w:t>
      </w:r>
    </w:p>
    <w:p>
      <w:pPr>
        <w:spacing w:after="0" w:line="158" w:lineRule="exact"/>
        <w:rPr>
          <w:rFonts w:ascii="Arial" w:cs="Arial" w:eastAsia="Arial" w:hAnsi="Arial"/>
          <w:sz w:val="22"/>
          <w:szCs w:val="22"/>
          <w:color w:val="auto"/>
        </w:rPr>
      </w:pPr>
    </w:p>
    <w:p>
      <w:pPr>
        <w:ind w:left="2000" w:hanging="696"/>
        <w:spacing w:after="0"/>
        <w:tabs>
          <w:tab w:leader="none" w:pos="2000" w:val="left"/>
        </w:tabs>
        <w:numPr>
          <w:ilvl w:val="0"/>
          <w:numId w:val="493"/>
        </w:numPr>
        <w:rPr>
          <w:rFonts w:ascii="Arial" w:cs="Arial" w:eastAsia="Arial" w:hAnsi="Arial"/>
          <w:sz w:val="19"/>
          <w:szCs w:val="19"/>
          <w:color w:val="auto"/>
        </w:rPr>
      </w:pPr>
      <w:r>
        <w:rPr>
          <w:rFonts w:ascii="Arial" w:cs="Arial" w:eastAsia="Arial" w:hAnsi="Arial"/>
          <w:sz w:val="19"/>
          <w:szCs w:val="19"/>
          <w:color w:val="auto"/>
        </w:rPr>
        <w:t>Liens on securities which are the subject of repurchase agreements incurred in the ordinary course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161" w:lineRule="exact"/>
        <w:rPr>
          <w:rFonts w:ascii="Arial" w:cs="Arial" w:eastAsia="Arial" w:hAnsi="Arial"/>
          <w:sz w:val="19"/>
          <w:szCs w:val="19"/>
          <w:color w:val="auto"/>
        </w:rPr>
      </w:pPr>
    </w:p>
    <w:p>
      <w:pPr>
        <w:ind w:firstLine="1304"/>
        <w:spacing w:after="0" w:line="232" w:lineRule="auto"/>
        <w:tabs>
          <w:tab w:leader="none" w:pos="1869" w:val="left"/>
        </w:tabs>
        <w:numPr>
          <w:ilvl w:val="0"/>
          <w:numId w:val="493"/>
        </w:numPr>
        <w:rPr>
          <w:rFonts w:ascii="Arial" w:cs="Arial" w:eastAsia="Arial" w:hAnsi="Arial"/>
          <w:sz w:val="22"/>
          <w:szCs w:val="22"/>
          <w:color w:val="auto"/>
        </w:rPr>
      </w:pPr>
      <w:r>
        <w:rPr>
          <w:rFonts w:ascii="Arial" w:cs="Arial" w:eastAsia="Arial" w:hAnsi="Arial"/>
          <w:sz w:val="22"/>
          <w:szCs w:val="22"/>
          <w:color w:val="auto"/>
        </w:rPr>
        <w:t>Liens arising in connection with rights of dissenting stockholders pursuant to applicable law in respect of any Permitted Acquisition or other permitted Investment;</w:t>
      </w:r>
    </w:p>
    <w:p>
      <w:pPr>
        <w:spacing w:after="0" w:line="158" w:lineRule="exact"/>
        <w:rPr>
          <w:rFonts w:ascii="Arial" w:cs="Arial" w:eastAsia="Arial" w:hAnsi="Arial"/>
          <w:sz w:val="22"/>
          <w:szCs w:val="22"/>
          <w:color w:val="auto"/>
        </w:rPr>
      </w:pPr>
    </w:p>
    <w:p>
      <w:pPr>
        <w:ind w:firstLine="1304"/>
        <w:spacing w:after="0" w:line="232" w:lineRule="auto"/>
        <w:tabs>
          <w:tab w:leader="none" w:pos="2012" w:val="left"/>
        </w:tabs>
        <w:numPr>
          <w:ilvl w:val="0"/>
          <w:numId w:val="493"/>
        </w:numPr>
        <w:rPr>
          <w:rFonts w:ascii="Arial" w:cs="Arial" w:eastAsia="Arial" w:hAnsi="Arial"/>
          <w:sz w:val="22"/>
          <w:szCs w:val="22"/>
          <w:color w:val="auto"/>
        </w:rPr>
      </w:pPr>
      <w:r>
        <w:rPr>
          <w:rFonts w:ascii="Arial" w:cs="Arial" w:eastAsia="Arial" w:hAnsi="Arial"/>
          <w:sz w:val="22"/>
          <w:szCs w:val="22"/>
          <w:color w:val="auto"/>
        </w:rPr>
        <w:t xml:space="preserve">Liens on assets of any Restricted Subsidiary that is not a Loan Party to the extent such Liens secure Indebtedness of such Restricted Subsidiary permitted by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15" w:val="left"/>
        </w:tabs>
        <w:numPr>
          <w:ilvl w:val="0"/>
          <w:numId w:val="493"/>
        </w:numPr>
        <w:rPr>
          <w:rFonts w:ascii="Arial" w:cs="Arial" w:eastAsia="Arial" w:hAnsi="Arial"/>
          <w:sz w:val="22"/>
          <w:szCs w:val="22"/>
          <w:color w:val="auto"/>
        </w:rPr>
      </w:pPr>
      <w:r>
        <w:rPr>
          <w:rFonts w:ascii="Arial" w:cs="Arial" w:eastAsia="Arial" w:hAnsi="Arial"/>
          <w:sz w:val="22"/>
          <w:szCs w:val="22"/>
          <w:color w:val="auto"/>
        </w:rPr>
        <w:t xml:space="preserve">Liens on the Collateral that are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or junior to, the Liens securing the Obligations hereunder securing (x) Additional Debt, (y) Indebtedness referred to in </w:t>
      </w:r>
      <w:r>
        <w:rPr>
          <w:rFonts w:ascii="Arial" w:cs="Arial" w:eastAsia="Arial" w:hAnsi="Arial"/>
          <w:sz w:val="22"/>
          <w:szCs w:val="22"/>
          <w:u w:val="single" w:color="auto"/>
          <w:color w:val="auto"/>
        </w:rPr>
        <w:t>Section 6.01(e)</w:t>
      </w:r>
      <w:r>
        <w:rPr>
          <w:rFonts w:ascii="Arial" w:cs="Arial" w:eastAsia="Arial" w:hAnsi="Arial"/>
          <w:sz w:val="22"/>
          <w:szCs w:val="22"/>
          <w:color w:val="auto"/>
        </w:rPr>
        <w:t xml:space="preserve"> or (z) any Permitted Refinancing thereof, in each case, to the extent permitted to be secured pursuant to the terms thereof;</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787" w:val="left"/>
        </w:tabs>
        <w:numPr>
          <w:ilvl w:val="0"/>
          <w:numId w:val="493"/>
        </w:numPr>
        <w:rPr>
          <w:rFonts w:ascii="Arial" w:cs="Arial" w:eastAsia="Arial" w:hAnsi="Arial"/>
          <w:sz w:val="19"/>
          <w:szCs w:val="19"/>
          <w:color w:val="auto"/>
        </w:rPr>
      </w:pPr>
      <w:r>
        <w:rPr>
          <w:rFonts w:ascii="Arial" w:cs="Arial" w:eastAsia="Arial" w:hAnsi="Arial"/>
          <w:sz w:val="19"/>
          <w:szCs w:val="19"/>
          <w:color w:val="auto"/>
        </w:rPr>
        <w:t>Liens on Escrowed Proceeds for the benefit of the related holders of debt securities or other Indebtedness (or the underwriters or arrangers thereof) or on cash set aside at the time of the incurrence of any Indebtedness or government securities purchased with such cash, in either case to the extent such cash or government securities prefund the payment of interest on such Indebtedness and are held in an escrow account or similar arrangement to be applied for such purpose;</w:t>
      </w:r>
    </w:p>
    <w:p>
      <w:pPr>
        <w:spacing w:after="0" w:line="144" w:lineRule="exact"/>
        <w:rPr>
          <w:rFonts w:ascii="Arial" w:cs="Arial" w:eastAsia="Arial" w:hAnsi="Arial"/>
          <w:sz w:val="19"/>
          <w:szCs w:val="19"/>
          <w:color w:val="auto"/>
        </w:rPr>
      </w:pPr>
    </w:p>
    <w:p>
      <w:pPr>
        <w:ind w:left="1800" w:hanging="496"/>
        <w:spacing w:after="0"/>
        <w:tabs>
          <w:tab w:leader="none" w:pos="1800" w:val="left"/>
        </w:tabs>
        <w:numPr>
          <w:ilvl w:val="0"/>
          <w:numId w:val="493"/>
        </w:numPr>
        <w:rPr>
          <w:rFonts w:ascii="Arial" w:cs="Arial" w:eastAsia="Arial" w:hAnsi="Arial"/>
          <w:sz w:val="19"/>
          <w:szCs w:val="19"/>
          <w:color w:val="auto"/>
        </w:rPr>
      </w:pPr>
      <w:r>
        <w:rPr>
          <w:rFonts w:ascii="Arial" w:cs="Arial" w:eastAsia="Arial" w:hAnsi="Arial"/>
          <w:sz w:val="19"/>
          <w:szCs w:val="19"/>
          <w:color w:val="auto"/>
        </w:rPr>
        <w:t>Liens on the assets of Restricted Subsidiaries that are not Loan Parties, other than to secure Indebtedness for</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borrowed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43" w:name="page444"/>
    <w:bookmarkEnd w:id="443"/>
    <w:p>
      <w:pPr>
        <w:jc w:val="both"/>
        <w:ind w:firstLine="1304"/>
        <w:spacing w:after="0" w:line="223" w:lineRule="auto"/>
        <w:tabs>
          <w:tab w:leader="none" w:pos="1908" w:val="left"/>
        </w:tabs>
        <w:numPr>
          <w:ilvl w:val="0"/>
          <w:numId w:val="494"/>
        </w:numPr>
        <w:rPr>
          <w:rFonts w:ascii="Arial" w:cs="Arial" w:eastAsia="Arial" w:hAnsi="Arial"/>
          <w:sz w:val="22"/>
          <w:szCs w:val="22"/>
          <w:color w:val="auto"/>
        </w:rPr>
      </w:pPr>
      <w:r>
        <w:rPr>
          <w:rFonts w:ascii="Arial" w:cs="Arial" w:eastAsia="Arial" w:hAnsi="Arial"/>
          <w:sz w:val="22"/>
          <w:szCs w:val="22"/>
          <w:color w:val="auto"/>
        </w:rPr>
        <w:t xml:space="preserve">Liens securing the Second Lien Obligations and any Permitted Refinancing thereof incurred in accordance with </w:t>
      </w:r>
      <w:r>
        <w:rPr>
          <w:rFonts w:ascii="Arial" w:cs="Arial" w:eastAsia="Arial" w:hAnsi="Arial"/>
          <w:sz w:val="22"/>
          <w:szCs w:val="22"/>
          <w:u w:val="single" w:color="auto"/>
          <w:color w:val="auto"/>
        </w:rPr>
        <w:t>Section 6.01(r)</w:t>
      </w:r>
      <w:r>
        <w:rPr>
          <w:rFonts w:ascii="Arial" w:cs="Arial" w:eastAsia="Arial" w:hAnsi="Arial"/>
          <w:sz w:val="22"/>
          <w:szCs w:val="22"/>
          <w:color w:val="auto"/>
        </w:rPr>
        <w:t xml:space="preserve"> to the extent such Liens are subordinated to the Liens securing the Obligations in accordance with, and are subject to, the terms of the Second Lien Intercreditor Agreement;</w:t>
      </w:r>
    </w:p>
    <w:p>
      <w:pPr>
        <w:spacing w:after="0" w:line="158" w:lineRule="exact"/>
        <w:rPr>
          <w:rFonts w:ascii="Arial" w:cs="Arial" w:eastAsia="Arial" w:hAnsi="Arial"/>
          <w:sz w:val="22"/>
          <w:szCs w:val="22"/>
          <w:color w:val="auto"/>
        </w:rPr>
      </w:pPr>
    </w:p>
    <w:p>
      <w:pPr>
        <w:ind w:left="1840" w:hanging="536"/>
        <w:spacing w:after="0"/>
        <w:tabs>
          <w:tab w:leader="none" w:pos="1840" w:val="left"/>
        </w:tabs>
        <w:numPr>
          <w:ilvl w:val="0"/>
          <w:numId w:val="494"/>
        </w:numPr>
        <w:rPr>
          <w:rFonts w:ascii="Arial" w:cs="Arial" w:eastAsia="Arial" w:hAnsi="Arial"/>
          <w:sz w:val="22"/>
          <w:szCs w:val="22"/>
          <w:color w:val="auto"/>
        </w:rPr>
      </w:pPr>
      <w:r>
        <w:rPr>
          <w:rFonts w:ascii="Arial" w:cs="Arial" w:eastAsia="Arial" w:hAnsi="Arial"/>
          <w:sz w:val="22"/>
          <w:szCs w:val="22"/>
          <w:color w:val="auto"/>
        </w:rPr>
        <w:t>Liens on the Equity Interests of Unrestricted Subsidiaries; and</w:t>
      </w:r>
    </w:p>
    <w:p>
      <w:pPr>
        <w:spacing w:after="0" w:line="179" w:lineRule="exact"/>
        <w:rPr>
          <w:rFonts w:ascii="Arial" w:cs="Arial" w:eastAsia="Arial" w:hAnsi="Arial"/>
          <w:sz w:val="22"/>
          <w:szCs w:val="22"/>
          <w:color w:val="auto"/>
        </w:rPr>
      </w:pPr>
    </w:p>
    <w:p>
      <w:pPr>
        <w:ind w:left="2000" w:hanging="696"/>
        <w:spacing w:after="0"/>
        <w:tabs>
          <w:tab w:leader="none" w:pos="2000" w:val="left"/>
        </w:tabs>
        <w:numPr>
          <w:ilvl w:val="0"/>
          <w:numId w:val="494"/>
        </w:numPr>
        <w:rPr>
          <w:rFonts w:ascii="Arial" w:cs="Arial" w:eastAsia="Arial" w:hAnsi="Arial"/>
          <w:sz w:val="22"/>
          <w:szCs w:val="22"/>
          <w:color w:val="auto"/>
        </w:rPr>
      </w:pPr>
      <w:r>
        <w:rPr>
          <w:rFonts w:ascii="Arial" w:cs="Arial" w:eastAsia="Arial" w:hAnsi="Arial"/>
          <w:sz w:val="22"/>
          <w:szCs w:val="22"/>
          <w:color w:val="auto"/>
        </w:rPr>
        <w:t xml:space="preserve">Liens securing obligations referred to in </w:t>
      </w:r>
      <w:r>
        <w:rPr>
          <w:rFonts w:ascii="Arial" w:cs="Arial" w:eastAsia="Arial" w:hAnsi="Arial"/>
          <w:sz w:val="22"/>
          <w:szCs w:val="22"/>
          <w:u w:val="single" w:color="auto"/>
          <w:color w:val="auto"/>
        </w:rPr>
        <w:t>Section 6.01(n)</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The expansions of Liens by virtue of accrual of interest, the accretion of accreted value, the payment of interest or dividends in the form of additional Indebtedness and amortization of original issue discount will not be deemed to be an incurrence of Liens for purposes of this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6.03</w:t>
      </w:r>
      <w:r>
        <w:rPr>
          <w:sz w:val="20"/>
          <w:szCs w:val="20"/>
          <w:color w:val="auto"/>
        </w:rPr>
        <w:tab/>
      </w:r>
      <w:r>
        <w:rPr>
          <w:rFonts w:ascii="Arial" w:cs="Arial" w:eastAsia="Arial" w:hAnsi="Arial"/>
          <w:sz w:val="19"/>
          <w:szCs w:val="19"/>
          <w:u w:val="single" w:color="auto"/>
          <w:color w:val="auto"/>
        </w:rPr>
        <w:t>Fundamental Changes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98" w:lineRule="auto"/>
        <w:tabs>
          <w:tab w:leader="none" w:pos="1779" w:val="left"/>
        </w:tabs>
        <w:numPr>
          <w:ilvl w:val="0"/>
          <w:numId w:val="495"/>
        </w:numPr>
        <w:rPr>
          <w:rFonts w:ascii="Arial" w:cs="Arial" w:eastAsia="Arial" w:hAnsi="Arial"/>
          <w:sz w:val="19"/>
          <w:szCs w:val="19"/>
          <w:color w:val="auto"/>
        </w:rPr>
      </w:pPr>
      <w:r>
        <w:rPr>
          <w:rFonts w:ascii="Arial" w:cs="Arial" w:eastAsia="Arial" w:hAnsi="Arial"/>
          <w:sz w:val="19"/>
          <w:szCs w:val="19"/>
          <w:color w:val="auto"/>
        </w:rPr>
        <w:t>The Borrower will not, nor will the Borrower permit any Restricted Subsidiary to, merge into or consolidate or amalgamate with any other Person, or permit any other Person to merge into or consolidate or amalgamate with it, except that:</w:t>
      </w:r>
    </w:p>
    <w:p>
      <w:pPr>
        <w:spacing w:after="0" w:line="105" w:lineRule="exact"/>
        <w:rPr>
          <w:sz w:val="20"/>
          <w:szCs w:val="20"/>
          <w:color w:val="auto"/>
        </w:rPr>
      </w:pPr>
    </w:p>
    <w:p>
      <w:pPr>
        <w:jc w:val="both"/>
        <w:ind w:left="660" w:firstLine="644"/>
        <w:spacing w:after="0" w:line="214" w:lineRule="auto"/>
        <w:tabs>
          <w:tab w:leader="none" w:pos="1786" w:val="left"/>
        </w:tabs>
        <w:numPr>
          <w:ilvl w:val="1"/>
          <w:numId w:val="496"/>
        </w:numPr>
        <w:rPr>
          <w:rFonts w:ascii="Arial" w:cs="Arial" w:eastAsia="Arial" w:hAnsi="Arial"/>
          <w:sz w:val="22"/>
          <w:szCs w:val="22"/>
          <w:color w:val="auto"/>
        </w:rPr>
      </w:pPr>
      <w:r>
        <w:rPr>
          <w:rFonts w:ascii="Arial" w:cs="Arial" w:eastAsia="Arial" w:hAnsi="Arial"/>
          <w:sz w:val="22"/>
          <w:szCs w:val="22"/>
          <w:color w:val="auto"/>
        </w:rPr>
        <w:t xml:space="preserve">so long as such transactions would not materially affect the ability of a Loan Party to repatriate cash to the Borrower in the ordinary course of its business, any Holding Company (other than Holdings) and any Subsidiary may merge into or consolidate or amalgamate with the Borrower as long as the Borrower is the surviving entity or such surviving Person shall assume the obligations of the Borrower hereunder (and if such Subsidiary is an Unrestricted Subsidiary, any Indebtedness of or Lien granted on the assets of such Subsidiary is permitted by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w:t>
      </w:r>
      <w:r>
        <w:rPr>
          <w:rFonts w:ascii="Arial" w:cs="Arial" w:eastAsia="Arial" w:hAnsi="Arial"/>
          <w:sz w:val="22"/>
          <w:szCs w:val="22"/>
          <w:color w:val="auto"/>
        </w:rPr>
        <w:t>, as applicable),</w:t>
      </w:r>
    </w:p>
    <w:p>
      <w:pPr>
        <w:spacing w:after="0" w:line="158" w:lineRule="exact"/>
        <w:rPr>
          <w:rFonts w:ascii="Arial" w:cs="Arial" w:eastAsia="Arial" w:hAnsi="Arial"/>
          <w:sz w:val="22"/>
          <w:szCs w:val="22"/>
          <w:color w:val="auto"/>
        </w:rPr>
      </w:pPr>
    </w:p>
    <w:p>
      <w:pPr>
        <w:jc w:val="both"/>
        <w:ind w:left="660" w:firstLine="644"/>
        <w:spacing w:after="0" w:line="242" w:lineRule="auto"/>
        <w:tabs>
          <w:tab w:leader="none" w:pos="1836" w:val="left"/>
        </w:tabs>
        <w:numPr>
          <w:ilvl w:val="1"/>
          <w:numId w:val="496"/>
        </w:numPr>
        <w:rPr>
          <w:rFonts w:ascii="Arial" w:cs="Arial" w:eastAsia="Arial" w:hAnsi="Arial"/>
          <w:sz w:val="19"/>
          <w:szCs w:val="19"/>
          <w:color w:val="auto"/>
        </w:rPr>
      </w:pPr>
      <w:r>
        <w:rPr>
          <w:rFonts w:ascii="Arial" w:cs="Arial" w:eastAsia="Arial" w:hAnsi="Arial"/>
          <w:sz w:val="19"/>
          <w:szCs w:val="19"/>
          <w:color w:val="auto"/>
        </w:rPr>
        <w:t xml:space="preserve">so long as such transactions would not materially affect the ability of a Loan Party to repatriate cash to the Borrower in the ordinary course of its business, any Subsidiary may merge into or consolidate or amalgamate with any Loan Party (as long as (A) such Loan Party is the surviving entity, (B) such surviving entity becomes a Loan Party substantially concurrently with the consummation of such transaction and complies with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5.11</w:t>
      </w:r>
      <w:r>
        <w:rPr>
          <w:rFonts w:ascii="Arial" w:cs="Arial" w:eastAsia="Arial" w:hAnsi="Arial"/>
          <w:sz w:val="19"/>
          <w:szCs w:val="19"/>
          <w:color w:val="auto"/>
        </w:rPr>
        <w:t>,</w:t>
      </w:r>
    </w:p>
    <w:p>
      <w:pPr>
        <w:ind w:left="1020" w:hanging="364"/>
        <w:spacing w:after="0" w:line="237" w:lineRule="auto"/>
        <w:tabs>
          <w:tab w:leader="none" w:pos="1020" w:val="left"/>
        </w:tabs>
        <w:numPr>
          <w:ilvl w:val="0"/>
          <w:numId w:val="497"/>
        </w:numPr>
        <w:rPr>
          <w:rFonts w:ascii="Arial" w:cs="Arial" w:eastAsia="Arial" w:hAnsi="Arial"/>
          <w:sz w:val="19"/>
          <w:szCs w:val="19"/>
          <w:color w:val="auto"/>
        </w:rPr>
      </w:pPr>
      <w:r>
        <w:rPr>
          <w:rFonts w:ascii="Arial" w:cs="Arial" w:eastAsia="Arial" w:hAnsi="Arial"/>
          <w:sz w:val="19"/>
          <w:szCs w:val="19"/>
          <w:color w:val="auto"/>
        </w:rPr>
        <w:t xml:space="preserve">the disposition of such Loan Party would otherwise be permitted under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6.05(k)</w:t>
      </w:r>
      <w:r>
        <w:rPr>
          <w:rFonts w:ascii="Arial" w:cs="Arial" w:eastAsia="Arial" w:hAnsi="Arial"/>
          <w:sz w:val="19"/>
          <w:szCs w:val="19"/>
          <w:color w:val="auto"/>
        </w:rPr>
        <w:t>) or</w:t>
      </w:r>
    </w:p>
    <w:p>
      <w:pPr>
        <w:ind w:left="660" w:hanging="4"/>
        <w:spacing w:after="0" w:line="224" w:lineRule="auto"/>
        <w:tabs>
          <w:tab w:leader="none" w:pos="1038" w:val="left"/>
        </w:tabs>
        <w:numPr>
          <w:ilvl w:val="0"/>
          <w:numId w:val="497"/>
        </w:numPr>
        <w:rPr>
          <w:rFonts w:ascii="Arial" w:cs="Arial" w:eastAsia="Arial" w:hAnsi="Arial"/>
          <w:sz w:val="22"/>
          <w:szCs w:val="22"/>
          <w:color w:val="auto"/>
        </w:rPr>
      </w:pPr>
      <w:r>
        <w:rPr>
          <w:rFonts w:ascii="Arial" w:cs="Arial" w:eastAsia="Arial" w:hAnsi="Arial"/>
          <w:sz w:val="22"/>
          <w:szCs w:val="22"/>
          <w:color w:val="auto"/>
        </w:rPr>
        <w:t>such Loan Party would otherwise be permitted to be redesignated as an Excluded Subsidiary immediately prior to such transaction (and shall be deemed to be so disposed or redesignated)),</w:t>
      </w:r>
    </w:p>
    <w:p>
      <w:pPr>
        <w:spacing w:after="0" w:line="157" w:lineRule="exact"/>
        <w:rPr>
          <w:rFonts w:ascii="Arial" w:cs="Arial" w:eastAsia="Arial" w:hAnsi="Arial"/>
          <w:sz w:val="22"/>
          <w:szCs w:val="22"/>
          <w:color w:val="auto"/>
        </w:rPr>
      </w:pPr>
    </w:p>
    <w:p>
      <w:pPr>
        <w:jc w:val="both"/>
        <w:ind w:left="660" w:firstLine="644"/>
        <w:spacing w:after="0" w:line="268" w:lineRule="auto"/>
        <w:tabs>
          <w:tab w:leader="none" w:pos="1907" w:val="left"/>
        </w:tabs>
        <w:numPr>
          <w:ilvl w:val="1"/>
          <w:numId w:val="497"/>
        </w:numPr>
        <w:rPr>
          <w:rFonts w:ascii="Arial" w:cs="Arial" w:eastAsia="Arial" w:hAnsi="Arial"/>
          <w:sz w:val="19"/>
          <w:szCs w:val="19"/>
          <w:color w:val="auto"/>
        </w:rPr>
      </w:pPr>
      <w:r>
        <w:rPr>
          <w:rFonts w:ascii="Arial" w:cs="Arial" w:eastAsia="Arial" w:hAnsi="Arial"/>
          <w:sz w:val="19"/>
          <w:szCs w:val="19"/>
          <w:color w:val="auto"/>
        </w:rPr>
        <w:t>any Restricted Subsidiary that is not a Loan Party may merge into or consolidate or amalgamate with (A) any other Restricted Subsidiary that is not a Loan Party or (B) any Loan Party as long as such Loan Party is the surviving entity or such surviving Person shall assume the obligations of the applicable Loan Party hereunder,</w:t>
      </w:r>
    </w:p>
    <w:p>
      <w:pPr>
        <w:spacing w:after="0" w:line="132" w:lineRule="exact"/>
        <w:rPr>
          <w:rFonts w:ascii="Arial" w:cs="Arial" w:eastAsia="Arial" w:hAnsi="Arial"/>
          <w:sz w:val="19"/>
          <w:szCs w:val="19"/>
          <w:color w:val="auto"/>
        </w:rPr>
      </w:pPr>
    </w:p>
    <w:p>
      <w:pPr>
        <w:jc w:val="both"/>
        <w:ind w:left="660" w:firstLine="644"/>
        <w:spacing w:after="0" w:line="226" w:lineRule="auto"/>
        <w:tabs>
          <w:tab w:leader="none" w:pos="1958" w:val="left"/>
        </w:tabs>
        <w:numPr>
          <w:ilvl w:val="1"/>
          <w:numId w:val="497"/>
        </w:numPr>
        <w:rPr>
          <w:rFonts w:ascii="Arial" w:cs="Arial" w:eastAsia="Arial" w:hAnsi="Arial"/>
          <w:sz w:val="21"/>
          <w:szCs w:val="21"/>
          <w:color w:val="auto"/>
        </w:rPr>
      </w:pPr>
      <w:r>
        <w:rPr>
          <w:rFonts w:ascii="Arial" w:cs="Arial" w:eastAsia="Arial" w:hAnsi="Arial"/>
          <w:sz w:val="21"/>
          <w:szCs w:val="21"/>
          <w:color w:val="auto"/>
        </w:rPr>
        <w:t xml:space="preserve">the Borrower or any Restricted Subsidiary may consummate any Investment permitted by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6.04(aa)</w:t>
      </w:r>
      <w:r>
        <w:rPr>
          <w:rFonts w:ascii="Arial" w:cs="Arial" w:eastAsia="Arial" w:hAnsi="Arial"/>
          <w:sz w:val="21"/>
          <w:szCs w:val="21"/>
          <w:color w:val="auto"/>
        </w:rPr>
        <w:t xml:space="preserve">) (whether through a merger, consolidation, amalgamation or otherwise):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the surviving entity shall be subject to the requirements of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5.11</w:t>
      </w:r>
      <w:r>
        <w:rPr>
          <w:rFonts w:ascii="Arial" w:cs="Arial" w:eastAsia="Arial" w:hAnsi="Arial"/>
          <w:sz w:val="21"/>
          <w:szCs w:val="21"/>
          <w:color w:val="auto"/>
        </w:rPr>
        <w:t xml:space="preserve"> (to the extent applicable) and (B) if the Borrower is a party to such transaction, the Borrower shall be the surviving entity or such surviving Person shall assume the obligations of the Borrower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44" w:name="page445"/>
    <w:bookmarkEnd w:id="444"/>
    <w:p>
      <w:pPr>
        <w:jc w:val="both"/>
        <w:ind w:left="660" w:firstLine="644"/>
        <w:spacing w:after="0" w:line="223" w:lineRule="auto"/>
        <w:tabs>
          <w:tab w:leader="none" w:pos="1936" w:val="left"/>
        </w:tabs>
        <w:numPr>
          <w:ilvl w:val="0"/>
          <w:numId w:val="498"/>
        </w:numPr>
        <w:rPr>
          <w:rFonts w:ascii="Arial" w:cs="Arial" w:eastAsia="Arial" w:hAnsi="Arial"/>
          <w:sz w:val="22"/>
          <w:szCs w:val="22"/>
          <w:color w:val="auto"/>
        </w:rPr>
      </w:pPr>
      <w:r>
        <w:rPr>
          <w:rFonts w:ascii="Arial" w:cs="Arial" w:eastAsia="Arial" w:hAnsi="Arial"/>
          <w:sz w:val="22"/>
          <w:szCs w:val="22"/>
          <w:color w:val="auto"/>
        </w:rPr>
        <w:t xml:space="preserve">any Holding Company or Restricted Subsidiary of a Holding Company (including the Borrower) may consummate any sale, transfer or other disposition permitted pursuant to </w:t>
      </w:r>
      <w:r>
        <w:rPr>
          <w:rFonts w:ascii="Arial" w:cs="Arial" w:eastAsia="Arial" w:hAnsi="Arial"/>
          <w:sz w:val="22"/>
          <w:szCs w:val="22"/>
          <w:u w:val="single" w:color="auto"/>
          <w:color w:val="auto"/>
        </w:rPr>
        <w:t>Section 6.05</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6.05(k)</w:t>
      </w:r>
      <w:r>
        <w:rPr>
          <w:rFonts w:ascii="Arial" w:cs="Arial" w:eastAsia="Arial" w:hAnsi="Arial"/>
          <w:sz w:val="22"/>
          <w:szCs w:val="22"/>
          <w:color w:val="auto"/>
        </w:rPr>
        <w:t>) (whether through a merger, consolidation, amalgamation or otherwise),</w:t>
      </w:r>
    </w:p>
    <w:p>
      <w:pPr>
        <w:spacing w:after="0" w:line="158" w:lineRule="exact"/>
        <w:rPr>
          <w:rFonts w:ascii="Arial" w:cs="Arial" w:eastAsia="Arial" w:hAnsi="Arial"/>
          <w:sz w:val="22"/>
          <w:szCs w:val="22"/>
          <w:color w:val="auto"/>
        </w:rPr>
      </w:pPr>
    </w:p>
    <w:p>
      <w:pPr>
        <w:ind w:left="1840" w:hanging="536"/>
        <w:spacing w:after="0"/>
        <w:tabs>
          <w:tab w:leader="none" w:pos="1840" w:val="left"/>
        </w:tabs>
        <w:numPr>
          <w:ilvl w:val="0"/>
          <w:numId w:val="498"/>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179" w:lineRule="exact"/>
        <w:rPr>
          <w:rFonts w:ascii="Arial" w:cs="Arial" w:eastAsia="Arial" w:hAnsi="Arial"/>
          <w:sz w:val="22"/>
          <w:szCs w:val="22"/>
          <w:color w:val="auto"/>
        </w:rPr>
      </w:pPr>
    </w:p>
    <w:p>
      <w:pPr>
        <w:jc w:val="both"/>
        <w:ind w:left="660" w:firstLine="644"/>
        <w:spacing w:after="0"/>
        <w:tabs>
          <w:tab w:leader="none" w:pos="2000" w:val="left"/>
        </w:tabs>
        <w:numPr>
          <w:ilvl w:val="0"/>
          <w:numId w:val="498"/>
        </w:numPr>
        <w:rPr>
          <w:rFonts w:ascii="Arial" w:cs="Arial" w:eastAsia="Arial" w:hAnsi="Arial"/>
          <w:sz w:val="19"/>
          <w:szCs w:val="19"/>
          <w:color w:val="auto"/>
        </w:rPr>
      </w:pPr>
      <w:r>
        <w:rPr>
          <w:rFonts w:ascii="Arial" w:cs="Arial" w:eastAsia="Arial" w:hAnsi="Arial"/>
          <w:sz w:val="19"/>
          <w:szCs w:val="19"/>
          <w:color w:val="auto"/>
        </w:rPr>
        <w:t xml:space="preserve">In each of the preceding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6.03(a)</w:t>
      </w:r>
      <w:r>
        <w:rPr>
          <w:rFonts w:ascii="Arial" w:cs="Arial" w:eastAsia="Arial" w:hAnsi="Arial"/>
          <w:sz w:val="19"/>
          <w:szCs w:val="19"/>
          <w:color w:val="auto"/>
        </w:rPr>
        <w:t>, in the case of any merger, consolidation or amalgamation involving the Borrower, if the Person surviving such merger, consolidation or amalgamation is not the Borrower (any such Person, the “</w:t>
      </w:r>
      <w:r>
        <w:rPr>
          <w:rFonts w:ascii="Arial" w:cs="Arial" w:eastAsia="Arial" w:hAnsi="Arial"/>
          <w:sz w:val="19"/>
          <w:szCs w:val="19"/>
          <w:u w:val="single" w:color="auto"/>
          <w:color w:val="auto"/>
        </w:rPr>
        <w:t>Successor Company</w:t>
      </w:r>
      <w:r>
        <w:rPr>
          <w:rFonts w:ascii="Arial" w:cs="Arial" w:eastAsia="Arial" w:hAnsi="Arial"/>
          <w:sz w:val="19"/>
          <w:szCs w:val="19"/>
          <w:color w:val="auto"/>
        </w:rPr>
        <w:t xml:space="preserve">”), the Successor Company shall be an entity organized or existing under the laws of the United States, any State thereof or the District of Columbia or such other jurisdiction as may be reasonably acceptable to the Collateral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at all times at least one Borrower shall be a corporation or limited liability company organized under the laws of the United States, a State thereof or the District of Columbia, (B) the Successor Company shall expressly assume all of the obligations of the Borrower under this Agreement and the other Loan Documents to which the Borrower is a party, (C) each Loan Party, unless it is the other party to such merger, consolidation or amalgamation, shall have confirmed that its Guarantee shall apply to the Successor Company’s obligations under the Loan Documents, (D) each Loan Party, unless it is the other party to such merger, consolidation or amalgamation, shall have by a supplement to applicable Security Documents confirmed that its obligations thereunder shall apply to the Successor Company’s obligations under the Loan Documents, (E) each mortgagor of a Mortgaged Property, unless it is the other party to such merger or consolidation, shall have affirmed that its obligations under the applicable Mortgage shall apply to its Guarantee as reaffirmed pursuant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w:t>
      </w:r>
      <w:r>
        <w:rPr>
          <w:rFonts w:ascii="Arial" w:cs="Arial" w:eastAsia="Arial" w:hAnsi="Arial"/>
          <w:sz w:val="19"/>
          <w:szCs w:val="19"/>
          <w:color w:val="auto"/>
        </w:rPr>
        <w:t xml:space="preserve"> the Successor Company shall have delivered to the Administrative Agent an officer’s certificate stating that such merger or consolidation and such supplements preserve the enforceability of the Guarantee and the perfection and priority of the Liens under the applicable Security Documents;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foregoing are satisfied, the Successor Company will succeed to, and be substituted for, the Borrower under this Agreement.</w:t>
      </w:r>
    </w:p>
    <w:p>
      <w:pPr>
        <w:spacing w:after="0" w:line="382" w:lineRule="exact"/>
        <w:rPr>
          <w:sz w:val="20"/>
          <w:szCs w:val="20"/>
          <w:color w:val="auto"/>
        </w:rPr>
      </w:pPr>
    </w:p>
    <w:p>
      <w:pPr>
        <w:ind w:left="1880" w:hanging="576"/>
        <w:spacing w:after="0"/>
        <w:tabs>
          <w:tab w:leader="none" w:pos="1880" w:val="left"/>
        </w:tabs>
        <w:numPr>
          <w:ilvl w:val="0"/>
          <w:numId w:val="499"/>
        </w:numPr>
        <w:rPr>
          <w:rFonts w:ascii="Arial" w:cs="Arial" w:eastAsia="Arial" w:hAnsi="Arial"/>
          <w:sz w:val="21"/>
          <w:szCs w:val="21"/>
          <w:color w:val="auto"/>
        </w:rPr>
      </w:pPr>
      <w:r>
        <w:rPr>
          <w:rFonts w:ascii="Arial" w:cs="Arial" w:eastAsia="Arial" w:hAnsi="Arial"/>
          <w:sz w:val="21"/>
          <w:szCs w:val="21"/>
          <w:color w:val="auto"/>
        </w:rPr>
        <w:t>The Borrower will not, nor will the Borrower permit any Restricted Subsidiary to, liquidate or dissolve,</w:t>
      </w:r>
    </w:p>
    <w:p>
      <w:pPr>
        <w:spacing w:after="0"/>
        <w:rPr>
          <w:sz w:val="20"/>
          <w:szCs w:val="20"/>
          <w:color w:val="auto"/>
        </w:rPr>
      </w:pPr>
      <w:r>
        <w:rPr>
          <w:rFonts w:ascii="Arial" w:cs="Arial" w:eastAsia="Arial" w:hAnsi="Arial"/>
          <w:sz w:val="22"/>
          <w:szCs w:val="22"/>
          <w:color w:val="auto"/>
        </w:rPr>
        <w:t>except that:</w:t>
      </w:r>
    </w:p>
    <w:p>
      <w:pPr>
        <w:spacing w:after="0" w:line="161" w:lineRule="exact"/>
        <w:rPr>
          <w:sz w:val="20"/>
          <w:szCs w:val="20"/>
          <w:color w:val="auto"/>
        </w:rPr>
      </w:pPr>
    </w:p>
    <w:p>
      <w:pPr>
        <w:ind w:left="660" w:firstLine="644"/>
        <w:spacing w:after="0" w:line="232" w:lineRule="auto"/>
        <w:tabs>
          <w:tab w:leader="none" w:pos="1852" w:val="left"/>
        </w:tabs>
        <w:numPr>
          <w:ilvl w:val="0"/>
          <w:numId w:val="500"/>
        </w:numPr>
        <w:rPr>
          <w:rFonts w:ascii="Arial" w:cs="Arial" w:eastAsia="Arial" w:hAnsi="Arial"/>
          <w:sz w:val="22"/>
          <w:szCs w:val="22"/>
          <w:color w:val="auto"/>
        </w:rPr>
      </w:pPr>
      <w:r>
        <w:rPr>
          <w:rFonts w:ascii="Arial" w:cs="Arial" w:eastAsia="Arial" w:hAnsi="Arial"/>
          <w:sz w:val="22"/>
          <w:szCs w:val="22"/>
          <w:color w:val="auto"/>
        </w:rPr>
        <w:t>any Subsidiary (other than the Borrower) may transfer all or any portion of its assets (upon liquidation, dissolution, winding-up or any similar transaction) to the Borrower or any Loan Party;</w:t>
      </w:r>
    </w:p>
    <w:p>
      <w:pPr>
        <w:spacing w:after="0" w:line="158" w:lineRule="exact"/>
        <w:rPr>
          <w:rFonts w:ascii="Arial" w:cs="Arial" w:eastAsia="Arial" w:hAnsi="Arial"/>
          <w:sz w:val="22"/>
          <w:szCs w:val="22"/>
          <w:color w:val="auto"/>
        </w:rPr>
      </w:pPr>
    </w:p>
    <w:p>
      <w:pPr>
        <w:ind w:left="660" w:firstLine="644"/>
        <w:spacing w:after="0" w:line="247" w:lineRule="auto"/>
        <w:tabs>
          <w:tab w:leader="none" w:pos="1948" w:val="left"/>
        </w:tabs>
        <w:numPr>
          <w:ilvl w:val="0"/>
          <w:numId w:val="500"/>
        </w:numPr>
        <w:rPr>
          <w:rFonts w:ascii="Arial" w:cs="Arial" w:eastAsia="Arial" w:hAnsi="Arial"/>
          <w:sz w:val="21"/>
          <w:szCs w:val="21"/>
          <w:color w:val="auto"/>
        </w:rPr>
      </w:pPr>
      <w:r>
        <w:rPr>
          <w:rFonts w:ascii="Arial" w:cs="Arial" w:eastAsia="Arial" w:hAnsi="Arial"/>
          <w:sz w:val="21"/>
          <w:szCs w:val="21"/>
          <w:color w:val="auto"/>
        </w:rPr>
        <w:t>any Restricted Subsidiary that is not a Loan Party may transfer all or any portion of its assets (upon liquidation, dissolution, winding-up or any similar transaction) to the Borrower or any other Restricted Subsidiary;</w:t>
      </w:r>
    </w:p>
    <w:p>
      <w:pPr>
        <w:spacing w:after="0" w:line="150" w:lineRule="exact"/>
        <w:rPr>
          <w:rFonts w:ascii="Arial" w:cs="Arial" w:eastAsia="Arial" w:hAnsi="Arial"/>
          <w:sz w:val="21"/>
          <w:szCs w:val="21"/>
          <w:color w:val="auto"/>
        </w:rPr>
      </w:pPr>
    </w:p>
    <w:p>
      <w:pPr>
        <w:ind w:left="660" w:firstLine="644"/>
        <w:spacing w:after="0" w:line="232" w:lineRule="auto"/>
        <w:tabs>
          <w:tab w:leader="none" w:pos="1937" w:val="left"/>
        </w:tabs>
        <w:numPr>
          <w:ilvl w:val="0"/>
          <w:numId w:val="500"/>
        </w:numPr>
        <w:rPr>
          <w:rFonts w:ascii="Arial" w:cs="Arial" w:eastAsia="Arial" w:hAnsi="Arial"/>
          <w:sz w:val="22"/>
          <w:szCs w:val="22"/>
          <w:color w:val="auto"/>
        </w:rPr>
      </w:pPr>
      <w:r>
        <w:rPr>
          <w:rFonts w:ascii="Arial" w:cs="Arial" w:eastAsia="Arial" w:hAnsi="Arial"/>
          <w:sz w:val="22"/>
          <w:szCs w:val="22"/>
          <w:color w:val="auto"/>
        </w:rPr>
        <w:t>any Loan Party (other than the Borrower) may transfer all or any portion of its assets (upon liquidation, dissolution, winding-up or any similar transaction) to the Borrower or any other Loan Party;</w:t>
      </w:r>
    </w:p>
    <w:p>
      <w:pPr>
        <w:spacing w:after="0" w:line="158" w:lineRule="exact"/>
        <w:rPr>
          <w:rFonts w:ascii="Arial" w:cs="Arial" w:eastAsia="Arial" w:hAnsi="Arial"/>
          <w:sz w:val="22"/>
          <w:szCs w:val="22"/>
          <w:color w:val="auto"/>
        </w:rPr>
      </w:pPr>
    </w:p>
    <w:p>
      <w:pPr>
        <w:jc w:val="both"/>
        <w:ind w:left="660" w:firstLine="644"/>
        <w:spacing w:after="0" w:line="257" w:lineRule="auto"/>
        <w:tabs>
          <w:tab w:leader="none" w:pos="1941" w:val="left"/>
        </w:tabs>
        <w:numPr>
          <w:ilvl w:val="0"/>
          <w:numId w:val="500"/>
        </w:numPr>
        <w:rPr>
          <w:rFonts w:ascii="Arial" w:cs="Arial" w:eastAsia="Arial" w:hAnsi="Arial"/>
          <w:sz w:val="19"/>
          <w:szCs w:val="19"/>
          <w:color w:val="auto"/>
        </w:rPr>
      </w:pPr>
      <w:r>
        <w:rPr>
          <w:rFonts w:ascii="Arial" w:cs="Arial" w:eastAsia="Arial" w:hAnsi="Arial"/>
          <w:sz w:val="19"/>
          <w:szCs w:val="19"/>
          <w:color w:val="auto"/>
        </w:rPr>
        <w:t xml:space="preserve">(A) the Borrower or (B) any Restricted Subsidiary may change its legal form;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all times at least one Borrower shall be a corporation or limited liability company organized under the laws of the United States or a state or territory thereof or the District of Columbia;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the case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such changes shall not adversely impact the scope of the Collateral or the Guarantees provided in the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45" w:name="page446"/>
    <w:bookmarkEnd w:id="445"/>
    <w:p>
      <w:pPr>
        <w:ind w:left="1780" w:hanging="476"/>
        <w:spacing w:after="0"/>
        <w:tabs>
          <w:tab w:leader="none" w:pos="1780" w:val="left"/>
        </w:tabs>
        <w:numPr>
          <w:ilvl w:val="0"/>
          <w:numId w:val="501"/>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0"/>
          <w:numId w:val="501"/>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1900" w:hanging="596"/>
        <w:spacing w:after="0"/>
        <w:tabs>
          <w:tab w:leader="none" w:pos="1900" w:val="left"/>
        </w:tabs>
        <w:numPr>
          <w:ilvl w:val="0"/>
          <w:numId w:val="501"/>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179" w:lineRule="exact"/>
        <w:rPr>
          <w:rFonts w:ascii="Arial" w:cs="Arial" w:eastAsia="Arial" w:hAnsi="Arial"/>
          <w:sz w:val="22"/>
          <w:szCs w:val="22"/>
          <w:color w:val="auto"/>
        </w:rPr>
      </w:pPr>
    </w:p>
    <w:p>
      <w:pPr>
        <w:jc w:val="both"/>
        <w:ind w:left="660" w:firstLine="644"/>
        <w:spacing w:after="0" w:line="252" w:lineRule="auto"/>
        <w:tabs>
          <w:tab w:leader="none" w:pos="2057" w:val="left"/>
        </w:tabs>
        <w:numPr>
          <w:ilvl w:val="0"/>
          <w:numId w:val="501"/>
        </w:numPr>
        <w:rPr>
          <w:rFonts w:ascii="Arial" w:cs="Arial" w:eastAsia="Arial" w:hAnsi="Arial"/>
          <w:sz w:val="19"/>
          <w:szCs w:val="19"/>
          <w:color w:val="auto"/>
        </w:rPr>
      </w:pPr>
      <w:r>
        <w:rPr>
          <w:rFonts w:ascii="Arial" w:cs="Arial" w:eastAsia="Arial" w:hAnsi="Arial"/>
          <w:sz w:val="19"/>
          <w:szCs w:val="19"/>
          <w:color w:val="auto"/>
        </w:rPr>
        <w:t xml:space="preserve">any Restricted Subsidiary (other than the Borrower) may transfer all or any portion of its assets (upon liquidation, dissolution, winding-up or any similar transaction) to any Person in order to effect an Investment permitted pursuant to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6.04(aa)</w:t>
      </w:r>
      <w:r>
        <w:rPr>
          <w:rFonts w:ascii="Arial" w:cs="Arial" w:eastAsia="Arial" w:hAnsi="Arial"/>
          <w:sz w:val="19"/>
          <w:szCs w:val="19"/>
          <w:color w:val="auto"/>
        </w:rPr>
        <w:t xml:space="preserve">) and any Holding Company or any of its Restricted Subsidiaries may transfer all or any portion of its assets (upon liquidation, dissolution, winding-up or any similar transaction) upon a sale, transfer or other disposition permitted pursuant to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6.05(k)</w:t>
      </w:r>
      <w:r>
        <w:rPr>
          <w:rFonts w:ascii="Arial" w:cs="Arial" w:eastAsia="Arial" w:hAnsi="Arial"/>
          <w:sz w:val="19"/>
          <w:szCs w:val="19"/>
          <w:color w:val="auto"/>
        </w:rPr>
        <w:t>).</w:t>
      </w:r>
    </w:p>
    <w:p>
      <w:pPr>
        <w:spacing w:after="0" w:line="14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The Borrower will not consummate any Division.</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Notwithstanding the foregoing, (i) any Person that becomes a Loan Party as a result of the changes set forth in each sub-clause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shall have satisfied the reasonable requirements under “know your customer” and anti-money laundering rules and regulations, including the Patriot Act, to which the Administrative Agent, and each Lender and each of the Issuing Banks are subject, (ii) the changes set forth in each sub-clause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shall not materially impair the security interests of the Lenders or materially reduce (on a pro forma basis for the most recent period of four fiscal quarters of the Borrower) the consolidated revenues of the Borrower and the other Loan Parties, and (iii ) after giving effect to any changes set forth in each sub-clause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the Borrower and Holdings shall comply with </w:t>
      </w:r>
      <w:r>
        <w:rPr>
          <w:rFonts w:ascii="Arial" w:cs="Arial" w:eastAsia="Arial" w:hAnsi="Arial"/>
          <w:sz w:val="19"/>
          <w:szCs w:val="19"/>
          <w:u w:val="single" w:color="auto"/>
          <w:color w:val="auto"/>
        </w:rPr>
        <w:t>Section 5.11</w:t>
      </w:r>
      <w:r>
        <w:rPr>
          <w:rFonts w:ascii="Arial" w:cs="Arial" w:eastAsia="Arial" w:hAnsi="Arial"/>
          <w:sz w:val="19"/>
          <w:szCs w:val="19"/>
          <w:color w:val="auto"/>
        </w:rPr>
        <w:t>.</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6.04</w:t>
      </w:r>
      <w:r>
        <w:rPr>
          <w:sz w:val="20"/>
          <w:szCs w:val="20"/>
          <w:color w:val="auto"/>
        </w:rPr>
        <w:tab/>
      </w:r>
      <w:r>
        <w:rPr>
          <w:rFonts w:ascii="Arial" w:cs="Arial" w:eastAsia="Arial" w:hAnsi="Arial"/>
          <w:sz w:val="19"/>
          <w:szCs w:val="19"/>
          <w:u w:val="single" w:color="auto"/>
          <w:color w:val="auto"/>
        </w:rPr>
        <w:t>Investments</w:t>
      </w:r>
      <w:r>
        <w:rPr>
          <w:rFonts w:ascii="Arial" w:cs="Arial" w:eastAsia="Arial" w:hAnsi="Arial"/>
          <w:sz w:val="19"/>
          <w:szCs w:val="19"/>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Borrower will not, nor will the Borrower permit any Restricted Subsidiary to, make any Investments, except:</w:t>
      </w:r>
    </w:p>
    <w:p>
      <w:pPr>
        <w:spacing w:after="0" w:line="214" w:lineRule="exact"/>
        <w:rPr>
          <w:sz w:val="20"/>
          <w:szCs w:val="20"/>
          <w:color w:val="auto"/>
        </w:rPr>
      </w:pPr>
    </w:p>
    <w:p>
      <w:pPr>
        <w:ind w:left="1780" w:hanging="476"/>
        <w:spacing w:after="0"/>
        <w:tabs>
          <w:tab w:leader="none" w:pos="1780" w:val="left"/>
        </w:tabs>
        <w:numPr>
          <w:ilvl w:val="0"/>
          <w:numId w:val="502"/>
        </w:numPr>
        <w:rPr>
          <w:rFonts w:ascii="Arial" w:cs="Arial" w:eastAsia="Arial" w:hAnsi="Arial"/>
          <w:sz w:val="19"/>
          <w:szCs w:val="19"/>
          <w:color w:val="auto"/>
        </w:rPr>
      </w:pPr>
      <w:r>
        <w:rPr>
          <w:rFonts w:ascii="Arial" w:cs="Arial" w:eastAsia="Arial" w:hAnsi="Arial"/>
          <w:sz w:val="19"/>
          <w:szCs w:val="19"/>
          <w:color w:val="auto"/>
        </w:rPr>
        <w:t>Investments in cash and Cash Equivalents and assets that were Cash Equivalents when such Investment was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made;</w:t>
      </w:r>
    </w:p>
    <w:p>
      <w:pPr>
        <w:spacing w:after="0" w:line="161" w:lineRule="exact"/>
        <w:rPr>
          <w:sz w:val="20"/>
          <w:szCs w:val="20"/>
          <w:color w:val="auto"/>
        </w:rPr>
      </w:pPr>
    </w:p>
    <w:p>
      <w:pPr>
        <w:jc w:val="both"/>
        <w:ind w:firstLine="1304"/>
        <w:spacing w:after="0" w:line="223" w:lineRule="auto"/>
        <w:tabs>
          <w:tab w:leader="none" w:pos="1978" w:val="left"/>
        </w:tabs>
        <w:numPr>
          <w:ilvl w:val="0"/>
          <w:numId w:val="503"/>
        </w:numPr>
        <w:rPr>
          <w:rFonts w:ascii="Arial" w:cs="Arial" w:eastAsia="Arial" w:hAnsi="Arial"/>
          <w:sz w:val="22"/>
          <w:szCs w:val="22"/>
          <w:color w:val="auto"/>
        </w:rPr>
      </w:pPr>
      <w:r>
        <w:rPr>
          <w:rFonts w:ascii="Arial" w:cs="Arial" w:eastAsia="Arial" w:hAnsi="Arial"/>
          <w:sz w:val="22"/>
          <w:szCs w:val="22"/>
          <w:color w:val="auto"/>
        </w:rPr>
        <w:t>(i) the Transactions or Investments otherwise made in accordance with and as contemplated by the Recapitalization Agreement, (ii) Permitted Acquisitions and (iii) Investments by any Loan Party in any Restricted Subsidiary the net cash proceeds of which are used to consummate a Permitted Acquisition;</w:t>
      </w:r>
    </w:p>
    <w:p>
      <w:pPr>
        <w:spacing w:after="0" w:line="158" w:lineRule="exact"/>
        <w:rPr>
          <w:rFonts w:ascii="Arial" w:cs="Arial" w:eastAsia="Arial" w:hAnsi="Arial"/>
          <w:sz w:val="22"/>
          <w:szCs w:val="22"/>
          <w:color w:val="auto"/>
        </w:rPr>
      </w:pPr>
    </w:p>
    <w:p>
      <w:pPr>
        <w:jc w:val="both"/>
        <w:ind w:firstLine="1304"/>
        <w:spacing w:after="0" w:line="246" w:lineRule="auto"/>
        <w:tabs>
          <w:tab w:leader="none" w:pos="1931" w:val="left"/>
        </w:tabs>
        <w:numPr>
          <w:ilvl w:val="0"/>
          <w:numId w:val="503"/>
        </w:numPr>
        <w:rPr>
          <w:rFonts w:ascii="Arial" w:cs="Arial" w:eastAsia="Arial" w:hAnsi="Arial"/>
          <w:sz w:val="19"/>
          <w:szCs w:val="19"/>
          <w:color w:val="auto"/>
        </w:rPr>
      </w:pPr>
      <w:r>
        <w:rPr>
          <w:rFonts w:ascii="Arial" w:cs="Arial" w:eastAsia="Arial" w:hAnsi="Arial"/>
          <w:sz w:val="19"/>
          <w:szCs w:val="19"/>
          <w:color w:val="auto"/>
        </w:rPr>
        <w:t xml:space="preserve">(i) Investments existing on the Closing Date and listed on </w:t>
      </w:r>
      <w:r>
        <w:rPr>
          <w:rFonts w:ascii="Arial" w:cs="Arial" w:eastAsia="Arial" w:hAnsi="Arial"/>
          <w:sz w:val="19"/>
          <w:szCs w:val="19"/>
          <w:u w:val="single" w:color="auto"/>
          <w:color w:val="auto"/>
        </w:rPr>
        <w:t>Schedule 6.04</w:t>
      </w:r>
      <w:r>
        <w:rPr>
          <w:rFonts w:ascii="Arial" w:cs="Arial" w:eastAsia="Arial" w:hAnsi="Arial"/>
          <w:sz w:val="19"/>
          <w:szCs w:val="19"/>
          <w:color w:val="auto"/>
        </w:rPr>
        <w:t xml:space="preserve"> hereto and (ii) Investments consisting of any modification, replacement, renewal, reinvestment or extension of any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any Investment permitted pursuant to this </w:t>
      </w:r>
      <w:r>
        <w:rPr>
          <w:rFonts w:ascii="Arial" w:cs="Arial" w:eastAsia="Arial" w:hAnsi="Arial"/>
          <w:sz w:val="19"/>
          <w:szCs w:val="19"/>
          <w:u w:val="single" w:color="auto"/>
          <w:color w:val="auto"/>
        </w:rPr>
        <w:t>Section 6.04(c)</w:t>
      </w:r>
      <w:r>
        <w:rPr>
          <w:rFonts w:ascii="Arial" w:cs="Arial" w:eastAsia="Arial" w:hAnsi="Arial"/>
          <w:sz w:val="19"/>
          <w:szCs w:val="19"/>
          <w:color w:val="auto"/>
        </w:rPr>
        <w:t xml:space="preserve"> is not increased from the original amount of such Investment on the Closing Date (determined without reducing such amount to reflect to any Return received on such Investment from and after the Closing Date) except pursuant to the terms of such Investment (including in respect of any unused commitment),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but unpaid interest (including any portion thereof which is payable in kind in accordance with the terms of such modified, extended, renewed or replaced Investment) and premium payable by the terms of such Indebtedness thereon and fees and expenses associated therewith as of the Closing Date or as otherwise permitted by this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firstLine="1304"/>
        <w:spacing w:after="0" w:line="232" w:lineRule="auto"/>
        <w:tabs>
          <w:tab w:leader="none" w:pos="1775" w:val="left"/>
        </w:tabs>
        <w:numPr>
          <w:ilvl w:val="0"/>
          <w:numId w:val="503"/>
        </w:numPr>
        <w:rPr>
          <w:rFonts w:ascii="Arial" w:cs="Arial" w:eastAsia="Arial" w:hAnsi="Arial"/>
          <w:sz w:val="22"/>
          <w:szCs w:val="22"/>
          <w:color w:val="auto"/>
        </w:rPr>
      </w:pPr>
      <w:r>
        <w:rPr>
          <w:rFonts w:ascii="Arial" w:cs="Arial" w:eastAsia="Arial" w:hAnsi="Arial"/>
          <w:sz w:val="22"/>
          <w:szCs w:val="22"/>
          <w:color w:val="auto"/>
        </w:rPr>
        <w:t>Investments (i) between and among any of the Restricted Subsidiaries that are non-Loan Parties, (ii) between and among the Loan Parties (other than Investments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46" w:name="page447"/>
    <w:bookmarkEnd w:id="446"/>
    <w:p>
      <w:pPr>
        <w:jc w:val="both"/>
        <w:spacing w:after="0" w:line="246" w:lineRule="auto"/>
        <w:rPr>
          <w:sz w:val="20"/>
          <w:szCs w:val="20"/>
          <w:color w:val="auto"/>
        </w:rPr>
      </w:pPr>
      <w:r>
        <w:rPr>
          <w:rFonts w:ascii="Arial" w:cs="Arial" w:eastAsia="Arial" w:hAnsi="Arial"/>
          <w:sz w:val="19"/>
          <w:szCs w:val="19"/>
          <w:color w:val="auto"/>
        </w:rPr>
        <w:t xml:space="preserve">Holdings (excluding any Investment made by a Loan Party in Holdings that could have been made as a Restricted Payment to Holdings pursuant to any clause or clauses of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Investment reduce the amounts available under the respective clause or clauses in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in reliance on which such Restricted Payments could have been made by an amount equal to the amount of any such Investment)), (iii) by any Loan Party in any Restricted Subsidiary that is not a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any such Investments under this </w:t>
      </w:r>
      <w:r>
        <w:rPr>
          <w:rFonts w:ascii="Arial" w:cs="Arial" w:eastAsia="Arial" w:hAnsi="Arial"/>
          <w:sz w:val="19"/>
          <w:szCs w:val="19"/>
          <w:u w:val="single" w:color="auto"/>
          <w:color w:val="auto"/>
        </w:rPr>
        <w:t>clause (d)(iii)</w:t>
      </w:r>
      <w:r>
        <w:rPr>
          <w:rFonts w:ascii="Arial" w:cs="Arial" w:eastAsia="Arial" w:hAnsi="Arial"/>
          <w:sz w:val="19"/>
          <w:szCs w:val="19"/>
          <w:color w:val="auto"/>
        </w:rPr>
        <w:t xml:space="preserve"> constitute loans or advances made to any Loan Party, such loans or advances shall be subordinated to the Obligations on terms which prohibit the repayment thereof after the occurrence of an Event of Default pursuant to </w:t>
      </w:r>
      <w:r>
        <w:rPr>
          <w:rFonts w:ascii="Arial" w:cs="Arial" w:eastAsia="Arial" w:hAnsi="Arial"/>
          <w:sz w:val="19"/>
          <w:szCs w:val="19"/>
          <w:u w:val="single" w:color="auto"/>
          <w:color w:val="auto"/>
        </w:rPr>
        <w:t>Section 7.01(h)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or the acceleration of the Obligations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w:t>
      </w:r>
      <w:r>
        <w:rPr>
          <w:rFonts w:ascii="Arial" w:cs="Arial" w:eastAsia="Arial" w:hAnsi="Arial"/>
          <w:sz w:val="19"/>
          <w:szCs w:val="19"/>
          <w:color w:val="auto"/>
        </w:rPr>
        <w:t xml:space="preserve"> after the occurrence of any other Event of Default and (iv) by a non-Loan Party in a Loan Party;</w:t>
      </w:r>
    </w:p>
    <w:p>
      <w:pPr>
        <w:spacing w:after="0" w:line="152" w:lineRule="exact"/>
        <w:rPr>
          <w:sz w:val="20"/>
          <w:szCs w:val="20"/>
          <w:color w:val="auto"/>
        </w:rPr>
      </w:pPr>
    </w:p>
    <w:p>
      <w:pPr>
        <w:jc w:val="both"/>
        <w:ind w:firstLine="1304"/>
        <w:spacing w:after="0" w:line="244" w:lineRule="auto"/>
        <w:tabs>
          <w:tab w:leader="none" w:pos="1838" w:val="left"/>
        </w:tabs>
        <w:numPr>
          <w:ilvl w:val="0"/>
          <w:numId w:val="504"/>
        </w:numPr>
        <w:rPr>
          <w:rFonts w:ascii="Arial" w:cs="Arial" w:eastAsia="Arial" w:hAnsi="Arial"/>
          <w:sz w:val="19"/>
          <w:szCs w:val="19"/>
          <w:color w:val="auto"/>
        </w:rPr>
      </w:pPr>
      <w:r>
        <w:rPr>
          <w:rFonts w:ascii="Arial" w:cs="Arial" w:eastAsia="Arial" w:hAnsi="Arial"/>
          <w:sz w:val="19"/>
          <w:szCs w:val="19"/>
          <w:color w:val="auto"/>
        </w:rPr>
        <w:t xml:space="preserve">Investments made by any Restricted Subsidiary in any Joint Venture or any Unrestricted Subsidiary in an aggregate amount of such Investments made after the Closing Date pursuant to this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by (x) Loan Parties and Restricted Subsidiaries in Joint Ventures and (y) any Restricted Subsidiary in Unrestricted Subsidiaries shall not collectively exceed the greater of (A) $45,000,000 and (B) 45.0% of LTM EBITDA calculated on a Pro Forma Basis as of the Applicable Date of Determination after giving effect computed on a Pro Forma Basis to each proposed Investment (it being understood that for purposes of calculating amounts outstanding pursuant to this </w:t>
      </w:r>
      <w:r>
        <w:rPr>
          <w:rFonts w:ascii="Arial" w:cs="Arial" w:eastAsia="Arial" w:hAnsi="Arial"/>
          <w:sz w:val="19"/>
          <w:szCs w:val="19"/>
          <w:u w:val="single" w:color="auto"/>
          <w:color w:val="auto"/>
        </w:rPr>
        <w:t>clause (e)</w:t>
      </w:r>
      <w:r>
        <w:rPr>
          <w:rFonts w:ascii="Arial" w:cs="Arial" w:eastAsia="Arial" w:hAnsi="Arial"/>
          <w:sz w:val="19"/>
          <w:szCs w:val="19"/>
          <w:color w:val="auto"/>
        </w:rPr>
        <w:t>, such amount shall be calculated on a net basis (without duplication of the reduction of the amount of any such Investment in respect of Returns on such Investment pursuant to the definition of “Investment”) giving effect to all Investments (I) in the Loan Parties by and Returns to the Loan Parties from Restricted Subsidiaries that are not Loan Parties and (II) in the Loan Parties by Joint Ventures and Unrestricted Subsidiaries);</w:t>
      </w:r>
    </w:p>
    <w:p>
      <w:pPr>
        <w:spacing w:after="0" w:line="160" w:lineRule="exact"/>
        <w:rPr>
          <w:rFonts w:ascii="Arial" w:cs="Arial" w:eastAsia="Arial" w:hAnsi="Arial"/>
          <w:sz w:val="19"/>
          <w:szCs w:val="19"/>
          <w:color w:val="auto"/>
        </w:rPr>
      </w:pPr>
    </w:p>
    <w:p>
      <w:pPr>
        <w:jc w:val="both"/>
        <w:ind w:firstLine="1304"/>
        <w:spacing w:after="0" w:line="216" w:lineRule="auto"/>
        <w:tabs>
          <w:tab w:leader="none" w:pos="1891" w:val="left"/>
        </w:tabs>
        <w:numPr>
          <w:ilvl w:val="0"/>
          <w:numId w:val="504"/>
        </w:numPr>
        <w:rPr>
          <w:rFonts w:ascii="Arial" w:cs="Arial" w:eastAsia="Arial" w:hAnsi="Arial"/>
          <w:sz w:val="22"/>
          <w:szCs w:val="22"/>
          <w:color w:val="auto"/>
        </w:rPr>
      </w:pPr>
      <w:r>
        <w:rPr>
          <w:rFonts w:ascii="Arial" w:cs="Arial" w:eastAsia="Arial" w:hAnsi="Arial"/>
          <w:sz w:val="22"/>
          <w:szCs w:val="22"/>
          <w:color w:val="auto"/>
        </w:rPr>
        <w:t xml:space="preserve">Investments made by any Restricted Subsidiary that is not a Loan Party in any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extent that any such Investments constitute loans or advances made to any Loan Party, such loans or advances shall be subordinated to the Obligations on terms which prohibit the repayment thereof after the occurrence of an Event of Default pursuant to </w:t>
      </w:r>
      <w:r>
        <w:rPr>
          <w:rFonts w:ascii="Arial" w:cs="Arial" w:eastAsia="Arial" w:hAnsi="Arial"/>
          <w:sz w:val="22"/>
          <w:szCs w:val="22"/>
          <w:u w:val="single" w:color="auto"/>
          <w:color w:val="auto"/>
        </w:rPr>
        <w:t>Section 7.01(h)</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w:t>
      </w:r>
      <w:r>
        <w:rPr>
          <w:rFonts w:ascii="Arial" w:cs="Arial" w:eastAsia="Arial" w:hAnsi="Arial"/>
          <w:sz w:val="22"/>
          <w:szCs w:val="22"/>
          <w:color w:val="auto"/>
        </w:rPr>
        <w:t xml:space="preserve"> or the acceleration of the Obligations pursuant to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after the occurrence of any other Event of Default;</w:t>
      </w:r>
    </w:p>
    <w:p>
      <w:pPr>
        <w:spacing w:after="0" w:line="157" w:lineRule="exact"/>
        <w:rPr>
          <w:rFonts w:ascii="Arial" w:cs="Arial" w:eastAsia="Arial" w:hAnsi="Arial"/>
          <w:sz w:val="22"/>
          <w:szCs w:val="22"/>
          <w:color w:val="auto"/>
        </w:rPr>
      </w:pPr>
    </w:p>
    <w:p>
      <w:pPr>
        <w:jc w:val="both"/>
        <w:ind w:firstLine="1304"/>
        <w:spacing w:after="0" w:line="216" w:lineRule="auto"/>
        <w:tabs>
          <w:tab w:leader="none" w:pos="1813" w:val="left"/>
        </w:tabs>
        <w:numPr>
          <w:ilvl w:val="0"/>
          <w:numId w:val="504"/>
        </w:numPr>
        <w:rPr>
          <w:rFonts w:ascii="Arial" w:cs="Arial" w:eastAsia="Arial" w:hAnsi="Arial"/>
          <w:sz w:val="22"/>
          <w:szCs w:val="22"/>
          <w:color w:val="auto"/>
        </w:rPr>
      </w:pPr>
      <w:r>
        <w:rPr>
          <w:rFonts w:ascii="Arial" w:cs="Arial" w:eastAsia="Arial" w:hAnsi="Arial"/>
          <w:sz w:val="22"/>
          <w:szCs w:val="22"/>
          <w:color w:val="auto"/>
        </w:rPr>
        <w:t>(A) non-cash loans or advances to employees, partners, officers and directors of Holdings, the Borrower or any Subsidiary in connection with such Person’s purchase of Equity Interests of a Holding Company or any Parent Entity (or Public Company after the consummation of an IPO) and (B) promissory notes received from stockholders of any Holding Company or any of its Subsidiaries in connection with the exercise of stock options in respect of the Equity Interests of a Holding Company or any Parent Entity;</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867" w:val="left"/>
        </w:tabs>
        <w:numPr>
          <w:ilvl w:val="0"/>
          <w:numId w:val="504"/>
        </w:numPr>
        <w:rPr>
          <w:rFonts w:ascii="Arial" w:cs="Arial" w:eastAsia="Arial" w:hAnsi="Arial"/>
          <w:sz w:val="22"/>
          <w:szCs w:val="22"/>
          <w:color w:val="auto"/>
        </w:rPr>
      </w:pPr>
      <w:r>
        <w:rPr>
          <w:rFonts w:ascii="Arial" w:cs="Arial" w:eastAsia="Arial" w:hAnsi="Arial"/>
          <w:sz w:val="22"/>
          <w:szCs w:val="22"/>
          <w:color w:val="auto"/>
        </w:rPr>
        <w:t>Investments received in connection with the bankruptcy or reorganization of, or settlement of delinquent accounts and disputes with, customers and suppliers, or upon the foreclosure with respect to any secured Investment or other transfer of title with respect to any secured Investment;</w:t>
      </w:r>
    </w:p>
    <w:p>
      <w:pPr>
        <w:spacing w:after="0" w:line="158" w:lineRule="exact"/>
        <w:rPr>
          <w:rFonts w:ascii="Arial" w:cs="Arial" w:eastAsia="Arial" w:hAnsi="Arial"/>
          <w:sz w:val="22"/>
          <w:szCs w:val="22"/>
          <w:color w:val="auto"/>
        </w:rPr>
      </w:pPr>
    </w:p>
    <w:p>
      <w:pPr>
        <w:ind w:firstLine="1304"/>
        <w:spacing w:after="0" w:line="232" w:lineRule="auto"/>
        <w:tabs>
          <w:tab w:leader="none" w:pos="1742" w:val="left"/>
        </w:tabs>
        <w:numPr>
          <w:ilvl w:val="0"/>
          <w:numId w:val="504"/>
        </w:numPr>
        <w:rPr>
          <w:rFonts w:ascii="Arial" w:cs="Arial" w:eastAsia="Arial" w:hAnsi="Arial"/>
          <w:sz w:val="22"/>
          <w:szCs w:val="22"/>
          <w:color w:val="auto"/>
        </w:rPr>
      </w:pPr>
      <w:r>
        <w:rPr>
          <w:rFonts w:ascii="Arial" w:cs="Arial" w:eastAsia="Arial" w:hAnsi="Arial"/>
          <w:sz w:val="22"/>
          <w:szCs w:val="22"/>
          <w:color w:val="auto"/>
        </w:rPr>
        <w:t>Investments in respect of Swap Agreements, Cash Management Agreements and Cash Management Services not entered into for speculative purposes;</w:t>
      </w:r>
    </w:p>
    <w:p>
      <w:pPr>
        <w:spacing w:after="0" w:line="158" w:lineRule="exact"/>
        <w:rPr>
          <w:rFonts w:ascii="Arial" w:cs="Arial" w:eastAsia="Arial" w:hAnsi="Arial"/>
          <w:sz w:val="22"/>
          <w:szCs w:val="22"/>
          <w:color w:val="auto"/>
        </w:rPr>
      </w:pPr>
    </w:p>
    <w:p>
      <w:pPr>
        <w:jc w:val="both"/>
        <w:ind w:firstLine="1304"/>
        <w:spacing w:after="0" w:line="229" w:lineRule="auto"/>
        <w:tabs>
          <w:tab w:leader="none" w:pos="1749" w:val="left"/>
        </w:tabs>
        <w:numPr>
          <w:ilvl w:val="0"/>
          <w:numId w:val="504"/>
        </w:numPr>
        <w:rPr>
          <w:rFonts w:ascii="Arial" w:cs="Arial" w:eastAsia="Arial" w:hAnsi="Arial"/>
          <w:sz w:val="21"/>
          <w:szCs w:val="21"/>
          <w:color w:val="auto"/>
        </w:rPr>
      </w:pPr>
      <w:r>
        <w:rPr>
          <w:rFonts w:ascii="Arial" w:cs="Arial" w:eastAsia="Arial" w:hAnsi="Arial"/>
          <w:sz w:val="21"/>
          <w:szCs w:val="21"/>
          <w:color w:val="auto"/>
        </w:rPr>
        <w:t xml:space="preserve">Investments of any Person existing at the time such Person becomes a Restricted Subsidiary or consolidates, amalgamates or merges with any Holding Company, the Borrower or any Restricted Subsidiary (including in connection with an Acquisition or other Investment permitted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Investment was not made in contemplation of such Person becoming a Restricted Subsidiary or such consolidation or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47" w:name="page448"/>
    <w:bookmarkEnd w:id="447"/>
    <w:p>
      <w:pPr>
        <w:ind w:firstLine="1304"/>
        <w:spacing w:after="0" w:line="232" w:lineRule="auto"/>
        <w:tabs>
          <w:tab w:leader="none" w:pos="1850" w:val="left"/>
        </w:tabs>
        <w:numPr>
          <w:ilvl w:val="0"/>
          <w:numId w:val="505"/>
        </w:numPr>
        <w:rPr>
          <w:rFonts w:ascii="Arial" w:cs="Arial" w:eastAsia="Arial" w:hAnsi="Arial"/>
          <w:sz w:val="22"/>
          <w:szCs w:val="22"/>
          <w:color w:val="auto"/>
        </w:rPr>
      </w:pPr>
      <w:r>
        <w:rPr>
          <w:rFonts w:ascii="Arial" w:cs="Arial" w:eastAsia="Arial" w:hAnsi="Arial"/>
          <w:sz w:val="22"/>
          <w:szCs w:val="22"/>
          <w:color w:val="auto"/>
        </w:rPr>
        <w:t xml:space="preserve">Investments resulting from pledges or deposits described in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of the definition of the term “Permitted Encumbrance”;</w:t>
      </w:r>
    </w:p>
    <w:p>
      <w:pPr>
        <w:spacing w:after="0" w:line="158" w:lineRule="exact"/>
        <w:rPr>
          <w:rFonts w:ascii="Arial" w:cs="Arial" w:eastAsia="Arial" w:hAnsi="Arial"/>
          <w:sz w:val="22"/>
          <w:szCs w:val="22"/>
          <w:color w:val="auto"/>
        </w:rPr>
      </w:pPr>
    </w:p>
    <w:p>
      <w:pPr>
        <w:ind w:firstLine="1304"/>
        <w:spacing w:after="0" w:line="232" w:lineRule="auto"/>
        <w:tabs>
          <w:tab w:leader="none" w:pos="1808" w:val="left"/>
        </w:tabs>
        <w:numPr>
          <w:ilvl w:val="0"/>
          <w:numId w:val="505"/>
        </w:numPr>
        <w:rPr>
          <w:rFonts w:ascii="Arial" w:cs="Arial" w:eastAsia="Arial" w:hAnsi="Arial"/>
          <w:sz w:val="22"/>
          <w:szCs w:val="22"/>
          <w:color w:val="auto"/>
        </w:rPr>
      </w:pPr>
      <w:r>
        <w:rPr>
          <w:rFonts w:ascii="Arial" w:cs="Arial" w:eastAsia="Arial" w:hAnsi="Arial"/>
          <w:sz w:val="22"/>
          <w:szCs w:val="22"/>
          <w:color w:val="auto"/>
        </w:rPr>
        <w:t xml:space="preserve">Investments received in connection with the disposition of any asset in accordance with and to the extent permitted by </w:t>
      </w:r>
      <w:r>
        <w:rPr>
          <w:rFonts w:ascii="Arial" w:cs="Arial" w:eastAsia="Arial" w:hAnsi="Arial"/>
          <w:sz w:val="22"/>
          <w:szCs w:val="22"/>
          <w:u w:val="single" w:color="auto"/>
          <w:color w:val="auto"/>
        </w:rPr>
        <w:t>Section 6.05</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6.05(d)</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29" w:lineRule="auto"/>
        <w:tabs>
          <w:tab w:leader="none" w:pos="1851" w:val="left"/>
        </w:tabs>
        <w:numPr>
          <w:ilvl w:val="0"/>
          <w:numId w:val="505"/>
        </w:numPr>
        <w:rPr>
          <w:rFonts w:ascii="Arial" w:cs="Arial" w:eastAsia="Arial" w:hAnsi="Arial"/>
          <w:sz w:val="21"/>
          <w:szCs w:val="21"/>
          <w:color w:val="auto"/>
        </w:rPr>
      </w:pPr>
      <w:r>
        <w:rPr>
          <w:rFonts w:ascii="Arial" w:cs="Arial" w:eastAsia="Arial" w:hAnsi="Arial"/>
          <w:sz w:val="21"/>
          <w:szCs w:val="21"/>
          <w:color w:val="auto"/>
        </w:rPr>
        <w:t xml:space="preserve">receivables or other trade payables owing to any Holding Company (other than Holdings) or any Restricted Subsidiary if created or acquired in the ordinary course of business and payable or dischargeable in accordance with customary trade terms,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trade terms may include such concessionary trade terms as such Holding Company, the Borrower or such Restricted Subsidiary deems reasonable under the circumstances;</w:t>
      </w:r>
    </w:p>
    <w:p>
      <w:pPr>
        <w:spacing w:after="0" w:line="158" w:lineRule="exact"/>
        <w:rPr>
          <w:rFonts w:ascii="Arial" w:cs="Arial" w:eastAsia="Arial" w:hAnsi="Arial"/>
          <w:sz w:val="21"/>
          <w:szCs w:val="21"/>
          <w:color w:val="auto"/>
        </w:rPr>
      </w:pPr>
    </w:p>
    <w:p>
      <w:pPr>
        <w:ind w:left="1780" w:hanging="476"/>
        <w:spacing w:after="0"/>
        <w:tabs>
          <w:tab w:leader="none" w:pos="1780" w:val="left"/>
        </w:tabs>
        <w:numPr>
          <w:ilvl w:val="0"/>
          <w:numId w:val="505"/>
        </w:numPr>
        <w:rPr>
          <w:rFonts w:ascii="Arial" w:cs="Arial" w:eastAsia="Arial" w:hAnsi="Arial"/>
          <w:sz w:val="22"/>
          <w:szCs w:val="22"/>
          <w:color w:val="auto"/>
        </w:rPr>
      </w:pPr>
      <w:r>
        <w:rPr>
          <w:rFonts w:ascii="Arial" w:cs="Arial" w:eastAsia="Arial" w:hAnsi="Arial"/>
          <w:sz w:val="22"/>
          <w:szCs w:val="22"/>
          <w:color w:val="auto"/>
        </w:rPr>
        <w:t xml:space="preserve">Investments resulting from Liens permitted under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505"/>
        </w:numPr>
        <w:rPr>
          <w:rFonts w:ascii="Arial" w:cs="Arial" w:eastAsia="Arial" w:hAnsi="Arial"/>
          <w:sz w:val="21"/>
          <w:szCs w:val="21"/>
          <w:color w:val="auto"/>
        </w:rPr>
      </w:pPr>
      <w:r>
        <w:rPr>
          <w:rFonts w:ascii="Arial" w:cs="Arial" w:eastAsia="Arial" w:hAnsi="Arial"/>
          <w:sz w:val="21"/>
          <w:szCs w:val="21"/>
          <w:color w:val="auto"/>
        </w:rPr>
        <w:t>Investments in deposit accounts and securities accounts opened in the ordinary course of business;</w:t>
      </w:r>
    </w:p>
    <w:p>
      <w:pPr>
        <w:spacing w:after="0" w:line="190" w:lineRule="exact"/>
        <w:rPr>
          <w:rFonts w:ascii="Arial" w:cs="Arial" w:eastAsia="Arial" w:hAnsi="Arial"/>
          <w:sz w:val="21"/>
          <w:szCs w:val="21"/>
          <w:color w:val="auto"/>
        </w:rPr>
      </w:pPr>
    </w:p>
    <w:p>
      <w:pPr>
        <w:ind w:left="1780" w:hanging="476"/>
        <w:spacing w:after="0"/>
        <w:tabs>
          <w:tab w:leader="none" w:pos="1780" w:val="left"/>
        </w:tabs>
        <w:numPr>
          <w:ilvl w:val="0"/>
          <w:numId w:val="505"/>
        </w:numPr>
        <w:rPr>
          <w:rFonts w:ascii="Arial" w:cs="Arial" w:eastAsia="Arial" w:hAnsi="Arial"/>
          <w:sz w:val="22"/>
          <w:szCs w:val="22"/>
          <w:color w:val="auto"/>
        </w:rPr>
      </w:pPr>
      <w:r>
        <w:rPr>
          <w:rFonts w:ascii="Arial" w:cs="Arial" w:eastAsia="Arial" w:hAnsi="Arial"/>
          <w:sz w:val="22"/>
          <w:szCs w:val="22"/>
          <w:color w:val="auto"/>
        </w:rPr>
        <w:t>Investments in connection with Intercompany License Agreements;</w:t>
      </w:r>
    </w:p>
    <w:p>
      <w:pPr>
        <w:spacing w:after="0" w:line="179" w:lineRule="exact"/>
        <w:rPr>
          <w:rFonts w:ascii="Arial" w:cs="Arial" w:eastAsia="Arial" w:hAnsi="Arial"/>
          <w:sz w:val="22"/>
          <w:szCs w:val="22"/>
          <w:color w:val="auto"/>
        </w:rPr>
      </w:pPr>
    </w:p>
    <w:p>
      <w:pPr>
        <w:jc w:val="both"/>
        <w:ind w:firstLine="1304"/>
        <w:spacing w:after="0" w:line="226" w:lineRule="auto"/>
        <w:tabs>
          <w:tab w:leader="none" w:pos="1784" w:val="left"/>
        </w:tabs>
        <w:numPr>
          <w:ilvl w:val="0"/>
          <w:numId w:val="505"/>
        </w:numPr>
        <w:rPr>
          <w:rFonts w:ascii="Arial" w:cs="Arial" w:eastAsia="Arial" w:hAnsi="Arial"/>
          <w:sz w:val="21"/>
          <w:szCs w:val="21"/>
          <w:color w:val="auto"/>
        </w:rPr>
      </w:pPr>
      <w:r>
        <w:rPr>
          <w:rFonts w:ascii="Arial" w:cs="Arial" w:eastAsia="Arial" w:hAnsi="Arial"/>
          <w:sz w:val="21"/>
          <w:szCs w:val="21"/>
          <w:color w:val="auto"/>
        </w:rPr>
        <w:t xml:space="preserve">other Investments (including those of the type otherwise described herein) made after the Closing Date in an aggregate amount at any time outstanding not to exceed the sum of (A) the greater of (x) $45,000,000 and (y) 45.0% of LTM EBITDA calculated on a Pro Forma Basis as of the Applicable Date of Determination after giving effect thereto computed on a Pro Forma Basis to each such proposed Investment pursuant to this </w:t>
      </w:r>
      <w:r>
        <w:rPr>
          <w:rFonts w:ascii="Arial" w:cs="Arial" w:eastAsia="Arial" w:hAnsi="Arial"/>
          <w:sz w:val="21"/>
          <w:szCs w:val="21"/>
          <w:u w:val="single" w:color="auto"/>
          <w:color w:val="auto"/>
        </w:rPr>
        <w:t>clause (q) plus</w:t>
      </w:r>
      <w:r>
        <w:rPr>
          <w:rFonts w:ascii="Arial" w:cs="Arial" w:eastAsia="Arial" w:hAnsi="Arial"/>
          <w:sz w:val="21"/>
          <w:szCs w:val="21"/>
          <w:color w:val="auto"/>
        </w:rPr>
        <w:t xml:space="preserve"> (B) unused amounts under </w:t>
      </w:r>
      <w:r>
        <w:rPr>
          <w:rFonts w:ascii="Arial" w:cs="Arial" w:eastAsia="Arial" w:hAnsi="Arial"/>
          <w:sz w:val="21"/>
          <w:szCs w:val="21"/>
          <w:u w:val="single" w:color="auto"/>
          <w:color w:val="auto"/>
        </w:rPr>
        <w:t>Section 6.06(a)</w:t>
      </w:r>
      <w:r>
        <w:rPr>
          <w:rFonts w:ascii="Arial" w:cs="Arial" w:eastAsia="Arial" w:hAnsi="Arial"/>
          <w:sz w:val="21"/>
          <w:szCs w:val="21"/>
          <w:color w:val="auto"/>
        </w:rPr>
        <w:t xml:space="preserve"> </w:t>
      </w:r>
      <w:r>
        <w:rPr>
          <w:rFonts w:ascii="Arial" w:cs="Arial" w:eastAsia="Arial" w:hAnsi="Arial"/>
          <w:sz w:val="21"/>
          <w:szCs w:val="21"/>
          <w:u w:val="single" w:color="auto"/>
          <w:color w:val="auto"/>
        </w:rPr>
        <w:t>(xiv)(A)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6.06(b)(vi)(A)</w:t>
      </w:r>
      <w:r>
        <w:rPr>
          <w:rFonts w:ascii="Arial" w:cs="Arial" w:eastAsia="Arial" w:hAnsi="Arial"/>
          <w:sz w:val="21"/>
          <w:szCs w:val="21"/>
          <w:color w:val="auto"/>
        </w:rPr>
        <w:t xml:space="preserve"> reallocated to this </w:t>
      </w:r>
      <w:r>
        <w:rPr>
          <w:rFonts w:ascii="Arial" w:cs="Arial" w:eastAsia="Arial" w:hAnsi="Arial"/>
          <w:sz w:val="21"/>
          <w:szCs w:val="21"/>
          <w:u w:val="single" w:color="auto"/>
          <w:color w:val="auto"/>
        </w:rPr>
        <w:t>clause (q)</w:t>
      </w:r>
      <w:r>
        <w:rPr>
          <w:rFonts w:ascii="Arial" w:cs="Arial" w:eastAsia="Arial" w:hAnsi="Arial"/>
          <w:sz w:val="21"/>
          <w:szCs w:val="21"/>
          <w:color w:val="auto"/>
        </w:rPr>
        <w:t>;</w:t>
      </w:r>
    </w:p>
    <w:p>
      <w:pPr>
        <w:spacing w:after="0" w:line="159" w:lineRule="exact"/>
        <w:rPr>
          <w:rFonts w:ascii="Arial" w:cs="Arial" w:eastAsia="Arial" w:hAnsi="Arial"/>
          <w:sz w:val="21"/>
          <w:szCs w:val="21"/>
          <w:color w:val="auto"/>
        </w:rPr>
      </w:pPr>
    </w:p>
    <w:p>
      <w:pPr>
        <w:ind w:firstLine="1304"/>
        <w:spacing w:after="0" w:line="232" w:lineRule="auto"/>
        <w:tabs>
          <w:tab w:leader="none" w:pos="1795" w:val="left"/>
        </w:tabs>
        <w:numPr>
          <w:ilvl w:val="0"/>
          <w:numId w:val="505"/>
        </w:numPr>
        <w:rPr>
          <w:rFonts w:ascii="Arial" w:cs="Arial" w:eastAsia="Arial" w:hAnsi="Arial"/>
          <w:sz w:val="22"/>
          <w:szCs w:val="22"/>
          <w:color w:val="auto"/>
        </w:rPr>
      </w:pPr>
      <w:r>
        <w:rPr>
          <w:rFonts w:ascii="Arial" w:cs="Arial" w:eastAsia="Arial" w:hAnsi="Arial"/>
          <w:sz w:val="22"/>
          <w:szCs w:val="22"/>
          <w:color w:val="auto"/>
        </w:rPr>
        <w:t>Investments consisting of cash earnest money deposits in connection with a Permitted Acquisition or other Investment permitted hereunder;</w:t>
      </w:r>
    </w:p>
    <w:p>
      <w:pPr>
        <w:spacing w:after="0" w:line="158" w:lineRule="exact"/>
        <w:rPr>
          <w:rFonts w:ascii="Arial" w:cs="Arial" w:eastAsia="Arial" w:hAnsi="Arial"/>
          <w:sz w:val="22"/>
          <w:szCs w:val="22"/>
          <w:color w:val="auto"/>
        </w:rPr>
      </w:pPr>
    </w:p>
    <w:p>
      <w:pPr>
        <w:ind w:firstLine="1304"/>
        <w:spacing w:after="0" w:line="232" w:lineRule="auto"/>
        <w:tabs>
          <w:tab w:leader="none" w:pos="1802" w:val="left"/>
        </w:tabs>
        <w:numPr>
          <w:ilvl w:val="0"/>
          <w:numId w:val="505"/>
        </w:numPr>
        <w:rPr>
          <w:rFonts w:ascii="Arial" w:cs="Arial" w:eastAsia="Arial" w:hAnsi="Arial"/>
          <w:sz w:val="22"/>
          <w:szCs w:val="22"/>
          <w:color w:val="auto"/>
        </w:rPr>
      </w:pPr>
      <w:r>
        <w:rPr>
          <w:rFonts w:ascii="Arial" w:cs="Arial" w:eastAsia="Arial" w:hAnsi="Arial"/>
          <w:sz w:val="22"/>
          <w:szCs w:val="22"/>
          <w:color w:val="auto"/>
        </w:rPr>
        <w:t xml:space="preserve">Investments solely to the extent such Investments reflect an increase in the value of Investments otherwise permitted under this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766" w:val="left"/>
        </w:tabs>
        <w:numPr>
          <w:ilvl w:val="0"/>
          <w:numId w:val="505"/>
        </w:numPr>
        <w:rPr>
          <w:rFonts w:ascii="Arial" w:cs="Arial" w:eastAsia="Arial" w:hAnsi="Arial"/>
          <w:sz w:val="22"/>
          <w:szCs w:val="22"/>
          <w:color w:val="auto"/>
        </w:rPr>
      </w:pPr>
      <w:r>
        <w:rPr>
          <w:rFonts w:ascii="Arial" w:cs="Arial" w:eastAsia="Arial" w:hAnsi="Arial"/>
          <w:sz w:val="22"/>
          <w:szCs w:val="22"/>
          <w:color w:val="auto"/>
        </w:rPr>
        <w:t xml:space="preserve">the acquisition of additional Equity Interests of Restricted Subsidiaries from minority shareholders (it being understood that to the extent that any Restricted Subsidiary that is not a Loan Party is acquiring Equity Interests from minority shareholders then this </w:t>
      </w:r>
      <w:r>
        <w:rPr>
          <w:rFonts w:ascii="Arial" w:cs="Arial" w:eastAsia="Arial" w:hAnsi="Arial"/>
          <w:sz w:val="22"/>
          <w:szCs w:val="22"/>
          <w:u w:val="single" w:color="auto"/>
          <w:color w:val="auto"/>
        </w:rPr>
        <w:t>clause (t)</w:t>
      </w:r>
      <w:r>
        <w:rPr>
          <w:rFonts w:ascii="Arial" w:cs="Arial" w:eastAsia="Arial" w:hAnsi="Arial"/>
          <w:sz w:val="22"/>
          <w:szCs w:val="22"/>
          <w:color w:val="auto"/>
        </w:rPr>
        <w:t xml:space="preserve"> shall not in and of itself create, or increase the capacity under, any basket for Investments by Loan Parties in any Restricted Subsidiary that is not a Loan Party);</w:t>
      </w:r>
    </w:p>
    <w:p>
      <w:pPr>
        <w:spacing w:after="0" w:line="160" w:lineRule="exact"/>
        <w:rPr>
          <w:rFonts w:ascii="Arial" w:cs="Arial" w:eastAsia="Arial" w:hAnsi="Arial"/>
          <w:sz w:val="22"/>
          <w:szCs w:val="22"/>
          <w:color w:val="auto"/>
        </w:rPr>
      </w:pPr>
    </w:p>
    <w:p>
      <w:pPr>
        <w:ind w:left="1780" w:hanging="476"/>
        <w:spacing w:after="0"/>
        <w:tabs>
          <w:tab w:leader="none" w:pos="1780" w:val="left"/>
        </w:tabs>
        <w:numPr>
          <w:ilvl w:val="0"/>
          <w:numId w:val="505"/>
        </w:numPr>
        <w:rPr>
          <w:rFonts w:ascii="Arial" w:cs="Arial" w:eastAsia="Arial" w:hAnsi="Arial"/>
          <w:sz w:val="21"/>
          <w:szCs w:val="21"/>
          <w:color w:val="auto"/>
        </w:rPr>
      </w:pPr>
      <w:r>
        <w:rPr>
          <w:rFonts w:ascii="Arial" w:cs="Arial" w:eastAsia="Arial" w:hAnsi="Arial"/>
          <w:sz w:val="21"/>
          <w:szCs w:val="21"/>
          <w:color w:val="auto"/>
        </w:rPr>
        <w:t>Investments consisting of endorsements for collection or deposit in the ordinary course of business;</w:t>
      </w:r>
    </w:p>
    <w:p>
      <w:pPr>
        <w:spacing w:after="0" w:line="190" w:lineRule="exact"/>
        <w:rPr>
          <w:rFonts w:ascii="Arial" w:cs="Arial" w:eastAsia="Arial" w:hAnsi="Arial"/>
          <w:sz w:val="21"/>
          <w:szCs w:val="21"/>
          <w:color w:val="auto"/>
        </w:rPr>
      </w:pPr>
    </w:p>
    <w:p>
      <w:pPr>
        <w:jc w:val="both"/>
        <w:ind w:firstLine="1304"/>
        <w:spacing w:after="0" w:line="257" w:lineRule="auto"/>
        <w:tabs>
          <w:tab w:leader="none" w:pos="1769" w:val="left"/>
        </w:tabs>
        <w:numPr>
          <w:ilvl w:val="0"/>
          <w:numId w:val="505"/>
        </w:numPr>
        <w:rPr>
          <w:rFonts w:ascii="Arial" w:cs="Arial" w:eastAsia="Arial" w:hAnsi="Arial"/>
          <w:sz w:val="19"/>
          <w:szCs w:val="19"/>
          <w:color w:val="auto"/>
        </w:rPr>
      </w:pPr>
      <w:r>
        <w:rPr>
          <w:rFonts w:ascii="Arial" w:cs="Arial" w:eastAsia="Arial" w:hAnsi="Arial"/>
          <w:sz w:val="19"/>
          <w:szCs w:val="19"/>
          <w:color w:val="auto"/>
        </w:rPr>
        <w:t>(a) Investments in any Receivables Facility or any Securitization Subsidiary in order to effectuate a Qualified Securitization Financing, including the ownership of Equity Interests in such Securitization Subsidiary and (b) distributions or payments of Securitization Fees and purchases of Securitization Assets or Receivables Assets pursuant to a Securitization Repurchase Obligation in connection with a Qualified Securitization Financing or a Receivables Facility;</w:t>
      </w:r>
    </w:p>
    <w:p>
      <w:pPr>
        <w:spacing w:after="0" w:line="144" w:lineRule="exact"/>
        <w:rPr>
          <w:rFonts w:ascii="Arial" w:cs="Arial" w:eastAsia="Arial" w:hAnsi="Arial"/>
          <w:sz w:val="19"/>
          <w:szCs w:val="19"/>
          <w:color w:val="auto"/>
        </w:rPr>
      </w:pPr>
    </w:p>
    <w:p>
      <w:pPr>
        <w:jc w:val="both"/>
        <w:ind w:firstLine="1304"/>
        <w:spacing w:after="0" w:line="257" w:lineRule="auto"/>
        <w:tabs>
          <w:tab w:leader="none" w:pos="1888" w:val="left"/>
        </w:tabs>
        <w:numPr>
          <w:ilvl w:val="0"/>
          <w:numId w:val="505"/>
        </w:numPr>
        <w:rPr>
          <w:rFonts w:ascii="Arial" w:cs="Arial" w:eastAsia="Arial" w:hAnsi="Arial"/>
          <w:sz w:val="19"/>
          <w:szCs w:val="19"/>
          <w:color w:val="auto"/>
        </w:rPr>
      </w:pPr>
      <w:r>
        <w:rPr>
          <w:rFonts w:ascii="Arial" w:cs="Arial" w:eastAsia="Arial" w:hAnsi="Arial"/>
          <w:sz w:val="19"/>
          <w:szCs w:val="19"/>
          <w:color w:val="auto"/>
        </w:rPr>
        <w:t xml:space="preserve">Investments in Equity Interests in any Subsidiary resulting from any sale, transfer or other disposition by any Holding Company, the Borrower or any Subsidiary permitted by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including as a result of any contribution from any parent or distribution to any Subsidiary of such Equity Interests;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Investments by any Loan Party in a Restricted Subsidiary that is not a Loan Party shall be made as otherwise permitted by this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48" w:name="page449"/>
    <w:bookmarkEnd w:id="448"/>
    <w:p>
      <w:pPr>
        <w:ind w:firstLine="1304"/>
        <w:spacing w:after="0" w:line="232" w:lineRule="auto"/>
        <w:tabs>
          <w:tab w:leader="none" w:pos="1834" w:val="left"/>
        </w:tabs>
        <w:numPr>
          <w:ilvl w:val="0"/>
          <w:numId w:val="506"/>
        </w:numPr>
        <w:rPr>
          <w:rFonts w:ascii="Arial" w:cs="Arial" w:eastAsia="Arial" w:hAnsi="Arial"/>
          <w:sz w:val="22"/>
          <w:szCs w:val="22"/>
          <w:color w:val="auto"/>
        </w:rPr>
      </w:pPr>
      <w:r>
        <w:rPr>
          <w:rFonts w:ascii="Arial" w:cs="Arial" w:eastAsia="Arial" w:hAnsi="Arial"/>
          <w:sz w:val="22"/>
          <w:szCs w:val="22"/>
          <w:color w:val="auto"/>
        </w:rPr>
        <w:t>contributions to a “rabbi” trust for the benefit of employees or any other grantor trust subject to claims of creditors in the case of a bankruptcy of a Loan Party;</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830" w:val="left"/>
        </w:tabs>
        <w:numPr>
          <w:ilvl w:val="0"/>
          <w:numId w:val="506"/>
        </w:numPr>
        <w:rPr>
          <w:rFonts w:ascii="Arial" w:cs="Arial" w:eastAsia="Arial" w:hAnsi="Arial"/>
          <w:sz w:val="19"/>
          <w:szCs w:val="19"/>
          <w:color w:val="auto"/>
        </w:rPr>
      </w:pPr>
      <w:r>
        <w:rPr>
          <w:rFonts w:ascii="Arial" w:cs="Arial" w:eastAsia="Arial" w:hAnsi="Arial"/>
          <w:sz w:val="19"/>
          <w:szCs w:val="19"/>
          <w:color w:val="auto"/>
        </w:rPr>
        <w:t>loans or advances to officers, partners, directors, consultants and employees of any Holding Company, the Borrower or any Restricted Subsidiary for (A) relocation, entertainment, travel expenses, drawing accounts and similar expenditures and (B) for other purposes in the aggregate amount not to exceed the greater of (x) $5,000,000 and (y) 5.0% of LTM EBITDA calculated on a Pro Forma Basis as of the Applicable Date of Determination at any time outstanding;</w:t>
      </w:r>
    </w:p>
    <w:p>
      <w:pPr>
        <w:spacing w:after="0" w:line="144" w:lineRule="exact"/>
        <w:rPr>
          <w:rFonts w:ascii="Arial" w:cs="Arial" w:eastAsia="Arial" w:hAnsi="Arial"/>
          <w:sz w:val="19"/>
          <w:szCs w:val="19"/>
          <w:color w:val="auto"/>
        </w:rPr>
      </w:pPr>
    </w:p>
    <w:p>
      <w:pPr>
        <w:jc w:val="both"/>
        <w:ind w:firstLine="1304"/>
        <w:spacing w:after="0" w:line="268" w:lineRule="auto"/>
        <w:tabs>
          <w:tab w:leader="none" w:pos="1824" w:val="left"/>
        </w:tabs>
        <w:numPr>
          <w:ilvl w:val="0"/>
          <w:numId w:val="506"/>
        </w:numPr>
        <w:rPr>
          <w:rFonts w:ascii="Arial" w:cs="Arial" w:eastAsia="Arial" w:hAnsi="Arial"/>
          <w:sz w:val="19"/>
          <w:szCs w:val="19"/>
          <w:color w:val="auto"/>
        </w:rPr>
      </w:pPr>
      <w:r>
        <w:rPr>
          <w:rFonts w:ascii="Arial" w:cs="Arial" w:eastAsia="Arial" w:hAnsi="Arial"/>
          <w:sz w:val="19"/>
          <w:szCs w:val="19"/>
          <w:color w:val="auto"/>
        </w:rPr>
        <w:t xml:space="preserve">other Investments (including those of the type otherwise referred to herein) in an aggregate amount not to exceed (i) the Available Amount so long as no Event of Default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has occurred and is continuing or would result from the making of such Investment and (ii) the Available Excluded Contribution Amount;</w:t>
      </w:r>
    </w:p>
    <w:p>
      <w:pPr>
        <w:spacing w:after="0" w:line="132" w:lineRule="exact"/>
        <w:rPr>
          <w:sz w:val="20"/>
          <w:szCs w:val="20"/>
          <w:color w:val="auto"/>
        </w:rPr>
      </w:pPr>
    </w:p>
    <w:p>
      <w:pPr>
        <w:jc w:val="both"/>
        <w:ind w:firstLine="1304"/>
        <w:spacing w:after="0" w:line="218" w:lineRule="auto"/>
        <w:tabs>
          <w:tab w:leader="none" w:pos="2075" w:val="left"/>
        </w:tabs>
        <w:numPr>
          <w:ilvl w:val="0"/>
          <w:numId w:val="507"/>
        </w:numPr>
        <w:rPr>
          <w:rFonts w:ascii="Arial" w:cs="Arial" w:eastAsia="Arial" w:hAnsi="Arial"/>
          <w:sz w:val="22"/>
          <w:szCs w:val="22"/>
          <w:color w:val="auto"/>
        </w:rPr>
      </w:pPr>
      <w:r>
        <w:rPr>
          <w:rFonts w:ascii="Arial" w:cs="Arial" w:eastAsia="Arial" w:hAnsi="Arial"/>
          <w:sz w:val="22"/>
          <w:szCs w:val="22"/>
          <w:color w:val="auto"/>
        </w:rPr>
        <w:t xml:space="preserve">Investments consisting of or resulting from Indebtedness, Liens, fundamental changes, repayments, redemptions, repurchases, prepayments, retirements, cancellations and dispositions permitted under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6.01(b)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6.03(a)(iv)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(b)(viii)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6.05</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6.05(b)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6.06</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6.06(a)(viii)</w:t>
      </w:r>
      <w:r>
        <w:rPr>
          <w:rFonts w:ascii="Arial" w:cs="Arial" w:eastAsia="Arial" w:hAnsi="Arial"/>
          <w:sz w:val="22"/>
          <w:szCs w:val="22"/>
          <w:color w:val="auto"/>
        </w:rPr>
        <w:t>), respectively;</w:t>
      </w:r>
    </w:p>
    <w:p>
      <w:pPr>
        <w:spacing w:after="0" w:line="160" w:lineRule="exact"/>
        <w:rPr>
          <w:rFonts w:ascii="Arial" w:cs="Arial" w:eastAsia="Arial" w:hAnsi="Arial"/>
          <w:sz w:val="22"/>
          <w:szCs w:val="22"/>
          <w:color w:val="auto"/>
        </w:rPr>
      </w:pPr>
    </w:p>
    <w:p>
      <w:pPr>
        <w:ind w:firstLine="1304"/>
        <w:spacing w:after="0" w:line="232" w:lineRule="auto"/>
        <w:tabs>
          <w:tab w:leader="none" w:pos="1981" w:val="left"/>
        </w:tabs>
        <w:numPr>
          <w:ilvl w:val="0"/>
          <w:numId w:val="507"/>
        </w:numPr>
        <w:rPr>
          <w:rFonts w:ascii="Arial" w:cs="Arial" w:eastAsia="Arial" w:hAnsi="Arial"/>
          <w:sz w:val="22"/>
          <w:szCs w:val="22"/>
          <w:color w:val="auto"/>
        </w:rPr>
      </w:pPr>
      <w:r>
        <w:rPr>
          <w:rFonts w:ascii="Arial" w:cs="Arial" w:eastAsia="Arial" w:hAnsi="Arial"/>
          <w:sz w:val="22"/>
          <w:szCs w:val="22"/>
          <w:color w:val="auto"/>
        </w:rPr>
        <w:t xml:space="preserve">Loans repurchased by a Holding Company, the Borrower or a Restricted Subsidiary pursuant to and in accordance with </w:t>
      </w:r>
      <w:r>
        <w:rPr>
          <w:rFonts w:ascii="Arial" w:cs="Arial" w:eastAsia="Arial" w:hAnsi="Arial"/>
          <w:sz w:val="22"/>
          <w:szCs w:val="22"/>
          <w:u w:val="single" w:color="auto"/>
          <w:color w:val="auto"/>
        </w:rPr>
        <w:t>Section 2.11(i)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9.04</w:t>
      </w:r>
      <w:r>
        <w:rPr>
          <w:rFonts w:ascii="Arial" w:cs="Arial" w:eastAsia="Arial" w:hAnsi="Arial"/>
          <w:sz w:val="22"/>
          <w:szCs w:val="22"/>
          <w:color w:val="auto"/>
        </w:rPr>
        <w:t>, so long as such Loans are immediately cancelled;</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888" w:val="left"/>
        </w:tabs>
        <w:numPr>
          <w:ilvl w:val="0"/>
          <w:numId w:val="507"/>
        </w:numPr>
        <w:rPr>
          <w:rFonts w:ascii="Arial" w:cs="Arial" w:eastAsia="Arial" w:hAnsi="Arial"/>
          <w:sz w:val="22"/>
          <w:szCs w:val="22"/>
          <w:color w:val="auto"/>
        </w:rPr>
      </w:pPr>
      <w:r>
        <w:rPr>
          <w:rFonts w:ascii="Arial" w:cs="Arial" w:eastAsia="Arial" w:hAnsi="Arial"/>
          <w:sz w:val="22"/>
          <w:szCs w:val="22"/>
          <w:color w:val="auto"/>
        </w:rPr>
        <w:t>cash or property distributed from any Restricted Subsidiary that is not a Loan Party (i) may be contributed to other Restricted Subsidiaries that are not Loan Parties, and (ii) may pass through the Borrower, any Holding Company and/or any intermediate Restricted Subsidiaries, so long as part of a series of related transactions and such transaction steps are not unreasonably delayed and are otherwise permitted hereunder;</w:t>
      </w:r>
    </w:p>
    <w:p>
      <w:pPr>
        <w:spacing w:after="0" w:line="160" w:lineRule="exact"/>
        <w:rPr>
          <w:rFonts w:ascii="Arial" w:cs="Arial" w:eastAsia="Arial" w:hAnsi="Arial"/>
          <w:sz w:val="22"/>
          <w:szCs w:val="22"/>
          <w:color w:val="auto"/>
        </w:rPr>
      </w:pPr>
    </w:p>
    <w:p>
      <w:pPr>
        <w:jc w:val="both"/>
        <w:ind w:firstLine="1304"/>
        <w:spacing w:after="0" w:line="249" w:lineRule="auto"/>
        <w:tabs>
          <w:tab w:leader="none" w:pos="1970" w:val="left"/>
        </w:tabs>
        <w:numPr>
          <w:ilvl w:val="0"/>
          <w:numId w:val="507"/>
        </w:numPr>
        <w:rPr>
          <w:rFonts w:ascii="Arial" w:cs="Arial" w:eastAsia="Arial" w:hAnsi="Arial"/>
          <w:sz w:val="19"/>
          <w:szCs w:val="19"/>
          <w:color w:val="auto"/>
        </w:rPr>
      </w:pPr>
      <w:r>
        <w:rPr>
          <w:rFonts w:ascii="Arial" w:cs="Arial" w:eastAsia="Arial" w:hAnsi="Arial"/>
          <w:sz w:val="19"/>
          <w:szCs w:val="19"/>
          <w:color w:val="auto"/>
        </w:rPr>
        <w:t>Investments to the extent that payment for such Investments is made with (A) any capital contributions made in cash by any Person other than a Restricted Subsidiary to Holdings after the Closing Date (other than any Cure Amount) to the extent Not Otherwise Applied; and (B) any Net Proceeds of any issuance of Qualified Equity Interests after the Closing Date of Holdings (other than any Cure Amount) to any Person other than a Restricted Subsidiary to the extent such Net Proceeds are Not Otherwise Applied, and to the extent, in each case, such contributions and Net Proceeds have been contributed to the Qualified Equity Interests of the Borrower or any other Loan Party (other than Holdings);</w:t>
      </w:r>
    </w:p>
    <w:p>
      <w:pPr>
        <w:spacing w:after="0" w:line="151" w:lineRule="exact"/>
        <w:rPr>
          <w:rFonts w:ascii="Arial" w:cs="Arial" w:eastAsia="Arial" w:hAnsi="Arial"/>
          <w:sz w:val="19"/>
          <w:szCs w:val="19"/>
          <w:color w:val="auto"/>
        </w:rPr>
      </w:pPr>
    </w:p>
    <w:p>
      <w:pPr>
        <w:jc w:val="both"/>
        <w:ind w:firstLine="1304"/>
        <w:spacing w:after="0" w:line="218" w:lineRule="auto"/>
        <w:tabs>
          <w:tab w:leader="none" w:pos="1927" w:val="left"/>
        </w:tabs>
        <w:numPr>
          <w:ilvl w:val="0"/>
          <w:numId w:val="507"/>
        </w:numPr>
        <w:rPr>
          <w:rFonts w:ascii="Arial" w:cs="Arial" w:eastAsia="Arial" w:hAnsi="Arial"/>
          <w:sz w:val="22"/>
          <w:szCs w:val="22"/>
          <w:color w:val="auto"/>
        </w:rPr>
      </w:pPr>
      <w:r>
        <w:rPr>
          <w:rFonts w:ascii="Arial" w:cs="Arial" w:eastAsia="Arial" w:hAnsi="Arial"/>
          <w:sz w:val="22"/>
          <w:szCs w:val="22"/>
          <w:color w:val="auto"/>
        </w:rPr>
        <w:t>Guarantee obligations of any Holding Company, the Borrower or any Restricted Subsidiary in respect of letters of support, guarantees or similar obligations issued, made or incurred for the benefit of any Restricted Subsidiary to the extent required by law or in connection with any statutory filing or the delivery of audit opinions performed in jurisdictions other than within the United States;</w:t>
      </w:r>
    </w:p>
    <w:p>
      <w:pPr>
        <w:spacing w:after="0" w:line="160" w:lineRule="exact"/>
        <w:rPr>
          <w:rFonts w:ascii="Arial" w:cs="Arial" w:eastAsia="Arial" w:hAnsi="Arial"/>
          <w:sz w:val="22"/>
          <w:szCs w:val="22"/>
          <w:color w:val="auto"/>
        </w:rPr>
      </w:pPr>
    </w:p>
    <w:p>
      <w:pPr>
        <w:jc w:val="both"/>
        <w:ind w:firstLine="1304"/>
        <w:spacing w:after="0" w:line="226" w:lineRule="auto"/>
        <w:tabs>
          <w:tab w:leader="none" w:pos="1814" w:val="left"/>
        </w:tabs>
        <w:numPr>
          <w:ilvl w:val="0"/>
          <w:numId w:val="507"/>
        </w:numPr>
        <w:rPr>
          <w:rFonts w:ascii="Arial" w:cs="Arial" w:eastAsia="Arial" w:hAnsi="Arial"/>
          <w:sz w:val="21"/>
          <w:szCs w:val="21"/>
          <w:color w:val="auto"/>
        </w:rPr>
      </w:pPr>
      <w:r>
        <w:rPr>
          <w:rFonts w:ascii="Arial" w:cs="Arial" w:eastAsia="Arial" w:hAnsi="Arial"/>
          <w:sz w:val="21"/>
          <w:szCs w:val="21"/>
          <w:color w:val="auto"/>
        </w:rPr>
        <w:t xml:space="preserve">(i) reorganizations and other activities related to tax planning and reorganization;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good-faith judgment of the Borrowers and Administrative Agent, after giving effect to any such reorganizations and activities, there is no material adverse impact on the value of the (A) Collateral granted to the Collateral Agent for the benefit of the Secured Parties or (B) Guarantees of the Obligations pursuant to the Guaranty and (ii) transactions undertaken in connection with, and reasonably related to, the consummation of an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49" w:name="page450"/>
    <w:bookmarkEnd w:id="449"/>
    <w:p>
      <w:pPr>
        <w:ind w:left="1300"/>
        <w:spacing w:after="0"/>
        <w:tabs>
          <w:tab w:leader="none" w:pos="2060" w:val="left"/>
        </w:tabs>
        <w:rPr>
          <w:sz w:val="20"/>
          <w:szCs w:val="20"/>
          <w:color w:val="auto"/>
        </w:rPr>
      </w:pPr>
      <w:r>
        <w:rPr>
          <w:rFonts w:ascii="Arial" w:cs="Arial" w:eastAsia="Arial" w:hAnsi="Arial"/>
          <w:sz w:val="19"/>
          <w:szCs w:val="19"/>
          <w:color w:val="auto"/>
        </w:rPr>
        <w:t>(gg)</w:t>
      </w:r>
      <w:r>
        <w:rPr>
          <w:sz w:val="20"/>
          <w:szCs w:val="20"/>
          <w:color w:val="auto"/>
        </w:rPr>
        <w:tab/>
      </w:r>
      <w:r>
        <w:rPr>
          <w:rFonts w:ascii="Arial" w:cs="Arial" w:eastAsia="Arial" w:hAnsi="Arial"/>
          <w:sz w:val="19"/>
          <w:szCs w:val="19"/>
          <w:color w:val="auto"/>
        </w:rPr>
        <w:t>asset purchases (including purchases of inventory, supplies and materials) in the ordinary course of</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business;</w:t>
      </w:r>
    </w:p>
    <w:p>
      <w:pPr>
        <w:spacing w:after="0" w:line="161" w:lineRule="exact"/>
        <w:rPr>
          <w:sz w:val="20"/>
          <w:szCs w:val="20"/>
          <w:color w:val="auto"/>
        </w:rPr>
      </w:pPr>
    </w:p>
    <w:p>
      <w:pPr>
        <w:jc w:val="both"/>
        <w:ind w:firstLine="1304"/>
        <w:spacing w:after="0" w:line="223" w:lineRule="auto"/>
        <w:tabs>
          <w:tab w:leader="none" w:pos="1968" w:val="left"/>
        </w:tabs>
        <w:numPr>
          <w:ilvl w:val="0"/>
          <w:numId w:val="508"/>
        </w:numPr>
        <w:rPr>
          <w:rFonts w:ascii="Arial" w:cs="Arial" w:eastAsia="Arial" w:hAnsi="Arial"/>
          <w:sz w:val="22"/>
          <w:szCs w:val="22"/>
          <w:color w:val="auto"/>
        </w:rPr>
      </w:pPr>
      <w:r>
        <w:rPr>
          <w:rFonts w:ascii="Arial" w:cs="Arial" w:eastAsia="Arial" w:hAnsi="Arial"/>
          <w:sz w:val="22"/>
          <w:szCs w:val="22"/>
          <w:color w:val="auto"/>
        </w:rPr>
        <w:t>performance Guarantees of any Holding Company, the Borrower or any Restricted Subsidiary primarily guaranteeing performance of contractual obligations of the Borrower or Restricted Subsidiaries to a third party and not primarily for the purposes of guaranteeing payment of Indebtedness;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19" w:val="left"/>
        </w:tabs>
        <w:numPr>
          <w:ilvl w:val="0"/>
          <w:numId w:val="508"/>
        </w:numPr>
        <w:rPr>
          <w:rFonts w:ascii="Arial" w:cs="Arial" w:eastAsia="Arial" w:hAnsi="Arial"/>
          <w:sz w:val="22"/>
          <w:szCs w:val="22"/>
          <w:color w:val="auto"/>
        </w:rPr>
      </w:pPr>
      <w:r>
        <w:rPr>
          <w:rFonts w:ascii="Arial" w:cs="Arial" w:eastAsia="Arial" w:hAnsi="Arial"/>
          <w:sz w:val="22"/>
          <w:szCs w:val="22"/>
          <w:color w:val="auto"/>
        </w:rPr>
        <w:t>so long as no Event of Default has occurred and is continuing or would result therefrom, Investments in an unlimited amount so long as the Senior Secured Net Leverage Ratio calculated on a Pro Forma Basis as of the Applicable Date of Determination is less than or equal to 7.25 to 1.00;</w:t>
      </w:r>
    </w:p>
    <w:p>
      <w:pPr>
        <w:spacing w:after="0" w:line="158" w:lineRule="exact"/>
        <w:rPr>
          <w:rFonts w:ascii="Arial" w:cs="Arial" w:eastAsia="Arial" w:hAnsi="Arial"/>
          <w:sz w:val="22"/>
          <w:szCs w:val="22"/>
          <w:color w:val="auto"/>
        </w:rPr>
      </w:pPr>
    </w:p>
    <w:p>
      <w:pPr>
        <w:jc w:val="both"/>
        <w:ind w:firstLine="1304"/>
        <w:spacing w:after="0" w:line="252" w:lineRule="auto"/>
        <w:tabs>
          <w:tab w:leader="none" w:pos="2025" w:val="left"/>
        </w:tabs>
        <w:numPr>
          <w:ilvl w:val="0"/>
          <w:numId w:val="508"/>
        </w:numPr>
        <w:rPr>
          <w:rFonts w:ascii="Arial" w:cs="Arial" w:eastAsia="Arial" w:hAnsi="Arial"/>
          <w:sz w:val="19"/>
          <w:szCs w:val="19"/>
          <w:color w:val="auto"/>
        </w:rPr>
      </w:pPr>
      <w:r>
        <w:rPr>
          <w:rFonts w:ascii="Arial" w:cs="Arial" w:eastAsia="Arial" w:hAnsi="Arial"/>
          <w:sz w:val="19"/>
          <w:szCs w:val="19"/>
          <w:color w:val="auto"/>
        </w:rPr>
        <w:t xml:space="preserve">loans and advances to any Holding Company or any Parent Entity (or Public Company after the consummation of an IPO) in lieu of, and not in excess of the amount of (after giving effect to any other such loans or advances or Restricted Payments in respect thereof), Restricted Payments to the extent permitted to be made in accordance with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6.06(a)(viii)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making of any such loan or advance shall reduce capacity for Restricted Payments under the applicable basket in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so utilized by a corresponding amount; and</w:t>
      </w:r>
    </w:p>
    <w:p>
      <w:pPr>
        <w:spacing w:after="0" w:line="148" w:lineRule="exact"/>
        <w:rPr>
          <w:rFonts w:ascii="Arial" w:cs="Arial" w:eastAsia="Arial" w:hAnsi="Arial"/>
          <w:sz w:val="19"/>
          <w:szCs w:val="19"/>
          <w:color w:val="auto"/>
        </w:rPr>
      </w:pPr>
    </w:p>
    <w:p>
      <w:pPr>
        <w:jc w:val="both"/>
        <w:ind w:firstLine="1304"/>
        <w:spacing w:after="0" w:line="223" w:lineRule="auto"/>
        <w:tabs>
          <w:tab w:leader="none" w:pos="1941" w:val="left"/>
        </w:tabs>
        <w:numPr>
          <w:ilvl w:val="0"/>
          <w:numId w:val="508"/>
        </w:numPr>
        <w:rPr>
          <w:rFonts w:ascii="Arial" w:cs="Arial" w:eastAsia="Arial" w:hAnsi="Arial"/>
          <w:sz w:val="22"/>
          <w:szCs w:val="22"/>
          <w:color w:val="auto"/>
        </w:rPr>
      </w:pPr>
      <w:r>
        <w:rPr>
          <w:rFonts w:ascii="Arial" w:cs="Arial" w:eastAsia="Arial" w:hAnsi="Arial"/>
          <w:sz w:val="22"/>
          <w:szCs w:val="22"/>
          <w:color w:val="auto"/>
        </w:rPr>
        <w:t>Guarantees by any Holding Company, the Borrower or any Restricted Subsidiary of leases (other than in relation to Capital Lease Obligations), contracts, or of other obligations that do not constitute Indebtedness, in each case entered into in the ordinary course of business.</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For the avoidance of doubt, if an Investment would be permitted under any provision of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6.04(b)</w:t>
      </w:r>
      <w:r>
        <w:rPr>
          <w:rFonts w:ascii="Arial" w:cs="Arial" w:eastAsia="Arial" w:hAnsi="Arial"/>
          <w:sz w:val="19"/>
          <w:szCs w:val="19"/>
          <w:color w:val="auto"/>
        </w:rPr>
        <w:t xml:space="preserve">) and as a Permitted Acquisition, such Investment need not satisfy the requirements otherwise applicable to Permitted Acquisitions unless such Investments are consummated in reliance on </w:t>
      </w:r>
      <w:r>
        <w:rPr>
          <w:rFonts w:ascii="Arial" w:cs="Arial" w:eastAsia="Arial" w:hAnsi="Arial"/>
          <w:sz w:val="19"/>
          <w:szCs w:val="19"/>
          <w:u w:val="single" w:color="auto"/>
          <w:color w:val="auto"/>
        </w:rPr>
        <w:t>Section 6.04(b)</w:t>
      </w:r>
      <w:r>
        <w:rPr>
          <w:rFonts w:ascii="Arial" w:cs="Arial" w:eastAsia="Arial" w:hAnsi="Arial"/>
          <w:sz w:val="19"/>
          <w:szCs w:val="19"/>
          <w:color w:val="auto"/>
        </w:rPr>
        <w:t>. In addition, to the extent an Investment is permitted to be made by a Restricted Subsidiary directly in any Restricted Subsidiary or any other Person who is not a Loan Party (each such Person, a “</w:t>
      </w:r>
      <w:r>
        <w:rPr>
          <w:rFonts w:ascii="Arial" w:cs="Arial" w:eastAsia="Arial" w:hAnsi="Arial"/>
          <w:sz w:val="19"/>
          <w:szCs w:val="19"/>
          <w:u w:val="single" w:color="auto"/>
          <w:color w:val="auto"/>
        </w:rPr>
        <w:t>Target Person</w:t>
      </w:r>
      <w:r>
        <w:rPr>
          <w:rFonts w:ascii="Arial" w:cs="Arial" w:eastAsia="Arial" w:hAnsi="Arial"/>
          <w:sz w:val="19"/>
          <w:szCs w:val="19"/>
          <w:color w:val="auto"/>
        </w:rPr>
        <w:t xml:space="preserve">”) under any provision of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such Investment may be made by advance, contribution or distribution directly or indirectly to a Holding Company and further advanced or contributed by a Holding Company to a Loan Party or other Restricted Subsidiary for purposes of ultimately making the relevant Investment in the Target Person without constituting an Investment for purposes of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(it being understood that such Investment must satisfy the requirements of, and shall count toward any thresholds or baskets in, the applicable clause under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as if made by the applicable Restricted Subsidiary directly to the Target Person).</w:t>
      </w:r>
    </w:p>
    <w:p>
      <w:pPr>
        <w:spacing w:after="0" w:line="155"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u w:val="single" w:color="auto"/>
          <w:color w:val="auto"/>
        </w:rPr>
        <w:t>Section 6.05 Asset Sales</w:t>
      </w:r>
      <w:r>
        <w:rPr>
          <w:rFonts w:ascii="Arial" w:cs="Arial" w:eastAsia="Arial" w:hAnsi="Arial"/>
          <w:sz w:val="21"/>
          <w:szCs w:val="21"/>
          <w:color w:val="auto"/>
        </w:rPr>
        <w:t>. The Borrower will not, nor will the Borrower permit any Restricted Subsidiary to, sell, transfer, lease or otherwise dispose of any asset, including any Equity Interests owned by it nor will the Borrower permit any Restricted Subsidiary to issue any additional Equity Interests in such Restricted Subsidiary, except:</w:t>
      </w:r>
    </w:p>
    <w:p>
      <w:pPr>
        <w:spacing w:after="0" w:line="158" w:lineRule="exact"/>
        <w:rPr>
          <w:sz w:val="20"/>
          <w:szCs w:val="20"/>
          <w:color w:val="auto"/>
        </w:rPr>
      </w:pPr>
    </w:p>
    <w:p>
      <w:pPr>
        <w:jc w:val="both"/>
        <w:ind w:firstLine="1304"/>
        <w:spacing w:after="0" w:line="224" w:lineRule="auto"/>
        <w:tabs>
          <w:tab w:leader="none" w:pos="1776" w:val="left"/>
        </w:tabs>
        <w:numPr>
          <w:ilvl w:val="0"/>
          <w:numId w:val="509"/>
        </w:numPr>
        <w:rPr>
          <w:rFonts w:ascii="Arial" w:cs="Arial" w:eastAsia="Arial" w:hAnsi="Arial"/>
          <w:sz w:val="21"/>
          <w:szCs w:val="21"/>
          <w:color w:val="auto"/>
        </w:rPr>
      </w:pPr>
      <w:r>
        <w:rPr>
          <w:rFonts w:ascii="Arial" w:cs="Arial" w:eastAsia="Arial" w:hAnsi="Arial"/>
          <w:sz w:val="21"/>
          <w:szCs w:val="21"/>
          <w:color w:val="auto"/>
        </w:rPr>
        <w:t>sales, transfers, leases and other Dispositions of (i) inventory or services or immaterial assets in the ordinary course of business, (ii) obsolete, non-core, worn-out, uneconomic, damaged or surplus property or property that is no longer economically practical or commercially desirable to maintain or used or useful in its business, whether now or hereafter owned or leased or acquired in connection with an Acquisition or other permitted Investments, in the ordinary course of business, (iii) cash, Cash Equivalents and other investment securities in the ordinary course of business, and (iv) accounts in the ordinary course of business for purposes of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50" w:name="page451"/>
    <w:bookmarkEnd w:id="450"/>
    <w:p>
      <w:pPr>
        <w:jc w:val="both"/>
        <w:ind w:firstLine="1304"/>
        <w:spacing w:after="0" w:line="221" w:lineRule="auto"/>
        <w:tabs>
          <w:tab w:leader="none" w:pos="1877" w:val="left"/>
        </w:tabs>
        <w:numPr>
          <w:ilvl w:val="0"/>
          <w:numId w:val="510"/>
        </w:numPr>
        <w:rPr>
          <w:rFonts w:ascii="Arial" w:cs="Arial" w:eastAsia="Arial" w:hAnsi="Arial"/>
          <w:sz w:val="21"/>
          <w:szCs w:val="21"/>
          <w:color w:val="auto"/>
        </w:rPr>
      </w:pPr>
      <w:r>
        <w:rPr>
          <w:rFonts w:ascii="Arial" w:cs="Arial" w:eastAsia="Arial" w:hAnsi="Arial"/>
          <w:sz w:val="21"/>
          <w:szCs w:val="21"/>
          <w:color w:val="auto"/>
        </w:rPr>
        <w:t xml:space="preserve">sales, transfers, leases and other Dispositions to any Loan Party (other than Holdings) or any Restricted Subsidiary (including by contribution, Disposition, dividend or otherwise);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if the transferor of such property is a Loan Party (other than Holdings), then (x) the transferee thereof must be a Loan Party or (y) (1) to the extent constituting a Disposition to a Restricted Subsidiary that is not a Loan Party, such Disposition is for fair value and any promissory note or other non-cash consideration received in respect thereof is a permitted Investment in a Restricted Subsidiary that is not a Loan Party in accordance with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6.04(f)</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6.04(aa)</w:t>
      </w:r>
      <w:r>
        <w:rPr>
          <w:rFonts w:ascii="Arial" w:cs="Arial" w:eastAsia="Arial" w:hAnsi="Arial"/>
          <w:sz w:val="21"/>
          <w:szCs w:val="21"/>
          <w:color w:val="auto"/>
        </w:rPr>
        <w:t xml:space="preserve">) or (2) to the extent constituting an Investment, such Investment must be a permitted Investment in a Restricted Subsidiary that is not a Loan Party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6.04</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6.04(f)</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6.04(aa))</w:t>
      </w:r>
      <w:r>
        <w:rPr>
          <w:rFonts w:ascii="Arial" w:cs="Arial" w:eastAsia="Arial" w:hAnsi="Arial"/>
          <w:sz w:val="21"/>
          <w:szCs w:val="21"/>
          <w:color w:val="auto"/>
        </w:rPr>
        <w:t xml:space="preserve"> and (ii) if the transferee is Holdings, then such Disposition must be a Restricted Payment made pursuant to </w:t>
      </w:r>
      <w:r>
        <w:rPr>
          <w:rFonts w:ascii="Arial" w:cs="Arial" w:eastAsia="Arial" w:hAnsi="Arial"/>
          <w:sz w:val="21"/>
          <w:szCs w:val="21"/>
          <w:u w:val="single" w:color="auto"/>
          <w:color w:val="auto"/>
        </w:rPr>
        <w:t>Section 6.06</w:t>
      </w:r>
      <w:r>
        <w:rPr>
          <w:rFonts w:ascii="Arial" w:cs="Arial" w:eastAsia="Arial" w:hAnsi="Arial"/>
          <w:sz w:val="21"/>
          <w:szCs w:val="21"/>
          <w:color w:val="auto"/>
        </w:rPr>
        <w:t>;</w:t>
      </w:r>
    </w:p>
    <w:p>
      <w:pPr>
        <w:spacing w:after="0" w:line="158" w:lineRule="exact"/>
        <w:rPr>
          <w:rFonts w:ascii="Arial" w:cs="Arial" w:eastAsia="Arial" w:hAnsi="Arial"/>
          <w:sz w:val="21"/>
          <w:szCs w:val="21"/>
          <w:color w:val="auto"/>
        </w:rPr>
      </w:pPr>
    </w:p>
    <w:p>
      <w:pPr>
        <w:jc w:val="both"/>
        <w:ind w:firstLine="1304"/>
        <w:spacing w:after="0" w:line="223" w:lineRule="auto"/>
        <w:tabs>
          <w:tab w:leader="none" w:pos="2043" w:val="left"/>
        </w:tabs>
        <w:numPr>
          <w:ilvl w:val="0"/>
          <w:numId w:val="510"/>
        </w:numPr>
        <w:rPr>
          <w:rFonts w:ascii="Arial" w:cs="Arial" w:eastAsia="Arial" w:hAnsi="Arial"/>
          <w:sz w:val="22"/>
          <w:szCs w:val="22"/>
          <w:color w:val="auto"/>
        </w:rPr>
      </w:pPr>
      <w:r>
        <w:rPr>
          <w:rFonts w:ascii="Arial" w:cs="Arial" w:eastAsia="Arial" w:hAnsi="Arial"/>
          <w:sz w:val="22"/>
          <w:szCs w:val="22"/>
          <w:color w:val="auto"/>
        </w:rPr>
        <w:t>sales, transfers and other Dispositions of accounts receivable (including write-offs, discounts and compromises) in connection with the compromise, settlement or collection thereof in the ordinary course of business or consistent with past practice;</w:t>
      </w:r>
    </w:p>
    <w:p>
      <w:pPr>
        <w:spacing w:after="0" w:line="158" w:lineRule="exact"/>
        <w:rPr>
          <w:rFonts w:ascii="Arial" w:cs="Arial" w:eastAsia="Arial" w:hAnsi="Arial"/>
          <w:sz w:val="22"/>
          <w:szCs w:val="22"/>
          <w:color w:val="auto"/>
        </w:rPr>
      </w:pPr>
    </w:p>
    <w:p>
      <w:pPr>
        <w:jc w:val="both"/>
        <w:ind w:firstLine="1304"/>
        <w:spacing w:after="0" w:line="234" w:lineRule="auto"/>
        <w:tabs>
          <w:tab w:leader="none" w:pos="1887" w:val="left"/>
        </w:tabs>
        <w:numPr>
          <w:ilvl w:val="0"/>
          <w:numId w:val="510"/>
        </w:numPr>
        <w:rPr>
          <w:rFonts w:ascii="Arial" w:cs="Arial" w:eastAsia="Arial" w:hAnsi="Arial"/>
          <w:sz w:val="21"/>
          <w:szCs w:val="21"/>
          <w:color w:val="auto"/>
        </w:rPr>
      </w:pPr>
      <w:r>
        <w:rPr>
          <w:rFonts w:ascii="Arial" w:cs="Arial" w:eastAsia="Arial" w:hAnsi="Arial"/>
          <w:sz w:val="21"/>
          <w:szCs w:val="21"/>
          <w:color w:val="auto"/>
        </w:rPr>
        <w:t xml:space="preserve">sales, transfers, leases and other Dispositions of property to the extent that such property constitutes an Investment permitted by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6.04(l)</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(aa)</w:t>
      </w:r>
      <w:r>
        <w:rPr>
          <w:rFonts w:ascii="Arial" w:cs="Arial" w:eastAsia="Arial" w:hAnsi="Arial"/>
          <w:sz w:val="21"/>
          <w:szCs w:val="21"/>
          <w:color w:val="auto"/>
        </w:rPr>
        <w:t>) hereunder (in each case, other than Equity Interests in a Restricted Subsidiary, unless all Equity Interests in such Restricted Subsidiary are sold);</w:t>
      </w:r>
    </w:p>
    <w:p>
      <w:pPr>
        <w:spacing w:after="0" w:line="157" w:lineRule="exact"/>
        <w:rPr>
          <w:rFonts w:ascii="Arial" w:cs="Arial" w:eastAsia="Arial" w:hAnsi="Arial"/>
          <w:sz w:val="21"/>
          <w:szCs w:val="21"/>
          <w:color w:val="auto"/>
        </w:rPr>
      </w:pPr>
    </w:p>
    <w:p>
      <w:pPr>
        <w:ind w:firstLine="1304"/>
        <w:spacing w:after="0" w:line="298" w:lineRule="auto"/>
        <w:tabs>
          <w:tab w:leader="none" w:pos="1756" w:val="left"/>
        </w:tabs>
        <w:numPr>
          <w:ilvl w:val="0"/>
          <w:numId w:val="510"/>
        </w:numPr>
        <w:rPr>
          <w:rFonts w:ascii="Arial" w:cs="Arial" w:eastAsia="Arial" w:hAnsi="Arial"/>
          <w:sz w:val="19"/>
          <w:szCs w:val="19"/>
          <w:color w:val="auto"/>
        </w:rPr>
      </w:pPr>
      <w:r>
        <w:rPr>
          <w:rFonts w:ascii="Arial" w:cs="Arial" w:eastAsia="Arial" w:hAnsi="Arial"/>
          <w:sz w:val="19"/>
          <w:szCs w:val="19"/>
          <w:color w:val="auto"/>
        </w:rPr>
        <w:t>leases or licenses or subleases or sublicenses entered into in the ordinary course of business, to the extent that they do not materially interfere with the business of Holdings and the Restricted Subsidiaries taken as a whole;</w:t>
      </w:r>
    </w:p>
    <w:p>
      <w:pPr>
        <w:spacing w:after="0" w:line="105" w:lineRule="exact"/>
        <w:rPr>
          <w:rFonts w:ascii="Arial" w:cs="Arial" w:eastAsia="Arial" w:hAnsi="Arial"/>
          <w:sz w:val="19"/>
          <w:szCs w:val="19"/>
          <w:color w:val="auto"/>
        </w:rPr>
      </w:pPr>
    </w:p>
    <w:p>
      <w:pPr>
        <w:jc w:val="both"/>
        <w:ind w:firstLine="1304"/>
        <w:spacing w:after="0" w:line="221" w:lineRule="auto"/>
        <w:tabs>
          <w:tab w:leader="none" w:pos="1791" w:val="left"/>
        </w:tabs>
        <w:numPr>
          <w:ilvl w:val="0"/>
          <w:numId w:val="510"/>
        </w:numPr>
        <w:rPr>
          <w:rFonts w:ascii="Arial" w:cs="Arial" w:eastAsia="Arial" w:hAnsi="Arial"/>
          <w:sz w:val="21"/>
          <w:szCs w:val="21"/>
          <w:color w:val="auto"/>
        </w:rPr>
      </w:pPr>
      <w:r>
        <w:rPr>
          <w:rFonts w:ascii="Arial" w:cs="Arial" w:eastAsia="Arial" w:hAnsi="Arial"/>
          <w:sz w:val="21"/>
          <w:szCs w:val="21"/>
          <w:color w:val="auto"/>
        </w:rPr>
        <w:t>conveyances, sales, transfers, licenses or sublicenses or other Dispositions of Software or other Intellectual Property in the ordinary course of business (i) that is, in the reasonable good faith judgment of the Borrower, immaterial to the business of Holdings or any Restricted Subsidiary, or no longer economically practicable or commercially desirable to maintain or used or useful in the business of Holdings or the Restricted Subsidiaries or (ii) pursuant to a research or development agreement entered into in the ordinary course of business in which the counterparty to such agreement receives a license to Software or other Intellectual Property that results from such agreement, in each case, to the extent that such conveyance, sale, transfer, license, sublicense or other Disposition does not materially interfere with the businesses of Holdings or any Restricted Subsidiary taken as a whole;</w:t>
      </w:r>
    </w:p>
    <w:p>
      <w:pPr>
        <w:spacing w:after="0" w:line="165" w:lineRule="exact"/>
        <w:rPr>
          <w:rFonts w:ascii="Arial" w:cs="Arial" w:eastAsia="Arial" w:hAnsi="Arial"/>
          <w:sz w:val="21"/>
          <w:szCs w:val="21"/>
          <w:color w:val="auto"/>
        </w:rPr>
      </w:pPr>
    </w:p>
    <w:p>
      <w:pPr>
        <w:ind w:firstLine="1304"/>
        <w:spacing w:after="0" w:line="247" w:lineRule="auto"/>
        <w:tabs>
          <w:tab w:leader="none" w:pos="1770" w:val="left"/>
        </w:tabs>
        <w:numPr>
          <w:ilvl w:val="0"/>
          <w:numId w:val="510"/>
        </w:numPr>
        <w:rPr>
          <w:rFonts w:ascii="Arial" w:cs="Arial" w:eastAsia="Arial" w:hAnsi="Arial"/>
          <w:sz w:val="21"/>
          <w:szCs w:val="21"/>
          <w:color w:val="auto"/>
        </w:rPr>
      </w:pPr>
      <w:r>
        <w:rPr>
          <w:rFonts w:ascii="Arial" w:cs="Arial" w:eastAsia="Arial" w:hAnsi="Arial"/>
          <w:sz w:val="21"/>
          <w:szCs w:val="21"/>
          <w:color w:val="auto"/>
        </w:rPr>
        <w:t>Dispositions resulting from any casualty or insured damage to, or any taking under power of eminent domain or by condemnation or similar proceeding of, any property or asset of Holdings or any Restricted Subsidiary;</w:t>
      </w:r>
    </w:p>
    <w:p>
      <w:pPr>
        <w:spacing w:after="0" w:line="150" w:lineRule="exact"/>
        <w:rPr>
          <w:rFonts w:ascii="Arial" w:cs="Arial" w:eastAsia="Arial" w:hAnsi="Arial"/>
          <w:sz w:val="21"/>
          <w:szCs w:val="21"/>
          <w:color w:val="auto"/>
        </w:rPr>
      </w:pPr>
    </w:p>
    <w:p>
      <w:pPr>
        <w:jc w:val="both"/>
        <w:ind w:firstLine="1304"/>
        <w:spacing w:after="0" w:line="229" w:lineRule="auto"/>
        <w:tabs>
          <w:tab w:leader="none" w:pos="1829" w:val="left"/>
        </w:tabs>
        <w:numPr>
          <w:ilvl w:val="0"/>
          <w:numId w:val="510"/>
        </w:numPr>
        <w:rPr>
          <w:rFonts w:ascii="Arial" w:cs="Arial" w:eastAsia="Arial" w:hAnsi="Arial"/>
          <w:sz w:val="21"/>
          <w:szCs w:val="21"/>
          <w:color w:val="auto"/>
        </w:rPr>
      </w:pPr>
      <w:r>
        <w:rPr>
          <w:rFonts w:ascii="Arial" w:cs="Arial" w:eastAsia="Arial" w:hAnsi="Arial"/>
          <w:sz w:val="21"/>
          <w:szCs w:val="21"/>
          <w:color w:val="auto"/>
        </w:rPr>
        <w:t>the abandonment or lapse of Intellectual Property that is no longer material to the business of Holdings or any Restricted Subsidiary, or otherwise no longer of material value, (whether such Intellectual Property is now or hereafter owned or licensed or acquired in connection with an Acquisition or other permitted Investment), or the expiration of Intellectual Property in accordance with its statutory term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term is not renewable);</w:t>
      </w:r>
    </w:p>
    <w:p>
      <w:pPr>
        <w:spacing w:after="0" w:line="158" w:lineRule="exact"/>
        <w:rPr>
          <w:rFonts w:ascii="Arial" w:cs="Arial" w:eastAsia="Arial" w:hAnsi="Arial"/>
          <w:sz w:val="21"/>
          <w:szCs w:val="21"/>
          <w:color w:val="auto"/>
        </w:rPr>
      </w:pPr>
    </w:p>
    <w:p>
      <w:pPr>
        <w:ind w:firstLine="1304"/>
        <w:spacing w:after="0" w:line="232" w:lineRule="auto"/>
        <w:tabs>
          <w:tab w:leader="none" w:pos="1753" w:val="left"/>
        </w:tabs>
        <w:numPr>
          <w:ilvl w:val="0"/>
          <w:numId w:val="510"/>
        </w:numPr>
        <w:rPr>
          <w:rFonts w:ascii="Arial" w:cs="Arial" w:eastAsia="Arial" w:hAnsi="Arial"/>
          <w:sz w:val="22"/>
          <w:szCs w:val="22"/>
          <w:color w:val="auto"/>
        </w:rPr>
      </w:pPr>
      <w:r>
        <w:rPr>
          <w:rFonts w:ascii="Arial" w:cs="Arial" w:eastAsia="Arial" w:hAnsi="Arial"/>
          <w:sz w:val="22"/>
          <w:szCs w:val="22"/>
          <w:color w:val="auto"/>
        </w:rPr>
        <w:t xml:space="preserve">the Disposition of (x) any assets existing on the Closing Date that are set forth on </w:t>
      </w:r>
      <w:r>
        <w:rPr>
          <w:rFonts w:ascii="Arial" w:cs="Arial" w:eastAsia="Arial" w:hAnsi="Arial"/>
          <w:sz w:val="22"/>
          <w:szCs w:val="22"/>
          <w:u w:val="single" w:color="auto"/>
          <w:color w:val="auto"/>
        </w:rPr>
        <w:t>Schedule 6.05</w:t>
      </w:r>
      <w:r>
        <w:rPr>
          <w:rFonts w:ascii="Arial" w:cs="Arial" w:eastAsia="Arial" w:hAnsi="Arial"/>
          <w:sz w:val="22"/>
          <w:szCs w:val="22"/>
          <w:color w:val="auto"/>
        </w:rPr>
        <w:t xml:space="preserve"> or (y) non-core assets acquired in connection with any Permitted Acquisition or other permitted Investment;</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49" w:val="left"/>
        </w:tabs>
        <w:numPr>
          <w:ilvl w:val="0"/>
          <w:numId w:val="510"/>
        </w:numPr>
        <w:rPr>
          <w:rFonts w:ascii="Arial" w:cs="Arial" w:eastAsia="Arial" w:hAnsi="Arial"/>
          <w:sz w:val="22"/>
          <w:szCs w:val="22"/>
          <w:color w:val="auto"/>
        </w:rPr>
      </w:pPr>
      <w:r>
        <w:rPr>
          <w:rFonts w:ascii="Arial" w:cs="Arial" w:eastAsia="Arial" w:hAnsi="Arial"/>
          <w:sz w:val="22"/>
          <w:szCs w:val="22"/>
          <w:color w:val="auto"/>
        </w:rPr>
        <w:t>sales, transfers and other Dispositions by any Holding Company or any Restricted Subsidiary of assets since the Closing Date so long as (A) such Disposition is for fair market value (as determined in good faith by the Borrower or such Restricted Subsidiary), (B)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51" w:name="page452"/>
    <w:bookmarkEnd w:id="451"/>
    <w:p>
      <w:pPr>
        <w:jc w:val="both"/>
        <w:spacing w:after="0"/>
        <w:rPr>
          <w:sz w:val="20"/>
          <w:szCs w:val="20"/>
          <w:color w:val="auto"/>
        </w:rPr>
      </w:pPr>
      <w:r>
        <w:rPr>
          <w:rFonts w:ascii="Arial" w:cs="Arial" w:eastAsia="Arial" w:hAnsi="Arial"/>
          <w:sz w:val="19"/>
          <w:szCs w:val="19"/>
          <w:color w:val="auto"/>
        </w:rPr>
        <w:t xml:space="preserve">the time of execution of a binding agreement in respect of such sale, transfer or other Disposition, no Event of Default has occurred and is continuing or would result therefrom, (C) if the assets sold, transferred or otherwise Disposed of have a fair market value in excess of the greater of (x) $10,000,000 and (y) 10.0% of LTM EBITDA calculated on a Pro Forma Basis as of the Applicable Date of Determination, at least 75% of the consideration (other than (1) the assumption by the transferee of Indebtedness or other liabilities contingent or otherwise of any Holding Company or any of the Restricted Subsidiaries and the valid release of any Holding Company or such Restricted Subsidiary, by all applicable creditors in writing, from all liability on such Indebtedness or other liability in connection with such Disposition, (2) securities, notes or other obligations received by any Holding Company or any of the Restricted Subsidiaries from the transferee that are converted by any Holding Company or any of the Restricted Subsidiaries into cash or Cash Equivalents within 180 days following the closing of such Disposition, (3) Indebtedness of any Restricted Subsidiary that is no longer a Restricted Subsidiary as a result of such Disposition, to the extent that each Holding Company and each other Restricted Subsidiary are released from any Guarantee of payment of such Indebtedness in connection with such Disposition, (4) consideration consisting of Indebtedness of a Holding Company or Restricted Subsidiary (other than Subordinated Indebtedness) received after the Closing Date from Persons who are not a Holding Company or any Restricted Subsidiary and (5) in connection with an asset swap, all of which shall be deemed “cash”) received is cash or Cash Equivalents or Designated Non-Cash Consideration to the extent that all Designated Non-Cash Consideration at such time does not exceed the greater of (x) $10,000,000 and (y) 10.0% of LTM EBITDA calculated on a Pro Forma Basis as of the Applicable Date of Determination (with the fair market value of each item of Designated Non-Cash Consideration being measured at the time received and without giving effect to subsequent changes in value) and all of the consideration received is at least equal to the fair market value of the assets sold, transferred or otherwise Disposed of, and (D) the Net Proceeds thereof shall be subject to </w:t>
      </w:r>
      <w:r>
        <w:rPr>
          <w:rFonts w:ascii="Arial" w:cs="Arial" w:eastAsia="Arial" w:hAnsi="Arial"/>
          <w:sz w:val="19"/>
          <w:szCs w:val="19"/>
          <w:u w:val="single" w:color="auto"/>
          <w:color w:val="auto"/>
        </w:rPr>
        <w:t>Section 2.11(c)</w:t>
      </w:r>
      <w:r>
        <w:rPr>
          <w:rFonts w:ascii="Arial" w:cs="Arial" w:eastAsia="Arial" w:hAnsi="Arial"/>
          <w:sz w:val="19"/>
          <w:szCs w:val="19"/>
          <w:color w:val="auto"/>
        </w:rPr>
        <w:t>;</w:t>
      </w:r>
    </w:p>
    <w:p>
      <w:pPr>
        <w:spacing w:after="0" w:line="385" w:lineRule="exact"/>
        <w:rPr>
          <w:sz w:val="20"/>
          <w:szCs w:val="20"/>
          <w:color w:val="auto"/>
        </w:rPr>
      </w:pPr>
    </w:p>
    <w:p>
      <w:pPr>
        <w:ind w:left="1780" w:hanging="476"/>
        <w:spacing w:after="0"/>
        <w:tabs>
          <w:tab w:leader="none" w:pos="1780" w:val="left"/>
        </w:tabs>
        <w:numPr>
          <w:ilvl w:val="1"/>
          <w:numId w:val="511"/>
        </w:numPr>
        <w:rPr>
          <w:rFonts w:ascii="Arial" w:cs="Arial" w:eastAsia="Arial" w:hAnsi="Arial"/>
          <w:sz w:val="19"/>
          <w:szCs w:val="19"/>
          <w:color w:val="auto"/>
        </w:rPr>
      </w:pPr>
      <w:r>
        <w:rPr>
          <w:rFonts w:ascii="Arial" w:cs="Arial" w:eastAsia="Arial" w:hAnsi="Arial"/>
          <w:sz w:val="19"/>
          <w:szCs w:val="19"/>
          <w:color w:val="auto"/>
        </w:rPr>
        <w:t xml:space="preserve">sales, transfers and other Dispositions permitted by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6.03(a)(v)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(b)(viii)</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ind w:left="1720" w:hanging="416"/>
        <w:spacing w:after="0"/>
        <w:tabs>
          <w:tab w:leader="none" w:pos="1720" w:val="left"/>
        </w:tabs>
        <w:numPr>
          <w:ilvl w:val="1"/>
          <w:numId w:val="511"/>
        </w:numPr>
        <w:rPr>
          <w:rFonts w:ascii="Arial" w:cs="Arial" w:eastAsia="Arial" w:hAnsi="Arial"/>
          <w:sz w:val="22"/>
          <w:szCs w:val="22"/>
          <w:color w:val="auto"/>
        </w:rPr>
      </w:pPr>
      <w:r>
        <w:rPr>
          <w:rFonts w:ascii="Arial" w:cs="Arial" w:eastAsia="Arial" w:hAnsi="Arial"/>
          <w:sz w:val="22"/>
          <w:szCs w:val="22"/>
          <w:color w:val="auto"/>
        </w:rPr>
        <w:t xml:space="preserve">the incurrence of Liens permitted by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1"/>
          <w:numId w:val="511"/>
        </w:numPr>
        <w:rPr>
          <w:rFonts w:ascii="Arial" w:cs="Arial" w:eastAsia="Arial" w:hAnsi="Arial"/>
          <w:sz w:val="22"/>
          <w:szCs w:val="22"/>
          <w:color w:val="auto"/>
        </w:rPr>
      </w:pPr>
      <w:r>
        <w:rPr>
          <w:rFonts w:ascii="Arial" w:cs="Arial" w:eastAsia="Arial" w:hAnsi="Arial"/>
          <w:sz w:val="22"/>
          <w:szCs w:val="22"/>
          <w:color w:val="auto"/>
        </w:rPr>
        <w:t>sales, transfers and other Dispositions made in order to effect the Transactions;</w:t>
      </w:r>
    </w:p>
    <w:p>
      <w:pPr>
        <w:spacing w:after="0" w:line="179" w:lineRule="exact"/>
        <w:rPr>
          <w:rFonts w:ascii="Arial" w:cs="Arial" w:eastAsia="Arial" w:hAnsi="Arial"/>
          <w:sz w:val="22"/>
          <w:szCs w:val="22"/>
          <w:color w:val="auto"/>
        </w:rPr>
      </w:pPr>
    </w:p>
    <w:p>
      <w:pPr>
        <w:ind w:firstLine="1304"/>
        <w:spacing w:after="0" w:line="232" w:lineRule="auto"/>
        <w:tabs>
          <w:tab w:leader="none" w:pos="1793" w:val="left"/>
        </w:tabs>
        <w:numPr>
          <w:ilvl w:val="1"/>
          <w:numId w:val="511"/>
        </w:numPr>
        <w:rPr>
          <w:rFonts w:ascii="Arial" w:cs="Arial" w:eastAsia="Arial" w:hAnsi="Arial"/>
          <w:sz w:val="22"/>
          <w:szCs w:val="22"/>
          <w:color w:val="auto"/>
        </w:rPr>
      </w:pPr>
      <w:r>
        <w:rPr>
          <w:rFonts w:ascii="Arial" w:cs="Arial" w:eastAsia="Arial" w:hAnsi="Arial"/>
          <w:sz w:val="22"/>
          <w:szCs w:val="22"/>
          <w:color w:val="auto"/>
        </w:rPr>
        <w:t>sales or Dispositions of Equity Interests of any Subsidiary of Holdings (other than the Borrower) in order to qualify members of the Governing Body of such Subsidiary if required by applicable law;</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1"/>
          <w:numId w:val="511"/>
        </w:numPr>
        <w:rPr>
          <w:rFonts w:ascii="Arial" w:cs="Arial" w:eastAsia="Arial" w:hAnsi="Arial"/>
          <w:sz w:val="21"/>
          <w:szCs w:val="21"/>
          <w:color w:val="auto"/>
        </w:rPr>
      </w:pPr>
      <w:r>
        <w:rPr>
          <w:rFonts w:ascii="Arial" w:cs="Arial" w:eastAsia="Arial" w:hAnsi="Arial"/>
          <w:sz w:val="21"/>
          <w:szCs w:val="21"/>
          <w:color w:val="auto"/>
        </w:rPr>
        <w:t>samples, including time-limited evaluation software, provided to customers or prospective customers;</w:t>
      </w:r>
    </w:p>
    <w:p>
      <w:pPr>
        <w:spacing w:after="0" w:line="190" w:lineRule="exact"/>
        <w:rPr>
          <w:rFonts w:ascii="Arial" w:cs="Arial" w:eastAsia="Arial" w:hAnsi="Arial"/>
          <w:sz w:val="21"/>
          <w:szCs w:val="21"/>
          <w:color w:val="auto"/>
        </w:rPr>
      </w:pPr>
    </w:p>
    <w:p>
      <w:pPr>
        <w:ind w:left="1780" w:hanging="476"/>
        <w:spacing w:after="0"/>
        <w:tabs>
          <w:tab w:leader="none" w:pos="1780" w:val="left"/>
        </w:tabs>
        <w:numPr>
          <w:ilvl w:val="1"/>
          <w:numId w:val="511"/>
        </w:numPr>
        <w:rPr>
          <w:rFonts w:ascii="Arial" w:cs="Arial" w:eastAsia="Arial" w:hAnsi="Arial"/>
          <w:sz w:val="22"/>
          <w:szCs w:val="22"/>
          <w:color w:val="auto"/>
        </w:rPr>
      </w:pPr>
      <w:r>
        <w:rPr>
          <w:rFonts w:ascii="Arial" w:cs="Arial" w:eastAsia="Arial" w:hAnsi="Arial"/>
          <w:sz w:val="22"/>
          <w:szCs w:val="22"/>
          <w:color w:val="auto"/>
        </w:rPr>
        <w:t>de minimis amounts of equipment provided to employees;</w:t>
      </w:r>
    </w:p>
    <w:p>
      <w:pPr>
        <w:spacing w:after="0" w:line="179" w:lineRule="exact"/>
        <w:rPr>
          <w:rFonts w:ascii="Arial" w:cs="Arial" w:eastAsia="Arial" w:hAnsi="Arial"/>
          <w:sz w:val="22"/>
          <w:szCs w:val="22"/>
          <w:color w:val="auto"/>
        </w:rPr>
      </w:pPr>
    </w:p>
    <w:p>
      <w:pPr>
        <w:ind w:firstLine="1304"/>
        <w:spacing w:after="0" w:line="247" w:lineRule="auto"/>
        <w:tabs>
          <w:tab w:leader="none" w:pos="1812" w:val="left"/>
        </w:tabs>
        <w:numPr>
          <w:ilvl w:val="1"/>
          <w:numId w:val="511"/>
        </w:numPr>
        <w:rPr>
          <w:rFonts w:ascii="Arial" w:cs="Arial" w:eastAsia="Arial" w:hAnsi="Arial"/>
          <w:sz w:val="21"/>
          <w:szCs w:val="21"/>
          <w:color w:val="auto"/>
        </w:rPr>
      </w:pPr>
      <w:r>
        <w:rPr>
          <w:rFonts w:ascii="Arial" w:cs="Arial" w:eastAsia="Arial" w:hAnsi="Arial"/>
          <w:sz w:val="21"/>
          <w:szCs w:val="21"/>
          <w:color w:val="auto"/>
        </w:rPr>
        <w:t>sales, transfers and other Dispositions of (i) any Equity Interests in Unrestricted Subsidiaries or their assets or (ii) other Excluded Property or (with respect to any Foreign Subsidiary) assets not constituting Collateral;</w:t>
      </w:r>
    </w:p>
    <w:p>
      <w:pPr>
        <w:spacing w:after="0" w:line="150" w:lineRule="exact"/>
        <w:rPr>
          <w:rFonts w:ascii="Arial" w:cs="Arial" w:eastAsia="Arial" w:hAnsi="Arial"/>
          <w:sz w:val="21"/>
          <w:szCs w:val="21"/>
          <w:color w:val="auto"/>
        </w:rPr>
      </w:pPr>
    </w:p>
    <w:p>
      <w:pPr>
        <w:ind w:left="1740" w:hanging="436"/>
        <w:spacing w:after="0"/>
        <w:tabs>
          <w:tab w:leader="none" w:pos="1740" w:val="left"/>
        </w:tabs>
        <w:numPr>
          <w:ilvl w:val="1"/>
          <w:numId w:val="511"/>
        </w:numPr>
        <w:rPr>
          <w:rFonts w:ascii="Arial" w:cs="Arial" w:eastAsia="Arial" w:hAnsi="Arial"/>
          <w:sz w:val="22"/>
          <w:szCs w:val="22"/>
          <w:color w:val="auto"/>
        </w:rPr>
      </w:pPr>
      <w:r>
        <w:rPr>
          <w:rFonts w:ascii="Arial" w:cs="Arial" w:eastAsia="Arial" w:hAnsi="Arial"/>
          <w:sz w:val="22"/>
          <w:szCs w:val="22"/>
          <w:color w:val="auto"/>
        </w:rPr>
        <w:t xml:space="preserve">Restricted Payments made pursuant to </w:t>
      </w:r>
      <w:r>
        <w:rPr>
          <w:rFonts w:ascii="Arial" w:cs="Arial" w:eastAsia="Arial" w:hAnsi="Arial"/>
          <w:sz w:val="22"/>
          <w:szCs w:val="22"/>
          <w:u w:val="single" w:color="auto"/>
          <w:color w:val="auto"/>
        </w:rPr>
        <w:t>Section 6.06</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760" w:hanging="456"/>
        <w:spacing w:after="0"/>
        <w:tabs>
          <w:tab w:leader="none" w:pos="1760" w:val="left"/>
        </w:tabs>
        <w:numPr>
          <w:ilvl w:val="1"/>
          <w:numId w:val="511"/>
        </w:numPr>
        <w:rPr>
          <w:rFonts w:ascii="Arial" w:cs="Arial" w:eastAsia="Arial" w:hAnsi="Arial"/>
          <w:sz w:val="19"/>
          <w:szCs w:val="19"/>
          <w:color w:val="auto"/>
        </w:rPr>
      </w:pPr>
      <w:r>
        <w:rPr>
          <w:rFonts w:ascii="Arial" w:cs="Arial" w:eastAsia="Arial" w:hAnsi="Arial"/>
          <w:sz w:val="19"/>
          <w:szCs w:val="19"/>
          <w:color w:val="auto"/>
        </w:rPr>
        <w:t>Permitted Sale Leasebacks in an aggregate principal amount not to exceed the greater of (x) $19,000,000 and</w:t>
      </w:r>
    </w:p>
    <w:p>
      <w:pPr>
        <w:spacing w:after="0" w:line="15" w:lineRule="exact"/>
        <w:rPr>
          <w:rFonts w:ascii="Arial" w:cs="Arial" w:eastAsia="Arial" w:hAnsi="Arial"/>
          <w:sz w:val="19"/>
          <w:szCs w:val="19"/>
          <w:color w:val="auto"/>
        </w:rPr>
      </w:pPr>
    </w:p>
    <w:p>
      <w:pPr>
        <w:ind w:left="320" w:hanging="312"/>
        <w:spacing w:after="0"/>
        <w:tabs>
          <w:tab w:leader="none" w:pos="320" w:val="left"/>
        </w:tabs>
        <w:numPr>
          <w:ilvl w:val="0"/>
          <w:numId w:val="512"/>
        </w:numPr>
        <w:rPr>
          <w:rFonts w:ascii="Arial" w:cs="Arial" w:eastAsia="Arial" w:hAnsi="Arial"/>
          <w:sz w:val="21"/>
          <w:szCs w:val="21"/>
          <w:color w:val="auto"/>
        </w:rPr>
      </w:pPr>
      <w:r>
        <w:rPr>
          <w:rFonts w:ascii="Arial" w:cs="Arial" w:eastAsia="Arial" w:hAnsi="Arial"/>
          <w:sz w:val="21"/>
          <w:szCs w:val="21"/>
          <w:color w:val="auto"/>
        </w:rPr>
        <w:t>18.75% of LTM EBITDA calculated on a Pro Forma Basis as of the Applicable Date of Determination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52" w:name="page453"/>
    <w:bookmarkEnd w:id="452"/>
    <w:p>
      <w:pPr>
        <w:ind w:left="1720" w:hanging="416"/>
        <w:spacing w:after="0"/>
        <w:tabs>
          <w:tab w:leader="none" w:pos="1720" w:val="left"/>
        </w:tabs>
        <w:numPr>
          <w:ilvl w:val="0"/>
          <w:numId w:val="513"/>
        </w:numPr>
        <w:rPr>
          <w:rFonts w:ascii="Arial" w:cs="Arial" w:eastAsia="Arial" w:hAnsi="Arial"/>
          <w:sz w:val="22"/>
          <w:szCs w:val="22"/>
          <w:color w:val="auto"/>
        </w:rPr>
      </w:pPr>
      <w:r>
        <w:rPr>
          <w:rFonts w:ascii="Arial" w:cs="Arial" w:eastAsia="Arial" w:hAnsi="Arial"/>
          <w:sz w:val="22"/>
          <w:szCs w:val="22"/>
          <w:color w:val="auto"/>
        </w:rPr>
        <w:t>the unwinding of any Cash Management Agreement or Swap Agreement pursuant to its terms;</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804" w:val="left"/>
        </w:tabs>
        <w:numPr>
          <w:ilvl w:val="0"/>
          <w:numId w:val="513"/>
        </w:numPr>
        <w:rPr>
          <w:rFonts w:ascii="Arial" w:cs="Arial" w:eastAsia="Arial" w:hAnsi="Arial"/>
          <w:sz w:val="22"/>
          <w:szCs w:val="22"/>
          <w:color w:val="auto"/>
        </w:rPr>
      </w:pPr>
      <w:r>
        <w:rPr>
          <w:rFonts w:ascii="Arial" w:cs="Arial" w:eastAsia="Arial" w:hAnsi="Arial"/>
          <w:sz w:val="22"/>
          <w:szCs w:val="22"/>
          <w:color w:val="auto"/>
        </w:rPr>
        <w:t>sales, transfers or other Dispositions of Investments in Joint Ventures or any Subsidiary that is not a wholly owned Restricted Subsidiary to the extent required by, or made pursuant to, customary buy/sell arrangements between, the parties set forth in Joint Venture arrangements and similar binding agreements;</w:t>
      </w:r>
    </w:p>
    <w:p>
      <w:pPr>
        <w:spacing w:after="0" w:line="158" w:lineRule="exact"/>
        <w:rPr>
          <w:rFonts w:ascii="Arial" w:cs="Arial" w:eastAsia="Arial" w:hAnsi="Arial"/>
          <w:sz w:val="22"/>
          <w:szCs w:val="22"/>
          <w:color w:val="auto"/>
        </w:rPr>
      </w:pPr>
    </w:p>
    <w:p>
      <w:pPr>
        <w:jc w:val="both"/>
        <w:ind w:firstLine="1304"/>
        <w:spacing w:after="0" w:line="222" w:lineRule="auto"/>
        <w:tabs>
          <w:tab w:leader="none" w:pos="1955" w:val="left"/>
        </w:tabs>
        <w:numPr>
          <w:ilvl w:val="0"/>
          <w:numId w:val="513"/>
        </w:numPr>
        <w:rPr>
          <w:rFonts w:ascii="Arial" w:cs="Arial" w:eastAsia="Arial" w:hAnsi="Arial"/>
          <w:sz w:val="21"/>
          <w:szCs w:val="21"/>
          <w:color w:val="auto"/>
        </w:rPr>
      </w:pPr>
      <w:r>
        <w:rPr>
          <w:rFonts w:ascii="Arial" w:cs="Arial" w:eastAsia="Arial" w:hAnsi="Arial"/>
          <w:sz w:val="21"/>
          <w:szCs w:val="21"/>
          <w:color w:val="auto"/>
        </w:rPr>
        <w:t>(i) terminating or otherwise collapsing cost sharing agreements with and settlements of any crossing payments in connection therewith, (ii) converting any intercompany Indebtedness to Equity Interests, (iii) transferring any intercompany Indebtedness solely between Loan Parties or solely between non-Loan Parties, (iv) settling, discounting, writing off, forgiving or canceling any intercompany Indebtedness or other obligation owing by any Loan Party, (v) settling, discounting, writing off, forgiving or cancelling any Indebtedness owing by any present or former consultants, directors, officers or employees of any Holding Company the Borrower or any Subsidiary or any of their successors or assigns, or (vi) surrendering or waiving contractual rights and settling or waiving contractual or litigation claims;</w:t>
      </w:r>
    </w:p>
    <w:p>
      <w:pPr>
        <w:spacing w:after="0" w:line="164" w:lineRule="exact"/>
        <w:rPr>
          <w:rFonts w:ascii="Arial" w:cs="Arial" w:eastAsia="Arial" w:hAnsi="Arial"/>
          <w:sz w:val="21"/>
          <w:szCs w:val="21"/>
          <w:color w:val="auto"/>
        </w:rPr>
      </w:pPr>
    </w:p>
    <w:p>
      <w:pPr>
        <w:jc w:val="both"/>
        <w:ind w:firstLine="1304"/>
        <w:spacing w:after="0" w:line="268" w:lineRule="auto"/>
        <w:tabs>
          <w:tab w:leader="none" w:pos="1845" w:val="left"/>
        </w:tabs>
        <w:numPr>
          <w:ilvl w:val="0"/>
          <w:numId w:val="513"/>
        </w:numPr>
        <w:rPr>
          <w:rFonts w:ascii="Arial" w:cs="Arial" w:eastAsia="Arial" w:hAnsi="Arial"/>
          <w:sz w:val="19"/>
          <w:szCs w:val="19"/>
          <w:color w:val="auto"/>
        </w:rPr>
      </w:pPr>
      <w:r>
        <w:rPr>
          <w:rFonts w:ascii="Arial" w:cs="Arial" w:eastAsia="Arial" w:hAnsi="Arial"/>
          <w:sz w:val="19"/>
          <w:szCs w:val="19"/>
          <w:color w:val="auto"/>
        </w:rPr>
        <w:t>any Disposition of Securitization Assets or Receivables Assets, or participations therein, in connection with any Qualified Securitization Financing or Receivables Facility, or the Disposition of an account receivable in connection with the collection or compromise thereof in the ordinary course of business or consistent with past practice;</w:t>
      </w:r>
    </w:p>
    <w:p>
      <w:pPr>
        <w:spacing w:after="0" w:line="132" w:lineRule="exact"/>
        <w:rPr>
          <w:rFonts w:ascii="Arial" w:cs="Arial" w:eastAsia="Arial" w:hAnsi="Arial"/>
          <w:sz w:val="19"/>
          <w:szCs w:val="19"/>
          <w:color w:val="auto"/>
        </w:rPr>
      </w:pPr>
    </w:p>
    <w:p>
      <w:pPr>
        <w:ind w:left="1860" w:hanging="556"/>
        <w:spacing w:after="0"/>
        <w:tabs>
          <w:tab w:leader="none" w:pos="1860" w:val="left"/>
        </w:tabs>
        <w:numPr>
          <w:ilvl w:val="0"/>
          <w:numId w:val="513"/>
        </w:numPr>
        <w:rPr>
          <w:rFonts w:ascii="Arial" w:cs="Arial" w:eastAsia="Arial" w:hAnsi="Arial"/>
          <w:sz w:val="19"/>
          <w:szCs w:val="19"/>
          <w:color w:val="auto"/>
        </w:rPr>
      </w:pPr>
      <w:r>
        <w:rPr>
          <w:rFonts w:ascii="Arial" w:cs="Arial" w:eastAsia="Arial" w:hAnsi="Arial"/>
          <w:sz w:val="19"/>
          <w:szCs w:val="19"/>
          <w:color w:val="auto"/>
        </w:rPr>
        <w:t>conveyances, sales, transfers, leases, licenses, sublicenses or other Dispositions pursuant to Intercompany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License Agreements;</w:t>
      </w:r>
    </w:p>
    <w:p>
      <w:pPr>
        <w:spacing w:after="0" w:line="161" w:lineRule="exact"/>
        <w:rPr>
          <w:rFonts w:ascii="Arial" w:cs="Arial" w:eastAsia="Arial" w:hAnsi="Arial"/>
          <w:sz w:val="19"/>
          <w:szCs w:val="19"/>
          <w:color w:val="auto"/>
        </w:rPr>
      </w:pPr>
    </w:p>
    <w:p>
      <w:pPr>
        <w:jc w:val="both"/>
        <w:ind w:firstLine="1304"/>
        <w:spacing w:after="0" w:line="218" w:lineRule="auto"/>
        <w:tabs>
          <w:tab w:leader="none" w:pos="1786" w:val="left"/>
        </w:tabs>
        <w:numPr>
          <w:ilvl w:val="0"/>
          <w:numId w:val="513"/>
        </w:numPr>
        <w:rPr>
          <w:rFonts w:ascii="Arial" w:cs="Arial" w:eastAsia="Arial" w:hAnsi="Arial"/>
          <w:sz w:val="22"/>
          <w:szCs w:val="22"/>
          <w:color w:val="auto"/>
        </w:rPr>
      </w:pPr>
      <w:r>
        <w:rPr>
          <w:rFonts w:ascii="Arial" w:cs="Arial" w:eastAsia="Arial" w:hAnsi="Arial"/>
          <w:sz w:val="22"/>
          <w:szCs w:val="22"/>
          <w:color w:val="auto"/>
        </w:rPr>
        <w:t>other Dispositions (including those of the type otherwise described herein) made after the Closing Date with an aggregate fair market value (as determined in good faith by the Borrower or such Restricted Subsidiary) not to exceed, per Disposition or series of related Dispositions, the greater of (x) $25,000,000 and (y) 25.0% of LTM EBITDA calculated on a Pro Forma Basis as of the Applicable Date of Determination;</w:t>
      </w:r>
    </w:p>
    <w:p>
      <w:pPr>
        <w:spacing w:after="0" w:line="160" w:lineRule="exact"/>
        <w:rPr>
          <w:rFonts w:ascii="Arial" w:cs="Arial" w:eastAsia="Arial" w:hAnsi="Arial"/>
          <w:sz w:val="22"/>
          <w:szCs w:val="22"/>
          <w:color w:val="auto"/>
        </w:rPr>
      </w:pPr>
    </w:p>
    <w:p>
      <w:pPr>
        <w:jc w:val="both"/>
        <w:ind w:firstLine="1304"/>
        <w:spacing w:after="0" w:line="218" w:lineRule="auto"/>
        <w:tabs>
          <w:tab w:leader="none" w:pos="1805" w:val="left"/>
        </w:tabs>
        <w:numPr>
          <w:ilvl w:val="0"/>
          <w:numId w:val="513"/>
        </w:numPr>
        <w:rPr>
          <w:rFonts w:ascii="Arial" w:cs="Arial" w:eastAsia="Arial" w:hAnsi="Arial"/>
          <w:sz w:val="22"/>
          <w:szCs w:val="22"/>
          <w:color w:val="auto"/>
        </w:rPr>
      </w:pPr>
      <w:r>
        <w:rPr>
          <w:rFonts w:ascii="Arial" w:cs="Arial" w:eastAsia="Arial" w:hAnsi="Arial"/>
          <w:sz w:val="22"/>
          <w:szCs w:val="22"/>
          <w:color w:val="auto"/>
        </w:rPr>
        <w:t>any swap of assets in exchange for (or sale of assets, the purpose of which is to acquire (and which results within 365 days of such sale in the acquisition of)) services or other assets in the ordinary course of business of comparable or greater fair market value or usefulness to the business of the Borrower and the Restricted Subsidiaries as a whole, as determined in good faith by the Borrower;</w:t>
      </w:r>
    </w:p>
    <w:p>
      <w:pPr>
        <w:spacing w:after="0" w:line="142" w:lineRule="exact"/>
        <w:rPr>
          <w:sz w:val="20"/>
          <w:szCs w:val="20"/>
          <w:color w:val="auto"/>
        </w:rPr>
      </w:pPr>
    </w:p>
    <w:p>
      <w:pPr>
        <w:jc w:val="both"/>
        <w:ind w:left="1300"/>
        <w:spacing w:after="0"/>
        <w:tabs>
          <w:tab w:leader="none" w:pos="1920" w:val="left"/>
        </w:tabs>
        <w:rPr>
          <w:sz w:val="20"/>
          <w:szCs w:val="20"/>
          <w:color w:val="auto"/>
        </w:rPr>
      </w:pPr>
      <w:r>
        <w:rPr>
          <w:rFonts w:ascii="Arial" w:cs="Arial" w:eastAsia="Arial" w:hAnsi="Arial"/>
          <w:sz w:val="22"/>
          <w:szCs w:val="22"/>
          <w:color w:val="auto"/>
        </w:rPr>
        <w:t>(aa)</w:t>
        <w:tab/>
        <w:t>Dispositions required to be made to comply with the order of any Governmental Authority or applicable</w:t>
      </w:r>
    </w:p>
    <w:p>
      <w:pPr>
        <w:spacing w:after="0"/>
        <w:rPr>
          <w:sz w:val="20"/>
          <w:szCs w:val="20"/>
          <w:color w:val="auto"/>
        </w:rPr>
      </w:pPr>
      <w:r>
        <w:rPr>
          <w:rFonts w:ascii="Arial" w:cs="Arial" w:eastAsia="Arial" w:hAnsi="Arial"/>
          <w:sz w:val="22"/>
          <w:szCs w:val="22"/>
          <w:color w:val="auto"/>
        </w:rPr>
        <w:t>laws;</w:t>
      </w:r>
    </w:p>
    <w:p>
      <w:pPr>
        <w:spacing w:after="0" w:line="161" w:lineRule="exact"/>
        <w:rPr>
          <w:sz w:val="20"/>
          <w:szCs w:val="20"/>
          <w:color w:val="auto"/>
        </w:rPr>
      </w:pPr>
    </w:p>
    <w:p>
      <w:pPr>
        <w:jc w:val="both"/>
        <w:ind w:firstLine="1304"/>
        <w:spacing w:after="0" w:line="223" w:lineRule="auto"/>
        <w:tabs>
          <w:tab w:leader="none" w:pos="1909" w:val="left"/>
        </w:tabs>
        <w:numPr>
          <w:ilvl w:val="0"/>
          <w:numId w:val="514"/>
        </w:numPr>
        <w:rPr>
          <w:rFonts w:ascii="Arial" w:cs="Arial" w:eastAsia="Arial" w:hAnsi="Arial"/>
          <w:sz w:val="22"/>
          <w:szCs w:val="22"/>
          <w:color w:val="auto"/>
        </w:rPr>
      </w:pPr>
      <w:r>
        <w:rPr>
          <w:rFonts w:ascii="Arial" w:cs="Arial" w:eastAsia="Arial" w:hAnsi="Arial"/>
          <w:sz w:val="22"/>
          <w:szCs w:val="22"/>
          <w:color w:val="auto"/>
        </w:rPr>
        <w:t>issuances of directors’ qualifying shares or other similar Equity Interests, issuances of any Equity Interests to any Holding Company or any other Restricted Subsidiaries and issuances ratably to existing holders’ Equity Interests, in each case, to the extent required by applicable law; and</w:t>
      </w:r>
    </w:p>
    <w:p>
      <w:pPr>
        <w:spacing w:after="0" w:line="158" w:lineRule="exact"/>
        <w:rPr>
          <w:rFonts w:ascii="Arial" w:cs="Arial" w:eastAsia="Arial" w:hAnsi="Arial"/>
          <w:sz w:val="22"/>
          <w:szCs w:val="22"/>
          <w:color w:val="auto"/>
        </w:rPr>
      </w:pPr>
    </w:p>
    <w:p>
      <w:pPr>
        <w:ind w:left="1860" w:hanging="556"/>
        <w:spacing w:after="0"/>
        <w:tabs>
          <w:tab w:leader="none" w:pos="1860" w:val="left"/>
        </w:tabs>
        <w:numPr>
          <w:ilvl w:val="0"/>
          <w:numId w:val="514"/>
        </w:numPr>
        <w:rPr>
          <w:rFonts w:ascii="Arial" w:cs="Arial" w:eastAsia="Arial" w:hAnsi="Arial"/>
          <w:sz w:val="22"/>
          <w:szCs w:val="22"/>
          <w:color w:val="auto"/>
        </w:rPr>
      </w:pPr>
      <w:r>
        <w:rPr>
          <w:rFonts w:ascii="Arial" w:cs="Arial" w:eastAsia="Arial" w:hAnsi="Arial"/>
          <w:sz w:val="22"/>
          <w:szCs w:val="22"/>
          <w:color w:val="auto"/>
        </w:rPr>
        <w:t xml:space="preserve">Dispositions constituting any part of any transaction referred to in </w:t>
      </w:r>
      <w:r>
        <w:rPr>
          <w:rFonts w:ascii="Arial" w:cs="Arial" w:eastAsia="Arial" w:hAnsi="Arial"/>
          <w:sz w:val="22"/>
          <w:szCs w:val="22"/>
          <w:u w:val="single" w:color="auto"/>
          <w:color w:val="auto"/>
        </w:rPr>
        <w:t>Section 6.04(ff)</w:t>
      </w:r>
      <w:r>
        <w:rPr>
          <w:rFonts w:ascii="Arial" w:cs="Arial" w:eastAsia="Arial" w:hAnsi="Arial"/>
          <w:sz w:val="22"/>
          <w:szCs w:val="22"/>
          <w:color w:val="auto"/>
        </w:rPr>
        <w:t>.</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6.06</w:t>
      </w:r>
      <w:r>
        <w:rPr>
          <w:sz w:val="20"/>
          <w:szCs w:val="20"/>
          <w:color w:val="auto"/>
        </w:rPr>
        <w:tab/>
      </w:r>
      <w:r>
        <w:rPr>
          <w:rFonts w:ascii="Arial" w:cs="Arial" w:eastAsia="Arial" w:hAnsi="Arial"/>
          <w:sz w:val="19"/>
          <w:szCs w:val="19"/>
          <w:u w:val="single" w:color="auto"/>
          <w:color w:val="auto"/>
        </w:rPr>
        <w:t>Restricted Payments; Certain Payments of Indebtedness</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870" w:val="left"/>
        </w:tabs>
        <w:numPr>
          <w:ilvl w:val="0"/>
          <w:numId w:val="515"/>
        </w:numPr>
        <w:rPr>
          <w:rFonts w:ascii="Arial" w:cs="Arial" w:eastAsia="Arial" w:hAnsi="Arial"/>
          <w:sz w:val="22"/>
          <w:szCs w:val="22"/>
          <w:color w:val="auto"/>
        </w:rPr>
      </w:pPr>
      <w:r>
        <w:rPr>
          <w:rFonts w:ascii="Arial" w:cs="Arial" w:eastAsia="Arial" w:hAnsi="Arial"/>
          <w:sz w:val="22"/>
          <w:szCs w:val="22"/>
          <w:color w:val="auto"/>
        </w:rPr>
        <w:t>The Borrower will not, nor will the Borrower permit any Restricted Subsidiary to, declare or make any Restricted Payment,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53" w:name="page454"/>
    <w:bookmarkEnd w:id="453"/>
    <w:p>
      <w:pPr>
        <w:jc w:val="both"/>
        <w:ind w:left="660" w:firstLine="644"/>
        <w:spacing w:after="0" w:line="211" w:lineRule="auto"/>
        <w:tabs>
          <w:tab w:leader="none" w:pos="1866" w:val="left"/>
        </w:tabs>
        <w:numPr>
          <w:ilvl w:val="0"/>
          <w:numId w:val="516"/>
        </w:numPr>
        <w:rPr>
          <w:rFonts w:ascii="Arial" w:cs="Arial" w:eastAsia="Arial" w:hAnsi="Arial"/>
          <w:sz w:val="22"/>
          <w:szCs w:val="22"/>
          <w:color w:val="auto"/>
        </w:rPr>
      </w:pPr>
      <w:r>
        <w:rPr>
          <w:rFonts w:ascii="Arial" w:cs="Arial" w:eastAsia="Arial" w:hAnsi="Arial"/>
          <w:sz w:val="22"/>
          <w:szCs w:val="22"/>
          <w:color w:val="auto"/>
        </w:rPr>
        <w:t xml:space="preserve">(A) any Restricted Subsidiary may make a Restricted Payment to the Borrower or any other Restricted Subsidiary of the Borrower (so long as, if the Restricted Subsidiary making the Restricted Payment is not wholly owned (directly or indirectly) by the Borrower, such Restricted Payment is made ratably among the holders of its Equity Interests) and (B) the Borrower may make a Restricted Payment to a Holding Company and any Holding Company may make a Restricted Payment to another Holding Company so long as such Restricted Payment is promptly thereafter contributed to the Borrower or another Loan Party that is not Holdings;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avoidance of doubt, a Restricted Payment shall only be permitted pursuant to this </w:t>
      </w:r>
      <w:r>
        <w:rPr>
          <w:rFonts w:ascii="Arial" w:cs="Arial" w:eastAsia="Arial" w:hAnsi="Arial"/>
          <w:sz w:val="22"/>
          <w:szCs w:val="22"/>
          <w:u w:val="single" w:color="auto"/>
          <w:color w:val="auto"/>
        </w:rPr>
        <w:t>Section 6.06(a)(i)(B)</w:t>
      </w:r>
      <w:r>
        <w:rPr>
          <w:rFonts w:ascii="Arial" w:cs="Arial" w:eastAsia="Arial" w:hAnsi="Arial"/>
          <w:sz w:val="22"/>
          <w:szCs w:val="22"/>
          <w:color w:val="auto"/>
        </w:rPr>
        <w:t xml:space="preserve"> to the extent such subsequent contribution does not increase availability or capacity to make Restricted Payments under any provision of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6.06</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660" w:firstLine="644"/>
        <w:spacing w:after="0" w:line="234" w:lineRule="auto"/>
        <w:tabs>
          <w:tab w:leader="none" w:pos="1873" w:val="left"/>
        </w:tabs>
        <w:numPr>
          <w:ilvl w:val="0"/>
          <w:numId w:val="516"/>
        </w:numPr>
        <w:rPr>
          <w:rFonts w:ascii="Arial" w:cs="Arial" w:eastAsia="Arial" w:hAnsi="Arial"/>
          <w:sz w:val="21"/>
          <w:szCs w:val="21"/>
          <w:color w:val="auto"/>
        </w:rPr>
      </w:pPr>
      <w:r>
        <w:rPr>
          <w:rFonts w:ascii="Arial" w:cs="Arial" w:eastAsia="Arial" w:hAnsi="Arial"/>
          <w:sz w:val="21"/>
          <w:szCs w:val="21"/>
          <w:color w:val="auto"/>
        </w:rPr>
        <w:t xml:space="preserve">Restricted Payments payable solely in shares of Qualified Equity Interests (so long as, in the case of this </w:t>
      </w:r>
      <w:r>
        <w:rPr>
          <w:rFonts w:ascii="Arial" w:cs="Arial" w:eastAsia="Arial" w:hAnsi="Arial"/>
          <w:sz w:val="21"/>
          <w:szCs w:val="21"/>
          <w:u w:val="single" w:color="auto"/>
          <w:color w:val="auto"/>
        </w:rPr>
        <w:t>clause (ii)</w:t>
      </w:r>
      <w:r>
        <w:rPr>
          <w:rFonts w:ascii="Arial" w:cs="Arial" w:eastAsia="Arial" w:hAnsi="Arial"/>
          <w:sz w:val="21"/>
          <w:szCs w:val="21"/>
          <w:color w:val="auto"/>
        </w:rPr>
        <w:t>, if the Restricted Subsidiary making the Restricted Payment is not wholly owned (directly or indirectly) by the Borrower, such Restricted Payment is made ratably among the holders of its Equity Interests);</w:t>
      </w:r>
    </w:p>
    <w:p>
      <w:pPr>
        <w:spacing w:after="0" w:line="157" w:lineRule="exact"/>
        <w:rPr>
          <w:rFonts w:ascii="Arial" w:cs="Arial" w:eastAsia="Arial" w:hAnsi="Arial"/>
          <w:sz w:val="21"/>
          <w:szCs w:val="21"/>
          <w:color w:val="auto"/>
        </w:rPr>
      </w:pPr>
    </w:p>
    <w:p>
      <w:pPr>
        <w:ind w:left="660" w:firstLine="644"/>
        <w:spacing w:after="0" w:line="232" w:lineRule="auto"/>
        <w:tabs>
          <w:tab w:leader="none" w:pos="2019" w:val="left"/>
        </w:tabs>
        <w:numPr>
          <w:ilvl w:val="0"/>
          <w:numId w:val="516"/>
        </w:numPr>
        <w:rPr>
          <w:rFonts w:ascii="Arial" w:cs="Arial" w:eastAsia="Arial" w:hAnsi="Arial"/>
          <w:sz w:val="22"/>
          <w:szCs w:val="22"/>
          <w:color w:val="auto"/>
        </w:rPr>
      </w:pPr>
      <w:r>
        <w:rPr>
          <w:rFonts w:ascii="Arial" w:cs="Arial" w:eastAsia="Arial" w:hAnsi="Arial"/>
          <w:sz w:val="22"/>
          <w:szCs w:val="22"/>
          <w:color w:val="auto"/>
        </w:rPr>
        <w:t>Restricted Payments in connection with the acquisition of additional Equity Interests in any Holding Company (other than Holdings) or Restricted Subsidiary from minority shareholders;</w:t>
      </w:r>
    </w:p>
    <w:p>
      <w:pPr>
        <w:spacing w:after="0" w:line="158" w:lineRule="exact"/>
        <w:rPr>
          <w:rFonts w:ascii="Arial" w:cs="Arial" w:eastAsia="Arial" w:hAnsi="Arial"/>
          <w:sz w:val="22"/>
          <w:szCs w:val="22"/>
          <w:color w:val="auto"/>
        </w:rPr>
      </w:pPr>
    </w:p>
    <w:p>
      <w:pPr>
        <w:ind w:left="660" w:firstLine="644"/>
        <w:spacing w:after="0" w:line="232" w:lineRule="auto"/>
        <w:tabs>
          <w:tab w:leader="none" w:pos="1946" w:val="left"/>
        </w:tabs>
        <w:numPr>
          <w:ilvl w:val="0"/>
          <w:numId w:val="516"/>
        </w:numPr>
        <w:rPr>
          <w:rFonts w:ascii="Arial" w:cs="Arial" w:eastAsia="Arial" w:hAnsi="Arial"/>
          <w:sz w:val="22"/>
          <w:szCs w:val="22"/>
          <w:color w:val="auto"/>
        </w:rPr>
      </w:pPr>
      <w:r>
        <w:rPr>
          <w:rFonts w:ascii="Arial" w:cs="Arial" w:eastAsia="Arial" w:hAnsi="Arial"/>
          <w:sz w:val="22"/>
          <w:szCs w:val="22"/>
          <w:color w:val="auto"/>
        </w:rPr>
        <w:t>repurchases of Equity Interests deemed to occur upon the cashless exercise of stock options when such Equity Interests represents a portion of the exercise price thereof;</w:t>
      </w:r>
    </w:p>
    <w:p>
      <w:pPr>
        <w:spacing w:after="0" w:line="158" w:lineRule="exact"/>
        <w:rPr>
          <w:rFonts w:ascii="Arial" w:cs="Arial" w:eastAsia="Arial" w:hAnsi="Arial"/>
          <w:sz w:val="22"/>
          <w:szCs w:val="22"/>
          <w:color w:val="auto"/>
        </w:rPr>
      </w:pPr>
    </w:p>
    <w:p>
      <w:pPr>
        <w:jc w:val="both"/>
        <w:ind w:left="660" w:firstLine="644"/>
        <w:spacing w:after="0"/>
        <w:tabs>
          <w:tab w:leader="none" w:pos="1945" w:val="left"/>
        </w:tabs>
        <w:numPr>
          <w:ilvl w:val="0"/>
          <w:numId w:val="516"/>
        </w:numPr>
        <w:rPr>
          <w:rFonts w:ascii="Arial" w:cs="Arial" w:eastAsia="Arial" w:hAnsi="Arial"/>
          <w:sz w:val="19"/>
          <w:szCs w:val="19"/>
          <w:color w:val="auto"/>
        </w:rPr>
      </w:pPr>
      <w:r>
        <w:rPr>
          <w:rFonts w:ascii="Arial" w:cs="Arial" w:eastAsia="Arial" w:hAnsi="Arial"/>
          <w:sz w:val="19"/>
          <w:szCs w:val="19"/>
          <w:color w:val="auto"/>
        </w:rPr>
        <w:t xml:space="preserve">Restricted Payments to allow any Parent Entity (or, after an IPO, the Public Company), any Holding Company, the Borrower or any Restricted Subsidiary to purchase a Holding Company’s or any Parent Entity’s (or, after an IPO, the Public Company’s) Equity Interests from present or former consultants, directors, manager, officers or employees of any Parent Entity (or, after an IPO, the Public Company), any Holding Company, the Borrower or any Restricted Subsidiary, or their estates, descendants, family, spouses or former spouses, upon the death, disability or termination of employment of such consultant, director, officer or employee or pursuant to any employee, management, director or manager equity plan, employee, management, director or manager stock option plan or any other employee, management, director or manager benefit plan or any agreement (including any stock subscription or shareholder agreement) with any employee, director, manager, officer or consultant of any Parent Entity (or, after an IPO, the Public Company), any Holding Company, the Borrower 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payments under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subsequent to the Closing Date (net of proceeds received by the Borrower subsequent to the date hereof in connection with resales of any stock or common stock options so purchased (which amounts, to the extent that such cash proceeds from the issuance of any such stock are utilized to make payments pursuant to this clause in excess of the amounts otherwise permitted hereunder, are Not Otherwise Applied)) per fiscal year shall not exceed the greater of (x) $7,500,000 and (y) 7.5% of LTM EBITDA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the occurrence of an IPO, such amount shall be of the greater of $15,000,000 and 15% of LTM EBITDA) calculated on a Pro Forma Basis as of the Applicable Date of Determination (with unused amounts in any fiscal year being carried over to the next succeeding fiscal year),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amount of any key-man life insurance policies;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cancellation of Indebtedness owing to Holdings or any of the Subsidiaries (and not involving a cash advance made by Holdings or any of the Subsidiaries) in connection with a repurchase of any such Equity Interests and the redemption or cancellation of such Equity Interests without cash payment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54" w:name="page455"/>
    <w:bookmarkEnd w:id="454"/>
    <w:p>
      <w:pPr>
        <w:jc w:val="center"/>
        <w:ind w:right="60"/>
        <w:spacing w:after="0"/>
        <w:rPr>
          <w:sz w:val="20"/>
          <w:szCs w:val="20"/>
          <w:color w:val="auto"/>
        </w:rPr>
      </w:pPr>
      <w:r>
        <w:rPr>
          <w:rFonts w:ascii="Arial" w:cs="Arial" w:eastAsia="Arial" w:hAnsi="Arial"/>
          <w:sz w:val="22"/>
          <w:szCs w:val="22"/>
          <w:color w:val="auto"/>
        </w:rPr>
        <w:t>deemed to constitute a Restricted Payment for purposes of this covenant or any other provision of this Agreement;</w:t>
      </w:r>
    </w:p>
    <w:p>
      <w:pPr>
        <w:spacing w:after="0" w:line="179" w:lineRule="exact"/>
        <w:rPr>
          <w:sz w:val="20"/>
          <w:szCs w:val="20"/>
          <w:color w:val="auto"/>
        </w:rPr>
      </w:pPr>
    </w:p>
    <w:p>
      <w:pPr>
        <w:ind w:left="1840" w:hanging="536"/>
        <w:spacing w:after="0"/>
        <w:tabs>
          <w:tab w:leader="none" w:pos="1840" w:val="left"/>
        </w:tabs>
        <w:numPr>
          <w:ilvl w:val="0"/>
          <w:numId w:val="517"/>
        </w:numPr>
        <w:rPr>
          <w:rFonts w:ascii="Arial" w:cs="Arial" w:eastAsia="Arial" w:hAnsi="Arial"/>
          <w:sz w:val="22"/>
          <w:szCs w:val="22"/>
          <w:color w:val="auto"/>
        </w:rPr>
      </w:pPr>
      <w:r>
        <w:rPr>
          <w:rFonts w:ascii="Arial" w:cs="Arial" w:eastAsia="Arial" w:hAnsi="Arial"/>
          <w:sz w:val="22"/>
          <w:szCs w:val="22"/>
          <w:color w:val="auto"/>
        </w:rPr>
        <w:t>Restricted Payments pursuant to Intercompany License Agreements;</w:t>
      </w:r>
    </w:p>
    <w:p>
      <w:pPr>
        <w:spacing w:after="0" w:line="179" w:lineRule="exact"/>
        <w:rPr>
          <w:rFonts w:ascii="Arial" w:cs="Arial" w:eastAsia="Arial" w:hAnsi="Arial"/>
          <w:sz w:val="22"/>
          <w:szCs w:val="22"/>
          <w:color w:val="auto"/>
        </w:rPr>
      </w:pPr>
    </w:p>
    <w:p>
      <w:pPr>
        <w:jc w:val="both"/>
        <w:ind w:left="660" w:firstLine="644"/>
        <w:spacing w:after="0" w:line="246" w:lineRule="auto"/>
        <w:tabs>
          <w:tab w:leader="none" w:pos="1981" w:val="left"/>
        </w:tabs>
        <w:numPr>
          <w:ilvl w:val="0"/>
          <w:numId w:val="517"/>
        </w:numPr>
        <w:rPr>
          <w:rFonts w:ascii="Arial" w:cs="Arial" w:eastAsia="Arial" w:hAnsi="Arial"/>
          <w:sz w:val="19"/>
          <w:szCs w:val="19"/>
          <w:color w:val="auto"/>
        </w:rPr>
      </w:pPr>
      <w:r>
        <w:rPr>
          <w:rFonts w:ascii="Arial" w:cs="Arial" w:eastAsia="Arial" w:hAnsi="Arial"/>
          <w:sz w:val="19"/>
          <w:szCs w:val="19"/>
          <w:color w:val="auto"/>
        </w:rPr>
        <w:t xml:space="preserve">Restricted Payments (i) to consummate the Transactions (including, but not limited to, the Closing Date Distribution); it being understood that any such Restricted Payments shall be made substantially concurrently with the Closing Date, (ii) in respect of working capital adjustments or purchase price adjustments pursuant to the Recapitalization Agreement, any Permitted Acquisition or other permitted Investments (other than pursuant to </w:t>
      </w:r>
      <w:r>
        <w:rPr>
          <w:rFonts w:ascii="Arial" w:cs="Arial" w:eastAsia="Arial" w:hAnsi="Arial"/>
          <w:sz w:val="19"/>
          <w:szCs w:val="19"/>
          <w:u w:val="single" w:color="auto"/>
          <w:color w:val="auto"/>
        </w:rPr>
        <w:t>Section 6.04(aa)</w:t>
      </w:r>
      <w:r>
        <w:rPr>
          <w:rFonts w:ascii="Arial" w:cs="Arial" w:eastAsia="Arial" w:hAnsi="Arial"/>
          <w:sz w:val="19"/>
          <w:szCs w:val="19"/>
          <w:color w:val="auto"/>
        </w:rPr>
        <w:t xml:space="preserve">), (iii) to satisfy indemnity and other similar obligations under the Recapitalization Agreement, Permitted Acquisitions or other permitted Investments, and (iv) to dissenting stockholders in connection with, or as a result of, their exercise of appraisal rights and the settlement of any claims or actions (whether actual, contingent or potential) with respect thereto (including any accrued interest), in each case of this </w:t>
      </w:r>
      <w:r>
        <w:rPr>
          <w:rFonts w:ascii="Arial" w:cs="Arial" w:eastAsia="Arial" w:hAnsi="Arial"/>
          <w:sz w:val="19"/>
          <w:szCs w:val="19"/>
          <w:u w:val="single" w:color="auto"/>
          <w:color w:val="auto"/>
        </w:rPr>
        <w:t>clause (vii)</w:t>
      </w:r>
      <w:r>
        <w:rPr>
          <w:rFonts w:ascii="Arial" w:cs="Arial" w:eastAsia="Arial" w:hAnsi="Arial"/>
          <w:sz w:val="19"/>
          <w:szCs w:val="19"/>
          <w:color w:val="auto"/>
        </w:rPr>
        <w:t>, with respect to Investments permitted hereunder;</w:t>
      </w:r>
    </w:p>
    <w:p>
      <w:pPr>
        <w:spacing w:after="0" w:line="152" w:lineRule="exact"/>
        <w:rPr>
          <w:rFonts w:ascii="Arial" w:cs="Arial" w:eastAsia="Arial" w:hAnsi="Arial"/>
          <w:sz w:val="19"/>
          <w:szCs w:val="19"/>
          <w:color w:val="auto"/>
        </w:rPr>
      </w:pPr>
    </w:p>
    <w:p>
      <w:pPr>
        <w:ind w:left="660" w:firstLine="644"/>
        <w:spacing w:after="0" w:line="232" w:lineRule="auto"/>
        <w:tabs>
          <w:tab w:leader="none" w:pos="1962" w:val="left"/>
        </w:tabs>
        <w:numPr>
          <w:ilvl w:val="0"/>
          <w:numId w:val="517"/>
        </w:numPr>
        <w:rPr>
          <w:rFonts w:ascii="Arial" w:cs="Arial" w:eastAsia="Arial" w:hAnsi="Arial"/>
          <w:sz w:val="22"/>
          <w:szCs w:val="22"/>
          <w:color w:val="auto"/>
        </w:rPr>
      </w:pPr>
      <w:r>
        <w:rPr>
          <w:rFonts w:ascii="Arial" w:cs="Arial" w:eastAsia="Arial" w:hAnsi="Arial"/>
          <w:sz w:val="22"/>
          <w:szCs w:val="22"/>
          <w:color w:val="auto"/>
        </w:rPr>
        <w:t xml:space="preserve">Restricted Payments necessary to consummate transactions permitted pursuant to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and to make Investments permitted pursuant to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(other than pursuant to </w:t>
      </w:r>
      <w:r>
        <w:rPr>
          <w:rFonts w:ascii="Arial" w:cs="Arial" w:eastAsia="Arial" w:hAnsi="Arial"/>
          <w:sz w:val="22"/>
          <w:szCs w:val="22"/>
          <w:u w:val="single" w:color="auto"/>
          <w:color w:val="auto"/>
        </w:rPr>
        <w:t>Section 6.04(aa)</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660" w:firstLine="644"/>
        <w:spacing w:after="0" w:line="218" w:lineRule="auto"/>
        <w:tabs>
          <w:tab w:leader="none" w:pos="1843" w:val="left"/>
        </w:tabs>
        <w:numPr>
          <w:ilvl w:val="0"/>
          <w:numId w:val="517"/>
        </w:numPr>
        <w:rPr>
          <w:rFonts w:ascii="Arial" w:cs="Arial" w:eastAsia="Arial" w:hAnsi="Arial"/>
          <w:sz w:val="22"/>
          <w:szCs w:val="22"/>
          <w:color w:val="auto"/>
        </w:rPr>
      </w:pPr>
      <w:r>
        <w:rPr>
          <w:rFonts w:ascii="Arial" w:cs="Arial" w:eastAsia="Arial" w:hAnsi="Arial"/>
          <w:sz w:val="22"/>
          <w:szCs w:val="22"/>
          <w:color w:val="auto"/>
        </w:rPr>
        <w:t>forgiveness or cancellation of any Indebtedness owed to any Holding Company or any Restricted Subsidiary (and not involving a cash advance made by any Holding Company or any Restricted Subsidiary) issued for repurchases of any Equity Interests of a Parent Entity (or, after an IPO, the Public Company’s), Holdings, a Holding Company or the Borrower;</w:t>
      </w:r>
    </w:p>
    <w:p>
      <w:pPr>
        <w:spacing w:after="0" w:line="160" w:lineRule="exact"/>
        <w:rPr>
          <w:rFonts w:ascii="Arial" w:cs="Arial" w:eastAsia="Arial" w:hAnsi="Arial"/>
          <w:sz w:val="22"/>
          <w:szCs w:val="22"/>
          <w:color w:val="auto"/>
        </w:rPr>
      </w:pPr>
    </w:p>
    <w:p>
      <w:pPr>
        <w:jc w:val="both"/>
        <w:ind w:left="660" w:firstLine="644"/>
        <w:spacing w:after="0" w:line="226" w:lineRule="auto"/>
        <w:tabs>
          <w:tab w:leader="none" w:pos="1832" w:val="left"/>
        </w:tabs>
        <w:numPr>
          <w:ilvl w:val="0"/>
          <w:numId w:val="517"/>
        </w:numPr>
        <w:rPr>
          <w:rFonts w:ascii="Arial" w:cs="Arial" w:eastAsia="Arial" w:hAnsi="Arial"/>
          <w:sz w:val="21"/>
          <w:szCs w:val="21"/>
          <w:color w:val="auto"/>
        </w:rPr>
      </w:pPr>
      <w:r>
        <w:rPr>
          <w:rFonts w:ascii="Arial" w:cs="Arial" w:eastAsia="Arial" w:hAnsi="Arial"/>
          <w:sz w:val="21"/>
          <w:szCs w:val="21"/>
          <w:color w:val="auto"/>
        </w:rPr>
        <w:t xml:space="preserve">(i) additional Restricted Payments;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no Event of Default has occurred and is continuing or would result therefrom and (b) the Total Net Leverage Ratio after giving effect thereto on a Pro Forma Basis as of the Applicable Date of Determination is less than or equal to 6.25 to 1.00 and (ii) additional Restricted Payments in an amount not in excess of the Available Excluded Contribution Amount so long as no Event of Default has occurred and is continuing or would result from the making of such Restricted Payment;</w:t>
      </w:r>
    </w:p>
    <w:p>
      <w:pPr>
        <w:spacing w:after="0" w:line="159" w:lineRule="exact"/>
        <w:rPr>
          <w:rFonts w:ascii="Arial" w:cs="Arial" w:eastAsia="Arial" w:hAnsi="Arial"/>
          <w:sz w:val="21"/>
          <w:szCs w:val="21"/>
          <w:color w:val="auto"/>
        </w:rPr>
      </w:pPr>
    </w:p>
    <w:p>
      <w:pPr>
        <w:jc w:val="both"/>
        <w:ind w:left="660" w:firstLine="644"/>
        <w:spacing w:after="0" w:line="268" w:lineRule="auto"/>
        <w:tabs>
          <w:tab w:leader="none" w:pos="1937" w:val="left"/>
        </w:tabs>
        <w:numPr>
          <w:ilvl w:val="0"/>
          <w:numId w:val="517"/>
        </w:numPr>
        <w:rPr>
          <w:rFonts w:ascii="Arial" w:cs="Arial" w:eastAsia="Arial" w:hAnsi="Arial"/>
          <w:sz w:val="19"/>
          <w:szCs w:val="19"/>
          <w:color w:val="auto"/>
        </w:rPr>
      </w:pPr>
      <w:r>
        <w:rPr>
          <w:rFonts w:ascii="Arial" w:cs="Arial" w:eastAsia="Arial" w:hAnsi="Arial"/>
          <w:sz w:val="19"/>
          <w:szCs w:val="19"/>
          <w:color w:val="auto"/>
        </w:rPr>
        <w:t>distributions or payments of Securitization Fees, sales contributions and other transfers of Securitization Assets or Receivables Assets and purchases of Securitization Assets or Receivables Assets pursuant to Securitization Repurchase Obligations, in each case in connection with a Qualified Securitization Financing or a Receivables Facility;</w:t>
      </w:r>
    </w:p>
    <w:p>
      <w:pPr>
        <w:spacing w:after="0" w:line="132" w:lineRule="exact"/>
        <w:rPr>
          <w:rFonts w:ascii="Arial" w:cs="Arial" w:eastAsia="Arial" w:hAnsi="Arial"/>
          <w:sz w:val="19"/>
          <w:szCs w:val="19"/>
          <w:color w:val="auto"/>
        </w:rPr>
      </w:pPr>
    </w:p>
    <w:p>
      <w:pPr>
        <w:ind w:left="660" w:firstLine="644"/>
        <w:spacing w:after="0" w:line="232" w:lineRule="auto"/>
        <w:tabs>
          <w:tab w:leader="none" w:pos="1922" w:val="left"/>
        </w:tabs>
        <w:numPr>
          <w:ilvl w:val="0"/>
          <w:numId w:val="517"/>
        </w:numPr>
        <w:rPr>
          <w:rFonts w:ascii="Arial" w:cs="Arial" w:eastAsia="Arial" w:hAnsi="Arial"/>
          <w:sz w:val="22"/>
          <w:szCs w:val="22"/>
          <w:color w:val="auto"/>
        </w:rPr>
      </w:pPr>
      <w:r>
        <w:rPr>
          <w:rFonts w:ascii="Arial" w:cs="Arial" w:eastAsia="Arial" w:hAnsi="Arial"/>
          <w:sz w:val="22"/>
          <w:szCs w:val="22"/>
          <w:color w:val="auto"/>
        </w:rPr>
        <w:t>Restricted Payments the proceeds of which shall be used to pay customary costs, fees and expenses related to any unsuccessful equity or debt offering permitted by this Agreement;</w:t>
      </w:r>
    </w:p>
    <w:p>
      <w:pPr>
        <w:spacing w:after="0" w:line="158" w:lineRule="exact"/>
        <w:rPr>
          <w:rFonts w:ascii="Arial" w:cs="Arial" w:eastAsia="Arial" w:hAnsi="Arial"/>
          <w:sz w:val="22"/>
          <w:szCs w:val="22"/>
          <w:color w:val="auto"/>
        </w:rPr>
      </w:pPr>
    </w:p>
    <w:p>
      <w:pPr>
        <w:jc w:val="both"/>
        <w:ind w:left="660" w:firstLine="644"/>
        <w:spacing w:after="0" w:line="214" w:lineRule="auto"/>
        <w:tabs>
          <w:tab w:leader="none" w:pos="1991" w:val="left"/>
        </w:tabs>
        <w:numPr>
          <w:ilvl w:val="0"/>
          <w:numId w:val="517"/>
        </w:numPr>
        <w:rPr>
          <w:rFonts w:ascii="Arial" w:cs="Arial" w:eastAsia="Arial" w:hAnsi="Arial"/>
          <w:sz w:val="22"/>
          <w:szCs w:val="22"/>
          <w:color w:val="auto"/>
        </w:rPr>
      </w:pPr>
      <w:r>
        <w:rPr>
          <w:rFonts w:ascii="Arial" w:cs="Arial" w:eastAsia="Arial" w:hAnsi="Arial"/>
          <w:sz w:val="22"/>
          <w:szCs w:val="22"/>
          <w:color w:val="auto"/>
        </w:rPr>
        <w:t>Restricted Payments to (a) pay cash in lieu of fractional Equity Interests in connection with any dividend, split or combination thereof or any Acquisition, Investment or other transaction otherwise permitted hereunder, and (b) honor any conversion request by a holder of convertible Indebtedness (to the extent such conversion request is paid solely in shares of Qualified Equity Interests of Holdings (or any Parent Entity)) and make cash payments in lieu of fractional shares in connection with any such conversion and may make payments on convertible Indebtedness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55" w:name="page456"/>
    <w:bookmarkEnd w:id="455"/>
    <w:p>
      <w:pPr>
        <w:jc w:val="both"/>
        <w:ind w:left="660" w:firstLine="644"/>
        <w:spacing w:after="0" w:line="242" w:lineRule="auto"/>
        <w:tabs>
          <w:tab w:leader="none" w:pos="2060" w:val="left"/>
        </w:tabs>
        <w:numPr>
          <w:ilvl w:val="1"/>
          <w:numId w:val="518"/>
        </w:numPr>
        <w:rPr>
          <w:rFonts w:ascii="Arial" w:cs="Arial" w:eastAsia="Arial" w:hAnsi="Arial"/>
          <w:sz w:val="19"/>
          <w:szCs w:val="19"/>
          <w:color w:val="auto"/>
        </w:rPr>
      </w:pPr>
      <w:r>
        <w:rPr>
          <w:rFonts w:ascii="Arial" w:cs="Arial" w:eastAsia="Arial" w:hAnsi="Arial"/>
          <w:sz w:val="19"/>
          <w:szCs w:val="19"/>
          <w:color w:val="auto"/>
        </w:rPr>
        <w:t xml:space="preserve">Restricted Payments in an aggregate amount not to exceed (A) the greater of (x) $25,000,000 and (y) 25.0% of LTM EBITDA calculated on a Pro Forma Basis as of the Applicable Date of Determination (less any amounts reallocated to </w:t>
      </w:r>
      <w:r>
        <w:rPr>
          <w:rFonts w:ascii="Arial" w:cs="Arial" w:eastAsia="Arial" w:hAnsi="Arial"/>
          <w:sz w:val="19"/>
          <w:szCs w:val="19"/>
          <w:u w:val="single" w:color="auto"/>
          <w:color w:val="auto"/>
        </w:rPr>
        <w:t>Section 6.04(q)(B)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6.06(b)(vi)(A)</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Available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at the time of making such Restricted Payment pursuant to this clause (B), no Event of Default pursuant to </w:t>
      </w:r>
      <w:r>
        <w:rPr>
          <w:rFonts w:ascii="Arial" w:cs="Arial" w:eastAsia="Arial" w:hAnsi="Arial"/>
          <w:sz w:val="19"/>
          <w:szCs w:val="19"/>
          <w:u w:val="single" w:color="auto"/>
          <w:color w:val="auto"/>
        </w:rPr>
        <w:t>Sections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w:t>
      </w:r>
    </w:p>
    <w:p>
      <w:pPr>
        <w:ind w:left="960" w:hanging="304"/>
        <w:spacing w:after="0"/>
        <w:tabs>
          <w:tab w:leader="none" w:pos="960" w:val="left"/>
        </w:tabs>
        <w:numPr>
          <w:ilvl w:val="0"/>
          <w:numId w:val="519"/>
        </w:numPr>
        <w:rPr>
          <w:rFonts w:ascii="Arial" w:cs="Arial" w:eastAsia="Arial" w:hAnsi="Arial"/>
          <w:sz w:val="22"/>
          <w:szCs w:val="22"/>
          <w:u w:val="single" w:color="auto"/>
          <w:color w:val="auto"/>
        </w:rPr>
      </w:pPr>
      <w:r>
        <w:rPr>
          <w:rFonts w:ascii="Arial" w:cs="Arial" w:eastAsia="Arial" w:hAnsi="Arial"/>
          <w:sz w:val="22"/>
          <w:szCs w:val="22"/>
          <w:color w:val="auto"/>
        </w:rPr>
        <w:t xml:space="preserve">or </w:t>
      </w:r>
      <w:r>
        <w:rPr>
          <w:rFonts w:ascii="Arial" w:cs="Arial" w:eastAsia="Arial" w:hAnsi="Arial"/>
          <w:sz w:val="22"/>
          <w:szCs w:val="22"/>
          <w:u w:val="single" w:color="auto"/>
          <w:color w:val="auto"/>
        </w:rPr>
        <w:t>(i)</w:t>
      </w:r>
      <w:r>
        <w:rPr>
          <w:rFonts w:ascii="Arial" w:cs="Arial" w:eastAsia="Arial" w:hAnsi="Arial"/>
          <w:sz w:val="22"/>
          <w:szCs w:val="22"/>
          <w:color w:val="auto"/>
        </w:rPr>
        <w:t xml:space="preserve"> has occurred and is continuing or would result therefrom;</w:t>
      </w:r>
    </w:p>
    <w:p>
      <w:pPr>
        <w:spacing w:after="0" w:line="161" w:lineRule="exact"/>
        <w:rPr>
          <w:rFonts w:ascii="Arial" w:cs="Arial" w:eastAsia="Arial" w:hAnsi="Arial"/>
          <w:sz w:val="22"/>
          <w:szCs w:val="22"/>
          <w:u w:val="single" w:color="auto"/>
          <w:color w:val="auto"/>
        </w:rPr>
      </w:pPr>
    </w:p>
    <w:p>
      <w:pPr>
        <w:jc w:val="both"/>
        <w:ind w:left="660" w:firstLine="644"/>
        <w:spacing w:after="0" w:line="249" w:lineRule="auto"/>
        <w:tabs>
          <w:tab w:leader="none" w:pos="2148" w:val="left"/>
        </w:tabs>
        <w:numPr>
          <w:ilvl w:val="1"/>
          <w:numId w:val="519"/>
        </w:numPr>
        <w:rPr>
          <w:rFonts w:ascii="Arial" w:cs="Arial" w:eastAsia="Arial" w:hAnsi="Arial"/>
          <w:sz w:val="19"/>
          <w:szCs w:val="19"/>
          <w:color w:val="auto"/>
        </w:rPr>
      </w:pPr>
      <w:r>
        <w:rPr>
          <w:rFonts w:ascii="Arial" w:cs="Arial" w:eastAsia="Arial" w:hAnsi="Arial"/>
          <w:sz w:val="19"/>
          <w:szCs w:val="19"/>
          <w:color w:val="auto"/>
        </w:rPr>
        <w:t>Restricted Payments to the extent that such Restricted Payments are made with (A) any capital contributions made in cash by any Person other than a Restricted Subsidiary to Holdings after the Closing Date (other than any Cure Amount) to the extent Not Otherwise Applied; and (B) any Net Proceeds of any issuance of Qualified Equity Interests after the Closing Date of Holdings (other than any Cure Amount) to any Person other than a Restricted Subsidiary to the extent Not Otherwise Applied, and to the extent, in each case, such contributions and Net Proceeds have been contributed to the Qualified Equity Interests of the Borrower or any other Loan Party (other than Holdings);</w:t>
      </w:r>
    </w:p>
    <w:p>
      <w:pPr>
        <w:spacing w:after="0" w:line="151" w:lineRule="exact"/>
        <w:rPr>
          <w:rFonts w:ascii="Arial" w:cs="Arial" w:eastAsia="Arial" w:hAnsi="Arial"/>
          <w:sz w:val="19"/>
          <w:szCs w:val="19"/>
          <w:color w:val="auto"/>
        </w:rPr>
      </w:pPr>
    </w:p>
    <w:p>
      <w:pPr>
        <w:jc w:val="both"/>
        <w:ind w:left="660" w:firstLine="644"/>
        <w:spacing w:after="0" w:line="226" w:lineRule="auto"/>
        <w:tabs>
          <w:tab w:leader="none" w:pos="1998" w:val="left"/>
        </w:tabs>
        <w:numPr>
          <w:ilvl w:val="1"/>
          <w:numId w:val="519"/>
        </w:numPr>
        <w:rPr>
          <w:rFonts w:ascii="Arial" w:cs="Arial" w:eastAsia="Arial" w:hAnsi="Arial"/>
          <w:sz w:val="21"/>
          <w:szCs w:val="21"/>
          <w:color w:val="auto"/>
        </w:rPr>
      </w:pPr>
      <w:r>
        <w:rPr>
          <w:rFonts w:ascii="Arial" w:cs="Arial" w:eastAsia="Arial" w:hAnsi="Arial"/>
          <w:sz w:val="21"/>
          <w:szCs w:val="21"/>
          <w:color w:val="auto"/>
        </w:rPr>
        <w:t>Restricted Payments at such times and in such amounts as shall be necessary to permit any Parent Entity and any Holding Company to discharge their respective general corporate and overhead or other expenses (including franchise and similar taxes required to maintain its corporate existence, customary salary, bonus and other benefits payable to officers and employees of any Holding Companies or any Parent Entity and directors fees and director and officer indemnification obligations) incurred in the ordinary course of business;</w:t>
      </w:r>
    </w:p>
    <w:p>
      <w:pPr>
        <w:spacing w:after="0" w:line="159" w:lineRule="exact"/>
        <w:rPr>
          <w:rFonts w:ascii="Arial" w:cs="Arial" w:eastAsia="Arial" w:hAnsi="Arial"/>
          <w:sz w:val="21"/>
          <w:szCs w:val="21"/>
          <w:color w:val="auto"/>
        </w:rPr>
      </w:pPr>
    </w:p>
    <w:p>
      <w:pPr>
        <w:ind w:left="660" w:firstLine="644"/>
        <w:spacing w:after="0" w:line="232" w:lineRule="auto"/>
        <w:tabs>
          <w:tab w:leader="none" w:pos="2038" w:val="left"/>
        </w:tabs>
        <w:numPr>
          <w:ilvl w:val="1"/>
          <w:numId w:val="519"/>
        </w:numPr>
        <w:rPr>
          <w:rFonts w:ascii="Arial" w:cs="Arial" w:eastAsia="Arial" w:hAnsi="Arial"/>
          <w:sz w:val="22"/>
          <w:szCs w:val="22"/>
          <w:color w:val="auto"/>
        </w:rPr>
      </w:pPr>
      <w:r>
        <w:rPr>
          <w:rFonts w:ascii="Arial" w:cs="Arial" w:eastAsia="Arial" w:hAnsi="Arial"/>
          <w:sz w:val="22"/>
          <w:szCs w:val="22"/>
          <w:color w:val="auto"/>
        </w:rPr>
        <w:t>Restricted Payments to Holding Companies and any Parent Entities at such times and in such amounts as are necessary to make Permitted Investor Payments;</w:t>
      </w:r>
    </w:p>
    <w:p>
      <w:pPr>
        <w:spacing w:after="0" w:line="158" w:lineRule="exact"/>
        <w:rPr>
          <w:rFonts w:ascii="Arial" w:cs="Arial" w:eastAsia="Arial" w:hAnsi="Arial"/>
          <w:sz w:val="22"/>
          <w:szCs w:val="22"/>
          <w:color w:val="auto"/>
        </w:rPr>
      </w:pPr>
    </w:p>
    <w:p>
      <w:pPr>
        <w:jc w:val="both"/>
        <w:ind w:left="660" w:firstLine="644"/>
        <w:spacing w:after="0" w:line="243" w:lineRule="auto"/>
        <w:tabs>
          <w:tab w:leader="none" w:pos="2231" w:val="left"/>
        </w:tabs>
        <w:numPr>
          <w:ilvl w:val="1"/>
          <w:numId w:val="519"/>
        </w:numPr>
        <w:rPr>
          <w:rFonts w:ascii="Arial" w:cs="Arial" w:eastAsia="Arial" w:hAnsi="Arial"/>
          <w:sz w:val="19"/>
          <w:szCs w:val="19"/>
          <w:color w:val="auto"/>
        </w:rPr>
      </w:pPr>
      <w:r>
        <w:rPr>
          <w:rFonts w:ascii="Arial" w:cs="Arial" w:eastAsia="Arial" w:hAnsi="Arial"/>
          <w:sz w:val="19"/>
          <w:szCs w:val="19"/>
          <w:color w:val="auto"/>
        </w:rPr>
        <w:t xml:space="preserve">Restricted Payments made (i) in connection with reorganizations and other activities related to tax planning and reorganization;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good-faith judgment of the Borrowers and Administrative Agent, after giving effect to any such reorganizations and activities, there is no material adverse impact on the value of the</w:t>
      </w:r>
    </w:p>
    <w:p>
      <w:pPr>
        <w:spacing w:after="0" w:line="2" w:lineRule="exact"/>
        <w:rPr>
          <w:rFonts w:ascii="Arial" w:cs="Arial" w:eastAsia="Arial" w:hAnsi="Arial"/>
          <w:sz w:val="19"/>
          <w:szCs w:val="19"/>
          <w:color w:val="auto"/>
        </w:rPr>
      </w:pPr>
    </w:p>
    <w:p>
      <w:pPr>
        <w:jc w:val="both"/>
        <w:ind w:left="660"/>
        <w:spacing w:after="0" w:line="214" w:lineRule="auto"/>
        <w:rPr>
          <w:rFonts w:ascii="Arial" w:cs="Arial" w:eastAsia="Arial" w:hAnsi="Arial"/>
          <w:sz w:val="19"/>
          <w:szCs w:val="19"/>
          <w:color w:val="auto"/>
        </w:rPr>
      </w:pPr>
      <w:r>
        <w:rPr>
          <w:rFonts w:ascii="Arial" w:cs="Arial" w:eastAsia="Arial" w:hAnsi="Arial"/>
          <w:sz w:val="22"/>
          <w:szCs w:val="22"/>
          <w:color w:val="auto"/>
        </w:rPr>
        <w:t>(A) Collateral granted to the Collateral Agent for the benefit of the Secured Parties or (B) Guarantees of the Obligations pursuant to the Guaranty, (ii) in connection with, and reasonably related to, the consummation of an IPO, or (iii) to pay costs and expenses related to an IPO (whether or not such IPO is in fact consummated) and, after the consummation of an IPO, Public Company Costs;</w:t>
      </w:r>
    </w:p>
    <w:p>
      <w:pPr>
        <w:spacing w:after="0" w:line="159" w:lineRule="exact"/>
        <w:rPr>
          <w:rFonts w:ascii="Arial" w:cs="Arial" w:eastAsia="Arial" w:hAnsi="Arial"/>
          <w:sz w:val="19"/>
          <w:szCs w:val="19"/>
          <w:color w:val="auto"/>
        </w:rPr>
      </w:pPr>
    </w:p>
    <w:p>
      <w:pPr>
        <w:jc w:val="both"/>
        <w:ind w:left="660" w:firstLine="644"/>
        <w:spacing w:after="0" w:line="218" w:lineRule="auto"/>
        <w:tabs>
          <w:tab w:leader="none" w:pos="2003" w:val="left"/>
        </w:tabs>
        <w:numPr>
          <w:ilvl w:val="1"/>
          <w:numId w:val="519"/>
        </w:numPr>
        <w:rPr>
          <w:rFonts w:ascii="Arial" w:cs="Arial" w:eastAsia="Arial" w:hAnsi="Arial"/>
          <w:sz w:val="22"/>
          <w:szCs w:val="22"/>
          <w:color w:val="auto"/>
        </w:rPr>
      </w:pPr>
      <w:r>
        <w:rPr>
          <w:rFonts w:ascii="Arial" w:cs="Arial" w:eastAsia="Arial" w:hAnsi="Arial"/>
          <w:sz w:val="22"/>
          <w:szCs w:val="22"/>
          <w:color w:val="auto"/>
        </w:rPr>
        <w:t xml:space="preserve">after an IPO, cash Restricted Payments to equity holders of the Public Company in an aggregate amount per annum not exceeding the sum of (x) 7.0% of Market Capitalization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(y) 6.0% of the Net Cash Proceeds received by the Loan Parties from such IPO to the extent Not Otherwise Applied;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Event of Default has occurred and is continuing or would result therefrom;</w:t>
      </w:r>
    </w:p>
    <w:p>
      <w:pPr>
        <w:spacing w:after="0" w:line="160" w:lineRule="exact"/>
        <w:rPr>
          <w:rFonts w:ascii="Arial" w:cs="Arial" w:eastAsia="Arial" w:hAnsi="Arial"/>
          <w:sz w:val="22"/>
          <w:szCs w:val="22"/>
          <w:color w:val="auto"/>
        </w:rPr>
      </w:pPr>
    </w:p>
    <w:p>
      <w:pPr>
        <w:jc w:val="both"/>
        <w:ind w:left="660" w:firstLine="644"/>
        <w:spacing w:after="0" w:line="218" w:lineRule="auto"/>
        <w:tabs>
          <w:tab w:leader="none" w:pos="1929" w:val="left"/>
        </w:tabs>
        <w:numPr>
          <w:ilvl w:val="1"/>
          <w:numId w:val="519"/>
        </w:numPr>
        <w:rPr>
          <w:rFonts w:ascii="Arial" w:cs="Arial" w:eastAsia="Arial" w:hAnsi="Arial"/>
          <w:sz w:val="22"/>
          <w:szCs w:val="22"/>
          <w:color w:val="auto"/>
        </w:rPr>
      </w:pPr>
      <w:r>
        <w:rPr>
          <w:rFonts w:ascii="Arial" w:cs="Arial" w:eastAsia="Arial" w:hAnsi="Arial"/>
          <w:sz w:val="22"/>
          <w:szCs w:val="22"/>
          <w:color w:val="auto"/>
        </w:rPr>
        <w:t xml:space="preserve">the making of any Restricted Payment within sixty (60) days after the date of declaration thereof, if at the date of such declaration such Restricted Payment would have complied with another provision of this </w:t>
      </w:r>
      <w:r>
        <w:rPr>
          <w:rFonts w:ascii="Arial" w:cs="Arial" w:eastAsia="Arial" w:hAnsi="Arial"/>
          <w:sz w:val="22"/>
          <w:szCs w:val="22"/>
          <w:u w:val="single" w:color="auto"/>
          <w:color w:val="auto"/>
        </w:rPr>
        <w:t>Section 6.06(a)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making of such declaration will reduce capacity for Restricted Payments pursuant to such other provision when such declaration is made;</w:t>
      </w:r>
    </w:p>
    <w:p>
      <w:pPr>
        <w:spacing w:after="0" w:line="160" w:lineRule="exact"/>
        <w:rPr>
          <w:rFonts w:ascii="Arial" w:cs="Arial" w:eastAsia="Arial" w:hAnsi="Arial"/>
          <w:sz w:val="22"/>
          <w:szCs w:val="22"/>
          <w:color w:val="auto"/>
        </w:rPr>
      </w:pPr>
    </w:p>
    <w:p>
      <w:pPr>
        <w:jc w:val="both"/>
        <w:ind w:left="660" w:firstLine="644"/>
        <w:spacing w:after="0" w:line="268" w:lineRule="auto"/>
        <w:tabs>
          <w:tab w:leader="none" w:pos="2013" w:val="left"/>
        </w:tabs>
        <w:numPr>
          <w:ilvl w:val="1"/>
          <w:numId w:val="519"/>
        </w:numPr>
        <w:rPr>
          <w:rFonts w:ascii="Arial" w:cs="Arial" w:eastAsia="Arial" w:hAnsi="Arial"/>
          <w:sz w:val="19"/>
          <w:szCs w:val="19"/>
          <w:color w:val="auto"/>
        </w:rPr>
      </w:pPr>
      <w:r>
        <w:rPr>
          <w:rFonts w:ascii="Arial" w:cs="Arial" w:eastAsia="Arial" w:hAnsi="Arial"/>
          <w:sz w:val="19"/>
          <w:szCs w:val="19"/>
          <w:color w:val="auto"/>
        </w:rPr>
        <w:t>for so long as the Borrower is a member of a consolidated, combined, or similar group for U.S. federal, state, or local income tax purposes of which Holdings (or any Parent Entity) is the parent (or is an entity disregarded as separate from a member of any such group), Restricted Payments to Holdings to pay (or to make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56" w:name="page457"/>
    <w:bookmarkEnd w:id="456"/>
    <w:p>
      <w:pPr>
        <w:jc w:val="both"/>
        <w:ind w:left="660"/>
        <w:spacing w:after="0" w:line="249" w:lineRule="auto"/>
        <w:rPr>
          <w:sz w:val="20"/>
          <w:szCs w:val="20"/>
          <w:color w:val="auto"/>
        </w:rPr>
      </w:pPr>
      <w:r>
        <w:rPr>
          <w:rFonts w:ascii="Arial" w:cs="Arial" w:eastAsia="Arial" w:hAnsi="Arial"/>
          <w:sz w:val="19"/>
          <w:szCs w:val="19"/>
          <w:color w:val="auto"/>
        </w:rPr>
        <w:t>Payments to any such Parent Entity to pay) tax liabilities (to the extent such tax liabilities are attributable to the Borrower and its Restricted Subsidiaries and, to the extent of amounts actually received from its Unrestricted Subsidiaries, its Unrestricted Subsidiaries) in an amount not to exceed the amount of any U.S. federal, state and/or local income taxes that the Borrower, its Restricted Subsidiaries and/or its Unrestricted Subsidiaries, as applicable, would have paid for such taxable period had the Borrower, its Restricted Subsidiaries and/or its Unrestricted Subsidiaries, as applicable, been a stand-alone corporate taxpayer or a stand-alone corporate group; and</w:t>
      </w:r>
    </w:p>
    <w:p>
      <w:pPr>
        <w:spacing w:after="0" w:line="152" w:lineRule="exact"/>
        <w:rPr>
          <w:sz w:val="20"/>
          <w:szCs w:val="20"/>
          <w:color w:val="auto"/>
        </w:rPr>
      </w:pPr>
    </w:p>
    <w:p>
      <w:pPr>
        <w:jc w:val="both"/>
        <w:ind w:left="660" w:firstLine="644"/>
        <w:spacing w:after="0" w:line="223" w:lineRule="auto"/>
        <w:tabs>
          <w:tab w:leader="none" w:pos="2077" w:val="left"/>
        </w:tabs>
        <w:numPr>
          <w:ilvl w:val="0"/>
          <w:numId w:val="520"/>
        </w:numPr>
        <w:rPr>
          <w:rFonts w:ascii="Arial" w:cs="Arial" w:eastAsia="Arial" w:hAnsi="Arial"/>
          <w:sz w:val="22"/>
          <w:szCs w:val="22"/>
          <w:color w:val="auto"/>
        </w:rPr>
      </w:pPr>
      <w:r>
        <w:rPr>
          <w:rFonts w:ascii="Arial" w:cs="Arial" w:eastAsia="Arial" w:hAnsi="Arial"/>
          <w:sz w:val="22"/>
          <w:szCs w:val="22"/>
          <w:color w:val="auto"/>
        </w:rPr>
        <w:t>the distribution, by dividend or otherwise, of Equity Interests of or Indebtedness owed to Holdings, the Borrower or a Restricted Subsidiary by Unrestricted Subsidiaries (other than Unrestricted Subsidiaries, the primary assets of which are cash and Cash Equivalents).</w:t>
      </w:r>
    </w:p>
    <w:p>
      <w:pPr>
        <w:spacing w:after="0" w:line="159" w:lineRule="exact"/>
        <w:rPr>
          <w:sz w:val="20"/>
          <w:szCs w:val="20"/>
          <w:color w:val="auto"/>
        </w:rPr>
      </w:pPr>
    </w:p>
    <w:p>
      <w:pPr>
        <w:jc w:val="both"/>
        <w:ind w:firstLine="1304"/>
        <w:spacing w:after="0" w:line="216" w:lineRule="auto"/>
        <w:tabs>
          <w:tab w:leader="none" w:pos="1839" w:val="left"/>
        </w:tabs>
        <w:numPr>
          <w:ilvl w:val="0"/>
          <w:numId w:val="521"/>
        </w:numPr>
        <w:rPr>
          <w:rFonts w:ascii="Arial" w:cs="Arial" w:eastAsia="Arial" w:hAnsi="Arial"/>
          <w:sz w:val="22"/>
          <w:szCs w:val="22"/>
          <w:color w:val="auto"/>
        </w:rPr>
      </w:pPr>
      <w:r>
        <w:rPr>
          <w:rFonts w:ascii="Arial" w:cs="Arial" w:eastAsia="Arial" w:hAnsi="Arial"/>
          <w:sz w:val="22"/>
          <w:szCs w:val="22"/>
          <w:color w:val="auto"/>
        </w:rPr>
        <w:t>The Borrower will not, nor will the Borrower permit any Restricted Subsidiary to, make any voluntary or optional payment or other distribution (whether in cash, securities or other property), of or in respect of principal or interest (including by way of the optional or voluntary purchase, redemption, retirement, acquisition, cancellation or termination, in each case prior to the final scheduled maturity thereof) of any Indebtedness that is by its terms subordinated in right of payment to all or any portion of the Obligations except:</w:t>
      </w:r>
    </w:p>
    <w:p>
      <w:pPr>
        <w:spacing w:after="0" w:line="158" w:lineRule="exact"/>
        <w:rPr>
          <w:sz w:val="20"/>
          <w:szCs w:val="20"/>
          <w:color w:val="auto"/>
        </w:rPr>
      </w:pPr>
    </w:p>
    <w:p>
      <w:pPr>
        <w:jc w:val="both"/>
        <w:ind w:left="660" w:firstLine="644"/>
        <w:spacing w:after="0" w:line="223" w:lineRule="auto"/>
        <w:tabs>
          <w:tab w:leader="none" w:pos="1746" w:val="left"/>
        </w:tabs>
        <w:numPr>
          <w:ilvl w:val="1"/>
          <w:numId w:val="522"/>
        </w:numPr>
        <w:rPr>
          <w:rFonts w:ascii="Arial" w:cs="Arial" w:eastAsia="Arial" w:hAnsi="Arial"/>
          <w:sz w:val="22"/>
          <w:szCs w:val="22"/>
          <w:color w:val="auto"/>
        </w:rPr>
      </w:pPr>
      <w:r>
        <w:rPr>
          <w:rFonts w:ascii="Arial" w:cs="Arial" w:eastAsia="Arial" w:hAnsi="Arial"/>
          <w:sz w:val="22"/>
          <w:szCs w:val="22"/>
          <w:color w:val="auto"/>
        </w:rPr>
        <w:t>payment of regularly scheduled interest and principal payments (and fees, indemnities and expenses payable) as, and when due in respect of any such Indebtedness to the extent not prohibited by any subordination or intercreditor provisions in respect thereof;</w:t>
      </w:r>
    </w:p>
    <w:p>
      <w:pPr>
        <w:spacing w:after="0" w:line="158" w:lineRule="exact"/>
        <w:rPr>
          <w:rFonts w:ascii="Arial" w:cs="Arial" w:eastAsia="Arial" w:hAnsi="Arial"/>
          <w:sz w:val="22"/>
          <w:szCs w:val="22"/>
          <w:color w:val="auto"/>
        </w:rPr>
      </w:pPr>
    </w:p>
    <w:p>
      <w:pPr>
        <w:ind w:left="1820" w:hanging="516"/>
        <w:spacing w:after="0"/>
        <w:tabs>
          <w:tab w:leader="none" w:pos="1820" w:val="left"/>
        </w:tabs>
        <w:numPr>
          <w:ilvl w:val="1"/>
          <w:numId w:val="522"/>
        </w:numPr>
        <w:rPr>
          <w:rFonts w:ascii="Arial" w:cs="Arial" w:eastAsia="Arial" w:hAnsi="Arial"/>
          <w:sz w:val="19"/>
          <w:szCs w:val="19"/>
          <w:color w:val="auto"/>
        </w:rPr>
      </w:pPr>
      <w:r>
        <w:rPr>
          <w:rFonts w:ascii="Arial" w:cs="Arial" w:eastAsia="Arial" w:hAnsi="Arial"/>
          <w:sz w:val="19"/>
          <w:szCs w:val="19"/>
          <w:color w:val="auto"/>
        </w:rPr>
        <w:t>a Permitted Refinancing of any such Indebtedness to the extent such Permitted Refinancing is permitted by</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61" w:lineRule="exact"/>
        <w:rPr>
          <w:rFonts w:ascii="Arial" w:cs="Arial" w:eastAsia="Arial" w:hAnsi="Arial"/>
          <w:sz w:val="19"/>
          <w:szCs w:val="19"/>
          <w:color w:val="auto"/>
        </w:rPr>
      </w:pPr>
    </w:p>
    <w:p>
      <w:pPr>
        <w:ind w:left="660" w:firstLine="644"/>
        <w:spacing w:after="0" w:line="232" w:lineRule="auto"/>
        <w:tabs>
          <w:tab w:leader="none" w:pos="1919" w:val="left"/>
        </w:tabs>
        <w:numPr>
          <w:ilvl w:val="1"/>
          <w:numId w:val="522"/>
        </w:numPr>
        <w:rPr>
          <w:rFonts w:ascii="Arial" w:cs="Arial" w:eastAsia="Arial" w:hAnsi="Arial"/>
          <w:sz w:val="22"/>
          <w:szCs w:val="22"/>
          <w:color w:val="auto"/>
        </w:rPr>
      </w:pPr>
      <w:r>
        <w:rPr>
          <w:rFonts w:ascii="Arial" w:cs="Arial" w:eastAsia="Arial" w:hAnsi="Arial"/>
          <w:sz w:val="22"/>
          <w:szCs w:val="22"/>
          <w:color w:val="auto"/>
        </w:rPr>
        <w:t xml:space="preserve">payments of intercompany Indebtedness permitted under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to the extent not prohibited by any subordination provisions in respect thereof;</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879" w:val="left"/>
        </w:tabs>
        <w:numPr>
          <w:ilvl w:val="1"/>
          <w:numId w:val="522"/>
        </w:numPr>
        <w:rPr>
          <w:rFonts w:ascii="Arial" w:cs="Arial" w:eastAsia="Arial" w:hAnsi="Arial"/>
          <w:sz w:val="22"/>
          <w:szCs w:val="22"/>
          <w:color w:val="auto"/>
        </w:rPr>
      </w:pPr>
      <w:r>
        <w:rPr>
          <w:rFonts w:ascii="Arial" w:cs="Arial" w:eastAsia="Arial" w:hAnsi="Arial"/>
          <w:sz w:val="22"/>
          <w:szCs w:val="22"/>
          <w:color w:val="auto"/>
        </w:rPr>
        <w:t xml:space="preserve">conversions, exchanges, redemptions, repayments or prepayments of such Indebtedness into, or for, Equity Interests (other than Disqualified Equity Interests, except to the extent permitted under </w:t>
      </w:r>
      <w:r>
        <w:rPr>
          <w:rFonts w:ascii="Arial" w:cs="Arial" w:eastAsia="Arial" w:hAnsi="Arial"/>
          <w:sz w:val="22"/>
          <w:szCs w:val="22"/>
          <w:u w:val="single" w:color="auto"/>
          <w:color w:val="auto"/>
        </w:rPr>
        <w:t>Section 6.01(y)</w:t>
      </w:r>
      <w:r>
        <w:rPr>
          <w:rFonts w:ascii="Arial" w:cs="Arial" w:eastAsia="Arial" w:hAnsi="Arial"/>
          <w:sz w:val="22"/>
          <w:szCs w:val="22"/>
          <w:color w:val="auto"/>
        </w:rPr>
        <w:t>) of any Parent Entity or Holdings;</w:t>
      </w:r>
    </w:p>
    <w:p>
      <w:pPr>
        <w:spacing w:after="0" w:line="158" w:lineRule="exact"/>
        <w:rPr>
          <w:rFonts w:ascii="Arial" w:cs="Arial" w:eastAsia="Arial" w:hAnsi="Arial"/>
          <w:sz w:val="22"/>
          <w:szCs w:val="22"/>
          <w:color w:val="auto"/>
        </w:rPr>
      </w:pPr>
    </w:p>
    <w:p>
      <w:pPr>
        <w:ind w:left="660" w:firstLine="644"/>
        <w:spacing w:after="0" w:line="247" w:lineRule="auto"/>
        <w:tabs>
          <w:tab w:leader="none" w:pos="1865" w:val="left"/>
        </w:tabs>
        <w:numPr>
          <w:ilvl w:val="1"/>
          <w:numId w:val="522"/>
        </w:numPr>
        <w:rPr>
          <w:rFonts w:ascii="Arial" w:cs="Arial" w:eastAsia="Arial" w:hAnsi="Arial"/>
          <w:sz w:val="21"/>
          <w:szCs w:val="21"/>
          <w:color w:val="auto"/>
        </w:rPr>
      </w:pPr>
      <w:r>
        <w:rPr>
          <w:rFonts w:ascii="Arial" w:cs="Arial" w:eastAsia="Arial" w:hAnsi="Arial"/>
          <w:sz w:val="21"/>
          <w:szCs w:val="21"/>
          <w:color w:val="auto"/>
        </w:rPr>
        <w:t xml:space="preserve">AHYDO Catch-Up Payments relating to Indebtedness of the Borrower and the Restricted Subsidiaries so long as no Event of Default under </w:t>
      </w:r>
      <w:r>
        <w:rPr>
          <w:rFonts w:ascii="Arial" w:cs="Arial" w:eastAsia="Arial" w:hAnsi="Arial"/>
          <w:sz w:val="21"/>
          <w:szCs w:val="21"/>
          <w:u w:val="single" w:color="auto"/>
          <w:color w:val="auto"/>
        </w:rPr>
        <w:t>Section 7.01(a)</w:t>
      </w:r>
      <w:r>
        <w:rPr>
          <w:rFonts w:ascii="Arial" w:cs="Arial" w:eastAsia="Arial" w:hAnsi="Arial"/>
          <w:sz w:val="21"/>
          <w:szCs w:val="21"/>
          <w:color w:val="auto"/>
        </w:rPr>
        <w:t>,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(h</w:t>
      </w:r>
      <w:r>
        <w:rPr>
          <w:rFonts w:ascii="Arial" w:cs="Arial" w:eastAsia="Arial" w:hAnsi="Arial"/>
          <w:sz w:val="21"/>
          <w:szCs w:val="21"/>
          <w:color w:val="auto"/>
        </w:rPr>
        <w:t>) or (</w:t>
      </w:r>
      <w:r>
        <w:rPr>
          <w:rFonts w:ascii="Arial" w:cs="Arial" w:eastAsia="Arial" w:hAnsi="Arial"/>
          <w:sz w:val="21"/>
          <w:szCs w:val="21"/>
          <w:u w:val="single" w:color="auto"/>
          <w:color w:val="auto"/>
        </w:rPr>
        <w:t>i</w:t>
      </w:r>
      <w:r>
        <w:rPr>
          <w:rFonts w:ascii="Arial" w:cs="Arial" w:eastAsia="Arial" w:hAnsi="Arial"/>
          <w:sz w:val="21"/>
          <w:szCs w:val="21"/>
          <w:color w:val="auto"/>
        </w:rPr>
        <w:t>) has occurred and is continuing;</w:t>
      </w:r>
    </w:p>
    <w:p>
      <w:pPr>
        <w:spacing w:after="0" w:line="150" w:lineRule="exact"/>
        <w:rPr>
          <w:rFonts w:ascii="Arial" w:cs="Arial" w:eastAsia="Arial" w:hAnsi="Arial"/>
          <w:sz w:val="21"/>
          <w:szCs w:val="21"/>
          <w:color w:val="auto"/>
        </w:rPr>
      </w:pPr>
    </w:p>
    <w:p>
      <w:pPr>
        <w:ind w:left="1860" w:hanging="556"/>
        <w:spacing w:after="0"/>
        <w:tabs>
          <w:tab w:leader="none" w:pos="1860" w:val="left"/>
        </w:tabs>
        <w:numPr>
          <w:ilvl w:val="1"/>
          <w:numId w:val="522"/>
        </w:numPr>
        <w:rPr>
          <w:rFonts w:ascii="Arial" w:cs="Arial" w:eastAsia="Arial" w:hAnsi="Arial"/>
          <w:sz w:val="19"/>
          <w:szCs w:val="19"/>
          <w:color w:val="auto"/>
        </w:rPr>
      </w:pPr>
      <w:r>
        <w:rPr>
          <w:rFonts w:ascii="Arial" w:cs="Arial" w:eastAsia="Arial" w:hAnsi="Arial"/>
          <w:sz w:val="19"/>
          <w:szCs w:val="19"/>
          <w:color w:val="auto"/>
        </w:rPr>
        <w:t>any such payments or other distributions in an amount not to exceed (A) the greater of (x) $25,000,000 and</w:t>
      </w:r>
    </w:p>
    <w:p>
      <w:pPr>
        <w:spacing w:after="0" w:line="15" w:lineRule="exact"/>
        <w:rPr>
          <w:rFonts w:ascii="Arial" w:cs="Arial" w:eastAsia="Arial" w:hAnsi="Arial"/>
          <w:sz w:val="19"/>
          <w:szCs w:val="19"/>
          <w:color w:val="auto"/>
        </w:rPr>
      </w:pPr>
    </w:p>
    <w:p>
      <w:pPr>
        <w:jc w:val="both"/>
        <w:ind w:left="660" w:hanging="4"/>
        <w:spacing w:after="0" w:line="247" w:lineRule="auto"/>
        <w:tabs>
          <w:tab w:leader="none" w:pos="987" w:val="left"/>
        </w:tabs>
        <w:numPr>
          <w:ilvl w:val="0"/>
          <w:numId w:val="523"/>
        </w:numPr>
        <w:rPr>
          <w:rFonts w:ascii="Arial" w:cs="Arial" w:eastAsia="Arial" w:hAnsi="Arial"/>
          <w:sz w:val="19"/>
          <w:szCs w:val="19"/>
          <w:color w:val="auto"/>
        </w:rPr>
      </w:pPr>
      <w:r>
        <w:rPr>
          <w:rFonts w:ascii="Arial" w:cs="Arial" w:eastAsia="Arial" w:hAnsi="Arial"/>
          <w:sz w:val="19"/>
          <w:szCs w:val="19"/>
          <w:color w:val="auto"/>
        </w:rPr>
        <w:t>25.0% of LTM EBITDA calculated on a Pro Forma Basis as of the Applicable Date of Determination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unused amounts under </w:t>
      </w:r>
      <w:r>
        <w:rPr>
          <w:rFonts w:ascii="Arial" w:cs="Arial" w:eastAsia="Arial" w:hAnsi="Arial"/>
          <w:sz w:val="19"/>
          <w:szCs w:val="19"/>
          <w:u w:val="single" w:color="auto"/>
          <w:color w:val="auto"/>
        </w:rPr>
        <w:t>Section 6.06(a)(xiv)(A)</w:t>
      </w:r>
      <w:r>
        <w:rPr>
          <w:rFonts w:ascii="Arial" w:cs="Arial" w:eastAsia="Arial" w:hAnsi="Arial"/>
          <w:sz w:val="19"/>
          <w:szCs w:val="19"/>
          <w:color w:val="auto"/>
        </w:rPr>
        <w:t xml:space="preserve"> reallocated to this </w:t>
      </w:r>
      <w:r>
        <w:rPr>
          <w:rFonts w:ascii="Arial" w:cs="Arial" w:eastAsia="Arial" w:hAnsi="Arial"/>
          <w:sz w:val="19"/>
          <w:szCs w:val="19"/>
          <w:u w:val="single" w:color="auto"/>
          <w:color w:val="auto"/>
        </w:rPr>
        <w:t>clause (vi)(A)</w:t>
      </w:r>
      <w:r>
        <w:rPr>
          <w:rFonts w:ascii="Arial" w:cs="Arial" w:eastAsia="Arial" w:hAnsi="Arial"/>
          <w:sz w:val="19"/>
          <w:szCs w:val="19"/>
          <w:color w:val="auto"/>
        </w:rPr>
        <w:t xml:space="preserve">, but less any amounts reallocated from this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(vi)(A)</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Section 6.04(q)(B)</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Available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case of payments or distributions made pursuant to this </w:t>
      </w:r>
      <w:r>
        <w:rPr>
          <w:rFonts w:ascii="Arial" w:cs="Arial" w:eastAsia="Arial" w:hAnsi="Arial"/>
          <w:sz w:val="19"/>
          <w:szCs w:val="19"/>
          <w:u w:val="single" w:color="auto"/>
          <w:color w:val="auto"/>
        </w:rPr>
        <w:t>clause (vi)(B)</w:t>
      </w:r>
      <w:r>
        <w:rPr>
          <w:rFonts w:ascii="Arial" w:cs="Arial" w:eastAsia="Arial" w:hAnsi="Arial"/>
          <w:sz w:val="19"/>
          <w:szCs w:val="19"/>
          <w:color w:val="auto"/>
        </w:rPr>
        <w:t xml:space="preserve">, at the time of making such payment or distribution, no Event of Default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has occurred and is continuing or would result therefrom;</w:t>
      </w:r>
    </w:p>
    <w:p>
      <w:pPr>
        <w:spacing w:after="0" w:line="153" w:lineRule="exact"/>
        <w:rPr>
          <w:rFonts w:ascii="Arial" w:cs="Arial" w:eastAsia="Arial" w:hAnsi="Arial"/>
          <w:sz w:val="19"/>
          <w:szCs w:val="19"/>
          <w:color w:val="auto"/>
        </w:rPr>
      </w:pPr>
    </w:p>
    <w:p>
      <w:pPr>
        <w:jc w:val="both"/>
        <w:ind w:left="660" w:firstLine="644"/>
        <w:spacing w:after="0" w:line="268" w:lineRule="auto"/>
        <w:tabs>
          <w:tab w:leader="none" w:pos="1918" w:val="left"/>
        </w:tabs>
        <w:numPr>
          <w:ilvl w:val="1"/>
          <w:numId w:val="523"/>
        </w:numPr>
        <w:rPr>
          <w:rFonts w:ascii="Arial" w:cs="Arial" w:eastAsia="Arial" w:hAnsi="Arial"/>
          <w:sz w:val="19"/>
          <w:szCs w:val="19"/>
          <w:color w:val="auto"/>
        </w:rPr>
      </w:pPr>
      <w:r>
        <w:rPr>
          <w:rFonts w:ascii="Arial" w:cs="Arial" w:eastAsia="Arial" w:hAnsi="Arial"/>
          <w:sz w:val="19"/>
          <w:szCs w:val="19"/>
          <w:color w:val="auto"/>
        </w:rPr>
        <w:t>payments or distributions made with (A) any capital contributions made in cash by any Person other than a Restricted Subsidiary to Holdings after the Closing Date (other than any Cure Amount) to the extent Not Otherwise Applied; and (B) any Net Proceeds of any issuance of Qualified Equity Interests after the Closing Date of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57" w:name="page458"/>
    <w:bookmarkEnd w:id="457"/>
    <w:p>
      <w:pPr>
        <w:jc w:val="both"/>
        <w:ind w:left="660"/>
        <w:spacing w:after="0" w:line="223" w:lineRule="auto"/>
        <w:rPr>
          <w:sz w:val="20"/>
          <w:szCs w:val="20"/>
          <w:color w:val="auto"/>
        </w:rPr>
      </w:pPr>
      <w:r>
        <w:rPr>
          <w:rFonts w:ascii="Arial" w:cs="Arial" w:eastAsia="Arial" w:hAnsi="Arial"/>
          <w:sz w:val="22"/>
          <w:szCs w:val="22"/>
          <w:color w:val="auto"/>
        </w:rPr>
        <w:t>(other than any Cure Amount) to any Person other than a Restricted Subsidiary to the extent Not Otherwise Applied, and to the extent, in each case, such Net Proceeds and contributions have been contributed to the Qualified Equity Interests of the Borrower or any other Loan Party (other than Holdings);</w:t>
      </w:r>
    </w:p>
    <w:p>
      <w:pPr>
        <w:spacing w:after="0" w:line="159" w:lineRule="exact"/>
        <w:rPr>
          <w:sz w:val="20"/>
          <w:szCs w:val="20"/>
          <w:color w:val="auto"/>
        </w:rPr>
      </w:pPr>
    </w:p>
    <w:p>
      <w:pPr>
        <w:ind w:left="2000" w:hanging="696"/>
        <w:spacing w:after="0"/>
        <w:tabs>
          <w:tab w:leader="none" w:pos="2000" w:val="left"/>
        </w:tabs>
        <w:numPr>
          <w:ilvl w:val="1"/>
          <w:numId w:val="524"/>
        </w:numPr>
        <w:rPr>
          <w:rFonts w:ascii="Arial" w:cs="Arial" w:eastAsia="Arial" w:hAnsi="Arial"/>
          <w:sz w:val="19"/>
          <w:szCs w:val="19"/>
          <w:color w:val="auto"/>
        </w:rPr>
      </w:pPr>
      <w:r>
        <w:rPr>
          <w:rFonts w:ascii="Arial" w:cs="Arial" w:eastAsia="Arial" w:hAnsi="Arial"/>
          <w:sz w:val="19"/>
          <w:szCs w:val="19"/>
          <w:color w:val="auto"/>
        </w:rPr>
        <w:t>the payment, redemption, repurchase, retirement, termination or cancellation of Indebtedness within sixty</w:t>
      </w:r>
    </w:p>
    <w:p>
      <w:pPr>
        <w:spacing w:after="0" w:line="15" w:lineRule="exact"/>
        <w:rPr>
          <w:rFonts w:ascii="Arial" w:cs="Arial" w:eastAsia="Arial" w:hAnsi="Arial"/>
          <w:sz w:val="19"/>
          <w:szCs w:val="19"/>
          <w:color w:val="auto"/>
        </w:rPr>
      </w:pPr>
    </w:p>
    <w:p>
      <w:pPr>
        <w:jc w:val="both"/>
        <w:ind w:left="660" w:hanging="4"/>
        <w:spacing w:after="0" w:line="212" w:lineRule="auto"/>
        <w:tabs>
          <w:tab w:leader="none" w:pos="1116" w:val="left"/>
        </w:tabs>
        <w:numPr>
          <w:ilvl w:val="0"/>
          <w:numId w:val="525"/>
        </w:numPr>
        <w:rPr>
          <w:rFonts w:ascii="Arial" w:cs="Arial" w:eastAsia="Arial" w:hAnsi="Arial"/>
          <w:sz w:val="22"/>
          <w:szCs w:val="22"/>
          <w:color w:val="auto"/>
        </w:rPr>
      </w:pPr>
      <w:r>
        <w:rPr>
          <w:rFonts w:ascii="Arial" w:cs="Arial" w:eastAsia="Arial" w:hAnsi="Arial"/>
          <w:sz w:val="22"/>
          <w:szCs w:val="22"/>
          <w:color w:val="auto"/>
        </w:rPr>
        <w:t>days of the date of the Redemption Notice if, at the date of any payment, redemption, repurchase, retirement, termination or cancellation notice in respect thereof (the “</w:t>
      </w:r>
      <w:r>
        <w:rPr>
          <w:rFonts w:ascii="Arial" w:cs="Arial" w:eastAsia="Arial" w:hAnsi="Arial"/>
          <w:sz w:val="22"/>
          <w:szCs w:val="22"/>
          <w:u w:val="single" w:color="auto"/>
          <w:color w:val="auto"/>
        </w:rPr>
        <w:t>Redemption Notice</w:t>
      </w:r>
      <w:r>
        <w:rPr>
          <w:rFonts w:ascii="Arial" w:cs="Arial" w:eastAsia="Arial" w:hAnsi="Arial"/>
          <w:sz w:val="22"/>
          <w:szCs w:val="22"/>
          <w:color w:val="auto"/>
        </w:rPr>
        <w:t xml:space="preserve">”), such payment, redemption, repurchase, retirement termination or cancellation would have complied with another provision of this </w:t>
      </w:r>
      <w:r>
        <w:rPr>
          <w:rFonts w:ascii="Arial" w:cs="Arial" w:eastAsia="Arial" w:hAnsi="Arial"/>
          <w:sz w:val="22"/>
          <w:szCs w:val="22"/>
          <w:u w:val="single" w:color="auto"/>
          <w:color w:val="auto"/>
        </w:rPr>
        <w:t>Section 6.06(b)</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payment, redemption, repurchase, retirement termination or cancellation shall reduce capacity under such other provision; and</w:t>
      </w:r>
    </w:p>
    <w:p>
      <w:pPr>
        <w:spacing w:after="0" w:line="160" w:lineRule="exact"/>
        <w:rPr>
          <w:rFonts w:ascii="Arial" w:cs="Arial" w:eastAsia="Arial" w:hAnsi="Arial"/>
          <w:sz w:val="22"/>
          <w:szCs w:val="22"/>
          <w:color w:val="auto"/>
        </w:rPr>
      </w:pPr>
    </w:p>
    <w:p>
      <w:pPr>
        <w:jc w:val="both"/>
        <w:ind w:left="660" w:firstLine="644"/>
        <w:spacing w:after="0" w:line="252" w:lineRule="auto"/>
        <w:tabs>
          <w:tab w:leader="none" w:pos="1922" w:val="left"/>
        </w:tabs>
        <w:numPr>
          <w:ilvl w:val="1"/>
          <w:numId w:val="525"/>
        </w:numPr>
        <w:rPr>
          <w:rFonts w:ascii="Arial" w:cs="Arial" w:eastAsia="Arial" w:hAnsi="Arial"/>
          <w:sz w:val="19"/>
          <w:szCs w:val="19"/>
          <w:color w:val="auto"/>
        </w:rPr>
      </w:pPr>
      <w:r>
        <w:rPr>
          <w:rFonts w:ascii="Arial" w:cs="Arial" w:eastAsia="Arial" w:hAnsi="Arial"/>
          <w:sz w:val="19"/>
          <w:szCs w:val="19"/>
          <w:color w:val="auto"/>
        </w:rPr>
        <w:t xml:space="preserve">(i) any Holding Company or any Restricted Subsidiary may make additional payments and distributions;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Total Net Leverage Ratio after giving effect thereto on a Pro Forma Basis as of the Applicable Date of Determination is less than or equal to 6.25 to 1.00 and (ii) any Holding Company or any Restricted Subsidiary may make additional payments and distributions in an amount not to exceed the Available Excluded Contribution Amount so long as no Event of Default has occurred and is continuing or would result from the making of such payment or distribution.</w:t>
      </w:r>
    </w:p>
    <w:p>
      <w:pPr>
        <w:spacing w:after="0" w:line="14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u w:val="single" w:color="auto"/>
          <w:color w:val="auto"/>
        </w:rPr>
        <w:t>Section 6.07 Transactions with Affiliates</w:t>
      </w:r>
      <w:r>
        <w:rPr>
          <w:rFonts w:ascii="Arial" w:cs="Arial" w:eastAsia="Arial" w:hAnsi="Arial"/>
          <w:sz w:val="22"/>
          <w:szCs w:val="22"/>
          <w:color w:val="auto"/>
        </w:rPr>
        <w:t>. The Borrower will not, nor will the Borrower permit any Restricted Subsidiary to, sell, lease or otherwise transfer any property or assets to, or purchase, lease or otherwise acquire any property or assets from, or otherwise engage in any other transactions with, any of its Affiliates, with a fair market value in excess of the greater of (x) $7,500,000 and (y) 7.5% of LTM EBITDA calculated on a Pro Forma Basis as of the Applicable Date of Determination except:</w:t>
      </w:r>
    </w:p>
    <w:p>
      <w:pPr>
        <w:spacing w:after="0" w:line="158" w:lineRule="exact"/>
        <w:rPr>
          <w:sz w:val="20"/>
          <w:szCs w:val="20"/>
          <w:color w:val="auto"/>
        </w:rPr>
      </w:pPr>
    </w:p>
    <w:p>
      <w:pPr>
        <w:jc w:val="both"/>
        <w:ind w:firstLine="1304"/>
        <w:spacing w:after="0" w:line="234" w:lineRule="auto"/>
        <w:tabs>
          <w:tab w:leader="none" w:pos="1847" w:val="left"/>
        </w:tabs>
        <w:numPr>
          <w:ilvl w:val="0"/>
          <w:numId w:val="526"/>
        </w:numPr>
        <w:rPr>
          <w:rFonts w:ascii="Arial" w:cs="Arial" w:eastAsia="Arial" w:hAnsi="Arial"/>
          <w:sz w:val="21"/>
          <w:szCs w:val="21"/>
          <w:color w:val="auto"/>
        </w:rPr>
      </w:pPr>
      <w:r>
        <w:rPr>
          <w:rFonts w:ascii="Arial" w:cs="Arial" w:eastAsia="Arial" w:hAnsi="Arial"/>
          <w:sz w:val="21"/>
          <w:szCs w:val="21"/>
          <w:color w:val="auto"/>
        </w:rPr>
        <w:t>transactions at prices and on terms and conditions (taken as a whole) not materially less favorable to the Borrower, such Holding Company or such Restricted Subsidiary than could reasonably be expected to be obtained on an arm’s-length basis from unrelated third parties (as determined in good faith by the Borrower);</w:t>
      </w:r>
    </w:p>
    <w:p>
      <w:pPr>
        <w:spacing w:after="0" w:line="157" w:lineRule="exact"/>
        <w:rPr>
          <w:rFonts w:ascii="Arial" w:cs="Arial" w:eastAsia="Arial" w:hAnsi="Arial"/>
          <w:sz w:val="21"/>
          <w:szCs w:val="21"/>
          <w:color w:val="auto"/>
        </w:rPr>
      </w:pPr>
    </w:p>
    <w:p>
      <w:pPr>
        <w:ind w:firstLine="1304"/>
        <w:spacing w:after="0" w:line="232" w:lineRule="auto"/>
        <w:tabs>
          <w:tab w:leader="none" w:pos="1793" w:val="left"/>
        </w:tabs>
        <w:numPr>
          <w:ilvl w:val="0"/>
          <w:numId w:val="526"/>
        </w:numPr>
        <w:rPr>
          <w:rFonts w:ascii="Arial" w:cs="Arial" w:eastAsia="Arial" w:hAnsi="Arial"/>
          <w:sz w:val="22"/>
          <w:szCs w:val="22"/>
          <w:color w:val="auto"/>
        </w:rPr>
      </w:pPr>
      <w:r>
        <w:rPr>
          <w:rFonts w:ascii="Arial" w:cs="Arial" w:eastAsia="Arial" w:hAnsi="Arial"/>
          <w:sz w:val="22"/>
          <w:szCs w:val="22"/>
          <w:color w:val="auto"/>
        </w:rPr>
        <w:t>transactions between or among the Loan Parties (or any entity that becomes a Loan Party as a result of such transaction) not involving any other Affiliate;</w:t>
      </w:r>
    </w:p>
    <w:p>
      <w:pPr>
        <w:spacing w:after="0" w:line="158" w:lineRule="exact"/>
        <w:rPr>
          <w:rFonts w:ascii="Arial" w:cs="Arial" w:eastAsia="Arial" w:hAnsi="Arial"/>
          <w:sz w:val="22"/>
          <w:szCs w:val="22"/>
          <w:color w:val="auto"/>
        </w:rPr>
      </w:pPr>
    </w:p>
    <w:p>
      <w:pPr>
        <w:ind w:left="1760" w:hanging="456"/>
        <w:spacing w:after="0"/>
        <w:tabs>
          <w:tab w:leader="none" w:pos="1760" w:val="left"/>
        </w:tabs>
        <w:numPr>
          <w:ilvl w:val="0"/>
          <w:numId w:val="526"/>
        </w:numPr>
        <w:rPr>
          <w:rFonts w:ascii="Arial" w:cs="Arial" w:eastAsia="Arial" w:hAnsi="Arial"/>
          <w:sz w:val="22"/>
          <w:szCs w:val="22"/>
          <w:color w:val="auto"/>
        </w:rPr>
      </w:pPr>
      <w:r>
        <w:rPr>
          <w:rFonts w:ascii="Arial" w:cs="Arial" w:eastAsia="Arial" w:hAnsi="Arial"/>
          <w:sz w:val="22"/>
          <w:szCs w:val="22"/>
          <w:color w:val="auto"/>
        </w:rPr>
        <w:t xml:space="preserve">loans or advances to employees, officers and directors permitted under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526"/>
        </w:numPr>
        <w:rPr>
          <w:rFonts w:ascii="Arial" w:cs="Arial" w:eastAsia="Arial" w:hAnsi="Arial"/>
          <w:sz w:val="22"/>
          <w:szCs w:val="22"/>
          <w:color w:val="auto"/>
        </w:rPr>
      </w:pPr>
      <w:r>
        <w:rPr>
          <w:rFonts w:ascii="Arial" w:cs="Arial" w:eastAsia="Arial" w:hAnsi="Arial"/>
          <w:sz w:val="22"/>
          <w:szCs w:val="22"/>
          <w:color w:val="auto"/>
        </w:rPr>
        <w:t xml:space="preserve">payroll, travel and similar advances to cover matters permitted under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firstLine="1304"/>
        <w:spacing w:after="0" w:line="232" w:lineRule="auto"/>
        <w:tabs>
          <w:tab w:leader="none" w:pos="1814" w:val="left"/>
        </w:tabs>
        <w:numPr>
          <w:ilvl w:val="0"/>
          <w:numId w:val="526"/>
        </w:numPr>
        <w:rPr>
          <w:rFonts w:ascii="Arial" w:cs="Arial" w:eastAsia="Arial" w:hAnsi="Arial"/>
          <w:sz w:val="22"/>
          <w:szCs w:val="22"/>
          <w:color w:val="auto"/>
        </w:rPr>
      </w:pPr>
      <w:r>
        <w:rPr>
          <w:rFonts w:ascii="Arial" w:cs="Arial" w:eastAsia="Arial" w:hAnsi="Arial"/>
          <w:sz w:val="22"/>
          <w:szCs w:val="22"/>
          <w:color w:val="auto"/>
        </w:rPr>
        <w:t>the payment of reasonable fees and reimbursement of out-of-pocket expenses to directors of the Borrower, the Holding Companies, any Parent Entity or any Restricted Subsidiary;</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778" w:val="left"/>
        </w:tabs>
        <w:numPr>
          <w:ilvl w:val="0"/>
          <w:numId w:val="526"/>
        </w:numPr>
        <w:rPr>
          <w:rFonts w:ascii="Arial" w:cs="Arial" w:eastAsia="Arial" w:hAnsi="Arial"/>
          <w:sz w:val="22"/>
          <w:szCs w:val="22"/>
          <w:color w:val="auto"/>
        </w:rPr>
      </w:pPr>
      <w:r>
        <w:rPr>
          <w:rFonts w:ascii="Arial" w:cs="Arial" w:eastAsia="Arial" w:hAnsi="Arial"/>
          <w:sz w:val="22"/>
          <w:szCs w:val="22"/>
          <w:color w:val="auto"/>
        </w:rPr>
        <w:t>compensation (including bonuses) and employee benefit arrangements paid to, indemnities provided for the benefit of, and employment and severance arrangements entered into with, directors, officers, managers, consultants or employees of the Holding Companies, the Borrower or the Subsidiaries in the ordinary course of business, including in connection with the Transactions and any other transaction permitted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58" w:name="page459"/>
    <w:bookmarkEnd w:id="458"/>
    <w:p>
      <w:pPr>
        <w:ind w:firstLine="1304"/>
        <w:spacing w:after="0" w:line="232" w:lineRule="auto"/>
        <w:tabs>
          <w:tab w:leader="none" w:pos="1767" w:val="left"/>
        </w:tabs>
        <w:numPr>
          <w:ilvl w:val="0"/>
          <w:numId w:val="527"/>
        </w:numPr>
        <w:rPr>
          <w:rFonts w:ascii="Arial" w:cs="Arial" w:eastAsia="Arial" w:hAnsi="Arial"/>
          <w:sz w:val="22"/>
          <w:szCs w:val="22"/>
          <w:color w:val="auto"/>
        </w:rPr>
      </w:pPr>
      <w:r>
        <w:rPr>
          <w:rFonts w:ascii="Arial" w:cs="Arial" w:eastAsia="Arial" w:hAnsi="Arial"/>
          <w:sz w:val="22"/>
          <w:szCs w:val="22"/>
          <w:color w:val="auto"/>
        </w:rPr>
        <w:t>any issuances of securities or other payments, awards or grants in cash, securities or otherwise pursuant to, or the funding of, employment agreements, stock options and stock ownership plans;</w:t>
      </w:r>
    </w:p>
    <w:p>
      <w:pPr>
        <w:spacing w:after="0" w:line="158" w:lineRule="exact"/>
        <w:rPr>
          <w:rFonts w:ascii="Arial" w:cs="Arial" w:eastAsia="Arial" w:hAnsi="Arial"/>
          <w:sz w:val="22"/>
          <w:szCs w:val="22"/>
          <w:color w:val="auto"/>
        </w:rPr>
      </w:pPr>
    </w:p>
    <w:p>
      <w:pPr>
        <w:ind w:firstLine="1304"/>
        <w:spacing w:after="0" w:line="232" w:lineRule="auto"/>
        <w:tabs>
          <w:tab w:leader="none" w:pos="1818" w:val="left"/>
        </w:tabs>
        <w:numPr>
          <w:ilvl w:val="0"/>
          <w:numId w:val="527"/>
        </w:numPr>
        <w:rPr>
          <w:rFonts w:ascii="Arial" w:cs="Arial" w:eastAsia="Arial" w:hAnsi="Arial"/>
          <w:sz w:val="22"/>
          <w:szCs w:val="22"/>
          <w:color w:val="auto"/>
        </w:rPr>
      </w:pPr>
      <w:r>
        <w:rPr>
          <w:rFonts w:ascii="Arial" w:cs="Arial" w:eastAsia="Arial" w:hAnsi="Arial"/>
          <w:sz w:val="22"/>
          <w:szCs w:val="22"/>
          <w:color w:val="auto"/>
        </w:rPr>
        <w:t>payment of fees and expenses pursuant to the Transactions, which payments are approved by a majority of the disinterested members of the board of directors of the Borrower in good faith;</w:t>
      </w:r>
    </w:p>
    <w:p>
      <w:pPr>
        <w:spacing w:after="0" w:line="158" w:lineRule="exact"/>
        <w:rPr>
          <w:rFonts w:ascii="Arial" w:cs="Arial" w:eastAsia="Arial" w:hAnsi="Arial"/>
          <w:sz w:val="22"/>
          <w:szCs w:val="22"/>
          <w:color w:val="auto"/>
        </w:rPr>
      </w:pPr>
    </w:p>
    <w:p>
      <w:pPr>
        <w:ind w:left="1720" w:hanging="416"/>
        <w:spacing w:after="0"/>
        <w:tabs>
          <w:tab w:leader="none" w:pos="1720" w:val="left"/>
        </w:tabs>
        <w:numPr>
          <w:ilvl w:val="0"/>
          <w:numId w:val="527"/>
        </w:numPr>
        <w:rPr>
          <w:rFonts w:ascii="Arial" w:cs="Arial" w:eastAsia="Arial" w:hAnsi="Arial"/>
          <w:sz w:val="22"/>
          <w:szCs w:val="22"/>
          <w:color w:val="auto"/>
        </w:rPr>
      </w:pPr>
      <w:r>
        <w:rPr>
          <w:rFonts w:ascii="Arial" w:cs="Arial" w:eastAsia="Arial" w:hAnsi="Arial"/>
          <w:sz w:val="22"/>
          <w:szCs w:val="22"/>
          <w:color w:val="auto"/>
        </w:rPr>
        <w:t xml:space="preserve">any Restricted Payment or payment of Indebtedness not prohibited by </w:t>
      </w:r>
      <w:r>
        <w:rPr>
          <w:rFonts w:ascii="Arial" w:cs="Arial" w:eastAsia="Arial" w:hAnsi="Arial"/>
          <w:sz w:val="22"/>
          <w:szCs w:val="22"/>
          <w:u w:val="single" w:color="auto"/>
          <w:color w:val="auto"/>
        </w:rPr>
        <w:t>Section 6.06</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752" w:val="left"/>
        </w:tabs>
        <w:numPr>
          <w:ilvl w:val="0"/>
          <w:numId w:val="527"/>
        </w:numPr>
        <w:rPr>
          <w:rFonts w:ascii="Arial" w:cs="Arial" w:eastAsia="Arial" w:hAnsi="Arial"/>
          <w:sz w:val="22"/>
          <w:szCs w:val="22"/>
          <w:color w:val="auto"/>
        </w:rPr>
      </w:pPr>
      <w:r>
        <w:rPr>
          <w:rFonts w:ascii="Arial" w:cs="Arial" w:eastAsia="Arial" w:hAnsi="Arial"/>
          <w:sz w:val="22"/>
          <w:szCs w:val="22"/>
          <w:color w:val="auto"/>
        </w:rPr>
        <w:t>any transaction among the Holding Companies, the Borrower and the Restricted Subsidiaries for the sharing of liabilities for taxes, so long as the payments made pursuant to such transaction are made by and among the common members of an “affiliated group” (as defined in the Code);</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787" w:val="left"/>
        </w:tabs>
        <w:numPr>
          <w:ilvl w:val="0"/>
          <w:numId w:val="527"/>
        </w:numPr>
        <w:rPr>
          <w:rFonts w:ascii="Arial" w:cs="Arial" w:eastAsia="Arial" w:hAnsi="Arial"/>
          <w:sz w:val="22"/>
          <w:szCs w:val="22"/>
          <w:color w:val="auto"/>
        </w:rPr>
      </w:pPr>
      <w:r>
        <w:rPr>
          <w:rFonts w:ascii="Arial" w:cs="Arial" w:eastAsia="Arial" w:hAnsi="Arial"/>
          <w:sz w:val="22"/>
          <w:szCs w:val="22"/>
          <w:color w:val="auto"/>
        </w:rPr>
        <w:t>transactions between and among any Holding Company, any Parent Entity, the Borrower and the Guarantors which are in the ordinary course of business with respect to the Equity Interests in any Holding Company or any Parent Entity, such as shareholder agreements, registration agreements and including providing expense reimbursement and indemnities in respect thereof;</w:t>
      </w:r>
    </w:p>
    <w:p>
      <w:pPr>
        <w:spacing w:after="0" w:line="160" w:lineRule="exact"/>
        <w:rPr>
          <w:rFonts w:ascii="Arial" w:cs="Arial" w:eastAsia="Arial" w:hAnsi="Arial"/>
          <w:sz w:val="22"/>
          <w:szCs w:val="22"/>
          <w:color w:val="auto"/>
        </w:rPr>
      </w:pPr>
    </w:p>
    <w:p>
      <w:pPr>
        <w:ind w:left="1720" w:hanging="416"/>
        <w:spacing w:after="0"/>
        <w:tabs>
          <w:tab w:leader="none" w:pos="1720" w:val="left"/>
        </w:tabs>
        <w:numPr>
          <w:ilvl w:val="0"/>
          <w:numId w:val="527"/>
        </w:numPr>
        <w:rPr>
          <w:rFonts w:ascii="Arial" w:cs="Arial" w:eastAsia="Arial" w:hAnsi="Arial"/>
          <w:sz w:val="22"/>
          <w:szCs w:val="22"/>
          <w:color w:val="auto"/>
        </w:rPr>
      </w:pPr>
      <w:r>
        <w:rPr>
          <w:rFonts w:ascii="Arial" w:cs="Arial" w:eastAsia="Arial" w:hAnsi="Arial"/>
          <w:sz w:val="22"/>
          <w:szCs w:val="22"/>
          <w:color w:val="auto"/>
        </w:rPr>
        <w:t>the Transactions;</w:t>
      </w:r>
    </w:p>
    <w:p>
      <w:pPr>
        <w:spacing w:after="0" w:line="179" w:lineRule="exact"/>
        <w:rPr>
          <w:rFonts w:ascii="Arial" w:cs="Arial" w:eastAsia="Arial" w:hAnsi="Arial"/>
          <w:sz w:val="22"/>
          <w:szCs w:val="22"/>
          <w:color w:val="auto"/>
        </w:rPr>
      </w:pPr>
    </w:p>
    <w:p>
      <w:pPr>
        <w:jc w:val="both"/>
        <w:ind w:firstLine="1304"/>
        <w:spacing w:after="0" w:line="257" w:lineRule="auto"/>
        <w:tabs>
          <w:tab w:leader="none" w:pos="1894" w:val="left"/>
        </w:tabs>
        <w:numPr>
          <w:ilvl w:val="0"/>
          <w:numId w:val="527"/>
        </w:numPr>
        <w:rPr>
          <w:rFonts w:ascii="Arial" w:cs="Arial" w:eastAsia="Arial" w:hAnsi="Arial"/>
          <w:sz w:val="19"/>
          <w:szCs w:val="19"/>
          <w:color w:val="auto"/>
        </w:rPr>
      </w:pPr>
      <w:r>
        <w:rPr>
          <w:rFonts w:ascii="Arial" w:cs="Arial" w:eastAsia="Arial" w:hAnsi="Arial"/>
          <w:sz w:val="19"/>
          <w:szCs w:val="19"/>
          <w:color w:val="auto"/>
        </w:rPr>
        <w:t>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w:t>
      </w:r>
    </w:p>
    <w:p>
      <w:pPr>
        <w:spacing w:after="0" w:line="144" w:lineRule="exact"/>
        <w:rPr>
          <w:rFonts w:ascii="Arial" w:cs="Arial" w:eastAsia="Arial" w:hAnsi="Arial"/>
          <w:sz w:val="19"/>
          <w:szCs w:val="19"/>
          <w:color w:val="auto"/>
        </w:rPr>
      </w:pPr>
    </w:p>
    <w:p>
      <w:pPr>
        <w:ind w:firstLine="1304"/>
        <w:spacing w:after="0" w:line="232" w:lineRule="auto"/>
        <w:tabs>
          <w:tab w:leader="none" w:pos="1785" w:val="left"/>
        </w:tabs>
        <w:numPr>
          <w:ilvl w:val="0"/>
          <w:numId w:val="527"/>
        </w:numPr>
        <w:rPr>
          <w:rFonts w:ascii="Arial" w:cs="Arial" w:eastAsia="Arial" w:hAnsi="Arial"/>
          <w:sz w:val="22"/>
          <w:szCs w:val="22"/>
          <w:color w:val="auto"/>
        </w:rPr>
      </w:pPr>
      <w:r>
        <w:rPr>
          <w:rFonts w:ascii="Arial" w:cs="Arial" w:eastAsia="Arial" w:hAnsi="Arial"/>
          <w:sz w:val="22"/>
          <w:szCs w:val="22"/>
          <w:color w:val="auto"/>
        </w:rPr>
        <w:t>any customary transaction with a Receivables Facility, Qualified Securitization Financing or a Securitization Subsidiary effected as part of a Qualified Securitization Financing;</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527"/>
        </w:numPr>
        <w:rPr>
          <w:rFonts w:ascii="Arial" w:cs="Arial" w:eastAsia="Arial" w:hAnsi="Arial"/>
          <w:sz w:val="22"/>
          <w:szCs w:val="22"/>
          <w:color w:val="auto"/>
        </w:rPr>
      </w:pPr>
      <w:r>
        <w:rPr>
          <w:rFonts w:ascii="Arial" w:cs="Arial" w:eastAsia="Arial" w:hAnsi="Arial"/>
          <w:sz w:val="22"/>
          <w:szCs w:val="22"/>
          <w:color w:val="auto"/>
        </w:rPr>
        <w:t>any Intercompany License Agreements;</w:t>
      </w:r>
    </w:p>
    <w:p>
      <w:pPr>
        <w:spacing w:after="0" w:line="179" w:lineRule="exact"/>
        <w:rPr>
          <w:rFonts w:ascii="Arial" w:cs="Arial" w:eastAsia="Arial" w:hAnsi="Arial"/>
          <w:sz w:val="22"/>
          <w:szCs w:val="22"/>
          <w:color w:val="auto"/>
        </w:rPr>
      </w:pPr>
    </w:p>
    <w:p>
      <w:pPr>
        <w:jc w:val="both"/>
        <w:ind w:firstLine="1304"/>
        <w:spacing w:after="0" w:line="234" w:lineRule="auto"/>
        <w:tabs>
          <w:tab w:leader="none" w:pos="1852" w:val="left"/>
        </w:tabs>
        <w:numPr>
          <w:ilvl w:val="0"/>
          <w:numId w:val="527"/>
        </w:numPr>
        <w:rPr>
          <w:rFonts w:ascii="Arial" w:cs="Arial" w:eastAsia="Arial" w:hAnsi="Arial"/>
          <w:sz w:val="21"/>
          <w:szCs w:val="21"/>
          <w:color w:val="auto"/>
        </w:rPr>
      </w:pPr>
      <w:r>
        <w:rPr>
          <w:rFonts w:ascii="Arial" w:cs="Arial" w:eastAsia="Arial" w:hAnsi="Arial"/>
          <w:sz w:val="21"/>
          <w:szCs w:val="21"/>
          <w:color w:val="auto"/>
        </w:rPr>
        <w:t xml:space="preserve">transactions set forth on </w:t>
      </w:r>
      <w:r>
        <w:rPr>
          <w:rFonts w:ascii="Arial" w:cs="Arial" w:eastAsia="Arial" w:hAnsi="Arial"/>
          <w:sz w:val="21"/>
          <w:szCs w:val="21"/>
          <w:u w:val="single" w:color="auto"/>
          <w:color w:val="auto"/>
        </w:rPr>
        <w:t>Schedule 6.07</w:t>
      </w:r>
      <w:r>
        <w:rPr>
          <w:rFonts w:ascii="Arial" w:cs="Arial" w:eastAsia="Arial" w:hAnsi="Arial"/>
          <w:sz w:val="21"/>
          <w:szCs w:val="21"/>
          <w:color w:val="auto"/>
        </w:rPr>
        <w:t>, as those agreements and instruments may be amended, modified, supplemented, extended, renewed or refinanced from time to time in accordance with the other terms of this covenant or to the extent not more disadvantageous to the Secured Parties in any material respect (taken as a whole);</w:t>
      </w:r>
    </w:p>
    <w:p>
      <w:pPr>
        <w:spacing w:after="0" w:line="157" w:lineRule="exact"/>
        <w:rPr>
          <w:rFonts w:ascii="Arial" w:cs="Arial" w:eastAsia="Arial" w:hAnsi="Arial"/>
          <w:sz w:val="21"/>
          <w:szCs w:val="21"/>
          <w:color w:val="auto"/>
        </w:rPr>
      </w:pPr>
    </w:p>
    <w:p>
      <w:pPr>
        <w:jc w:val="both"/>
        <w:ind w:firstLine="1304"/>
        <w:spacing w:after="0" w:line="223" w:lineRule="auto"/>
        <w:tabs>
          <w:tab w:leader="none" w:pos="1825" w:val="left"/>
        </w:tabs>
        <w:numPr>
          <w:ilvl w:val="0"/>
          <w:numId w:val="527"/>
        </w:numPr>
        <w:rPr>
          <w:rFonts w:ascii="Arial" w:cs="Arial" w:eastAsia="Arial" w:hAnsi="Arial"/>
          <w:sz w:val="22"/>
          <w:szCs w:val="22"/>
          <w:color w:val="auto"/>
        </w:rPr>
      </w:pPr>
      <w:r>
        <w:rPr>
          <w:rFonts w:ascii="Arial" w:cs="Arial" w:eastAsia="Arial" w:hAnsi="Arial"/>
          <w:sz w:val="22"/>
          <w:szCs w:val="22"/>
          <w:color w:val="auto"/>
        </w:rPr>
        <w:t>payments to or from, and transactions with, Joint Ventures (to the extent any such Joint Venture is only an Affiliate as a result of Investments by the Borrower and the Restricted Subsidiaries in such Joint Venture) in the ordinary course of business;</w:t>
      </w:r>
    </w:p>
    <w:p>
      <w:pPr>
        <w:spacing w:after="0" w:line="158" w:lineRule="exact"/>
        <w:rPr>
          <w:rFonts w:ascii="Arial" w:cs="Arial" w:eastAsia="Arial" w:hAnsi="Arial"/>
          <w:sz w:val="22"/>
          <w:szCs w:val="22"/>
          <w:color w:val="auto"/>
        </w:rPr>
      </w:pPr>
    </w:p>
    <w:p>
      <w:pPr>
        <w:ind w:left="1740" w:hanging="436"/>
        <w:spacing w:after="0"/>
        <w:tabs>
          <w:tab w:leader="none" w:pos="1740" w:val="left"/>
        </w:tabs>
        <w:numPr>
          <w:ilvl w:val="0"/>
          <w:numId w:val="527"/>
        </w:numPr>
        <w:rPr>
          <w:rFonts w:ascii="Arial" w:cs="Arial" w:eastAsia="Arial" w:hAnsi="Arial"/>
          <w:sz w:val="21"/>
          <w:szCs w:val="21"/>
          <w:color w:val="auto"/>
        </w:rPr>
      </w:pPr>
      <w:r>
        <w:rPr>
          <w:rFonts w:ascii="Arial" w:cs="Arial" w:eastAsia="Arial" w:hAnsi="Arial"/>
          <w:sz w:val="21"/>
          <w:szCs w:val="21"/>
          <w:color w:val="auto"/>
        </w:rPr>
        <w:t>loans and other transactions by and among the Holding Companies and the Restricted Subsidiaries;</w:t>
      </w:r>
    </w:p>
    <w:p>
      <w:pPr>
        <w:spacing w:after="0" w:line="190" w:lineRule="exact"/>
        <w:rPr>
          <w:rFonts w:ascii="Arial" w:cs="Arial" w:eastAsia="Arial" w:hAnsi="Arial"/>
          <w:sz w:val="21"/>
          <w:szCs w:val="21"/>
          <w:color w:val="auto"/>
        </w:rPr>
      </w:pPr>
    </w:p>
    <w:p>
      <w:pPr>
        <w:jc w:val="both"/>
        <w:ind w:firstLine="1304"/>
        <w:spacing w:after="0" w:line="229" w:lineRule="auto"/>
        <w:tabs>
          <w:tab w:leader="none" w:pos="1744" w:val="left"/>
        </w:tabs>
        <w:numPr>
          <w:ilvl w:val="0"/>
          <w:numId w:val="527"/>
        </w:numPr>
        <w:rPr>
          <w:rFonts w:ascii="Arial" w:cs="Arial" w:eastAsia="Arial" w:hAnsi="Arial"/>
          <w:sz w:val="21"/>
          <w:szCs w:val="21"/>
          <w:color w:val="auto"/>
        </w:rPr>
      </w:pPr>
      <w:r>
        <w:rPr>
          <w:rFonts w:ascii="Arial" w:cs="Arial" w:eastAsia="Arial" w:hAnsi="Arial"/>
          <w:sz w:val="21"/>
          <w:szCs w:val="21"/>
          <w:color w:val="auto"/>
        </w:rPr>
        <w:t>transactions by the Holding Companies, and the Restricted Subsidiaries with customers, clients, Joint Venture partners, suppliers or purchasers or sellers of goods or services, in each case in the ordinary course of business and otherwise in compliance with the terms of this Agreement that are fair to the Holding Companies and the Restricted Subsidiaries, as determined in good faith by the board of directors or the senior management of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59" w:name="page460"/>
    <w:bookmarkEnd w:id="459"/>
    <w:p>
      <w:pPr>
        <w:spacing w:after="0"/>
        <w:rPr>
          <w:sz w:val="20"/>
          <w:szCs w:val="20"/>
          <w:color w:val="auto"/>
        </w:rPr>
      </w:pPr>
      <w:r>
        <w:rPr>
          <w:rFonts w:ascii="Arial" w:cs="Arial" w:eastAsia="Arial" w:hAnsi="Arial"/>
          <w:sz w:val="19"/>
          <w:szCs w:val="19"/>
          <w:color w:val="auto"/>
        </w:rPr>
        <w:t>Person, or are on terms at least as favorable as might reasonably have been obtained at such time from an unaffiliated party;</w:t>
      </w:r>
    </w:p>
    <w:p>
      <w:pPr>
        <w:spacing w:after="0" w:line="214" w:lineRule="exact"/>
        <w:rPr>
          <w:sz w:val="20"/>
          <w:szCs w:val="20"/>
          <w:color w:val="auto"/>
        </w:rPr>
      </w:pPr>
    </w:p>
    <w:p>
      <w:pPr>
        <w:jc w:val="both"/>
        <w:ind w:firstLine="1304"/>
        <w:spacing w:after="0" w:line="268" w:lineRule="auto"/>
        <w:tabs>
          <w:tab w:leader="none" w:pos="1738" w:val="left"/>
        </w:tabs>
        <w:numPr>
          <w:ilvl w:val="0"/>
          <w:numId w:val="528"/>
        </w:numPr>
        <w:rPr>
          <w:rFonts w:ascii="Arial" w:cs="Arial" w:eastAsia="Arial" w:hAnsi="Arial"/>
          <w:sz w:val="19"/>
          <w:szCs w:val="19"/>
          <w:color w:val="auto"/>
        </w:rPr>
      </w:pPr>
      <w:r>
        <w:rPr>
          <w:rFonts w:ascii="Arial" w:cs="Arial" w:eastAsia="Arial" w:hAnsi="Arial"/>
          <w:sz w:val="19"/>
          <w:szCs w:val="19"/>
          <w:color w:val="auto"/>
        </w:rPr>
        <w:t xml:space="preserve">transactions in which any Holding Company or any Restricted Subsidiary, as the case may be, delivers to the Administrative Agent a letter from an independent financial advisor stating that such transaction is fair to such Holding Company or such Restricted Subsidiary from a financial point of view or meets the requirements of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6.07</w:t>
      </w:r>
      <w:r>
        <w:rPr>
          <w:rFonts w:ascii="Arial" w:cs="Arial" w:eastAsia="Arial" w:hAnsi="Arial"/>
          <w:sz w:val="19"/>
          <w:szCs w:val="19"/>
          <w:color w:val="auto"/>
        </w:rPr>
        <w:t>;</w:t>
      </w:r>
    </w:p>
    <w:p>
      <w:pPr>
        <w:spacing w:after="0" w:line="132" w:lineRule="exact"/>
        <w:rPr>
          <w:rFonts w:ascii="Arial" w:cs="Arial" w:eastAsia="Arial" w:hAnsi="Arial"/>
          <w:sz w:val="19"/>
          <w:szCs w:val="19"/>
          <w:color w:val="auto"/>
        </w:rPr>
      </w:pPr>
    </w:p>
    <w:p>
      <w:pPr>
        <w:ind w:left="1780" w:hanging="476"/>
        <w:spacing w:after="0"/>
        <w:tabs>
          <w:tab w:leader="none" w:pos="1780" w:val="left"/>
        </w:tabs>
        <w:numPr>
          <w:ilvl w:val="0"/>
          <w:numId w:val="528"/>
        </w:numPr>
        <w:rPr>
          <w:rFonts w:ascii="Arial" w:cs="Arial" w:eastAsia="Arial" w:hAnsi="Arial"/>
          <w:sz w:val="22"/>
          <w:szCs w:val="22"/>
          <w:color w:val="auto"/>
        </w:rPr>
      </w:pPr>
      <w:r>
        <w:rPr>
          <w:rFonts w:ascii="Arial" w:cs="Arial" w:eastAsia="Arial" w:hAnsi="Arial"/>
          <w:sz w:val="22"/>
          <w:szCs w:val="22"/>
          <w:color w:val="auto"/>
        </w:rPr>
        <w:t>Permitted Investor Payments;</w:t>
      </w:r>
    </w:p>
    <w:p>
      <w:pPr>
        <w:spacing w:after="0" w:line="179" w:lineRule="exact"/>
        <w:rPr>
          <w:rFonts w:ascii="Arial" w:cs="Arial" w:eastAsia="Arial" w:hAnsi="Arial"/>
          <w:sz w:val="22"/>
          <w:szCs w:val="22"/>
          <w:color w:val="auto"/>
        </w:rPr>
      </w:pPr>
    </w:p>
    <w:p>
      <w:pPr>
        <w:jc w:val="both"/>
        <w:ind w:firstLine="1304"/>
        <w:spacing w:after="0" w:line="216" w:lineRule="auto"/>
        <w:tabs>
          <w:tab w:leader="none" w:pos="1841" w:val="left"/>
        </w:tabs>
        <w:numPr>
          <w:ilvl w:val="0"/>
          <w:numId w:val="528"/>
        </w:numPr>
        <w:rPr>
          <w:rFonts w:ascii="Arial" w:cs="Arial" w:eastAsia="Arial" w:hAnsi="Arial"/>
          <w:sz w:val="22"/>
          <w:szCs w:val="22"/>
          <w:color w:val="auto"/>
        </w:rPr>
      </w:pPr>
      <w:r>
        <w:rPr>
          <w:rFonts w:ascii="Arial" w:cs="Arial" w:eastAsia="Arial" w:hAnsi="Arial"/>
          <w:sz w:val="22"/>
          <w:szCs w:val="22"/>
          <w:color w:val="auto"/>
        </w:rPr>
        <w:t xml:space="preserve">transactions with Affiliated Lenders permitted pursuant to (i)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or any similar provision in any documentation with respect to any Permitted Refinancing of the Obligations, (ii)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of the Second Lien Credit Agreement or any similar provision in any documentation with respect to any Permitted Refinancing thereof or (iii) any similar provision in any Additional Debt documentation or any documentation with respect to any Permitted Refinancing thereof, in each case in this </w:t>
      </w:r>
      <w:r>
        <w:rPr>
          <w:rFonts w:ascii="Arial" w:cs="Arial" w:eastAsia="Arial" w:hAnsi="Arial"/>
          <w:sz w:val="22"/>
          <w:szCs w:val="22"/>
          <w:u w:val="single" w:color="auto"/>
          <w:color w:val="auto"/>
        </w:rPr>
        <w:t>clause (v)</w:t>
      </w:r>
      <w:r>
        <w:rPr>
          <w:rFonts w:ascii="Arial" w:cs="Arial" w:eastAsia="Arial" w:hAnsi="Arial"/>
          <w:sz w:val="22"/>
          <w:szCs w:val="22"/>
          <w:color w:val="auto"/>
        </w:rPr>
        <w:t>, to the extent not otherwise prohibited hereunder; and</w:t>
      </w:r>
    </w:p>
    <w:p>
      <w:pPr>
        <w:spacing w:after="0" w:line="157" w:lineRule="exact"/>
        <w:rPr>
          <w:rFonts w:ascii="Arial" w:cs="Arial" w:eastAsia="Arial" w:hAnsi="Arial"/>
          <w:sz w:val="22"/>
          <w:szCs w:val="22"/>
          <w:color w:val="auto"/>
        </w:rPr>
      </w:pPr>
    </w:p>
    <w:p>
      <w:pPr>
        <w:ind w:left="1820" w:hanging="516"/>
        <w:spacing w:after="0"/>
        <w:tabs>
          <w:tab w:leader="none" w:pos="1820" w:val="left"/>
        </w:tabs>
        <w:numPr>
          <w:ilvl w:val="0"/>
          <w:numId w:val="528"/>
        </w:numPr>
        <w:rPr>
          <w:rFonts w:ascii="Arial" w:cs="Arial" w:eastAsia="Arial" w:hAnsi="Arial"/>
          <w:sz w:val="22"/>
          <w:szCs w:val="22"/>
          <w:color w:val="auto"/>
        </w:rPr>
      </w:pPr>
      <w:r>
        <w:rPr>
          <w:rFonts w:ascii="Arial" w:cs="Arial" w:eastAsia="Arial" w:hAnsi="Arial"/>
          <w:sz w:val="22"/>
          <w:szCs w:val="22"/>
          <w:color w:val="auto"/>
        </w:rPr>
        <w:t xml:space="preserve">transactions referred to in </w:t>
      </w:r>
      <w:r>
        <w:rPr>
          <w:rFonts w:ascii="Arial" w:cs="Arial" w:eastAsia="Arial" w:hAnsi="Arial"/>
          <w:sz w:val="22"/>
          <w:szCs w:val="22"/>
          <w:u w:val="single" w:color="auto"/>
          <w:color w:val="auto"/>
        </w:rPr>
        <w:t>Section 6.04(ff)</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u w:val="single" w:color="auto"/>
          <w:color w:val="auto"/>
        </w:rPr>
        <w:t>Section 6.08 Restrictive Agreements</w:t>
      </w:r>
      <w:r>
        <w:rPr>
          <w:rFonts w:ascii="Arial" w:cs="Arial" w:eastAsia="Arial" w:hAnsi="Arial"/>
          <w:sz w:val="22"/>
          <w:szCs w:val="22"/>
          <w:color w:val="auto"/>
        </w:rPr>
        <w:t xml:space="preserve">. The Borrower will not, nor will the Borrower permit any Restricted Subsidiary to, enter into any agreement, instrument, deed or lease that prohibits, restricts or imposes any condition upon: (a) the ability of any Loan Party to create, incur or permit to exist any Lien in favor of the Secured Parties (excluding Lender Counterparties) upon any of its Collateral or (b) the ability of any Restricted Subsidiary to make Restricted Payments or to make or repay loans or advances to any Holding Company or any other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w:t>
      </w:r>
    </w:p>
    <w:p>
      <w:pPr>
        <w:spacing w:after="0" w:line="159" w:lineRule="exact"/>
        <w:rPr>
          <w:sz w:val="20"/>
          <w:szCs w:val="20"/>
          <w:color w:val="auto"/>
        </w:rPr>
      </w:pPr>
    </w:p>
    <w:p>
      <w:pPr>
        <w:jc w:val="both"/>
        <w:ind w:left="660" w:firstLine="644"/>
        <w:spacing w:after="0" w:line="247" w:lineRule="auto"/>
        <w:tabs>
          <w:tab w:leader="none" w:pos="1916" w:val="left"/>
        </w:tabs>
        <w:numPr>
          <w:ilvl w:val="0"/>
          <w:numId w:val="529"/>
        </w:numPr>
        <w:rPr>
          <w:rFonts w:ascii="Arial" w:cs="Arial" w:eastAsia="Arial" w:hAnsi="Arial"/>
          <w:sz w:val="19"/>
          <w:szCs w:val="19"/>
          <w:color w:val="auto"/>
        </w:rPr>
      </w:pPr>
      <w:r>
        <w:rPr>
          <w:rFonts w:ascii="Arial" w:cs="Arial" w:eastAsia="Arial" w:hAnsi="Arial"/>
          <w:sz w:val="19"/>
          <w:szCs w:val="19"/>
          <w:color w:val="auto"/>
        </w:rPr>
        <w:t xml:space="preserve">restrictions and conditions imposed by (A) law, (B) any Loan Document and any Second Lien Loan Document, any agreements evidencing secured Indebtedness permitted by this Agreement, or any documentation providing for any Permitted Refinancing of any of the foregoing or (C) other agreements evidencing Indebtedness permitted by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under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such restrictions or conditions (x) apply solely to a Restricted Subsidiary that is not a Loan Party, (y) are no more restrictive than the restrictions or conditions set forth in the Loan Documents, or (z) do not materially impair the Borrower’s ability to pay its obligations under the Loan Documents as and when due (as determined in good faith by the Borrower);</w:t>
      </w:r>
    </w:p>
    <w:p>
      <w:pPr>
        <w:spacing w:after="0" w:line="153" w:lineRule="exact"/>
        <w:rPr>
          <w:rFonts w:ascii="Arial" w:cs="Arial" w:eastAsia="Arial" w:hAnsi="Arial"/>
          <w:sz w:val="19"/>
          <w:szCs w:val="19"/>
          <w:color w:val="auto"/>
        </w:rPr>
      </w:pPr>
    </w:p>
    <w:p>
      <w:pPr>
        <w:jc w:val="both"/>
        <w:ind w:left="660" w:firstLine="644"/>
        <w:spacing w:after="0" w:line="218" w:lineRule="auto"/>
        <w:tabs>
          <w:tab w:leader="none" w:pos="1812" w:val="left"/>
        </w:tabs>
        <w:numPr>
          <w:ilvl w:val="0"/>
          <w:numId w:val="529"/>
        </w:numPr>
        <w:rPr>
          <w:rFonts w:ascii="Arial" w:cs="Arial" w:eastAsia="Arial" w:hAnsi="Arial"/>
          <w:sz w:val="22"/>
          <w:szCs w:val="22"/>
          <w:color w:val="auto"/>
        </w:rPr>
      </w:pPr>
      <w:r>
        <w:rPr>
          <w:rFonts w:ascii="Arial" w:cs="Arial" w:eastAsia="Arial" w:hAnsi="Arial"/>
          <w:sz w:val="22"/>
          <w:szCs w:val="22"/>
          <w:color w:val="auto"/>
        </w:rPr>
        <w:t>restrictions and conditions existing on the Closing Date (to the extent not incurred in contemplation thereof) or in any extension, renewal, amendment, modification or replacement thereof, except to the extent any such amendment, modification or replacement materially expands the scope of any such restriction or condition (as determined in good faith by the Borrower);</w:t>
      </w:r>
    </w:p>
    <w:p>
      <w:pPr>
        <w:spacing w:after="0" w:line="160" w:lineRule="exact"/>
        <w:rPr>
          <w:rFonts w:ascii="Arial" w:cs="Arial" w:eastAsia="Arial" w:hAnsi="Arial"/>
          <w:sz w:val="22"/>
          <w:szCs w:val="22"/>
          <w:color w:val="auto"/>
        </w:rPr>
      </w:pPr>
    </w:p>
    <w:p>
      <w:pPr>
        <w:jc w:val="both"/>
        <w:ind w:left="660" w:firstLine="644"/>
        <w:spacing w:after="0" w:line="257" w:lineRule="auto"/>
        <w:tabs>
          <w:tab w:leader="none" w:pos="1863" w:val="left"/>
        </w:tabs>
        <w:numPr>
          <w:ilvl w:val="0"/>
          <w:numId w:val="529"/>
        </w:numPr>
        <w:rPr>
          <w:rFonts w:ascii="Arial" w:cs="Arial" w:eastAsia="Arial" w:hAnsi="Arial"/>
          <w:sz w:val="19"/>
          <w:szCs w:val="19"/>
          <w:color w:val="auto"/>
        </w:rPr>
      </w:pPr>
      <w:r>
        <w:rPr>
          <w:rFonts w:ascii="Arial" w:cs="Arial" w:eastAsia="Arial" w:hAnsi="Arial"/>
          <w:sz w:val="19"/>
          <w:szCs w:val="19"/>
          <w:color w:val="auto"/>
        </w:rPr>
        <w:t xml:space="preserve">restrictions and conditions contained in agreements relating to the sale of Equity Interests of a Subsidiary or a Joint Venture or of any assets of the Holding Companies, a Subsidiary or a Joint Venture, in each case pending such sale,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restrictions and conditions apply only to the Subsidiary or assets that is or are to be sold and such sale is permitted hereunder or is conditioned on obtaining consent of the Lenders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60" w:name="page461"/>
    <w:bookmarkEnd w:id="460"/>
    <w:p>
      <w:pPr>
        <w:ind w:left="660" w:firstLine="644"/>
        <w:spacing w:after="0" w:line="232" w:lineRule="auto"/>
        <w:tabs>
          <w:tab w:leader="none" w:pos="1858" w:val="left"/>
        </w:tabs>
        <w:numPr>
          <w:ilvl w:val="0"/>
          <w:numId w:val="530"/>
        </w:numPr>
        <w:rPr>
          <w:rFonts w:ascii="Arial" w:cs="Arial" w:eastAsia="Arial" w:hAnsi="Arial"/>
          <w:sz w:val="22"/>
          <w:szCs w:val="22"/>
          <w:color w:val="auto"/>
        </w:rPr>
      </w:pPr>
      <w:r>
        <w:rPr>
          <w:rFonts w:ascii="Arial" w:cs="Arial" w:eastAsia="Arial" w:hAnsi="Arial"/>
          <w:sz w:val="22"/>
          <w:szCs w:val="22"/>
          <w:color w:val="auto"/>
        </w:rPr>
        <w:t>customary provisions in leases, licenses and other contracts restricting the assignment, subletting or transfer thereof or other assets subject thereto;</w:t>
      </w:r>
    </w:p>
    <w:p>
      <w:pPr>
        <w:spacing w:after="0" w:line="158" w:lineRule="exact"/>
        <w:rPr>
          <w:rFonts w:ascii="Arial" w:cs="Arial" w:eastAsia="Arial" w:hAnsi="Arial"/>
          <w:sz w:val="22"/>
          <w:szCs w:val="22"/>
          <w:color w:val="auto"/>
        </w:rPr>
      </w:pPr>
    </w:p>
    <w:p>
      <w:pPr>
        <w:jc w:val="both"/>
        <w:ind w:left="660" w:firstLine="644"/>
        <w:spacing w:after="0" w:line="257" w:lineRule="auto"/>
        <w:tabs>
          <w:tab w:leader="none" w:pos="1787" w:val="left"/>
        </w:tabs>
        <w:numPr>
          <w:ilvl w:val="0"/>
          <w:numId w:val="530"/>
        </w:numPr>
        <w:rPr>
          <w:rFonts w:ascii="Arial" w:cs="Arial" w:eastAsia="Arial" w:hAnsi="Arial"/>
          <w:sz w:val="19"/>
          <w:szCs w:val="19"/>
          <w:color w:val="auto"/>
        </w:rPr>
      </w:pPr>
      <w:r>
        <w:rPr>
          <w:rFonts w:ascii="Arial" w:cs="Arial" w:eastAsia="Arial" w:hAnsi="Arial"/>
          <w:sz w:val="19"/>
          <w:szCs w:val="19"/>
          <w:color w:val="auto"/>
        </w:rPr>
        <w:t xml:space="preserve">(A) any restrictions with respect to a Subsidiary imposed pursuant to an agreement that has been entered into in connection with the sale, transfer or other disposition of all or substantially all of the Equity Interests or assets of such Subsidiary or (B) restrictions on transfers of assets subject to Liens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(but, with respect to any such Lien, only to the extent that such transfer restrictions apply solely to the assets that are the subject of such Lien);</w:t>
      </w:r>
    </w:p>
    <w:p>
      <w:pPr>
        <w:spacing w:after="0" w:line="144" w:lineRule="exact"/>
        <w:rPr>
          <w:rFonts w:ascii="Arial" w:cs="Arial" w:eastAsia="Arial" w:hAnsi="Arial"/>
          <w:sz w:val="19"/>
          <w:szCs w:val="19"/>
          <w:color w:val="auto"/>
        </w:rPr>
      </w:pPr>
    </w:p>
    <w:p>
      <w:pPr>
        <w:ind w:left="1840" w:hanging="536"/>
        <w:spacing w:after="0"/>
        <w:tabs>
          <w:tab w:leader="none" w:pos="1840" w:val="left"/>
        </w:tabs>
        <w:numPr>
          <w:ilvl w:val="0"/>
          <w:numId w:val="530"/>
        </w:numPr>
        <w:rPr>
          <w:rFonts w:ascii="Arial" w:cs="Arial" w:eastAsia="Arial" w:hAnsi="Arial"/>
          <w:sz w:val="22"/>
          <w:szCs w:val="22"/>
          <w:color w:val="auto"/>
        </w:rPr>
      </w:pPr>
      <w:r>
        <w:rPr>
          <w:rFonts w:ascii="Arial" w:cs="Arial" w:eastAsia="Arial" w:hAnsi="Arial"/>
          <w:sz w:val="22"/>
          <w:szCs w:val="22"/>
          <w:color w:val="auto"/>
        </w:rPr>
        <w:t>restrictions created in connection with any Qualified Securitization Financing;</w:t>
      </w:r>
    </w:p>
    <w:p>
      <w:pPr>
        <w:spacing w:after="0" w:line="179" w:lineRule="exact"/>
        <w:rPr>
          <w:rFonts w:ascii="Arial" w:cs="Arial" w:eastAsia="Arial" w:hAnsi="Arial"/>
          <w:sz w:val="22"/>
          <w:szCs w:val="22"/>
          <w:color w:val="auto"/>
        </w:rPr>
      </w:pPr>
    </w:p>
    <w:p>
      <w:pPr>
        <w:jc w:val="both"/>
        <w:ind w:left="660" w:firstLine="644"/>
        <w:spacing w:after="0" w:line="268" w:lineRule="auto"/>
        <w:tabs>
          <w:tab w:leader="none" w:pos="1937" w:val="left"/>
        </w:tabs>
        <w:numPr>
          <w:ilvl w:val="0"/>
          <w:numId w:val="530"/>
        </w:numPr>
        <w:rPr>
          <w:rFonts w:ascii="Arial" w:cs="Arial" w:eastAsia="Arial" w:hAnsi="Arial"/>
          <w:sz w:val="19"/>
          <w:szCs w:val="19"/>
          <w:color w:val="auto"/>
        </w:rPr>
      </w:pPr>
      <w:r>
        <w:rPr>
          <w:rFonts w:ascii="Arial" w:cs="Arial" w:eastAsia="Arial" w:hAnsi="Arial"/>
          <w:sz w:val="19"/>
          <w:szCs w:val="19"/>
          <w:color w:val="auto"/>
        </w:rPr>
        <w:t xml:space="preserve">restrictions or conditions set forth in any agreement in effect at any time any Person becomes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was not entered into in contemplation of such Person becoming a Restricted Subsidiary and the restriction or condition set forth in such agreement does not apply to any other Restricted Subsidiary;</w:t>
      </w:r>
    </w:p>
    <w:p>
      <w:pPr>
        <w:spacing w:after="0" w:line="132" w:lineRule="exact"/>
        <w:rPr>
          <w:rFonts w:ascii="Arial" w:cs="Arial" w:eastAsia="Arial" w:hAnsi="Arial"/>
          <w:sz w:val="19"/>
          <w:szCs w:val="19"/>
          <w:color w:val="auto"/>
        </w:rPr>
      </w:pPr>
    </w:p>
    <w:p>
      <w:pPr>
        <w:jc w:val="both"/>
        <w:ind w:left="660" w:firstLine="644"/>
        <w:spacing w:after="0" w:line="257" w:lineRule="auto"/>
        <w:tabs>
          <w:tab w:leader="none" w:pos="1999" w:val="left"/>
        </w:tabs>
        <w:numPr>
          <w:ilvl w:val="0"/>
          <w:numId w:val="530"/>
        </w:numPr>
        <w:rPr>
          <w:rFonts w:ascii="Arial" w:cs="Arial" w:eastAsia="Arial" w:hAnsi="Arial"/>
          <w:sz w:val="19"/>
          <w:szCs w:val="19"/>
          <w:color w:val="auto"/>
        </w:rPr>
      </w:pPr>
      <w:r>
        <w:rPr>
          <w:rFonts w:ascii="Arial" w:cs="Arial" w:eastAsia="Arial" w:hAnsi="Arial"/>
          <w:sz w:val="19"/>
          <w:szCs w:val="19"/>
          <w:color w:val="auto"/>
        </w:rPr>
        <w:t>customary provisions in shareholders agreements, joint venture agreements, organizational or constitutive documents or similar binding agreements relating to any Joint Venture or non-wholly-owned Restricted Subsidiary and other similar agreements applicable to Joint Ventures and non-wholly-owned Restricted Subsidiaries and applicable solely to such Joint Venture or non-wholly-owned Restricted Subsidiary and the Equity Interests issued thereby;</w:t>
      </w:r>
    </w:p>
    <w:p>
      <w:pPr>
        <w:spacing w:after="0" w:line="144" w:lineRule="exact"/>
        <w:rPr>
          <w:rFonts w:ascii="Arial" w:cs="Arial" w:eastAsia="Arial" w:hAnsi="Arial"/>
          <w:sz w:val="19"/>
          <w:szCs w:val="19"/>
          <w:color w:val="auto"/>
        </w:rPr>
      </w:pPr>
    </w:p>
    <w:p>
      <w:pPr>
        <w:ind w:left="1940" w:hanging="636"/>
        <w:spacing w:after="0"/>
        <w:tabs>
          <w:tab w:leader="none" w:pos="1940" w:val="left"/>
        </w:tabs>
        <w:numPr>
          <w:ilvl w:val="0"/>
          <w:numId w:val="530"/>
        </w:numPr>
        <w:rPr>
          <w:rFonts w:ascii="Arial" w:cs="Arial" w:eastAsia="Arial" w:hAnsi="Arial"/>
          <w:sz w:val="19"/>
          <w:szCs w:val="19"/>
          <w:color w:val="auto"/>
        </w:rPr>
      </w:pPr>
      <w:r>
        <w:rPr>
          <w:rFonts w:ascii="Arial" w:cs="Arial" w:eastAsia="Arial" w:hAnsi="Arial"/>
          <w:sz w:val="19"/>
          <w:szCs w:val="19"/>
          <w:color w:val="auto"/>
        </w:rPr>
        <w:t>any restrictions on cash or other deposits imposed by agreements entered into in the ordinary course of</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161" w:lineRule="exact"/>
        <w:rPr>
          <w:rFonts w:ascii="Arial" w:cs="Arial" w:eastAsia="Arial" w:hAnsi="Arial"/>
          <w:sz w:val="19"/>
          <w:szCs w:val="19"/>
          <w:color w:val="auto"/>
        </w:rPr>
      </w:pPr>
    </w:p>
    <w:p>
      <w:pPr>
        <w:jc w:val="both"/>
        <w:ind w:left="660" w:firstLine="644"/>
        <w:spacing w:after="0" w:line="223" w:lineRule="auto"/>
        <w:tabs>
          <w:tab w:leader="none" w:pos="2022" w:val="left"/>
        </w:tabs>
        <w:numPr>
          <w:ilvl w:val="0"/>
          <w:numId w:val="530"/>
        </w:numPr>
        <w:rPr>
          <w:rFonts w:ascii="Arial" w:cs="Arial" w:eastAsia="Arial" w:hAnsi="Arial"/>
          <w:sz w:val="22"/>
          <w:szCs w:val="22"/>
          <w:color w:val="auto"/>
        </w:rPr>
      </w:pPr>
      <w:r>
        <w:rPr>
          <w:rFonts w:ascii="Arial" w:cs="Arial" w:eastAsia="Arial" w:hAnsi="Arial"/>
          <w:sz w:val="22"/>
          <w:szCs w:val="22"/>
          <w:color w:val="auto"/>
        </w:rPr>
        <w:t>any restrictions regarding licensing or sublicensing by Holdings and the Restricted Subsidiaries of Intellectual Property in the ordinary course of business to the extent not materially interfering with the business of Holdings or the Restricted Subsidiaries taken as a whole;</w:t>
      </w:r>
    </w:p>
    <w:p>
      <w:pPr>
        <w:spacing w:after="0" w:line="158" w:lineRule="exact"/>
        <w:rPr>
          <w:rFonts w:ascii="Arial" w:cs="Arial" w:eastAsia="Arial" w:hAnsi="Arial"/>
          <w:sz w:val="22"/>
          <w:szCs w:val="22"/>
          <w:color w:val="auto"/>
        </w:rPr>
      </w:pPr>
    </w:p>
    <w:p>
      <w:pPr>
        <w:ind w:left="1840" w:hanging="536"/>
        <w:spacing w:after="0"/>
        <w:tabs>
          <w:tab w:leader="none" w:pos="1840" w:val="left"/>
        </w:tabs>
        <w:numPr>
          <w:ilvl w:val="0"/>
          <w:numId w:val="530"/>
        </w:numPr>
        <w:rPr>
          <w:rFonts w:ascii="Arial" w:cs="Arial" w:eastAsia="Arial" w:hAnsi="Arial"/>
          <w:sz w:val="19"/>
          <w:szCs w:val="19"/>
          <w:color w:val="auto"/>
        </w:rPr>
      </w:pPr>
      <w:r>
        <w:rPr>
          <w:rFonts w:ascii="Arial" w:cs="Arial" w:eastAsia="Arial" w:hAnsi="Arial"/>
          <w:sz w:val="19"/>
          <w:szCs w:val="19"/>
          <w:color w:val="auto"/>
        </w:rPr>
        <w:t xml:space="preserve">any restrictions that arise in connection with cash or other deposits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6.04</w:t>
      </w:r>
      <w:r>
        <w:rPr>
          <w:rFonts w:ascii="Arial" w:cs="Arial" w:eastAsia="Arial" w:hAnsi="Arial"/>
          <w:sz w:val="22"/>
          <w:szCs w:val="22"/>
          <w:color w:val="auto"/>
        </w:rPr>
        <w:t>; and</w:t>
      </w:r>
    </w:p>
    <w:p>
      <w:pPr>
        <w:spacing w:after="0" w:line="161" w:lineRule="exact"/>
        <w:rPr>
          <w:rFonts w:ascii="Arial" w:cs="Arial" w:eastAsia="Arial" w:hAnsi="Arial"/>
          <w:sz w:val="19"/>
          <w:szCs w:val="19"/>
          <w:color w:val="auto"/>
        </w:rPr>
      </w:pPr>
    </w:p>
    <w:p>
      <w:pPr>
        <w:ind w:left="660" w:firstLine="644"/>
        <w:spacing w:after="0" w:line="232" w:lineRule="auto"/>
        <w:tabs>
          <w:tab w:leader="none" w:pos="1904" w:val="left"/>
        </w:tabs>
        <w:numPr>
          <w:ilvl w:val="0"/>
          <w:numId w:val="530"/>
        </w:numPr>
        <w:rPr>
          <w:rFonts w:ascii="Arial" w:cs="Arial" w:eastAsia="Arial" w:hAnsi="Arial"/>
          <w:sz w:val="22"/>
          <w:szCs w:val="22"/>
          <w:color w:val="auto"/>
        </w:rPr>
      </w:pPr>
      <w:r>
        <w:rPr>
          <w:rFonts w:ascii="Arial" w:cs="Arial" w:eastAsia="Arial" w:hAnsi="Arial"/>
          <w:sz w:val="22"/>
          <w:szCs w:val="22"/>
          <w:color w:val="auto"/>
        </w:rPr>
        <w:t>any restrictions on cash or other deposits or net worth imposed by customers under contracts entered into in the ordinary course of business.</w:t>
      </w:r>
    </w:p>
    <w:p>
      <w:pPr>
        <w:spacing w:after="0" w:line="159" w:lineRule="exact"/>
        <w:rPr>
          <w:sz w:val="20"/>
          <w:szCs w:val="20"/>
          <w:color w:val="auto"/>
        </w:rPr>
      </w:pPr>
    </w:p>
    <w:p>
      <w:pPr>
        <w:ind w:firstLine="1296"/>
        <w:spacing w:after="0" w:line="247" w:lineRule="auto"/>
        <w:rPr>
          <w:sz w:val="20"/>
          <w:szCs w:val="20"/>
          <w:color w:val="auto"/>
        </w:rPr>
      </w:pPr>
      <w:r>
        <w:rPr>
          <w:rFonts w:ascii="Arial" w:cs="Arial" w:eastAsia="Arial" w:hAnsi="Arial"/>
          <w:sz w:val="19"/>
          <w:szCs w:val="19"/>
          <w:u w:val="single" w:color="auto"/>
          <w:color w:val="auto"/>
        </w:rPr>
        <w:t>Section 6.09 Amendment of Material Documents</w:t>
      </w:r>
      <w:r>
        <w:rPr>
          <w:rFonts w:ascii="Arial" w:cs="Arial" w:eastAsia="Arial" w:hAnsi="Arial"/>
          <w:sz w:val="19"/>
          <w:szCs w:val="19"/>
          <w:color w:val="auto"/>
        </w:rPr>
        <w:t xml:space="preserve"> . The Borrower will not, nor will the Borrower permit any Loan Party to, amend or otherwise modify (i) any of its Organizational Documents in a manner materially adverse to the Lenders and</w:t>
      </w:r>
    </w:p>
    <w:p>
      <w:pPr>
        <w:jc w:val="both"/>
        <w:ind w:firstLine="8"/>
        <w:spacing w:after="0" w:line="217" w:lineRule="auto"/>
        <w:tabs>
          <w:tab w:leader="none" w:pos="318" w:val="left"/>
        </w:tabs>
        <w:numPr>
          <w:ilvl w:val="0"/>
          <w:numId w:val="531"/>
        </w:numPr>
        <w:rPr>
          <w:rFonts w:ascii="Arial" w:cs="Arial" w:eastAsia="Arial" w:hAnsi="Arial"/>
          <w:sz w:val="22"/>
          <w:szCs w:val="22"/>
          <w:color w:val="auto"/>
        </w:rPr>
      </w:pPr>
      <w:r>
        <w:rPr>
          <w:rFonts w:ascii="Arial" w:cs="Arial" w:eastAsia="Arial" w:hAnsi="Arial"/>
          <w:sz w:val="22"/>
          <w:szCs w:val="22"/>
          <w:color w:val="auto"/>
        </w:rPr>
        <w:t xml:space="preserve">Subordinated Indebtedness if the effect of such amendment or modification is materially adverse to the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modification will not be deemed to be materially adverse if such Subordinated Indebtedness could be otherwise incurred under this Agreement with such terms as so modified at the time of such modification.</w:t>
      </w:r>
    </w:p>
    <w:p>
      <w:pPr>
        <w:spacing w:after="0" w:line="160"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u w:val="single" w:color="auto"/>
          <w:color w:val="auto"/>
        </w:rPr>
        <w:t>Section 6.10 Change in Nature of Business</w:t>
      </w:r>
      <w:r>
        <w:rPr>
          <w:rFonts w:ascii="Arial" w:cs="Arial" w:eastAsia="Arial" w:hAnsi="Arial"/>
          <w:sz w:val="22"/>
          <w:szCs w:val="22"/>
          <w:color w:val="auto"/>
        </w:rPr>
        <w:t>. The Borrower will not, nor will the Borrower permit any Restricted Subsidiary to, engage in any material line of business substantially different from those lines of business conducted by the Borrower and the Restricted Subsidiaries on the Closing Date or any business reasonably related, complementary, corollary, synergistic or ancillary thereto (including related, complementary, synergistic or ancillary technologies) or reasonable extensions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61" w:name="page462"/>
    <w:bookmarkEnd w:id="461"/>
    <w:p>
      <w:pPr>
        <w:jc w:val="both"/>
        <w:ind w:firstLine="1296"/>
        <w:spacing w:after="0" w:line="244" w:lineRule="auto"/>
        <w:rPr>
          <w:sz w:val="20"/>
          <w:szCs w:val="20"/>
          <w:color w:val="auto"/>
        </w:rPr>
      </w:pPr>
      <w:r>
        <w:rPr>
          <w:rFonts w:ascii="Arial" w:cs="Arial" w:eastAsia="Arial" w:hAnsi="Arial"/>
          <w:sz w:val="19"/>
          <w:szCs w:val="19"/>
          <w:u w:val="single" w:color="auto"/>
          <w:color w:val="auto"/>
        </w:rPr>
        <w:t>Section 6.11 First Lien Net Leverage Ratio</w:t>
      </w:r>
      <w:r>
        <w:rPr>
          <w:rFonts w:ascii="Arial" w:cs="Arial" w:eastAsia="Arial" w:hAnsi="Arial"/>
          <w:sz w:val="19"/>
          <w:szCs w:val="19"/>
          <w:color w:val="auto"/>
        </w:rPr>
        <w:t xml:space="preserve">. Except with the written consent of the Required Revolving Lenders, commencing with the fiscal quarter ending March 31, 2019, the Borrower will not permit the First Lien Net Leverage Ratio, calculated as of the last day of any Test Period, to exceed 8.20 to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the financial covenant set forth in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shall be tested as of the last day of any Test Period only in the event that, on the last day of such Test Period, the aggregate amount of the Revolving Exposures (excluding (x) up to $10,000,000 of undrawn Letters of Credit, (y) Letters of Credit which have been cash collateralized or backstopped in accordance with this Agreement and (z) prior to June 30, 2019, any outstanding Revolving Loans originally borrowed on the Closing Date to pay the Transaction Costs or fund original issue discount or upfront fees in connection with the “flex” provisions of the Fee Letter) of all of the Revolving Lenders is greater than 35% of the aggregate amount of the Revolving Commitments in effect on such date.</w:t>
      </w:r>
    </w:p>
    <w:p>
      <w:pPr>
        <w:spacing w:after="0" w:line="16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6.12</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u w:val="single" w:color="auto"/>
          <w:color w:val="auto"/>
        </w:rPr>
        <w:t>Section 6.13 Changes in Fiscal Year</w:t>
      </w:r>
      <w:r>
        <w:rPr>
          <w:rFonts w:ascii="Arial" w:cs="Arial" w:eastAsia="Arial" w:hAnsi="Arial"/>
          <w:sz w:val="22"/>
          <w:szCs w:val="22"/>
          <w:color w:val="auto"/>
        </w:rPr>
        <w:t xml:space="preserve">. The Borrower will not permit its fiscal year for financial reporting purposes to end on a day other than the last day of December; </w:t>
      </w:r>
      <w:r>
        <w:rPr>
          <w:rFonts w:ascii="Arial" w:cs="Arial" w:eastAsia="Arial" w:hAnsi="Arial"/>
          <w:sz w:val="22"/>
          <w:szCs w:val="22"/>
          <w:u w:val="single" w:color="auto"/>
          <w:color w:val="auto"/>
        </w:rPr>
        <w:t>provided</w:t>
      </w:r>
      <w:r>
        <w:rPr>
          <w:rFonts w:ascii="Arial" w:cs="Arial" w:eastAsia="Arial" w:hAnsi="Arial"/>
          <w:sz w:val="22"/>
          <w:szCs w:val="22"/>
          <w:color w:val="auto"/>
        </w:rPr>
        <w:t>, that the Borrower may, upon written notice to the Administrative Agent, change such fiscal year (and the fiscal year of the Restricted Subsidiaries) to any other fiscal year reasonably acceptable to the Administrative Agent, in which case, the Borrower and the Administrative Agent will, and are hereby authorized by the Lenders to, make any adjustments to this Agreement and to the covenants contained herein that are that are reasonably necessary in order to reflect such change.</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6.14</w:t>
      </w:r>
      <w:r>
        <w:rPr>
          <w:sz w:val="20"/>
          <w:szCs w:val="20"/>
          <w:color w:val="auto"/>
        </w:rPr>
        <w:tab/>
      </w:r>
      <w:r>
        <w:rPr>
          <w:rFonts w:ascii="Arial" w:cs="Arial" w:eastAsia="Arial" w:hAnsi="Arial"/>
          <w:sz w:val="19"/>
          <w:szCs w:val="19"/>
          <w:u w:val="single" w:color="auto"/>
          <w:color w:val="auto"/>
        </w:rPr>
        <w:t>Holdings</w:t>
      </w:r>
      <w:r>
        <w:rPr>
          <w:rFonts w:ascii="Arial" w:cs="Arial" w:eastAsia="Arial" w:hAnsi="Arial"/>
          <w:sz w:val="19"/>
          <w:szCs w:val="19"/>
          <w:color w:val="auto"/>
        </w:rPr>
        <w:t>. Holdings (and, if any, each Holding Company) will not:</w:t>
      </w:r>
    </w:p>
    <w:p>
      <w:pPr>
        <w:spacing w:after="0" w:line="179" w:lineRule="exact"/>
        <w:rPr>
          <w:sz w:val="20"/>
          <w:szCs w:val="20"/>
          <w:color w:val="auto"/>
        </w:rPr>
      </w:pPr>
    </w:p>
    <w:p>
      <w:pPr>
        <w:ind w:left="1760" w:hanging="456"/>
        <w:spacing w:after="0"/>
        <w:tabs>
          <w:tab w:leader="none" w:pos="1760" w:val="left"/>
        </w:tabs>
        <w:numPr>
          <w:ilvl w:val="0"/>
          <w:numId w:val="532"/>
        </w:numPr>
        <w:rPr>
          <w:rFonts w:ascii="Arial" w:cs="Arial" w:eastAsia="Arial" w:hAnsi="Arial"/>
          <w:sz w:val="22"/>
          <w:szCs w:val="22"/>
          <w:color w:val="auto"/>
        </w:rPr>
      </w:pPr>
      <w:r>
        <w:rPr>
          <w:rFonts w:ascii="Arial" w:cs="Arial" w:eastAsia="Arial" w:hAnsi="Arial"/>
          <w:sz w:val="22"/>
          <w:szCs w:val="22"/>
          <w:color w:val="auto"/>
        </w:rPr>
        <w:t>own the Equity Interests of any Subsidiary other than the Borrower;</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532"/>
        </w:numPr>
        <w:rPr>
          <w:rFonts w:ascii="Arial" w:cs="Arial" w:eastAsia="Arial" w:hAnsi="Arial"/>
          <w:sz w:val="22"/>
          <w:szCs w:val="22"/>
          <w:color w:val="auto"/>
        </w:rPr>
      </w:pPr>
      <w:r>
        <w:rPr>
          <w:rFonts w:ascii="Arial" w:cs="Arial" w:eastAsia="Arial" w:hAnsi="Arial"/>
          <w:sz w:val="22"/>
          <w:szCs w:val="22"/>
          <w:color w:val="auto"/>
        </w:rPr>
        <w:t>engage in any operations or business, other than:</w:t>
      </w:r>
    </w:p>
    <w:p>
      <w:pPr>
        <w:spacing w:after="0" w:line="179" w:lineRule="exact"/>
        <w:rPr>
          <w:rFonts w:ascii="Arial" w:cs="Arial" w:eastAsia="Arial" w:hAnsi="Arial"/>
          <w:sz w:val="22"/>
          <w:szCs w:val="22"/>
          <w:color w:val="auto"/>
        </w:rPr>
      </w:pPr>
    </w:p>
    <w:p>
      <w:pPr>
        <w:ind w:left="2040" w:hanging="412"/>
        <w:spacing w:after="0"/>
        <w:tabs>
          <w:tab w:leader="none" w:pos="2040" w:val="left"/>
        </w:tabs>
        <w:numPr>
          <w:ilvl w:val="2"/>
          <w:numId w:val="532"/>
        </w:numPr>
        <w:rPr>
          <w:rFonts w:ascii="Arial" w:cs="Arial" w:eastAsia="Arial" w:hAnsi="Arial"/>
          <w:sz w:val="22"/>
          <w:szCs w:val="22"/>
          <w:color w:val="auto"/>
        </w:rPr>
      </w:pPr>
      <w:r>
        <w:rPr>
          <w:rFonts w:ascii="Arial" w:cs="Arial" w:eastAsia="Arial" w:hAnsi="Arial"/>
          <w:sz w:val="22"/>
          <w:szCs w:val="22"/>
          <w:color w:val="auto"/>
        </w:rPr>
        <w:t>the ownership of its Subsidiaries and activities incidental thereto,</w:t>
      </w:r>
    </w:p>
    <w:p>
      <w:pPr>
        <w:spacing w:after="0" w:line="179" w:lineRule="exact"/>
        <w:rPr>
          <w:rFonts w:ascii="Arial" w:cs="Arial" w:eastAsia="Arial" w:hAnsi="Arial"/>
          <w:sz w:val="22"/>
          <w:szCs w:val="22"/>
          <w:color w:val="auto"/>
        </w:rPr>
      </w:pPr>
    </w:p>
    <w:p>
      <w:pPr>
        <w:ind w:left="2100" w:hanging="472"/>
        <w:spacing w:after="0"/>
        <w:tabs>
          <w:tab w:leader="none" w:pos="2100" w:val="left"/>
        </w:tabs>
        <w:numPr>
          <w:ilvl w:val="2"/>
          <w:numId w:val="532"/>
        </w:numPr>
        <w:rPr>
          <w:rFonts w:ascii="Arial" w:cs="Arial" w:eastAsia="Arial" w:hAnsi="Arial"/>
          <w:sz w:val="22"/>
          <w:szCs w:val="22"/>
          <w:color w:val="auto"/>
        </w:rPr>
      </w:pPr>
      <w:r>
        <w:rPr>
          <w:rFonts w:ascii="Arial" w:cs="Arial" w:eastAsia="Arial" w:hAnsi="Arial"/>
          <w:sz w:val="22"/>
          <w:szCs w:val="22"/>
          <w:color w:val="auto"/>
        </w:rPr>
        <w:t>as expressly permitted by this Agreement,</w:t>
      </w:r>
    </w:p>
    <w:p>
      <w:pPr>
        <w:spacing w:after="0" w:line="179" w:lineRule="exact"/>
        <w:rPr>
          <w:rFonts w:ascii="Arial" w:cs="Arial" w:eastAsia="Arial" w:hAnsi="Arial"/>
          <w:sz w:val="22"/>
          <w:szCs w:val="22"/>
          <w:color w:val="auto"/>
        </w:rPr>
      </w:pPr>
    </w:p>
    <w:p>
      <w:pPr>
        <w:ind w:left="980" w:right="500" w:firstLine="648"/>
        <w:spacing w:after="0" w:line="232" w:lineRule="auto"/>
        <w:tabs>
          <w:tab w:leader="none" w:pos="2222" w:val="left"/>
        </w:tabs>
        <w:numPr>
          <w:ilvl w:val="2"/>
          <w:numId w:val="532"/>
        </w:numPr>
        <w:rPr>
          <w:rFonts w:ascii="Arial" w:cs="Arial" w:eastAsia="Arial" w:hAnsi="Arial"/>
          <w:sz w:val="22"/>
          <w:szCs w:val="22"/>
          <w:color w:val="auto"/>
        </w:rPr>
      </w:pPr>
      <w:r>
        <w:rPr>
          <w:rFonts w:ascii="Arial" w:cs="Arial" w:eastAsia="Arial" w:hAnsi="Arial"/>
          <w:sz w:val="22"/>
          <w:szCs w:val="22"/>
          <w:color w:val="auto"/>
        </w:rPr>
        <w:t>in connection with its rights and obligations under the Loan Documents and the Second Lien Loan Documents or any other definitive documents for Indebtedness permitted hereunder,</w:t>
      </w:r>
    </w:p>
    <w:p>
      <w:pPr>
        <w:spacing w:after="0" w:line="158" w:lineRule="exact"/>
        <w:rPr>
          <w:rFonts w:ascii="Arial" w:cs="Arial" w:eastAsia="Arial" w:hAnsi="Arial"/>
          <w:sz w:val="22"/>
          <w:szCs w:val="22"/>
          <w:color w:val="auto"/>
        </w:rPr>
      </w:pPr>
    </w:p>
    <w:p>
      <w:pPr>
        <w:ind w:left="2220" w:hanging="592"/>
        <w:spacing w:after="0"/>
        <w:tabs>
          <w:tab w:leader="none" w:pos="2220" w:val="left"/>
        </w:tabs>
        <w:numPr>
          <w:ilvl w:val="2"/>
          <w:numId w:val="532"/>
        </w:numPr>
        <w:rPr>
          <w:rFonts w:ascii="Arial" w:cs="Arial" w:eastAsia="Arial" w:hAnsi="Arial"/>
          <w:sz w:val="22"/>
          <w:szCs w:val="22"/>
          <w:color w:val="auto"/>
        </w:rPr>
      </w:pPr>
      <w:r>
        <w:rPr>
          <w:rFonts w:ascii="Arial" w:cs="Arial" w:eastAsia="Arial" w:hAnsi="Arial"/>
          <w:sz w:val="22"/>
          <w:szCs w:val="22"/>
          <w:color w:val="auto"/>
        </w:rPr>
        <w:t>maintaining its corporate existence,</w:t>
      </w:r>
    </w:p>
    <w:p>
      <w:pPr>
        <w:spacing w:after="0" w:line="179" w:lineRule="exact"/>
        <w:rPr>
          <w:rFonts w:ascii="Arial" w:cs="Arial" w:eastAsia="Arial" w:hAnsi="Arial"/>
          <w:sz w:val="22"/>
          <w:szCs w:val="22"/>
          <w:color w:val="auto"/>
        </w:rPr>
      </w:pPr>
    </w:p>
    <w:p>
      <w:pPr>
        <w:ind w:left="2100" w:hanging="472"/>
        <w:spacing w:after="0"/>
        <w:tabs>
          <w:tab w:leader="none" w:pos="2100" w:val="left"/>
        </w:tabs>
        <w:numPr>
          <w:ilvl w:val="2"/>
          <w:numId w:val="532"/>
        </w:numPr>
        <w:rPr>
          <w:rFonts w:ascii="Arial" w:cs="Arial" w:eastAsia="Arial" w:hAnsi="Arial"/>
          <w:sz w:val="22"/>
          <w:szCs w:val="22"/>
          <w:color w:val="auto"/>
        </w:rPr>
      </w:pPr>
      <w:r>
        <w:rPr>
          <w:rFonts w:ascii="Arial" w:cs="Arial" w:eastAsia="Arial" w:hAnsi="Arial"/>
          <w:sz w:val="22"/>
          <w:szCs w:val="22"/>
          <w:color w:val="auto"/>
        </w:rPr>
        <w:t xml:space="preserve">making any Restricted Payments in accordance with </w:t>
      </w:r>
      <w:r>
        <w:rPr>
          <w:rFonts w:ascii="Arial" w:cs="Arial" w:eastAsia="Arial" w:hAnsi="Arial"/>
          <w:sz w:val="22"/>
          <w:szCs w:val="22"/>
          <w:u w:val="single" w:color="auto"/>
          <w:color w:val="auto"/>
        </w:rPr>
        <w:t>Section 6.06</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2160" w:hanging="532"/>
        <w:spacing w:after="0"/>
        <w:tabs>
          <w:tab w:leader="none" w:pos="2160" w:val="left"/>
        </w:tabs>
        <w:numPr>
          <w:ilvl w:val="2"/>
          <w:numId w:val="532"/>
        </w:numPr>
        <w:rPr>
          <w:rFonts w:ascii="Arial" w:cs="Arial" w:eastAsia="Arial" w:hAnsi="Arial"/>
          <w:sz w:val="22"/>
          <w:szCs w:val="22"/>
          <w:color w:val="auto"/>
        </w:rPr>
      </w:pPr>
      <w:r>
        <w:rPr>
          <w:rFonts w:ascii="Arial" w:cs="Arial" w:eastAsia="Arial" w:hAnsi="Arial"/>
          <w:sz w:val="22"/>
          <w:szCs w:val="22"/>
          <w:color w:val="auto"/>
        </w:rPr>
        <w:t>the buyback and sales of Equity Interests in accordance with this Agreement,</w:t>
      </w:r>
    </w:p>
    <w:p>
      <w:pPr>
        <w:spacing w:after="0" w:line="179" w:lineRule="exact"/>
        <w:rPr>
          <w:rFonts w:ascii="Arial" w:cs="Arial" w:eastAsia="Arial" w:hAnsi="Arial"/>
          <w:sz w:val="22"/>
          <w:szCs w:val="22"/>
          <w:color w:val="auto"/>
        </w:rPr>
      </w:pPr>
    </w:p>
    <w:p>
      <w:pPr>
        <w:ind w:left="2220" w:hanging="592"/>
        <w:spacing w:after="0"/>
        <w:tabs>
          <w:tab w:leader="none" w:pos="2220" w:val="left"/>
        </w:tabs>
        <w:numPr>
          <w:ilvl w:val="2"/>
          <w:numId w:val="532"/>
        </w:numPr>
        <w:rPr>
          <w:rFonts w:ascii="Arial" w:cs="Arial" w:eastAsia="Arial" w:hAnsi="Arial"/>
          <w:sz w:val="22"/>
          <w:szCs w:val="22"/>
          <w:color w:val="auto"/>
        </w:rPr>
      </w:pPr>
      <w:r>
        <w:rPr>
          <w:rFonts w:ascii="Arial" w:cs="Arial" w:eastAsia="Arial" w:hAnsi="Arial"/>
          <w:sz w:val="22"/>
          <w:szCs w:val="22"/>
          <w:color w:val="auto"/>
        </w:rPr>
        <w:t>making capital contributions to their respective Subsidiaries,</w:t>
      </w:r>
    </w:p>
    <w:p>
      <w:pPr>
        <w:spacing w:after="0" w:line="179" w:lineRule="exact"/>
        <w:rPr>
          <w:rFonts w:ascii="Arial" w:cs="Arial" w:eastAsia="Arial" w:hAnsi="Arial"/>
          <w:sz w:val="22"/>
          <w:szCs w:val="22"/>
          <w:color w:val="auto"/>
        </w:rPr>
      </w:pPr>
    </w:p>
    <w:p>
      <w:pPr>
        <w:ind w:left="980" w:right="720" w:firstLine="648"/>
        <w:spacing w:after="0" w:line="232" w:lineRule="auto"/>
        <w:tabs>
          <w:tab w:leader="none" w:pos="2276" w:val="left"/>
        </w:tabs>
        <w:numPr>
          <w:ilvl w:val="2"/>
          <w:numId w:val="532"/>
        </w:numPr>
        <w:rPr>
          <w:rFonts w:ascii="Arial" w:cs="Arial" w:eastAsia="Arial" w:hAnsi="Arial"/>
          <w:sz w:val="22"/>
          <w:szCs w:val="22"/>
          <w:color w:val="auto"/>
        </w:rPr>
      </w:pPr>
      <w:r>
        <w:rPr>
          <w:rFonts w:ascii="Arial" w:cs="Arial" w:eastAsia="Arial" w:hAnsi="Arial"/>
          <w:sz w:val="22"/>
          <w:szCs w:val="22"/>
          <w:color w:val="auto"/>
        </w:rPr>
        <w:t>taking actions in furtherance of and consummating an IPO, and fulfilling all initial and ongoing obligations related thereto,</w:t>
      </w:r>
    </w:p>
    <w:p>
      <w:pPr>
        <w:spacing w:after="0" w:line="158" w:lineRule="exact"/>
        <w:rPr>
          <w:rFonts w:ascii="Arial" w:cs="Arial" w:eastAsia="Arial" w:hAnsi="Arial"/>
          <w:sz w:val="22"/>
          <w:szCs w:val="22"/>
          <w:color w:val="auto"/>
        </w:rPr>
      </w:pPr>
    </w:p>
    <w:p>
      <w:pPr>
        <w:ind w:left="980" w:right="620" w:firstLine="567"/>
        <w:spacing w:after="0" w:line="298" w:lineRule="auto"/>
        <w:tabs>
          <w:tab w:leader="none" w:pos="2075" w:val="left"/>
        </w:tabs>
        <w:numPr>
          <w:ilvl w:val="1"/>
          <w:numId w:val="532"/>
        </w:numPr>
        <w:rPr>
          <w:rFonts w:ascii="Arial" w:cs="Arial" w:eastAsia="Arial" w:hAnsi="Arial"/>
          <w:sz w:val="19"/>
          <w:szCs w:val="19"/>
          <w:color w:val="auto"/>
        </w:rPr>
      </w:pPr>
      <w:r>
        <w:rPr>
          <w:rFonts w:ascii="Arial" w:cs="Arial" w:eastAsia="Arial" w:hAnsi="Arial"/>
          <w:sz w:val="19"/>
          <w:szCs w:val="19"/>
          <w:color w:val="auto"/>
        </w:rPr>
        <w:t>financing activities, including the issuance of securities, incurrence of debt, receipt and payment of dividends and distributions and making contributions to the capital of the Borrower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62" w:name="page463"/>
    <w:bookmarkEnd w:id="462"/>
    <w:p>
      <w:pPr>
        <w:ind w:left="980" w:right="80" w:firstLine="486"/>
        <w:spacing w:after="0" w:line="232" w:lineRule="auto"/>
        <w:tabs>
          <w:tab w:leader="none" w:pos="1988" w:val="left"/>
        </w:tabs>
        <w:numPr>
          <w:ilvl w:val="1"/>
          <w:numId w:val="533"/>
        </w:numPr>
        <w:rPr>
          <w:rFonts w:ascii="Arial" w:cs="Arial" w:eastAsia="Arial" w:hAnsi="Arial"/>
          <w:sz w:val="22"/>
          <w:szCs w:val="22"/>
          <w:color w:val="auto"/>
        </w:rPr>
      </w:pPr>
      <w:r>
        <w:rPr>
          <w:rFonts w:ascii="Arial" w:cs="Arial" w:eastAsia="Arial" w:hAnsi="Arial"/>
          <w:sz w:val="22"/>
          <w:szCs w:val="22"/>
          <w:color w:val="auto"/>
        </w:rPr>
        <w:t>participating in tax, accounting and other administrative matters as a member of the consolidated group of any Parent Entity, Holdings and the Borrower,</w:t>
      </w:r>
    </w:p>
    <w:p>
      <w:pPr>
        <w:spacing w:after="0" w:line="158" w:lineRule="exact"/>
        <w:rPr>
          <w:rFonts w:ascii="Arial" w:cs="Arial" w:eastAsia="Arial" w:hAnsi="Arial"/>
          <w:sz w:val="22"/>
          <w:szCs w:val="22"/>
          <w:color w:val="auto"/>
        </w:rPr>
      </w:pPr>
    </w:p>
    <w:p>
      <w:pPr>
        <w:ind w:left="980" w:firstLine="648"/>
        <w:spacing w:after="0" w:line="298" w:lineRule="auto"/>
        <w:tabs>
          <w:tab w:leader="none" w:pos="2210" w:val="left"/>
        </w:tabs>
        <w:numPr>
          <w:ilvl w:val="2"/>
          <w:numId w:val="533"/>
        </w:numPr>
        <w:rPr>
          <w:rFonts w:ascii="Arial" w:cs="Arial" w:eastAsia="Arial" w:hAnsi="Arial"/>
          <w:sz w:val="19"/>
          <w:szCs w:val="19"/>
          <w:color w:val="auto"/>
        </w:rPr>
      </w:pPr>
      <w:r>
        <w:rPr>
          <w:rFonts w:ascii="Arial" w:cs="Arial" w:eastAsia="Arial" w:hAnsi="Arial"/>
          <w:sz w:val="19"/>
          <w:szCs w:val="19"/>
          <w:color w:val="auto"/>
        </w:rPr>
        <w:t>incurring fees, costs and expenses relating to overhead and general operating including professional fees for legal, tax and accounting issues and paying taxes and providing indemnification to officers and directors, or</w:t>
      </w:r>
    </w:p>
    <w:p>
      <w:pPr>
        <w:spacing w:after="0" w:line="105" w:lineRule="exact"/>
        <w:rPr>
          <w:rFonts w:ascii="Arial" w:cs="Arial" w:eastAsia="Arial" w:hAnsi="Arial"/>
          <w:sz w:val="19"/>
          <w:szCs w:val="19"/>
          <w:color w:val="auto"/>
        </w:rPr>
      </w:pPr>
    </w:p>
    <w:p>
      <w:pPr>
        <w:ind w:left="2220" w:hanging="592"/>
        <w:spacing w:after="0"/>
        <w:tabs>
          <w:tab w:leader="none" w:pos="2220" w:val="left"/>
        </w:tabs>
        <w:numPr>
          <w:ilvl w:val="2"/>
          <w:numId w:val="533"/>
        </w:numPr>
        <w:rPr>
          <w:rFonts w:ascii="Arial" w:cs="Arial" w:eastAsia="Arial" w:hAnsi="Arial"/>
          <w:sz w:val="22"/>
          <w:szCs w:val="22"/>
          <w:color w:val="auto"/>
        </w:rPr>
      </w:pPr>
      <w:r>
        <w:rPr>
          <w:rFonts w:ascii="Arial" w:cs="Arial" w:eastAsia="Arial" w:hAnsi="Arial"/>
          <w:sz w:val="22"/>
          <w:szCs w:val="22"/>
          <w:color w:val="auto"/>
        </w:rPr>
        <w:t xml:space="preserve">activities incidental to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(xi)</w:t>
      </w:r>
      <w:r>
        <w:rPr>
          <w:rFonts w:ascii="Arial" w:cs="Arial" w:eastAsia="Arial" w:hAnsi="Arial"/>
          <w:sz w:val="22"/>
          <w:szCs w:val="22"/>
          <w:color w:val="auto"/>
        </w:rPr>
        <w:t xml:space="preserve"> above and the maintenance of its existence;</w:t>
      </w:r>
    </w:p>
    <w:p>
      <w:pPr>
        <w:spacing w:after="0" w:line="179" w:lineRule="exact"/>
        <w:rPr>
          <w:rFonts w:ascii="Arial" w:cs="Arial" w:eastAsia="Arial" w:hAnsi="Arial"/>
          <w:sz w:val="22"/>
          <w:szCs w:val="22"/>
          <w:color w:val="auto"/>
        </w:rPr>
      </w:pPr>
    </w:p>
    <w:p>
      <w:pPr>
        <w:ind w:firstLine="1304"/>
        <w:spacing w:after="0" w:line="247" w:lineRule="auto"/>
        <w:tabs>
          <w:tab w:leader="none" w:pos="1766" w:val="left"/>
        </w:tabs>
        <w:numPr>
          <w:ilvl w:val="0"/>
          <w:numId w:val="534"/>
        </w:numPr>
        <w:rPr>
          <w:rFonts w:ascii="Arial" w:cs="Arial" w:eastAsia="Arial" w:hAnsi="Arial"/>
          <w:sz w:val="21"/>
          <w:szCs w:val="21"/>
          <w:color w:val="auto"/>
        </w:rPr>
      </w:pPr>
      <w:r>
        <w:rPr>
          <w:rFonts w:ascii="Arial" w:cs="Arial" w:eastAsia="Arial" w:hAnsi="Arial"/>
          <w:sz w:val="21"/>
          <w:szCs w:val="21"/>
          <w:color w:val="auto"/>
        </w:rPr>
        <w:t xml:space="preserve">create or suffer to exist any Lien other than non-consensual Liens on Equity Interests of the Borrower owned by it, other than in connection with Guarantees of Indebtedness of the Borrower permitted by </w:t>
      </w:r>
      <w:r>
        <w:rPr>
          <w:rFonts w:ascii="Arial" w:cs="Arial" w:eastAsia="Arial" w:hAnsi="Arial"/>
          <w:sz w:val="21"/>
          <w:szCs w:val="21"/>
          <w:u w:val="single" w:color="auto"/>
          <w:color w:val="auto"/>
        </w:rPr>
        <w:t>Section 6.01</w:t>
      </w:r>
      <w:r>
        <w:rPr>
          <w:rFonts w:ascii="Arial" w:cs="Arial" w:eastAsia="Arial" w:hAnsi="Arial"/>
          <w:sz w:val="21"/>
          <w:szCs w:val="21"/>
          <w:color w:val="auto"/>
        </w:rPr>
        <w:t>; or</w:t>
      </w:r>
    </w:p>
    <w:p>
      <w:pPr>
        <w:spacing w:after="0" w:line="150" w:lineRule="exact"/>
        <w:rPr>
          <w:rFonts w:ascii="Arial" w:cs="Arial" w:eastAsia="Arial" w:hAnsi="Arial"/>
          <w:sz w:val="21"/>
          <w:szCs w:val="21"/>
          <w:color w:val="auto"/>
        </w:rPr>
      </w:pPr>
    </w:p>
    <w:p>
      <w:pPr>
        <w:jc w:val="both"/>
        <w:ind w:firstLine="1304"/>
        <w:spacing w:after="0" w:line="223" w:lineRule="auto"/>
        <w:tabs>
          <w:tab w:leader="none" w:pos="1978" w:val="left"/>
        </w:tabs>
        <w:numPr>
          <w:ilvl w:val="0"/>
          <w:numId w:val="534"/>
        </w:numPr>
        <w:rPr>
          <w:rFonts w:ascii="Arial" w:cs="Arial" w:eastAsia="Arial" w:hAnsi="Arial"/>
          <w:sz w:val="22"/>
          <w:szCs w:val="22"/>
          <w:color w:val="auto"/>
        </w:rPr>
      </w:pPr>
      <w:r>
        <w:rPr>
          <w:rFonts w:ascii="Arial" w:cs="Arial" w:eastAsia="Arial" w:hAnsi="Arial"/>
          <w:sz w:val="22"/>
          <w:szCs w:val="22"/>
          <w:color w:val="auto"/>
        </w:rPr>
        <w:t>consolidate or amalgamate with, or merge with or into, or convey, sell or otherwise transfer all or substantially all of its assets to, any other Person or permit any other Person to merge into or consolidate or amalgamate with it, except that:</w:t>
      </w:r>
    </w:p>
    <w:p>
      <w:pPr>
        <w:spacing w:after="0" w:line="159" w:lineRule="exact"/>
        <w:rPr>
          <w:sz w:val="20"/>
          <w:szCs w:val="20"/>
          <w:color w:val="auto"/>
        </w:rPr>
      </w:pPr>
    </w:p>
    <w:p>
      <w:pPr>
        <w:jc w:val="both"/>
        <w:ind w:left="660" w:firstLine="644"/>
        <w:spacing w:after="0" w:line="216" w:lineRule="auto"/>
        <w:tabs>
          <w:tab w:leader="none" w:pos="1732" w:val="left"/>
        </w:tabs>
        <w:numPr>
          <w:ilvl w:val="0"/>
          <w:numId w:val="535"/>
        </w:numPr>
        <w:rPr>
          <w:rFonts w:ascii="Arial" w:cs="Arial" w:eastAsia="Arial" w:hAnsi="Arial"/>
          <w:sz w:val="22"/>
          <w:szCs w:val="22"/>
          <w:color w:val="auto"/>
        </w:rPr>
      </w:pPr>
      <w:r>
        <w:rPr>
          <w:rFonts w:ascii="Arial" w:cs="Arial" w:eastAsia="Arial" w:hAnsi="Arial"/>
          <w:sz w:val="22"/>
          <w:szCs w:val="22"/>
          <w:color w:val="auto"/>
        </w:rPr>
        <w:t xml:space="preserve">any Holding Company may merge into or consolidate or amalgamate with another Holding Company as long, as after giving effect thereto, all Equity Interests of the Borrower (other than directors’ and other similar qualifying shares) are owned, directly or indirectly, by Holdings or a successor passive holding company that is a Loan Party and complies with this </w:t>
      </w:r>
      <w:r>
        <w:rPr>
          <w:rFonts w:ascii="Arial" w:cs="Arial" w:eastAsia="Arial" w:hAnsi="Arial"/>
          <w:sz w:val="22"/>
          <w:szCs w:val="22"/>
          <w:u w:val="single" w:color="auto"/>
          <w:color w:val="auto"/>
        </w:rPr>
        <w:t>Section 6.14</w:t>
      </w:r>
      <w:r>
        <w:rPr>
          <w:rFonts w:ascii="Arial" w:cs="Arial" w:eastAsia="Arial" w:hAnsi="Arial"/>
          <w:sz w:val="22"/>
          <w:szCs w:val="22"/>
          <w:color w:val="auto"/>
        </w:rPr>
        <w:t xml:space="preserve"> and that pledges the Equity Interests owned by it in the Borrower (such entity, the “</w:t>
      </w:r>
      <w:r>
        <w:rPr>
          <w:rFonts w:ascii="Arial" w:cs="Arial" w:eastAsia="Arial" w:hAnsi="Arial"/>
          <w:sz w:val="22"/>
          <w:szCs w:val="22"/>
          <w:u w:val="single" w:color="auto"/>
          <w:color w:val="auto"/>
        </w:rPr>
        <w:t>Successor Holdings</w:t>
      </w:r>
      <w:r>
        <w:rPr>
          <w:rFonts w:ascii="Arial" w:cs="Arial" w:eastAsia="Arial" w:hAnsi="Arial"/>
          <w:sz w:val="22"/>
          <w:szCs w:val="22"/>
          <w:color w:val="auto"/>
        </w:rPr>
        <w:t>”); and</w:t>
      </w:r>
    </w:p>
    <w:p>
      <w:pPr>
        <w:spacing w:after="0" w:line="157" w:lineRule="exact"/>
        <w:rPr>
          <w:rFonts w:ascii="Arial" w:cs="Arial" w:eastAsia="Arial" w:hAnsi="Arial"/>
          <w:sz w:val="22"/>
          <w:szCs w:val="22"/>
          <w:color w:val="auto"/>
        </w:rPr>
      </w:pPr>
    </w:p>
    <w:p>
      <w:pPr>
        <w:jc w:val="both"/>
        <w:ind w:left="660" w:firstLine="644"/>
        <w:spacing w:after="0" w:line="229" w:lineRule="auto"/>
        <w:tabs>
          <w:tab w:leader="none" w:pos="1800" w:val="left"/>
        </w:tabs>
        <w:numPr>
          <w:ilvl w:val="0"/>
          <w:numId w:val="535"/>
        </w:numPr>
        <w:rPr>
          <w:rFonts w:ascii="Arial" w:cs="Arial" w:eastAsia="Arial" w:hAnsi="Arial"/>
          <w:sz w:val="21"/>
          <w:szCs w:val="21"/>
          <w:color w:val="auto"/>
        </w:rPr>
      </w:pPr>
      <w:r>
        <w:rPr>
          <w:rFonts w:ascii="Arial" w:cs="Arial" w:eastAsia="Arial" w:hAnsi="Arial"/>
          <w:sz w:val="21"/>
          <w:szCs w:val="21"/>
          <w:color w:val="auto"/>
        </w:rPr>
        <w:t>any Holding Company may transfer all or any portion of its assets (upon liquidation, dissolution, winding up or any similar transaction) to any other Holding Company or any Subsidiary of Holdings that is a Loan Party so long as, after giving effect thereto, Holdings or a Successor Holdings continues to own directly or indirectly 100% of the Equity Interests of the Borrower (other than director’s and other similar qualifying shares).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jc w:val="center"/>
        <w:spacing w:after="0"/>
        <w:rPr>
          <w:sz w:val="20"/>
          <w:szCs w:val="20"/>
          <w:color w:val="auto"/>
        </w:rPr>
      </w:pPr>
      <w:r>
        <w:rPr>
          <w:rFonts w:ascii="Arial" w:cs="Arial" w:eastAsia="Arial" w:hAnsi="Arial"/>
          <w:sz w:val="22"/>
          <w:szCs w:val="22"/>
          <w:u w:val="single" w:color="auto"/>
          <w:color w:val="auto"/>
        </w:rPr>
        <w:t>Events of Default</w:t>
      </w:r>
    </w:p>
    <w:p>
      <w:pPr>
        <w:spacing w:after="0" w:line="142"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2"/>
          <w:szCs w:val="22"/>
          <w:u w:val="single" w:color="auto"/>
          <w:color w:val="auto"/>
        </w:rPr>
        <w:t>Section 7.01</w:t>
      </w:r>
      <w:r>
        <w:rPr>
          <w:sz w:val="20"/>
          <w:szCs w:val="20"/>
          <w:color w:val="auto"/>
        </w:rPr>
        <w:tab/>
      </w:r>
      <w:r>
        <w:rPr>
          <w:rFonts w:ascii="Arial" w:cs="Arial" w:eastAsia="Arial" w:hAnsi="Arial"/>
          <w:sz w:val="21"/>
          <w:szCs w:val="21"/>
          <w:u w:val="single" w:color="auto"/>
          <w:color w:val="auto"/>
        </w:rPr>
        <w:t>Events of Default</w:t>
      </w:r>
      <w:r>
        <w:rPr>
          <w:rFonts w:ascii="Arial" w:cs="Arial" w:eastAsia="Arial" w:hAnsi="Arial"/>
          <w:sz w:val="21"/>
          <w:szCs w:val="21"/>
          <w:color w:val="auto"/>
        </w:rPr>
        <w:t>. If any of the following events (any such event, an “</w:t>
      </w:r>
      <w:r>
        <w:rPr>
          <w:rFonts w:ascii="Arial" w:cs="Arial" w:eastAsia="Arial" w:hAnsi="Arial"/>
          <w:sz w:val="21"/>
          <w:szCs w:val="21"/>
          <w:u w:val="single" w:color="auto"/>
          <w:color w:val="auto"/>
        </w:rPr>
        <w:t>Event of Default</w:t>
      </w:r>
      <w:r>
        <w:rPr>
          <w:rFonts w:ascii="Arial" w:cs="Arial" w:eastAsia="Arial" w:hAnsi="Arial"/>
          <w:sz w:val="21"/>
          <w:szCs w:val="21"/>
          <w:color w:val="auto"/>
        </w:rPr>
        <w:t>”) shall</w:t>
      </w:r>
    </w:p>
    <w:p>
      <w:pPr>
        <w:spacing w:after="0"/>
        <w:rPr>
          <w:sz w:val="20"/>
          <w:szCs w:val="20"/>
          <w:color w:val="auto"/>
        </w:rPr>
      </w:pPr>
      <w:r>
        <w:rPr>
          <w:rFonts w:ascii="Arial" w:cs="Arial" w:eastAsia="Arial" w:hAnsi="Arial"/>
          <w:sz w:val="22"/>
          <w:szCs w:val="22"/>
          <w:color w:val="auto"/>
        </w:rPr>
        <w:t>occur:</w:t>
      </w:r>
    </w:p>
    <w:p>
      <w:pPr>
        <w:spacing w:after="0" w:line="161" w:lineRule="exact"/>
        <w:rPr>
          <w:sz w:val="20"/>
          <w:szCs w:val="20"/>
          <w:color w:val="auto"/>
        </w:rPr>
      </w:pPr>
    </w:p>
    <w:p>
      <w:pPr>
        <w:ind w:firstLine="1304"/>
        <w:spacing w:after="0" w:line="247" w:lineRule="auto"/>
        <w:tabs>
          <w:tab w:leader="none" w:pos="1861" w:val="left"/>
        </w:tabs>
        <w:numPr>
          <w:ilvl w:val="0"/>
          <w:numId w:val="536"/>
        </w:numPr>
        <w:rPr>
          <w:rFonts w:ascii="Arial" w:cs="Arial" w:eastAsia="Arial" w:hAnsi="Arial"/>
          <w:sz w:val="21"/>
          <w:szCs w:val="21"/>
          <w:color w:val="auto"/>
        </w:rPr>
      </w:pPr>
      <w:r>
        <w:rPr>
          <w:rFonts w:ascii="Arial" w:cs="Arial" w:eastAsia="Arial" w:hAnsi="Arial"/>
          <w:sz w:val="21"/>
          <w:szCs w:val="21"/>
          <w:color w:val="auto"/>
        </w:rPr>
        <w:t>the Borrower or any other Loan Party shall fail to pay any principal of any Loan or any reimbursement obligation in respect of any LC Disbursement when and as the same shall become due and payable;</w:t>
      </w:r>
    </w:p>
    <w:p>
      <w:pPr>
        <w:spacing w:after="0" w:line="150" w:lineRule="exact"/>
        <w:rPr>
          <w:rFonts w:ascii="Arial" w:cs="Arial" w:eastAsia="Arial" w:hAnsi="Arial"/>
          <w:sz w:val="21"/>
          <w:szCs w:val="21"/>
          <w:color w:val="auto"/>
        </w:rPr>
      </w:pPr>
    </w:p>
    <w:p>
      <w:pPr>
        <w:jc w:val="both"/>
        <w:ind w:firstLine="1304"/>
        <w:spacing w:after="0" w:line="257" w:lineRule="auto"/>
        <w:tabs>
          <w:tab w:leader="none" w:pos="1818" w:val="left"/>
        </w:tabs>
        <w:numPr>
          <w:ilvl w:val="0"/>
          <w:numId w:val="536"/>
        </w:numPr>
        <w:rPr>
          <w:rFonts w:ascii="Arial" w:cs="Arial" w:eastAsia="Arial" w:hAnsi="Arial"/>
          <w:sz w:val="19"/>
          <w:szCs w:val="19"/>
          <w:color w:val="auto"/>
        </w:rPr>
      </w:pPr>
      <w:r>
        <w:rPr>
          <w:rFonts w:ascii="Arial" w:cs="Arial" w:eastAsia="Arial" w:hAnsi="Arial"/>
          <w:sz w:val="19"/>
          <w:szCs w:val="19"/>
          <w:color w:val="auto"/>
        </w:rPr>
        <w:t>the Borrower or any other Loan Party shall fail to pay (x) any interest on any Loan, when and as the same shall become due and payable, and such failure shall continue unremedied for a period of five (5) Business Days or (y) any fee payable hereunder or any other amount due under this Agreement or any other Loan Document, when and as the same shall become due and payable, and such failure shall continue unremedied for a period of five (5) Business Days;</w:t>
      </w:r>
    </w:p>
    <w:p>
      <w:pPr>
        <w:spacing w:after="0" w:line="144" w:lineRule="exact"/>
        <w:rPr>
          <w:rFonts w:ascii="Arial" w:cs="Arial" w:eastAsia="Arial" w:hAnsi="Arial"/>
          <w:sz w:val="19"/>
          <w:szCs w:val="19"/>
          <w:color w:val="auto"/>
        </w:rPr>
      </w:pPr>
    </w:p>
    <w:p>
      <w:pPr>
        <w:jc w:val="both"/>
        <w:ind w:firstLine="1304"/>
        <w:spacing w:after="0" w:line="229" w:lineRule="auto"/>
        <w:tabs>
          <w:tab w:leader="none" w:pos="1775" w:val="left"/>
        </w:tabs>
        <w:numPr>
          <w:ilvl w:val="0"/>
          <w:numId w:val="536"/>
        </w:numPr>
        <w:rPr>
          <w:rFonts w:ascii="Arial" w:cs="Arial" w:eastAsia="Arial" w:hAnsi="Arial"/>
          <w:sz w:val="21"/>
          <w:szCs w:val="21"/>
          <w:color w:val="auto"/>
        </w:rPr>
      </w:pPr>
      <w:r>
        <w:rPr>
          <w:rFonts w:ascii="Arial" w:cs="Arial" w:eastAsia="Arial" w:hAnsi="Arial"/>
          <w:sz w:val="21"/>
          <w:szCs w:val="21"/>
          <w:color w:val="auto"/>
        </w:rPr>
        <w:t>any representation, warranty or certification made or deemed made by any Loan Party herein or in any other Loan Document or that is contained in any certificate or other document furnished by it at any time under or in connection with this Agreement or any such other Loan Document shall be false or incorrect in any material respect (or if qualified by materiality, in any respect) as of the date made or deemed made or furnished and (except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63" w:name="page464"/>
    <w:bookmarkEnd w:id="463"/>
    <w:p>
      <w:pPr>
        <w:jc w:val="both"/>
        <w:spacing w:after="0" w:line="257" w:lineRule="auto"/>
        <w:rPr>
          <w:sz w:val="20"/>
          <w:szCs w:val="20"/>
          <w:color w:val="auto"/>
        </w:rPr>
      </w:pPr>
      <w:r>
        <w:rPr>
          <w:rFonts w:ascii="Arial" w:cs="Arial" w:eastAsia="Arial" w:hAnsi="Arial"/>
          <w:sz w:val="19"/>
          <w:szCs w:val="19"/>
          <w:color w:val="auto"/>
        </w:rPr>
        <w:t>case of any Specified Representation or any Specified Recapitalization Agreement Representation), if the inaccuracy of such representation, warranty or certification is capable of being cured, such representation, warranty or certification shall continue to be false or incorrect in any material respect (or if qualified by materiality, in any respect) for a period of thirty (30) days (which thirty (30) day period shall begin upon receipt by the Borrower of written notice from the Administrative Agent);</w:t>
      </w:r>
    </w:p>
    <w:p>
      <w:pPr>
        <w:spacing w:after="0" w:line="144" w:lineRule="exact"/>
        <w:rPr>
          <w:sz w:val="20"/>
          <w:szCs w:val="20"/>
          <w:color w:val="auto"/>
        </w:rPr>
      </w:pPr>
    </w:p>
    <w:p>
      <w:pPr>
        <w:jc w:val="both"/>
        <w:ind w:firstLine="1304"/>
        <w:spacing w:after="0" w:line="244" w:lineRule="auto"/>
        <w:tabs>
          <w:tab w:leader="none" w:pos="1891" w:val="left"/>
        </w:tabs>
        <w:numPr>
          <w:ilvl w:val="0"/>
          <w:numId w:val="537"/>
        </w:numPr>
        <w:rPr>
          <w:rFonts w:ascii="Arial" w:cs="Arial" w:eastAsia="Arial" w:hAnsi="Arial"/>
          <w:sz w:val="19"/>
          <w:szCs w:val="19"/>
          <w:color w:val="auto"/>
        </w:rPr>
      </w:pPr>
      <w:r>
        <w:rPr>
          <w:rFonts w:ascii="Arial" w:cs="Arial" w:eastAsia="Arial" w:hAnsi="Arial"/>
          <w:sz w:val="19"/>
          <w:szCs w:val="19"/>
          <w:color w:val="auto"/>
        </w:rPr>
        <w:t xml:space="preserve">the Borrower shall default in the performance of or compliance with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delivery of a notice of Default or Event of Default at any time will cure an Event of Default under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arising from the failure of the Borrower to timely deliver such notice of Default or Event of Default),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(solely with respect to the existence of the Borrower in its jurisdiction of incorporation) or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default in the performance of or compliance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(x) is subject to cure as provided in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and (y) shall not constitute an Event of Default for purposes of any Term Loan unless and until the Required Revolving Lenders shall have terminated the Revolving Commitments or accelerated the Revolving Loans and declared the Revolving Loans due and payable in accordance with this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(which Event of Default shall terminate automatically and immediately upon the Required Revolving Lenders’ rescinding such acceleration and/or waiving such Event of Default in accordance with the terms hereof);</w:t>
      </w:r>
    </w:p>
    <w:p>
      <w:pPr>
        <w:spacing w:after="0" w:line="160" w:lineRule="exact"/>
        <w:rPr>
          <w:rFonts w:ascii="Arial" w:cs="Arial" w:eastAsia="Arial" w:hAnsi="Arial"/>
          <w:sz w:val="19"/>
          <w:szCs w:val="19"/>
          <w:color w:val="auto"/>
        </w:rPr>
      </w:pPr>
    </w:p>
    <w:p>
      <w:pPr>
        <w:jc w:val="both"/>
        <w:ind w:firstLine="1304"/>
        <w:spacing w:after="0" w:line="226" w:lineRule="auto"/>
        <w:tabs>
          <w:tab w:leader="none" w:pos="1787" w:val="left"/>
        </w:tabs>
        <w:numPr>
          <w:ilvl w:val="0"/>
          <w:numId w:val="537"/>
        </w:numPr>
        <w:rPr>
          <w:rFonts w:ascii="Arial" w:cs="Arial" w:eastAsia="Arial" w:hAnsi="Arial"/>
          <w:sz w:val="21"/>
          <w:szCs w:val="21"/>
          <w:color w:val="auto"/>
        </w:rPr>
      </w:pPr>
      <w:r>
        <w:rPr>
          <w:rFonts w:ascii="Arial" w:cs="Arial" w:eastAsia="Arial" w:hAnsi="Arial"/>
          <w:sz w:val="21"/>
          <w:szCs w:val="21"/>
          <w:color w:val="auto"/>
        </w:rPr>
        <w:t xml:space="preserve">(i) The Borrower shall default in the performance of or compliance with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and such default shall continue unremedied and unwaived for a period of thirty (30) days, or (ii) any Loan Party shall default in the performance of or compliance with any term contained in any Loan Document (other than those specified in </w:t>
      </w:r>
      <w:r>
        <w:rPr>
          <w:rFonts w:ascii="Arial" w:cs="Arial" w:eastAsia="Arial" w:hAnsi="Arial"/>
          <w:sz w:val="21"/>
          <w:szCs w:val="21"/>
          <w:u w:val="single" w:color="auto"/>
          <w:color w:val="auto"/>
        </w:rPr>
        <w:t>paragraph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(d)</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7.01</w:t>
      </w:r>
      <w:r>
        <w:rPr>
          <w:rFonts w:ascii="Arial" w:cs="Arial" w:eastAsia="Arial" w:hAnsi="Arial"/>
          <w:sz w:val="21"/>
          <w:szCs w:val="21"/>
          <w:color w:val="auto"/>
        </w:rPr>
        <w:t>), and such default shall continue unremedied and unwaived for a period of thirty (30) days after receipt by the Borrower of written notice thereof from the Administrative Agent or the Required Lenders;</w:t>
      </w:r>
    </w:p>
    <w:p>
      <w:pPr>
        <w:spacing w:after="0" w:line="159" w:lineRule="exact"/>
        <w:rPr>
          <w:rFonts w:ascii="Arial" w:cs="Arial" w:eastAsia="Arial" w:hAnsi="Arial"/>
          <w:sz w:val="21"/>
          <w:szCs w:val="21"/>
          <w:color w:val="auto"/>
        </w:rPr>
      </w:pPr>
    </w:p>
    <w:p>
      <w:pPr>
        <w:jc w:val="both"/>
        <w:ind w:firstLine="1304"/>
        <w:spacing w:after="0" w:line="246" w:lineRule="auto"/>
        <w:tabs>
          <w:tab w:leader="none" w:pos="1732" w:val="left"/>
        </w:tabs>
        <w:numPr>
          <w:ilvl w:val="0"/>
          <w:numId w:val="537"/>
        </w:numPr>
        <w:rPr>
          <w:rFonts w:ascii="Arial" w:cs="Arial" w:eastAsia="Arial" w:hAnsi="Arial"/>
          <w:sz w:val="19"/>
          <w:szCs w:val="19"/>
          <w:color w:val="auto"/>
        </w:rPr>
      </w:pPr>
      <w:r>
        <w:rPr>
          <w:rFonts w:ascii="Arial" w:cs="Arial" w:eastAsia="Arial" w:hAnsi="Arial"/>
          <w:sz w:val="19"/>
          <w:szCs w:val="19"/>
          <w:color w:val="auto"/>
        </w:rPr>
        <w:t xml:space="preserve">any Holding Company, the Borrower or any Restricted Subsidiary shall fail to make any payment (whether of principal or interest and regardless of amount) in respect of any Material Indebtedness, when and as the same shall become due and payable after giving effect to any applicable grace periods provided in the applicable instrument or agreement under which such Material Indebtedness was created;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Event of Default pursuant to this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shall be deemed to cease to exist and no longer be outstanding to the extent any such failure that has been (x) remedied by the applicable Holding Company, Borrower or applicable Restricted Subsidiary within the applicable grace period or (y) waived (including in the form of amendment) by the requisite holders of the applicable item of Material Indebtedness, in either case, prior to the acceleration of all the Loans pursuant to this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firstLine="1304"/>
        <w:spacing w:after="0" w:line="219" w:lineRule="auto"/>
        <w:tabs>
          <w:tab w:leader="none" w:pos="1839" w:val="left"/>
        </w:tabs>
        <w:numPr>
          <w:ilvl w:val="0"/>
          <w:numId w:val="537"/>
        </w:numPr>
        <w:rPr>
          <w:rFonts w:ascii="Arial" w:cs="Arial" w:eastAsia="Arial" w:hAnsi="Arial"/>
          <w:sz w:val="21"/>
          <w:szCs w:val="21"/>
          <w:color w:val="auto"/>
        </w:rPr>
      </w:pPr>
      <w:r>
        <w:rPr>
          <w:rFonts w:ascii="Arial" w:cs="Arial" w:eastAsia="Arial" w:hAnsi="Arial"/>
          <w:sz w:val="21"/>
          <w:szCs w:val="21"/>
          <w:color w:val="auto"/>
        </w:rPr>
        <w:t xml:space="preserve">(i) any breach or default (after all applicable grace periods having expired and all required notices having been given) by any Holding Company, the Borrower or any Restricted Subsidiary of any Material Indebtedness if the effect of such breach or default is to cause such Material Indebtedness to become due prior to its scheduled maturity or that enables or permits (with all applicable grace periods having expired and all required notices having been given)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(1) this </w:t>
      </w:r>
      <w:r>
        <w:rPr>
          <w:rFonts w:ascii="Arial" w:cs="Arial" w:eastAsia="Arial" w:hAnsi="Arial"/>
          <w:sz w:val="21"/>
          <w:szCs w:val="21"/>
          <w:u w:val="single" w:color="auto"/>
          <w:color w:val="auto"/>
        </w:rPr>
        <w:t>paragraph (g)</w:t>
      </w:r>
      <w:r>
        <w:rPr>
          <w:rFonts w:ascii="Arial" w:cs="Arial" w:eastAsia="Arial" w:hAnsi="Arial"/>
          <w:sz w:val="21"/>
          <w:szCs w:val="21"/>
          <w:color w:val="auto"/>
        </w:rPr>
        <w:t xml:space="preserve"> shall not apply to (A)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Indebtedness which is convertible into Equity Interests that converts to Equity Interests (other than Disqualified Equity Interests) in accordance with its terms or (2) an Event of Default pursuant to this paragraph (g) shall be deemed to cease to exist and no longer be outstanding to the extent such breach or default (x)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64" w:name="page465"/>
    <w:bookmarkEnd w:id="464"/>
    <w:p>
      <w:pPr>
        <w:jc w:val="both"/>
        <w:spacing w:after="0" w:line="241" w:lineRule="auto"/>
        <w:rPr>
          <w:sz w:val="20"/>
          <w:szCs w:val="20"/>
          <w:color w:val="auto"/>
        </w:rPr>
      </w:pPr>
      <w:r>
        <w:rPr>
          <w:rFonts w:ascii="Arial" w:cs="Arial" w:eastAsia="Arial" w:hAnsi="Arial"/>
          <w:sz w:val="19"/>
          <w:szCs w:val="19"/>
          <w:color w:val="auto"/>
        </w:rPr>
        <w:t xml:space="preserve">remedied by the applicable Holding Company, Borrower or the applicable Restricted Subsidiary within the applicable grace period or (y) waived (including in the form of amendment) by the requisite holders of the applicable item of Material Indebtedness, in either case, prior to the acceleration of all the Loans pursuant to this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or (ii) if an involuntary “early termination event” or other similar event (which event shall extend beyond any applicable cure periods or grace periods) shall have occurred in respect of obligations owing under any Swap Agreement of any Holding Company, the Borrower or any Restricted Subsidiary, and the amount of such obligations, either individually or in the aggregate for all such Swap Agreements at such time, is in excess of the greater of (a) $25,000,000 and (b) 25% of LTM EBITDA for the most recently ended Test Period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respect of obligations owing under any such Swap Agreement to the applicable counterparty at such time, the amount for purposes of this </w:t>
      </w:r>
      <w:r>
        <w:rPr>
          <w:rFonts w:ascii="Arial" w:cs="Arial" w:eastAsia="Arial" w:hAnsi="Arial"/>
          <w:sz w:val="19"/>
          <w:szCs w:val="19"/>
          <w:u w:val="single" w:color="auto"/>
          <w:color w:val="auto"/>
        </w:rPr>
        <w:t>Section 7.01(g)(ii)</w:t>
      </w:r>
      <w:r>
        <w:rPr>
          <w:rFonts w:ascii="Arial" w:cs="Arial" w:eastAsia="Arial" w:hAnsi="Arial"/>
          <w:sz w:val="19"/>
          <w:szCs w:val="19"/>
          <w:color w:val="auto"/>
        </w:rPr>
        <w:t xml:space="preserve"> shall be the amount payable on a net basis by such Holding Company, the Borrower or such Restricted Subsidiary to such counterparty (after giving effect to all netting arrangements) if such Swap Agreement were terminated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Event of Default pursuant to this </w:t>
      </w:r>
      <w:r>
        <w:rPr>
          <w:rFonts w:ascii="Arial" w:cs="Arial" w:eastAsia="Arial" w:hAnsi="Arial"/>
          <w:sz w:val="19"/>
          <w:szCs w:val="19"/>
          <w:u w:val="single" w:color="auto"/>
          <w:color w:val="auto"/>
        </w:rPr>
        <w:t>paragraph (g)(ii)</w:t>
      </w:r>
      <w:r>
        <w:rPr>
          <w:rFonts w:ascii="Arial" w:cs="Arial" w:eastAsia="Arial" w:hAnsi="Arial"/>
          <w:sz w:val="19"/>
          <w:szCs w:val="19"/>
          <w:color w:val="auto"/>
        </w:rPr>
        <w:t xml:space="preserve"> shall be deemed to cease to exist and no longer be outstanding to the extent any such event that has been (x) remedied by the applicable Holding Company, Borrower or the applicable Restricted Subsidiary within the applicable grace period or (y) waived (including in the form of amendment) by the applicable counterparty, in either case, prior to the acceleration of all the Loans pursuant to this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384" w:lineRule="exact"/>
        <w:rPr>
          <w:sz w:val="20"/>
          <w:szCs w:val="20"/>
          <w:color w:val="auto"/>
        </w:rPr>
      </w:pPr>
    </w:p>
    <w:p>
      <w:pPr>
        <w:jc w:val="both"/>
        <w:ind w:firstLine="1304"/>
        <w:spacing w:after="0" w:line="243" w:lineRule="auto"/>
        <w:tabs>
          <w:tab w:leader="none" w:pos="1983" w:val="left"/>
        </w:tabs>
        <w:numPr>
          <w:ilvl w:val="0"/>
          <w:numId w:val="538"/>
        </w:numPr>
        <w:rPr>
          <w:rFonts w:ascii="Arial" w:cs="Arial" w:eastAsia="Arial" w:hAnsi="Arial"/>
          <w:sz w:val="19"/>
          <w:szCs w:val="19"/>
          <w:color w:val="auto"/>
        </w:rPr>
      </w:pPr>
      <w:r>
        <w:rPr>
          <w:rFonts w:ascii="Arial" w:cs="Arial" w:eastAsia="Arial" w:hAnsi="Arial"/>
          <w:sz w:val="19"/>
          <w:szCs w:val="19"/>
          <w:color w:val="auto"/>
        </w:rPr>
        <w:t>(i) an involuntary proceeding shall be commenced or an involuntary petition shall be filed seeking liquidation, reorganization (by way of voluntary arrangement, scheme of arrangement or otherwise), winding up, suspension of payments, a moratorium of any indebtedness, dissolution, administration or other relief in respect of any Holding Company, the Borrower or any other Restricted Subsidiary (other than an Immaterial Subsidiary (excluding the Holding Companies)), or of all or a substantial part of its assets, under any Federal, state or foreign bankruptcy, insolvency, receivership, examinership or similar law now or hereafter in effect or (ii) the involuntary appointment of a receiver, interim receiver, receiver-manager, trustee, custodian, sequestrator, conservator, examiner, liquidator, administrative receiver, administrator, compulsory manager or similar official for any Holding Company, the Borrower or any other Restricted Subsidiary (other than an Immaterial Subsidiary (excluding the Holding Companies)) or for a substantial part of its assets, and, in any such case, such proceeding shall continue undismissed and unstayed for 60 consecutive days without having been dismissed, bonded or discharged or an order of relief is entered in any such proceeding;</w:t>
      </w:r>
    </w:p>
    <w:p>
      <w:pPr>
        <w:spacing w:after="0" w:line="379" w:lineRule="exact"/>
        <w:rPr>
          <w:rFonts w:ascii="Arial" w:cs="Arial" w:eastAsia="Arial" w:hAnsi="Arial"/>
          <w:sz w:val="19"/>
          <w:szCs w:val="19"/>
          <w:color w:val="auto"/>
        </w:rPr>
      </w:pPr>
    </w:p>
    <w:p>
      <w:pPr>
        <w:jc w:val="both"/>
        <w:ind w:firstLine="1304"/>
        <w:spacing w:after="0" w:line="244" w:lineRule="auto"/>
        <w:tabs>
          <w:tab w:leader="none" w:pos="1731" w:val="left"/>
        </w:tabs>
        <w:numPr>
          <w:ilvl w:val="0"/>
          <w:numId w:val="538"/>
        </w:numPr>
        <w:rPr>
          <w:rFonts w:ascii="Arial" w:cs="Arial" w:eastAsia="Arial" w:hAnsi="Arial"/>
          <w:sz w:val="19"/>
          <w:szCs w:val="19"/>
          <w:color w:val="auto"/>
        </w:rPr>
      </w:pPr>
      <w:r>
        <w:rPr>
          <w:rFonts w:ascii="Arial" w:cs="Arial" w:eastAsia="Arial" w:hAnsi="Arial"/>
          <w:sz w:val="19"/>
          <w:szCs w:val="19"/>
          <w:color w:val="auto"/>
        </w:rPr>
        <w:t xml:space="preserve">any Holding Company, the Borrower or any other Restricted Subsidiary (other than an Immaterial Subsidiary (excluding the Holding Companies)) shall (i) voluntarily commence any proceeding seeking liquidation, reorganization (by way of voluntary arrangement, scheme of arrangement or otherwise), winding up, suspension of payments, a moratorium of any indebtedness, dissolution, administration or other relief under any Federal, state, provincial, territorial or foreign bankruptcy, insolvency, receivership, examinership or similar law now or hereafter in effect, (ii) consent to the institution of any proceeding or petition described in </w:t>
      </w:r>
      <w:r>
        <w:rPr>
          <w:rFonts w:ascii="Arial" w:cs="Arial" w:eastAsia="Arial" w:hAnsi="Arial"/>
          <w:sz w:val="19"/>
          <w:szCs w:val="19"/>
          <w:u w:val="single" w:color="auto"/>
          <w:color w:val="auto"/>
        </w:rPr>
        <w:t>paragraph (h)</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7.01</w:t>
      </w:r>
      <w:r>
        <w:rPr>
          <w:rFonts w:ascii="Arial" w:cs="Arial" w:eastAsia="Arial" w:hAnsi="Arial"/>
          <w:sz w:val="19"/>
          <w:szCs w:val="19"/>
          <w:color w:val="auto"/>
        </w:rPr>
        <w:t>, (iii) consent to the appointment of a receiver, interim receiver, receiver-manager, trustee, custodian, sequestrator, conservator, examiner, liquidator, administrative receiver, administrator, compulsory manager or similar official for any Holding Company, the Borrower or any other Restricted Subsidiary (other than an Immaterial Subsidiary (excluding the Holding Companies)) or for all or a substantial part of its assets or (iv) make a general assignment for the benefit of creditors;</w:t>
      </w:r>
    </w:p>
    <w:p>
      <w:pPr>
        <w:spacing w:after="0" w:line="154" w:lineRule="exact"/>
        <w:rPr>
          <w:rFonts w:ascii="Arial" w:cs="Arial" w:eastAsia="Arial" w:hAnsi="Arial"/>
          <w:sz w:val="19"/>
          <w:szCs w:val="19"/>
          <w:color w:val="auto"/>
        </w:rPr>
      </w:pPr>
    </w:p>
    <w:p>
      <w:pPr>
        <w:jc w:val="both"/>
        <w:ind w:firstLine="1304"/>
        <w:spacing w:after="0" w:line="229" w:lineRule="auto"/>
        <w:tabs>
          <w:tab w:leader="none" w:pos="1809" w:val="left"/>
        </w:tabs>
        <w:numPr>
          <w:ilvl w:val="0"/>
          <w:numId w:val="538"/>
        </w:numPr>
        <w:rPr>
          <w:rFonts w:ascii="Arial" w:cs="Arial" w:eastAsia="Arial" w:hAnsi="Arial"/>
          <w:sz w:val="21"/>
          <w:szCs w:val="21"/>
          <w:color w:val="auto"/>
        </w:rPr>
      </w:pPr>
      <w:r>
        <w:rPr>
          <w:rFonts w:ascii="Arial" w:cs="Arial" w:eastAsia="Arial" w:hAnsi="Arial"/>
          <w:sz w:val="21"/>
          <w:szCs w:val="21"/>
          <w:color w:val="auto"/>
        </w:rPr>
        <w:t>any final, non-appealable judgment(s) for the payment of money in an aggregate amount in excess of the greater of (a) $25,000,000 and (b) 25% of LTM EBITDA for the most recently ended Test Period at such time (to the extent not covered by insurance or indemnities as to which the applicable insurance company or third party has not denied coverage) shall be rendered against any Holding Company, the Borrower or any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65" w:name="page466"/>
    <w:bookmarkEnd w:id="465"/>
    <w:p>
      <w:pPr>
        <w:spacing w:after="0" w:line="232" w:lineRule="auto"/>
        <w:rPr>
          <w:sz w:val="20"/>
          <w:szCs w:val="20"/>
          <w:color w:val="auto"/>
        </w:rPr>
      </w:pPr>
      <w:r>
        <w:rPr>
          <w:rFonts w:ascii="Arial" w:cs="Arial" w:eastAsia="Arial" w:hAnsi="Arial"/>
          <w:sz w:val="22"/>
          <w:szCs w:val="22"/>
          <w:color w:val="auto"/>
        </w:rPr>
        <w:t>Subsidiary (other than an Immaterial Subsidiary (excluding the Holding Companies)) or any combination thereof and the same shall remain undischarged, unvacated, unbounded and unstayed for a period of 60 consecutive days;</w:t>
      </w:r>
    </w:p>
    <w:p>
      <w:pPr>
        <w:spacing w:after="0" w:line="15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9"/>
          <w:szCs w:val="19"/>
          <w:color w:val="auto"/>
        </w:rPr>
        <w:t>(k)</w:t>
      </w:r>
      <w:r>
        <w:rPr>
          <w:sz w:val="20"/>
          <w:szCs w:val="20"/>
          <w:color w:val="auto"/>
        </w:rPr>
        <w:tab/>
      </w:r>
      <w:r>
        <w:rPr>
          <w:rFonts w:ascii="Arial" w:cs="Arial" w:eastAsia="Arial" w:hAnsi="Arial"/>
          <w:sz w:val="19"/>
          <w:szCs w:val="19"/>
          <w:color w:val="auto"/>
        </w:rPr>
        <w:t>an ERISA Event shall have occurred that would reasonably be expected to result in a Material Adverse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Effect;</w:t>
      </w:r>
    </w:p>
    <w:p>
      <w:pPr>
        <w:spacing w:after="0" w:line="161" w:lineRule="exact"/>
        <w:rPr>
          <w:sz w:val="20"/>
          <w:szCs w:val="20"/>
          <w:color w:val="auto"/>
        </w:rPr>
      </w:pPr>
    </w:p>
    <w:p>
      <w:pPr>
        <w:jc w:val="both"/>
        <w:ind w:firstLine="1304"/>
        <w:spacing w:after="0" w:line="220" w:lineRule="auto"/>
        <w:tabs>
          <w:tab w:leader="none" w:pos="1752" w:val="left"/>
        </w:tabs>
        <w:numPr>
          <w:ilvl w:val="0"/>
          <w:numId w:val="539"/>
        </w:numPr>
        <w:rPr>
          <w:rFonts w:ascii="Arial" w:cs="Arial" w:eastAsia="Arial" w:hAnsi="Arial"/>
          <w:sz w:val="21"/>
          <w:szCs w:val="21"/>
          <w:color w:val="auto"/>
        </w:rPr>
      </w:pPr>
      <w:r>
        <w:rPr>
          <w:rFonts w:ascii="Arial" w:cs="Arial" w:eastAsia="Arial" w:hAnsi="Arial"/>
          <w:sz w:val="21"/>
          <w:szCs w:val="21"/>
          <w:color w:val="auto"/>
        </w:rPr>
        <w:t xml:space="preserve">any Lien purported to be created under any Security Document shall cease to be, or shall be asserted by any Loan Party not to be (other than in an informational notice to the Administrative Agent), a valid and perfected (if and to the extent required to be perfected under the applicable Security Document) Lien on any Collateral with a fair value in excess of the greater of (a) $25,000,000 and (b) 25% of LTM EBITDA for the most recently ended Test Period at such time at any time, with the priority required by the applicable Security Document (subject to Liens permitted under </w:t>
      </w:r>
      <w:r>
        <w:rPr>
          <w:rFonts w:ascii="Arial" w:cs="Arial" w:eastAsia="Arial" w:hAnsi="Arial"/>
          <w:sz w:val="21"/>
          <w:szCs w:val="21"/>
          <w:u w:val="single" w:color="auto"/>
          <w:color w:val="auto"/>
        </w:rPr>
        <w:t>Section 6.02</w:t>
      </w:r>
      <w:r>
        <w:rPr>
          <w:rFonts w:ascii="Arial" w:cs="Arial" w:eastAsia="Arial" w:hAnsi="Arial"/>
          <w:sz w:val="21"/>
          <w:szCs w:val="21"/>
          <w:color w:val="auto"/>
        </w:rPr>
        <w:t>), except (i) as a result of the release of a Loan Party or the sale, transfer or other disposition of the applicable Collateral other than to a Loan Party (including as a result of the designation of a Restricted Subsidiary as an Unrestricted Subsidiary) in a transaction permitted under the Loan Documents or the occurrence of the Termination Date or (ii) as a result of any action of the Administrative Agent, Collateral Agent or any Lender or the failure of the Administrative Agent, Collateral Agent, or any Lender to take any action that is within its control;</w:t>
      </w:r>
    </w:p>
    <w:p>
      <w:pPr>
        <w:spacing w:after="0" w:line="162" w:lineRule="exact"/>
        <w:rPr>
          <w:rFonts w:ascii="Arial" w:cs="Arial" w:eastAsia="Arial" w:hAnsi="Arial"/>
          <w:sz w:val="21"/>
          <w:szCs w:val="21"/>
          <w:color w:val="auto"/>
        </w:rPr>
      </w:pPr>
    </w:p>
    <w:p>
      <w:pPr>
        <w:jc w:val="both"/>
        <w:ind w:firstLine="1304"/>
        <w:spacing w:after="0" w:line="212" w:lineRule="auto"/>
        <w:tabs>
          <w:tab w:leader="none" w:pos="1829" w:val="left"/>
        </w:tabs>
        <w:numPr>
          <w:ilvl w:val="0"/>
          <w:numId w:val="539"/>
        </w:numPr>
        <w:rPr>
          <w:rFonts w:ascii="Arial" w:cs="Arial" w:eastAsia="Arial" w:hAnsi="Arial"/>
          <w:sz w:val="22"/>
          <w:szCs w:val="22"/>
          <w:color w:val="auto"/>
        </w:rPr>
      </w:pPr>
      <w:r>
        <w:rPr>
          <w:rFonts w:ascii="Arial" w:cs="Arial" w:eastAsia="Arial" w:hAnsi="Arial"/>
          <w:sz w:val="22"/>
          <w:szCs w:val="22"/>
          <w:color w:val="auto"/>
        </w:rPr>
        <w:t>at any time after the execution and delivery thereof, any material portion of the Guarantee of the Obligations under any Guaranty shall for any reason other than the occurrence of the Termination Date or as expressly permitted hereunder or thereunder (including or as a result of a transaction permitted hereunder) cease to be in full force and effect, or any Loan Party shall contest the validity or enforceability in writing or repudiate, rescind or deny in writing that it has any further liability or obligation under any Loan Document other than as a result of the occurrence of the Termination Date, the sale or transfer of such Loan Party (including the designation as an Unrestricted Subsidiary) or as a result of a transaction permitted hereunder or thereunder;</w:t>
      </w:r>
    </w:p>
    <w:p>
      <w:pPr>
        <w:spacing w:after="0" w:line="163" w:lineRule="exact"/>
        <w:rPr>
          <w:rFonts w:ascii="Arial" w:cs="Arial" w:eastAsia="Arial" w:hAnsi="Arial"/>
          <w:sz w:val="22"/>
          <w:szCs w:val="22"/>
          <w:color w:val="auto"/>
        </w:rPr>
      </w:pPr>
    </w:p>
    <w:p>
      <w:pPr>
        <w:jc w:val="both"/>
        <w:ind w:firstLine="1304"/>
        <w:spacing w:after="0" w:line="224" w:lineRule="auto"/>
        <w:tabs>
          <w:tab w:leader="none" w:pos="1788" w:val="left"/>
        </w:tabs>
        <w:numPr>
          <w:ilvl w:val="0"/>
          <w:numId w:val="539"/>
        </w:numPr>
        <w:rPr>
          <w:rFonts w:ascii="Arial" w:cs="Arial" w:eastAsia="Arial" w:hAnsi="Arial"/>
          <w:sz w:val="21"/>
          <w:szCs w:val="21"/>
          <w:color w:val="auto"/>
        </w:rPr>
      </w:pPr>
      <w:r>
        <w:rPr>
          <w:rFonts w:ascii="Arial" w:cs="Arial" w:eastAsia="Arial" w:hAnsi="Arial"/>
          <w:sz w:val="21"/>
          <w:szCs w:val="21"/>
          <w:color w:val="auto"/>
        </w:rPr>
        <w:t>the subordination provisions of any agreement or instrument governing any Subordinated Indebtedness shall for any reason other than the occurrence of the Termination Date cease to be in full force and effect, in any material respect, or any Loan Party shall contest the validity or enforceability in writing or repudiate, rescind or deny in writing that it has any further liability or obligation thereunder other than as a result of the occurrence of the Termination Date, or the Obligations, for any reason shall not in any material respect have the priority contemplated by this Agreement, the Second Lien Intercreditor Agreement or such subordination provisions; or</w:t>
      </w:r>
    </w:p>
    <w:p>
      <w:pPr>
        <w:spacing w:after="0" w:line="159" w:lineRule="exact"/>
        <w:rPr>
          <w:rFonts w:ascii="Arial" w:cs="Arial" w:eastAsia="Arial" w:hAnsi="Arial"/>
          <w:sz w:val="21"/>
          <w:szCs w:val="21"/>
          <w:color w:val="auto"/>
        </w:rPr>
      </w:pPr>
    </w:p>
    <w:p>
      <w:pPr>
        <w:ind w:left="1780" w:hanging="476"/>
        <w:spacing w:after="0"/>
        <w:tabs>
          <w:tab w:leader="none" w:pos="1780" w:val="left"/>
        </w:tabs>
        <w:numPr>
          <w:ilvl w:val="0"/>
          <w:numId w:val="539"/>
        </w:numPr>
        <w:rPr>
          <w:rFonts w:ascii="Arial" w:cs="Arial" w:eastAsia="Arial" w:hAnsi="Arial"/>
          <w:sz w:val="22"/>
          <w:szCs w:val="22"/>
          <w:color w:val="auto"/>
        </w:rPr>
      </w:pPr>
      <w:r>
        <w:rPr>
          <w:rFonts w:ascii="Arial" w:cs="Arial" w:eastAsia="Arial" w:hAnsi="Arial"/>
          <w:sz w:val="22"/>
          <w:szCs w:val="22"/>
          <w:color w:val="auto"/>
        </w:rPr>
        <w:t>a Change in Control shall have occurred,</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 xml:space="preserve">then, and in every such event (I) (other than an event with respect to Holdings or the Borrower described in </w:t>
      </w:r>
      <w:r>
        <w:rPr>
          <w:rFonts w:ascii="Arial" w:cs="Arial" w:eastAsia="Arial" w:hAnsi="Arial"/>
          <w:sz w:val="19"/>
          <w:szCs w:val="19"/>
          <w:u w:val="single" w:color="auto"/>
          <w:color w:val="auto"/>
        </w:rPr>
        <w:t>paragraph (h)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and at any time thereafter during the continuance of such event, the Administrative Agent with the consent of the Required Lenders (or, in the case of an event described in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above arising from a breach of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that does not constitute an Event of Default for purposes of any Term Loans, the Required Revolving Lenders) may, and at the request of the Required Lenders (or, in the case of an event described in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above arising from a breach of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that does not constitute an Event of Default for purposes of any Term Loans, the Required Revolving Lenders) shall, by notice to the Borrower, take any or all of the following actions, at the same or different times: (i) terminate the Commitments (or, in the case of an event described in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above arising from a breach of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that does not constitute an Event of Default for purposes of any Term Loans, the Revolving Commitments), and thereupon the Commitments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66" w:name="page467"/>
    <w:bookmarkEnd w:id="466"/>
    <w:p>
      <w:pPr>
        <w:jc w:val="both"/>
        <w:spacing w:after="0" w:line="242" w:lineRule="auto"/>
        <w:rPr>
          <w:sz w:val="20"/>
          <w:szCs w:val="20"/>
          <w:color w:val="auto"/>
        </w:rPr>
      </w:pPr>
      <w:r>
        <w:rPr>
          <w:rFonts w:ascii="Arial" w:cs="Arial" w:eastAsia="Arial" w:hAnsi="Arial"/>
          <w:sz w:val="19"/>
          <w:szCs w:val="19"/>
          <w:color w:val="auto"/>
        </w:rPr>
        <w:t xml:space="preserve">the Revolving Commitments, as the case may be) shall terminate immediately; (ii) declare the Loans (or, in the case of an event described in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above arising from a breach of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that does not constitute an Event of Default for purposes of any Term Loans, the Revolving Loans) then outstanding to be due and payable in whole (or in part, in which case any principal not so declared to be due and payable may thereafter, during the continuance of such event, be declared to be due and payable), and thereupon the principal of the Loans (or the Revolving Loans, as the case may be)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that the Borrower Cash Collateralize the outstanding Letters of Credit; and (II) in the case of any event with respect to Holdings or the Borrower described in </w:t>
      </w:r>
      <w:r>
        <w:rPr>
          <w:rFonts w:ascii="Arial" w:cs="Arial" w:eastAsia="Arial" w:hAnsi="Arial"/>
          <w:sz w:val="19"/>
          <w:szCs w:val="19"/>
          <w:u w:val="single" w:color="auto"/>
          <w:color w:val="auto"/>
        </w:rPr>
        <w:t>paragraph (h)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7.01, the Commitments shall automatically terminate and the principal of the Loans then outstanding, together with accrued interest thereon and all fees and other obligations of the Borrower accrued hereunder, shall automatically become due and payable by the Borrower, without presentment, demand, protest or other notice of any kind, all of which are hereby waived by the Borrower.</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Notwithstanding anything to the contrary contained herein, no Event of Default shall be deemed to be “continuing” or “existing” if the events, act or condition that gave rise to such Event of Default have been remedied or cured or have ceased to exist.</w:t>
      </w:r>
    </w:p>
    <w:p>
      <w:pPr>
        <w:spacing w:after="0" w:line="1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7.02</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7.03</w:t>
      </w:r>
      <w:r>
        <w:rPr>
          <w:sz w:val="20"/>
          <w:szCs w:val="20"/>
          <w:color w:val="auto"/>
        </w:rPr>
        <w:tab/>
      </w:r>
      <w:r>
        <w:rPr>
          <w:rFonts w:ascii="Arial" w:cs="Arial" w:eastAsia="Arial" w:hAnsi="Arial"/>
          <w:sz w:val="19"/>
          <w:szCs w:val="19"/>
          <w:u w:val="single" w:color="auto"/>
          <w:color w:val="auto"/>
        </w:rPr>
        <w:t>Application of Proceeds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6" w:lineRule="auto"/>
        <w:tabs>
          <w:tab w:leader="none" w:pos="1914" w:val="left"/>
        </w:tabs>
        <w:numPr>
          <w:ilvl w:val="0"/>
          <w:numId w:val="540"/>
        </w:numPr>
        <w:rPr>
          <w:rFonts w:ascii="Arial" w:cs="Arial" w:eastAsia="Arial" w:hAnsi="Arial"/>
          <w:sz w:val="22"/>
          <w:szCs w:val="22"/>
          <w:color w:val="auto"/>
        </w:rPr>
      </w:pPr>
      <w:r>
        <w:rPr>
          <w:rFonts w:ascii="Arial" w:cs="Arial" w:eastAsia="Arial" w:hAnsi="Arial"/>
          <w:sz w:val="22"/>
          <w:szCs w:val="22"/>
          <w:color w:val="auto"/>
        </w:rPr>
        <w:t xml:space="preserve">Subject to the terms of the Second Lien Intercreditor Agreement, upon the occurrence and during the continuation of an Event of Default, if requested by Required Lenders, or upon acceleration of all the Obligations pursuant to </w:t>
      </w:r>
      <w:r>
        <w:rPr>
          <w:rFonts w:ascii="Arial" w:cs="Arial" w:eastAsia="Arial" w:hAnsi="Arial"/>
          <w:sz w:val="22"/>
          <w:szCs w:val="22"/>
          <w:u w:val="single" w:color="auto"/>
          <w:color w:val="auto"/>
        </w:rPr>
        <w:t>Section 7.01</w:t>
      </w:r>
      <w:r>
        <w:rPr>
          <w:rFonts w:ascii="Arial" w:cs="Arial" w:eastAsia="Arial" w:hAnsi="Arial"/>
          <w:sz w:val="22"/>
          <w:szCs w:val="22"/>
          <w:color w:val="auto"/>
        </w:rPr>
        <w:t>, all proceeds received by the Administrative Agent or the Collateral Agent in respect of any sale of, collection from, or other realization upon all or any part of the Collateral under any Loan Document (collectively, “</w:t>
      </w:r>
      <w:r>
        <w:rPr>
          <w:rFonts w:ascii="Arial" w:cs="Arial" w:eastAsia="Arial" w:hAnsi="Arial"/>
          <w:sz w:val="22"/>
          <w:szCs w:val="22"/>
          <w:u w:val="single" w:color="auto"/>
          <w:color w:val="auto"/>
        </w:rPr>
        <w:t>Application Proceeds</w:t>
      </w:r>
      <w:r>
        <w:rPr>
          <w:rFonts w:ascii="Arial" w:cs="Arial" w:eastAsia="Arial" w:hAnsi="Arial"/>
          <w:sz w:val="22"/>
          <w:szCs w:val="22"/>
          <w:color w:val="auto"/>
        </w:rPr>
        <w:t>”) shall be applied by the Administrative Agent as follows:</w:t>
      </w:r>
    </w:p>
    <w:p>
      <w:pPr>
        <w:spacing w:after="0" w:line="158" w:lineRule="exact"/>
        <w:rPr>
          <w:sz w:val="20"/>
          <w:szCs w:val="20"/>
          <w:color w:val="auto"/>
        </w:rPr>
      </w:pPr>
    </w:p>
    <w:p>
      <w:pPr>
        <w:ind w:left="660" w:firstLine="644"/>
        <w:spacing w:after="0" w:line="232" w:lineRule="auto"/>
        <w:tabs>
          <w:tab w:leader="none" w:pos="1900" w:val="left"/>
        </w:tabs>
        <w:numPr>
          <w:ilvl w:val="0"/>
          <w:numId w:val="541"/>
        </w:numPr>
        <w:rPr>
          <w:rFonts w:ascii="Arial" w:cs="Arial" w:eastAsia="Arial" w:hAnsi="Arial"/>
          <w:sz w:val="22"/>
          <w:szCs w:val="22"/>
          <w:color w:val="auto"/>
        </w:rPr>
      </w:pPr>
      <w:r>
        <w:rPr>
          <w:rFonts w:ascii="Arial" w:cs="Arial" w:eastAsia="Arial" w:hAnsi="Arial"/>
          <w:sz w:val="22"/>
          <w:szCs w:val="22"/>
          <w:i w:val="1"/>
          <w:iCs w:val="1"/>
          <w:color w:val="auto"/>
        </w:rPr>
        <w:t>First</w:t>
      </w:r>
      <w:r>
        <w:rPr>
          <w:rFonts w:ascii="Arial" w:cs="Arial" w:eastAsia="Arial" w:hAnsi="Arial"/>
          <w:sz w:val="22"/>
          <w:szCs w:val="22"/>
          <w:color w:val="auto"/>
        </w:rPr>
        <w:t>, to payment of that portion of the Obligations constituting fees, indemnities, expenses and other</w:t>
      </w:r>
      <w:r>
        <w:rPr>
          <w:rFonts w:ascii="Arial" w:cs="Arial" w:eastAsia="Arial" w:hAnsi="Arial"/>
          <w:sz w:val="22"/>
          <w:szCs w:val="22"/>
          <w:i w:val="1"/>
          <w:iCs w:val="1"/>
          <w:color w:val="auto"/>
        </w:rPr>
        <w:t xml:space="preserve"> </w:t>
      </w:r>
      <w:r>
        <w:rPr>
          <w:rFonts w:ascii="Arial" w:cs="Arial" w:eastAsia="Arial" w:hAnsi="Arial"/>
          <w:sz w:val="22"/>
          <w:szCs w:val="22"/>
          <w:color w:val="auto"/>
        </w:rPr>
        <w:t>amounts (other than principal and interest) payable to each Agent in its capacity as such;</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797" w:val="left"/>
        </w:tabs>
        <w:numPr>
          <w:ilvl w:val="0"/>
          <w:numId w:val="541"/>
        </w:numPr>
        <w:rPr>
          <w:rFonts w:ascii="Arial" w:cs="Arial" w:eastAsia="Arial" w:hAnsi="Arial"/>
          <w:sz w:val="22"/>
          <w:szCs w:val="22"/>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to payment of that portion of the Obligations constituting fees, indemnities and other amounts (other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than principal and interest) payable to the Lenders, ratably among them in proportion to the amounts described in this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payable to them;</w:t>
      </w:r>
    </w:p>
    <w:p>
      <w:pPr>
        <w:spacing w:after="0" w:line="158" w:lineRule="exact"/>
        <w:rPr>
          <w:rFonts w:ascii="Arial" w:cs="Arial" w:eastAsia="Arial" w:hAnsi="Arial"/>
          <w:sz w:val="22"/>
          <w:szCs w:val="22"/>
          <w:color w:val="auto"/>
        </w:rPr>
      </w:pPr>
    </w:p>
    <w:p>
      <w:pPr>
        <w:jc w:val="both"/>
        <w:ind w:left="660" w:firstLine="644"/>
        <w:spacing w:after="0" w:line="218" w:lineRule="auto"/>
        <w:tabs>
          <w:tab w:leader="none" w:pos="1874" w:val="left"/>
        </w:tabs>
        <w:numPr>
          <w:ilvl w:val="0"/>
          <w:numId w:val="541"/>
        </w:numPr>
        <w:rPr>
          <w:rFonts w:ascii="Arial" w:cs="Arial" w:eastAsia="Arial" w:hAnsi="Arial"/>
          <w:sz w:val="22"/>
          <w:szCs w:val="22"/>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to payment of that portion of the Obligations constituting accrued and unpaid interest (including, but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not limited to, post-petition interest) and periodic payments in respect of Secured Swap Agreements, ratably among the Lenders and the Lender Counterparties, in proportion to the respective amounts described in this </w:t>
      </w:r>
      <w:r>
        <w:rPr>
          <w:rFonts w:ascii="Arial" w:cs="Arial" w:eastAsia="Arial" w:hAnsi="Arial"/>
          <w:sz w:val="22"/>
          <w:szCs w:val="22"/>
          <w:u w:val="single" w:color="auto"/>
          <w:color w:val="auto"/>
        </w:rPr>
        <w:t>clause (iii)</w:t>
      </w:r>
      <w:r>
        <w:rPr>
          <w:rFonts w:ascii="Arial" w:cs="Arial" w:eastAsia="Arial" w:hAnsi="Arial"/>
          <w:sz w:val="22"/>
          <w:szCs w:val="22"/>
          <w:color w:val="auto"/>
        </w:rPr>
        <w:t xml:space="preserve"> payable to them;</w:t>
      </w:r>
    </w:p>
    <w:p>
      <w:pPr>
        <w:spacing w:after="0" w:line="160" w:lineRule="exact"/>
        <w:rPr>
          <w:rFonts w:ascii="Arial" w:cs="Arial" w:eastAsia="Arial" w:hAnsi="Arial"/>
          <w:sz w:val="22"/>
          <w:szCs w:val="22"/>
          <w:color w:val="auto"/>
        </w:rPr>
      </w:pPr>
    </w:p>
    <w:p>
      <w:pPr>
        <w:jc w:val="both"/>
        <w:ind w:left="660" w:firstLine="644"/>
        <w:spacing w:after="0" w:line="226" w:lineRule="auto"/>
        <w:tabs>
          <w:tab w:leader="none" w:pos="1993" w:val="left"/>
        </w:tabs>
        <w:numPr>
          <w:ilvl w:val="0"/>
          <w:numId w:val="541"/>
        </w:numPr>
        <w:rPr>
          <w:rFonts w:ascii="Arial" w:cs="Arial" w:eastAsia="Arial" w:hAnsi="Arial"/>
          <w:sz w:val="21"/>
          <w:szCs w:val="21"/>
          <w:color w:val="auto"/>
        </w:rPr>
      </w:pPr>
      <w:r>
        <w:rPr>
          <w:rFonts w:ascii="Arial" w:cs="Arial" w:eastAsia="Arial" w:hAnsi="Arial"/>
          <w:sz w:val="21"/>
          <w:szCs w:val="21"/>
          <w:i w:val="1"/>
          <w:iCs w:val="1"/>
          <w:color w:val="auto"/>
        </w:rPr>
        <w:t>Fourth</w:t>
      </w:r>
      <w:r>
        <w:rPr>
          <w:rFonts w:ascii="Arial" w:cs="Arial" w:eastAsia="Arial" w:hAnsi="Arial"/>
          <w:sz w:val="21"/>
          <w:szCs w:val="21"/>
          <w:color w:val="auto"/>
        </w:rPr>
        <w:t>, to payment of that portion of the Obligations constituting unpaid principal, unreimbursed LC</w:t>
      </w:r>
      <w:r>
        <w:rPr>
          <w:rFonts w:ascii="Arial" w:cs="Arial" w:eastAsia="Arial" w:hAnsi="Arial"/>
          <w:sz w:val="21"/>
          <w:szCs w:val="21"/>
          <w:i w:val="1"/>
          <w:iCs w:val="1"/>
          <w:color w:val="auto"/>
        </w:rPr>
        <w:t xml:space="preserve"> </w:t>
      </w:r>
      <w:r>
        <w:rPr>
          <w:rFonts w:ascii="Arial" w:cs="Arial" w:eastAsia="Arial" w:hAnsi="Arial"/>
          <w:sz w:val="21"/>
          <w:szCs w:val="21"/>
          <w:color w:val="auto"/>
        </w:rPr>
        <w:t>Disbursements or face amounts of the Loans, and Swap Termination Value under Secured Swap Agreements (but excluding any payments paid to the Lender Counterparties third, pursuant to paragraph (iii) of this Section 7.03(a)) and Secured Cash Management Obligations and for the account of the Issuing Bank, to Cash Collateralize that portion of Obligations comprised of the aggregate undrawn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67" w:name="page468"/>
    <w:bookmarkEnd w:id="467"/>
    <w:p>
      <w:pPr>
        <w:ind w:left="660"/>
        <w:spacing w:after="0" w:line="232" w:lineRule="auto"/>
        <w:rPr>
          <w:sz w:val="20"/>
          <w:szCs w:val="20"/>
          <w:color w:val="auto"/>
        </w:rPr>
      </w:pPr>
      <w:r>
        <w:rPr>
          <w:rFonts w:ascii="Arial" w:cs="Arial" w:eastAsia="Arial" w:hAnsi="Arial"/>
          <w:sz w:val="22"/>
          <w:szCs w:val="22"/>
          <w:color w:val="auto"/>
        </w:rPr>
        <w:t xml:space="preserve">Letters of Credit, ratably among the Secured Parties in proportion to the respective amounts described in this </w:t>
      </w:r>
      <w:r>
        <w:rPr>
          <w:rFonts w:ascii="Arial" w:cs="Arial" w:eastAsia="Arial" w:hAnsi="Arial"/>
          <w:sz w:val="22"/>
          <w:szCs w:val="22"/>
          <w:u w:val="single" w:color="auto"/>
          <w:color w:val="auto"/>
        </w:rPr>
        <w:t>clause (iv)</w:t>
      </w:r>
      <w:r>
        <w:rPr>
          <w:rFonts w:ascii="Arial" w:cs="Arial" w:eastAsia="Arial" w:hAnsi="Arial"/>
          <w:sz w:val="22"/>
          <w:szCs w:val="22"/>
          <w:color w:val="auto"/>
        </w:rPr>
        <w:t xml:space="preserve"> held by them;</w:t>
      </w:r>
    </w:p>
    <w:p>
      <w:pPr>
        <w:spacing w:after="0" w:line="159" w:lineRule="exact"/>
        <w:rPr>
          <w:sz w:val="20"/>
          <w:szCs w:val="20"/>
          <w:color w:val="auto"/>
        </w:rPr>
      </w:pPr>
    </w:p>
    <w:p>
      <w:pPr>
        <w:jc w:val="both"/>
        <w:ind w:left="660" w:firstLine="644"/>
        <w:spacing w:after="0" w:line="268" w:lineRule="auto"/>
        <w:tabs>
          <w:tab w:leader="none" w:pos="1856" w:val="left"/>
        </w:tabs>
        <w:numPr>
          <w:ilvl w:val="0"/>
          <w:numId w:val="542"/>
        </w:numPr>
        <w:rPr>
          <w:rFonts w:ascii="Arial" w:cs="Arial" w:eastAsia="Arial" w:hAnsi="Arial"/>
          <w:sz w:val="19"/>
          <w:szCs w:val="19"/>
          <w:color w:val="auto"/>
        </w:rPr>
      </w:pPr>
      <w:r>
        <w:rPr>
          <w:rFonts w:ascii="Arial" w:cs="Arial" w:eastAsia="Arial" w:hAnsi="Arial"/>
          <w:sz w:val="19"/>
          <w:szCs w:val="19"/>
          <w:i w:val="1"/>
          <w:iCs w:val="1"/>
          <w:color w:val="auto"/>
        </w:rPr>
        <w:t>Fifth</w:t>
      </w:r>
      <w:r>
        <w:rPr>
          <w:rFonts w:ascii="Arial" w:cs="Arial" w:eastAsia="Arial" w:hAnsi="Arial"/>
          <w:sz w:val="19"/>
          <w:szCs w:val="19"/>
          <w:color w:val="auto"/>
        </w:rPr>
        <w:t>, to the payment of all other Secured Obligations of the Loan Parties that are due and payable to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Administrative Agent and the other Secured Parties on such date, ratably based upon the respective aggregate amounts of all such Secured Obligations owing to the Administrative Agent and the other Secured Parties on such date; and</w:t>
      </w:r>
    </w:p>
    <w:p>
      <w:pPr>
        <w:spacing w:after="0" w:line="132" w:lineRule="exact"/>
        <w:rPr>
          <w:rFonts w:ascii="Arial" w:cs="Arial" w:eastAsia="Arial" w:hAnsi="Arial"/>
          <w:sz w:val="19"/>
          <w:szCs w:val="19"/>
          <w:color w:val="auto"/>
        </w:rPr>
      </w:pPr>
    </w:p>
    <w:p>
      <w:pPr>
        <w:ind w:left="660" w:firstLine="644"/>
        <w:spacing w:after="0" w:line="232" w:lineRule="auto"/>
        <w:tabs>
          <w:tab w:leader="none" w:pos="1895" w:val="left"/>
        </w:tabs>
        <w:numPr>
          <w:ilvl w:val="0"/>
          <w:numId w:val="542"/>
        </w:numPr>
        <w:rPr>
          <w:rFonts w:ascii="Arial" w:cs="Arial" w:eastAsia="Arial" w:hAnsi="Arial"/>
          <w:sz w:val="22"/>
          <w:szCs w:val="22"/>
          <w:color w:val="auto"/>
        </w:rPr>
      </w:pPr>
      <w:r>
        <w:rPr>
          <w:rFonts w:ascii="Arial" w:cs="Arial" w:eastAsia="Arial" w:hAnsi="Arial"/>
          <w:sz w:val="22"/>
          <w:szCs w:val="22"/>
          <w:i w:val="1"/>
          <w:iCs w:val="1"/>
          <w:color w:val="auto"/>
        </w:rPr>
        <w:t>Last</w:t>
      </w:r>
      <w:r>
        <w:rPr>
          <w:rFonts w:ascii="Arial" w:cs="Arial" w:eastAsia="Arial" w:hAnsi="Arial"/>
          <w:sz w:val="22"/>
          <w:szCs w:val="22"/>
          <w:color w:val="auto"/>
        </w:rPr>
        <w:t>, the balance, if any, after all of the Secured Obligations have been paid in full, to the Borrower or as</w:t>
      </w:r>
      <w:r>
        <w:rPr>
          <w:rFonts w:ascii="Arial" w:cs="Arial" w:eastAsia="Arial" w:hAnsi="Arial"/>
          <w:sz w:val="22"/>
          <w:szCs w:val="22"/>
          <w:i w:val="1"/>
          <w:iCs w:val="1"/>
          <w:color w:val="auto"/>
        </w:rPr>
        <w:t xml:space="preserve"> </w:t>
      </w:r>
      <w:r>
        <w:rPr>
          <w:rFonts w:ascii="Arial" w:cs="Arial" w:eastAsia="Arial" w:hAnsi="Arial"/>
          <w:sz w:val="22"/>
          <w:szCs w:val="22"/>
          <w:color w:val="auto"/>
        </w:rPr>
        <w:t>otherwise required by law.</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amounts used to Cash Collateralize the aggregate undrawn amount of Letters of Credit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 xml:space="preserve">Notwithstanding the foregoing, (a) amounts received from any Loan Party that is not an “Eligible Contract Participant” (as defined in the Commodity Exchange Act) shall not be applied to the obligations that are Excluded Swap Obligations and (b) Secured Cash Management Obligations shall be excluded from the application described above if the Administrative Agent has not received written notice thereof, together with such supporting documentation as the Administrative Agent may request, from the applicable Lender Counterparty. Each Lender Counterparty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hereof for itself and its Affiliates as if a “Lender” party hereto.</w:t>
      </w:r>
    </w:p>
    <w:p>
      <w:pPr>
        <w:spacing w:after="0" w:line="154"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Whether or not a proceeding under any Debtor Relief Laws has commenced, any Application Proceeds received by any Secured Party in violation of (or otherwise not in accordance with) this Agreement shall be segregated and held in trust and promptly paid over to the Administrative Agent, for the benefit of the other Secured Parties, in the same form as received, with any necessary endorsements (which endorsements will be without recourse and without representation or warranty). The Administrative Agent is authorized to make such endorsements as agent for the Secured Parties. This authorization is coupled with an interest and is irrevocable until the Termination Date.</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7.04</w:t>
      </w:r>
      <w:r>
        <w:rPr>
          <w:sz w:val="20"/>
          <w:szCs w:val="20"/>
          <w:color w:val="auto"/>
        </w:rPr>
        <w:tab/>
      </w:r>
      <w:r>
        <w:rPr>
          <w:rFonts w:ascii="Arial" w:cs="Arial" w:eastAsia="Arial" w:hAnsi="Arial"/>
          <w:sz w:val="19"/>
          <w:szCs w:val="19"/>
          <w:u w:val="single" w:color="auto"/>
          <w:color w:val="auto"/>
        </w:rPr>
        <w:t>Right to Cure</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4" w:lineRule="auto"/>
        <w:tabs>
          <w:tab w:leader="none" w:pos="1817" w:val="left"/>
        </w:tabs>
        <w:numPr>
          <w:ilvl w:val="0"/>
          <w:numId w:val="543"/>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in the event that the Borrower fails to comply with the requirements of the covenant under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at the end of any fiscal quarter, from and after the beginning of the relevant fiscal quarter until the expiration of the fifteenth (15th) Business Day subsequent to the date the financial statements are required to be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5.01(b)</w:t>
      </w:r>
      <w:r>
        <w:rPr>
          <w:rFonts w:ascii="Arial" w:cs="Arial" w:eastAsia="Arial" w:hAnsi="Arial"/>
          <w:sz w:val="19"/>
          <w:szCs w:val="19"/>
          <w:color w:val="auto"/>
        </w:rPr>
        <w:t xml:space="preserve">, as applicable, any Net Proceeds of any common equity contribution made, directly or indirectly to Holdings, and contributed in the form of cash common equity to the Borrower, or any Net Proceeds of any issuance of Qualified Equity Interests of Holdings to the extent contributed in the form of cash common equity to the Borrower, in each case, from and after the beginning of the fiscal quarter then ended for which the Borrower has failed to comply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and/or following the end of such fiscal quarter and on or prior to such fifteenth (15th) Business Day, in each case in an aggregate amount equal to the amount necessary to cure the relevant failure to comply with such covenant may, at the election of the Borrower be included in the calculation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68" w:name="page469"/>
    <w:bookmarkEnd w:id="468"/>
    <w:p>
      <w:pPr>
        <w:jc w:val="both"/>
        <w:spacing w:after="0" w:line="223" w:lineRule="auto"/>
        <w:rPr>
          <w:sz w:val="20"/>
          <w:szCs w:val="20"/>
          <w:color w:val="auto"/>
        </w:rPr>
      </w:pPr>
      <w:r>
        <w:rPr>
          <w:rFonts w:ascii="Arial" w:cs="Arial" w:eastAsia="Arial" w:hAnsi="Arial"/>
          <w:sz w:val="22"/>
          <w:szCs w:val="22"/>
          <w:color w:val="auto"/>
        </w:rPr>
        <w:t>Consolidated EBITDA for purposes of determining compliance with such covenant (the “</w:t>
      </w:r>
      <w:r>
        <w:rPr>
          <w:rFonts w:ascii="Arial" w:cs="Arial" w:eastAsia="Arial" w:hAnsi="Arial"/>
          <w:sz w:val="22"/>
          <w:szCs w:val="22"/>
          <w:u w:val="single" w:color="auto"/>
          <w:color w:val="auto"/>
        </w:rPr>
        <w:t>Cure Right</w:t>
      </w:r>
      <w:r>
        <w:rPr>
          <w:rFonts w:ascii="Arial" w:cs="Arial" w:eastAsia="Arial" w:hAnsi="Arial"/>
          <w:sz w:val="22"/>
          <w:szCs w:val="22"/>
          <w:color w:val="auto"/>
        </w:rPr>
        <w:t>”), and upon the receipt by the Borrower of such cash proceeds (the “</w:t>
      </w:r>
      <w:r>
        <w:rPr>
          <w:rFonts w:ascii="Arial" w:cs="Arial" w:eastAsia="Arial" w:hAnsi="Arial"/>
          <w:sz w:val="22"/>
          <w:szCs w:val="22"/>
          <w:u w:val="single" w:color="auto"/>
          <w:color w:val="auto"/>
        </w:rPr>
        <w:t>Cure Amount</w:t>
      </w:r>
      <w:r>
        <w:rPr>
          <w:rFonts w:ascii="Arial" w:cs="Arial" w:eastAsia="Arial" w:hAnsi="Arial"/>
          <w:sz w:val="22"/>
          <w:szCs w:val="22"/>
          <w:color w:val="auto"/>
        </w:rPr>
        <w:t>”), such covenant shall be recalculated with Consolidated EBITDA being increased by such Cure Amount; and</w:t>
      </w:r>
    </w:p>
    <w:p>
      <w:pPr>
        <w:spacing w:after="0" w:line="159" w:lineRule="exact"/>
        <w:rPr>
          <w:sz w:val="20"/>
          <w:szCs w:val="20"/>
          <w:color w:val="auto"/>
        </w:rPr>
      </w:pPr>
    </w:p>
    <w:p>
      <w:pPr>
        <w:jc w:val="both"/>
        <w:ind w:firstLine="1304"/>
        <w:spacing w:after="0"/>
        <w:tabs>
          <w:tab w:leader="none" w:pos="1805" w:val="left"/>
        </w:tabs>
        <w:numPr>
          <w:ilvl w:val="0"/>
          <w:numId w:val="544"/>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(i) in each four-fiscal-quarter period of the Borrower there shall be at least two (2) fiscal quarters in which the Cure Right is not exercised, and the Cure Right may not be exercised more than five (5) times during the term of this Agreement, (ii) the Cure Amount shall not exceed the amount required to cause the Borrower to be in compliance with the covenant under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(iii) for any fiscal quarter for which a Cure Right is exercised, such Cure Amount shall be counted only as Consolidated EBITDA and solely for the purpose of compliance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and not for any other purposes during such fiscal quarter and (iv) from and after the date on which the Borrower provides notice of its intention to use the Cure Right, (A) no Default or Event of Default shall be deemed to have occurred or be continuing with respect to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unless the Cure Amount is not paid by the date so required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Cure Amount is not paid on or before the date the Borrower’s ability to cure has lapsed without exercise of the Cure Right, such Event of Default or potential Event of Default shall be deemed, to exist from the date of the end of the applicable fiscal quarter) and (B) neither the Administrative Agent nor any Lender or Secured Party shall exercise any remedy under the Loan Documents or applicable law on the basis of an Event of Default caused by the failure to comply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until the earliest of (x) the date the Borrower’s ability to cure has lapsed without exercise of the Cure Right, (y) the date the Cure Amount is received and (z) the date the Borrower confirms in writing that it does not intend to exercise the Cure Right. No Lender will be required to extend new Revolving Loans or issue or extend new Letters of Credit until the earlier of (x) the expiration of the Cure Right and (y) the date the Cure Amount is received. To the extent that the Cure Amount (x) is used to repay Indebtedness, there shall be no pro forma or other reduction in Indebtedness with the Cure Amount for determining compliance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for the fiscal quarter for which the Cure Right is exercised;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Cure Amount shall reduce Indebtedness in future quarters to the extent used to prepay the Loans or (y) is not used to repay Indebtedness, there shall be no reduction in Indebtedness by cash netting for determining compliance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for the fiscal quarter for which the Cure Right is exercised; </w:t>
      </w:r>
      <w:r>
        <w:rPr>
          <w:rFonts w:ascii="Arial" w:cs="Arial" w:eastAsia="Arial" w:hAnsi="Arial"/>
          <w:sz w:val="19"/>
          <w:szCs w:val="19"/>
          <w:u w:val="single" w:color="auto"/>
          <w:color w:val="auto"/>
        </w:rPr>
        <w:t>provided</w:t>
      </w:r>
      <w:r>
        <w:rPr>
          <w:rFonts w:ascii="Arial" w:cs="Arial" w:eastAsia="Arial" w:hAnsi="Arial"/>
          <w:sz w:val="19"/>
          <w:szCs w:val="19"/>
          <w:color w:val="auto"/>
        </w:rPr>
        <w:t>, that the Cure Amount shall reduce Indebtedness in future quarters by cash netting to the extent applicable.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jc w:val="center"/>
        <w:spacing w:after="0"/>
        <w:rPr>
          <w:sz w:val="20"/>
          <w:szCs w:val="20"/>
          <w:color w:val="auto"/>
        </w:rPr>
      </w:pPr>
      <w:r>
        <w:rPr>
          <w:rFonts w:ascii="Arial" w:cs="Arial" w:eastAsia="Arial" w:hAnsi="Arial"/>
          <w:sz w:val="22"/>
          <w:szCs w:val="22"/>
          <w:u w:val="single" w:color="auto"/>
          <w:color w:val="auto"/>
        </w:rPr>
        <w:t>The Administrative Agent and Collateral Agent</w:t>
      </w:r>
    </w:p>
    <w:p>
      <w:pPr>
        <w:spacing w:after="0" w:line="161"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u w:val="single" w:color="auto"/>
          <w:color w:val="auto"/>
        </w:rPr>
        <w:t>Section 8.01 Appointment of Agents</w:t>
      </w:r>
      <w:r>
        <w:rPr>
          <w:rFonts w:ascii="Arial" w:cs="Arial" w:eastAsia="Arial" w:hAnsi="Arial"/>
          <w:sz w:val="19"/>
          <w:szCs w:val="19"/>
          <w:color w:val="auto"/>
        </w:rPr>
        <w:t>. Each of the Lenders and each of the Issuing Banks hereby irrevocably appoints Barclays to act on its behalf as the Administrative Agent and Collateral Agent hereunder and under the Loan Documents, and authorizes the Administrative Agent and the Collateral Agent to take such actions on its behalf and to exercise such powers as are delegated to the Administrative Agent and Collateral Agent by the terms of the Loan Documents, together with such actions and powers as are reasonably incidental thereto. Unless otherwise specifically set forth herein, the Collateral Agent shall have all the rights and benefits of the Administrative Agent set forth in this Article.</w:t>
      </w:r>
    </w:p>
    <w:p>
      <w:pPr>
        <w:spacing w:after="0" w:line="152"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The Collateral Agent shall act as the “collateral agent” under the Loan Documents, and each of the Lenders (including in its capacities as a Lender Counterparty or potential Lender Counterparty) and each of the Issuing Banks hereby irrevocably appoints and authorizes the Collateral Agent to act as the agent of such Lender and such Issuing Bank for purposes of acquiring, holding and enforcing any and all Liens on Collateral granted by any of the Loan Parties pursuant to the Security Documents to secure any of the Obligations, together with such powers and discretion as are reasonably incidental thereto. In this connection,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69" w:name="page470"/>
    <w:bookmarkEnd w:id="469"/>
    <w:p>
      <w:pPr>
        <w:jc w:val="both"/>
        <w:spacing w:after="0" w:line="246" w:lineRule="auto"/>
        <w:rPr>
          <w:sz w:val="20"/>
          <w:szCs w:val="20"/>
          <w:color w:val="auto"/>
        </w:rPr>
      </w:pPr>
      <w:r>
        <w:rPr>
          <w:rFonts w:ascii="Arial" w:cs="Arial" w:eastAsia="Arial" w:hAnsi="Arial"/>
          <w:sz w:val="19"/>
          <w:szCs w:val="19"/>
          <w:color w:val="auto"/>
        </w:rPr>
        <w:t xml:space="preserve">Collateral Agent, as “collateral agent” and any co-agents, sub-agents and attorneys-in-fact appointed by the Administrative Agent pursuant to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(as though such co-agents, subagents and attorneys-in-fact were the “collateral agent” under the Loan Documents) as if set forth in full herein with respect thereto. The Lenders acknowledge and agree (and each Lender Counterparty shall be deemed to hereby acknowledge and agree) that Collateral Agent may also act as the collateral agent for lenders under the Second Lien Loan Documents, the Other Term Loans, the Other Revolving Commitments, the Additional Debt, and any Permitted Refinancing of any of the foregoing.</w:t>
      </w:r>
    </w:p>
    <w:p>
      <w:pPr>
        <w:spacing w:after="0" w:line="152"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Without limiting the generality of the foregoing, the Agents are hereby expressly authorized to execute any and all documents (including releases) with respect to the Collateral and any rights of the Secured Parties with respect thereto as contemplated by and in accordance with the provisions of this Agreement and the other Loan Documents.</w:t>
      </w:r>
    </w:p>
    <w:p>
      <w:pPr>
        <w:spacing w:after="0" w:line="158"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u w:val="single" w:color="auto"/>
          <w:color w:val="auto"/>
        </w:rPr>
        <w:t>Section 8.02 Rights of Lender</w:t>
      </w:r>
      <w:r>
        <w:rPr>
          <w:rFonts w:ascii="Arial" w:cs="Arial" w:eastAsia="Arial" w:hAnsi="Arial"/>
          <w:sz w:val="19"/>
          <w:szCs w:val="19"/>
          <w:color w:val="auto"/>
        </w:rPr>
        <w:t>. Each bank serving as the Administrative Agent or Collateral Agent hereunder shall have the same rights and powers in its capacity as a Lender as any other Lender and may exercise the same as though it were not the Administrative Agent or Collateral Agent, and with respect to any of its Loans or Commitments hereunder, the term “Lender” or “Lenders” shall, unless otherwise expressly indicated or unless the context otherwise requires, include the Person serving as the Administrative Agent and Collateral Agent hereunder in its individual capacity. Such Person and its Affiliates may accept deposits from, lend money to, act as the financial advisor or in any other advisory capacity for and generally engage in any kind of business with any Holding Company or any Subsidiary or other Affiliate thereof as if such Person were not the Administrative Agent or Collateral Agent hereunder and without any duty to account therefor to the Lenders. Should any Lender (other than the Collateral Agent) obtain possession or control of any assets in which, in accordance with the UCC or any other applicable law a security interest can be perfected by possession or control, such Lender shall notify the Collateral Agent thereof, and, promptly following the Collateral Agent’s request therefor, shall deliver such Collateral to the Collateral Agent or otherwise deal with such Collateral in accordance with the Collateral Agent’s instructions.</w:t>
      </w:r>
    </w:p>
    <w:p>
      <w:pPr>
        <w:spacing w:after="0" w:line="164"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u w:val="single" w:color="auto"/>
          <w:color w:val="auto"/>
        </w:rPr>
        <w:t>Section 8.03 Exculpatory Provisions</w:t>
      </w:r>
      <w:r>
        <w:rPr>
          <w:rFonts w:ascii="Arial" w:cs="Arial" w:eastAsia="Arial" w:hAnsi="Arial"/>
          <w:sz w:val="19"/>
          <w:szCs w:val="19"/>
          <w:color w:val="auto"/>
        </w:rPr>
        <w:t xml:space="preserve">. The Administrative Agent and the Collateral Agent shall not have any duties or obligations except those expressly set forth herein and in the other Loan Documents. In performing its functions and duties hereunder, each Agent shall act solely as an agent of the Lenders and does not assume and shall not be deemed to have assumed any obligation towards or relationship of agency or trust with or for the Borrower or any of its Subsidiaries. Without limiting the generality of the foregoing the Administrative Agent and the Collateral Agent,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Administrative Agent or the Collateral Agent is required to exercise in writing as directed by the Required Lenders (or such other number or percentage of the Lenders as shall be expressly provided for herein or in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foreclosure, modification or termination of property of a Defaulting Lender under any Debtor Relief Law), and (c) shall not except as expressly set forth herein or in the other Loan Documents, have any duty to disclose, and shall not be liable to the Lenders for the failure to disclose, any information relating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70" w:name="page471"/>
    <w:bookmarkEnd w:id="470"/>
    <w:p>
      <w:pPr>
        <w:jc w:val="both"/>
        <w:spacing w:after="0" w:line="239" w:lineRule="auto"/>
        <w:rPr>
          <w:sz w:val="20"/>
          <w:szCs w:val="20"/>
          <w:color w:val="auto"/>
        </w:rPr>
      </w:pPr>
      <w:r>
        <w:rPr>
          <w:rFonts w:ascii="Arial" w:cs="Arial" w:eastAsia="Arial" w:hAnsi="Arial"/>
          <w:sz w:val="19"/>
          <w:szCs w:val="19"/>
          <w:color w:val="auto"/>
        </w:rPr>
        <w:t xml:space="preserve">Holding Company, the Borrower or any Subsidiary that is communicated to or obtained by the bank serving as the Administrative Agent, Collateral Agent or any of their respective Affiliates in any capacity. The Administrative Agent and the Collateral Agent shall not be liable for any action taken or not taken by it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 9.02</w:t>
      </w:r>
      <w:r>
        <w:rPr>
          <w:rFonts w:ascii="Arial" w:cs="Arial" w:eastAsia="Arial" w:hAnsi="Arial"/>
          <w:sz w:val="19"/>
          <w:szCs w:val="19"/>
          <w:color w:val="auto"/>
        </w:rPr>
        <w:t>) or in the absence of its own gross negligence, breach of any Loan Documents or willful misconduct. The Administrative Agent and the Collateral Agent shall be deemed not to have knowledge of any Default unless and until written notice thereof is given to the Administrative Agent by the Borrower, a Lender or an Issuing Bank, and the Administrative Agent and the Collateral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w:t>
      </w:r>
    </w:p>
    <w:p>
      <w:pPr>
        <w:spacing w:after="0" w:line="2" w:lineRule="exact"/>
        <w:rPr>
          <w:sz w:val="20"/>
          <w:szCs w:val="20"/>
          <w:color w:val="auto"/>
        </w:rPr>
      </w:pPr>
    </w:p>
    <w:p>
      <w:pPr>
        <w:jc w:val="both"/>
        <w:ind w:firstLine="8"/>
        <w:spacing w:after="0" w:line="241" w:lineRule="auto"/>
        <w:tabs>
          <w:tab w:leader="none" w:pos="379" w:val="left"/>
        </w:tabs>
        <w:numPr>
          <w:ilvl w:val="0"/>
          <w:numId w:val="545"/>
        </w:numPr>
        <w:rPr>
          <w:rFonts w:ascii="Arial" w:cs="Arial" w:eastAsia="Arial" w:hAnsi="Arial"/>
          <w:sz w:val="19"/>
          <w:szCs w:val="19"/>
          <w:color w:val="auto"/>
        </w:rPr>
      </w:pPr>
      <w:r>
        <w:rPr>
          <w:rFonts w:ascii="Arial" w:cs="Arial" w:eastAsia="Arial" w:hAnsi="Arial"/>
          <w:sz w:val="19"/>
          <w:szCs w:val="19"/>
          <w:color w:val="auto"/>
        </w:rPr>
        <w:t xml:space="preserve">the performance or observance of any of the covenants, agreements or other terms or express conditions set forth in any Loan Document or the occurrence of any Default, (iv) the validity, enforceability, effectiveness or genuineness of this Agreement or any other Loan Document or any other agreement, instrument or document or the creation, perfection or priority of any Lien purported to be created by the Security Documents or that the Liens granted to the Collateral Agent pursuant to any Security Document have been properly or sufficiently or lawfully created, perfected, protected or enforced or are entitled to any particular priority, (v) the value or the sufficiency of any Collateral or (vi)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in any Loan Document, other than to confirm receipt of items expressly required to be delivered to such Agent. The Administrative Agent shall have no obligation to monitor whether any amendment or waiver to any Loan Document has properly become effective or is permitted hereunder or thereunder except to the extent expressly agreed to by the Administrative Agent in such amendment or waiver. Borrower acknowledges that each Agent and each Lender and their affiliates may have economic interests that conflict with those of the Borrower.</w:t>
      </w:r>
    </w:p>
    <w:p>
      <w:pPr>
        <w:spacing w:after="0" w:line="161"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u w:val="single" w:color="auto"/>
          <w:color w:val="auto"/>
        </w:rPr>
        <w:t>Section 8.04 Reliance by Administrative Agent and Collateral Agent</w:t>
      </w:r>
      <w:r>
        <w:rPr>
          <w:rFonts w:ascii="Arial" w:cs="Arial" w:eastAsia="Arial" w:hAnsi="Arial"/>
          <w:sz w:val="19"/>
          <w:szCs w:val="19"/>
          <w:color w:val="auto"/>
        </w:rPr>
        <w:t>. Each of the Administrative Agent and 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in good faith to be genuine and to have been signed or sent or otherwise authenticated by the proper Person. Each of the Administrative Agent and the Collateral Agent also may rely upon any statement made to it orally or by telephone and believed by it in good faith to be made by the proper Person, and shall not incur any liability to the Lenders for relying thereon. Each of the Administrative Agent and the Collateral Agent may consult with legal counsel (who may be counsel for the Borrower), independent accountants and other experts selected by it, and shall not be liable for any action taken or not taken by it in accordance with the advice of any such counsel, accountants or experts. In determining compliance with any condition hereunder to the making of a Loan, or the issuance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w:t>
      </w:r>
    </w:p>
    <w:p>
      <w:pPr>
        <w:spacing w:after="0" w:line="160"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u w:val="single" w:color="auto"/>
          <w:color w:val="auto"/>
        </w:rPr>
        <w:t>Section 8.05 Delegation of Duties</w:t>
      </w:r>
      <w:r>
        <w:rPr>
          <w:rFonts w:ascii="Arial" w:cs="Arial" w:eastAsia="Arial" w:hAnsi="Arial"/>
          <w:sz w:val="22"/>
          <w:szCs w:val="22"/>
          <w:color w:val="auto"/>
        </w:rPr>
        <w:t>. Each of the Administrative Agent and the Collateral Agent may perform any and all of its duties and exercise its rights and powers hereunder or under any other Loan Documents by or through any one or more sub-agents appointed by the Administrative Agent. Each of the Administrative Agent and the Collateral Agent and any such sub-agent may perform any and all its duties and exercise its rights and powers by or through their respective Related Parties. The exculpatory provisions of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71" w:name="page472"/>
    <w:bookmarkEnd w:id="471"/>
    <w:p>
      <w:pPr>
        <w:jc w:val="both"/>
        <w:spacing w:after="0" w:line="243" w:lineRule="auto"/>
        <w:rPr>
          <w:sz w:val="20"/>
          <w:szCs w:val="20"/>
          <w:color w:val="auto"/>
        </w:rPr>
      </w:pPr>
      <w:r>
        <w:rPr>
          <w:rFonts w:ascii="Arial" w:cs="Arial" w:eastAsia="Arial" w:hAnsi="Arial"/>
          <w:sz w:val="19"/>
          <w:szCs w:val="19"/>
          <w:color w:val="auto"/>
        </w:rPr>
        <w:t xml:space="preserve">(and indemnification provisions of </w:t>
      </w:r>
      <w:r>
        <w:rPr>
          <w:rFonts w:ascii="Arial" w:cs="Arial" w:eastAsia="Arial" w:hAnsi="Arial"/>
          <w:sz w:val="19"/>
          <w:szCs w:val="19"/>
          <w:u w:val="single" w:color="auto"/>
          <w:color w:val="auto"/>
        </w:rPr>
        <w:t>Section 9.03(c)</w:t>
      </w:r>
      <w:r>
        <w:rPr>
          <w:rFonts w:ascii="Arial" w:cs="Arial" w:eastAsia="Arial" w:hAnsi="Arial"/>
          <w:sz w:val="19"/>
          <w:szCs w:val="19"/>
          <w:color w:val="auto"/>
        </w:rPr>
        <w:t>) shall apply to any such sub-agent and to the Related Parties of the Administrative Agent and any such sub- agent, and shall apply to their respective activities in connection with the syndication of the credit facilities provided for herein as well as activities as Administrative Agent or Collateral Agent. Each party to this Agreement acknowledges and agrees that the Administrative Agent may from time to time use one or more outside service providers for the tracking of all UCC financing statements (and/or other collateral related filings and registrations from time to time) required to be filed or recorded pursuant to the Loan Documents and the notification to the Administrative Agent, of, among other things, the upcoming lapse or expiration thereof, and that each of such service providers will be deemed to be acting at the request and on behalf of Borrower and the other Loan Parties. No Agent shall be liable for any action taken or not taken by any such service provider. The Agents shall not be responsible for the negligence or misconduct of any sub-agent except to the extent that a court of competent jurisdiction determines in a final and nonappealable judgment that such Agent acted with gross negligence or willful misconduct in the selection of such sub-agent.</w:t>
      </w:r>
    </w:p>
    <w:p>
      <w:pPr>
        <w:spacing w:after="0" w:line="159"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u w:val="single" w:color="auto"/>
          <w:color w:val="auto"/>
        </w:rPr>
        <w:t>Section 8.06 Resignation of Agents; Successor, Administrative Agent and Collateral Agent</w:t>
      </w:r>
      <w:r>
        <w:rPr>
          <w:rFonts w:ascii="Arial" w:cs="Arial" w:eastAsia="Arial" w:hAnsi="Arial"/>
          <w:sz w:val="19"/>
          <w:szCs w:val="19"/>
          <w:color w:val="auto"/>
        </w:rPr>
        <w:t xml:space="preserve">. The Administrative Agent and the Collateral Agent may at any time resign by giving thirty (30) days’ prior written notice of its resignation to the Lenders, the Issuing Banks and the Borrower. If the Administrative Agent is a Defaulting Lender pursuant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the definition of “Defaulting Lender” (for purposes of this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the definition of “Defaulting Lender” shall not include a direct or indirect parent company of the Administrative Agent), either the Required Lenders or the Borrower may upon thirty (30) days’ prior notice remove the Administrative Agent or the Collateral Agent, as the case may be. Upon receipt of any such notice of resignation or delivery of such removal notice, the Required Lenders shall have the right, with the consent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consent shall not be unreasonably withheld or delayed and that such consent shall not be required at any time that an Event of Default under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shall have occurred and be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w:t>
      </w:r>
    </w:p>
    <w:p>
      <w:pPr>
        <w:spacing w:after="0" w:line="1" w:lineRule="exact"/>
        <w:rPr>
          <w:sz w:val="20"/>
          <w:szCs w:val="20"/>
          <w:color w:val="auto"/>
        </w:rPr>
      </w:pPr>
    </w:p>
    <w:p>
      <w:pPr>
        <w:jc w:val="both"/>
        <w:ind w:firstLine="8"/>
        <w:spacing w:after="0" w:line="239" w:lineRule="auto"/>
        <w:tabs>
          <w:tab w:leader="none" w:pos="422" w:val="left"/>
        </w:tabs>
        <w:numPr>
          <w:ilvl w:val="0"/>
          <w:numId w:val="546"/>
        </w:numPr>
        <w:rPr>
          <w:rFonts w:ascii="Arial" w:cs="Arial" w:eastAsia="Arial" w:hAnsi="Arial"/>
          <w:sz w:val="19"/>
          <w:szCs w:val="19"/>
          <w:color w:val="auto"/>
        </w:rPr>
      </w:pPr>
      <w:r>
        <w:rPr>
          <w:rFonts w:ascii="Arial" w:cs="Arial" w:eastAsia="Arial" w:hAnsi="Arial"/>
          <w:sz w:val="19"/>
          <w:szCs w:val="19"/>
          <w:color w:val="auto"/>
        </w:rPr>
        <w:t xml:space="preserve">days after the retiring Administrative Agent or Collateral Agent, as applicable, gives notice of its resignation or the delivery of such removal notice, then (a) in the case of a retirement, the retiring Administrative Agent may on behalf of the Lenders and the Issuing Banks, appoint a successor Administrative Agent or Collateral Agent, as applicable, meeting the qualifications set forth above (including the consent of the Borrower) or (b) in the case of a removal, the Borrower may, after consulting with the Required Lenders, appoint a successor Administrative Agent or Collateral Agent, as applicable, meeting the qualifications set forth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in the case of a retirement, if the Administrative Agent shall notify the Borrower and the Lenders that no qualifying Person has accepted such appointment or (y) in the case of a removal, the Required Lenders notify the Borrower that no qualifying Person has accepted such appointment, then, in each case, such resignation or removal shall nonetheless become effective in accordance with such notice and (i) the retiring or removed Administrative Agent or Collateral Agent, as applicable, shall be discharged from its duties and obligations hereunder and under the other Loan Documents (except that in the case of any collateral security held by the Administrative Agent or the Collateral Agent, as applicable, on behalf of the Lenders or the Issuing Banks under any of the Loan Documents, the retiring or removed Administrative Agent or Collateral Agent, as applicable, shall continue to hold such collateral security, as bailee, until such time as a successor Administrative Agent or Collateral Agent, as applicable, is appointed and, with respect to its rights and obligations under the Loan Documents, until such rights and obligations have been assigned to and assumed by the successor Administrative Agent or Collateral Agent), (ii) all payments, communications and determinations provided to be made by, to or through the Administrative Agent shall instead be made by or to each Lender and each of the Issuing Banks directly (and each Lender and each of the Issuing Banks will cooperate with the Borrower to enable the Borrower to take such actions), until such time as the Required Lenders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72" w:name="page473"/>
    <w:bookmarkEnd w:id="472"/>
    <w:p>
      <w:pPr>
        <w:jc w:val="both"/>
        <w:spacing w:after="0" w:line="241" w:lineRule="auto"/>
        <w:rPr>
          <w:sz w:val="20"/>
          <w:szCs w:val="20"/>
          <w:color w:val="auto"/>
        </w:rPr>
      </w:pPr>
      <w:r>
        <w:rPr>
          <w:rFonts w:ascii="Arial" w:cs="Arial" w:eastAsia="Arial" w:hAnsi="Arial"/>
          <w:sz w:val="19"/>
          <w:szCs w:val="19"/>
          <w:color w:val="auto"/>
        </w:rPr>
        <w:t xml:space="preserve">Borrower, as applicable, appoint a successor Administrative Agent, as provided for above in this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and (iii) the Borrower and the Lenders agree that in no event shall the retiring Administrative Agent or Collateral Agent or any of their respective Affiliates or any of their respective officers, directors, employees, agents advisors or representatives have any liability to the Loan Parties, any Lender or any other Person or entity for damages of any kind, including direct or indirect, special, incidental or consequential damages, losses or expenses (whether in tort, contract or otherwise) arising out of the failure of a successor Administrative Agent or Collateral Agent to be appointed and to accept such appointment. Upon the acceptance of a successor’s appointment as Administrative Agent or Collateral Agent, as applicable hereunder, such successor shall succeed to and become vested with all of the rights, powers, privileges and duties of the retiring (or retired) Administrative Agent or Collateral Agent, as applicable, and the retiring Administrative Agent or Collateral Agent, as applicable, shall be discharged from all of its duties and obligations hereunder or under the other Loan Documents (if not already discharged therefrom as provided above in this Article). The fees payable by the Borrower to a successor Administrative Agent or Collateral Agent shall be the same as those payable to its predecessor unless otherwise agreed between the Borrower and such successor. After any retiring Administrative Agent’s resignation hereunder and under the other Loan Documents, the provisions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shall continue in effect for the benefit of such retiring Administrative Agent or Collateral Agent, its sub-agents and their respective Related Parties in respect of any actions taken or omitted to be taken by any of them while the retiring Administrative Agent or Collateral Agent was acting as Administrative Agent or Collateral Agent.</w:t>
      </w:r>
    </w:p>
    <w:p>
      <w:pPr>
        <w:spacing w:after="0" w:line="162"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1"/>
          <w:szCs w:val="21"/>
          <w:color w:val="auto"/>
        </w:rPr>
        <w:t>Section 8.07 Non-Reliance on Agents and Other Lenders. Each Lender and each of the Issuing Banks acknowledges and agrees that the extensions of credit made hereunder are commercial loans and letters of credit and not investments in a business enterprise or securities. Each Lender and each of the Issuing Banks acknowledges that it has, independently and without reliance upon the Administrative Agent, the Collateral Agent or any other Lender or any of their Related Parties and based on such documents and information as it has deemed appropriate, conducted its own independent investigation of the financial condition and affairs of the Loan Parties and their Subsidiaries and made its own credit analysis and decision to enter into this Agreement. Each Lender further represents and warrants that it has reviewed each document made available to it on the Platform in connection with this Agreement and has acknowledged and accepted the terms and conditions applicable to the recipients thereof (including any such terms and conditions set forth, or otherwise maintained, on the Platform with respect thereto). Each Lender and each of the Issuing Banks also acknowledges that it will, independently and without reliance upon the Administrative Agent, the Collateral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-1807210</wp:posOffset>
            </wp:positionV>
            <wp:extent cx="35826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3582670" cy="8255"/>
                    </a:xfrm>
                    <a:prstGeom prst="rect">
                      <a:avLst/>
                    </a:prstGeom>
                    <a:noFill/>
                  </pic:spPr>
                </pic:pic>
              </a:graphicData>
            </a:graphic>
          </wp:anchor>
        </w:drawing>
      </w:r>
    </w:p>
    <w:p>
      <w:pPr>
        <w:spacing w:after="0" w:line="14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u w:val="single" w:color="auto"/>
          <w:color w:val="auto"/>
        </w:rPr>
        <w:t>Section 8.08 No Other Duties</w:t>
      </w:r>
      <w:r>
        <w:rPr>
          <w:rFonts w:ascii="Arial" w:cs="Arial" w:eastAsia="Arial" w:hAnsi="Arial"/>
          <w:sz w:val="22"/>
          <w:szCs w:val="22"/>
          <w:color w:val="auto"/>
        </w:rPr>
        <w:t>. Notwithstanding anything herein to the contrary, none of the Agents, Joint Lead Arrangers or Joint Bookrunners listed on the cover page hereof shall have any powers, duties or responsibilities under any Loan Document, except in its capacity, as applicable, as an Administrative Agent, Collateral Agent, a Lender or an Issuing Bank hereunder.</w:t>
      </w:r>
    </w:p>
    <w:p>
      <w:pPr>
        <w:spacing w:after="0" w:line="16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u w:val="single" w:color="auto"/>
          <w:color w:val="auto"/>
        </w:rPr>
        <w:t>Section 8.09 Collateral and Guaranty Matters</w:t>
      </w:r>
      <w:r>
        <w:rPr>
          <w:rFonts w:ascii="Arial" w:cs="Arial" w:eastAsia="Arial" w:hAnsi="Arial"/>
          <w:sz w:val="22"/>
          <w:szCs w:val="22"/>
          <w:color w:val="auto"/>
        </w:rPr>
        <w:t>. Each Lender hereby agrees, and each holder of any Note by the acceptance thereof will be deemed to agree, that, except as otherwise set forth herein, any action taken by the Required Lenders in accordance with the provisions of this Agreement or the Security Documents, and the exercise by the Required Lenders of the powers set forth herein or therein, together with such other powers as are reasonably incidental thereto, shall be authorized and binding upon all of the Lenders.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73" w:name="page474"/>
    <w:bookmarkEnd w:id="473"/>
    <w:p>
      <w:pPr>
        <w:spacing w:after="0"/>
        <w:rPr>
          <w:sz w:val="20"/>
          <w:szCs w:val="20"/>
          <w:color w:val="auto"/>
        </w:rPr>
      </w:pPr>
      <w:r>
        <w:rPr>
          <w:rFonts w:ascii="Arial" w:cs="Arial" w:eastAsia="Arial" w:hAnsi="Arial"/>
          <w:sz w:val="19"/>
          <w:szCs w:val="19"/>
          <w:color w:val="auto"/>
        </w:rPr>
        <w:t>the Lenders, the Lender Counterparties and the Issuing Banks irrevocably authorize each of the Administrative Agent and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Collateral Agent:</w:t>
      </w:r>
    </w:p>
    <w:p>
      <w:pPr>
        <w:spacing w:after="0" w:line="161" w:lineRule="exact"/>
        <w:rPr>
          <w:sz w:val="20"/>
          <w:szCs w:val="20"/>
          <w:color w:val="auto"/>
        </w:rPr>
      </w:pPr>
    </w:p>
    <w:p>
      <w:pPr>
        <w:jc w:val="both"/>
        <w:ind w:firstLine="1304"/>
        <w:spacing w:after="0" w:line="242" w:lineRule="auto"/>
        <w:tabs>
          <w:tab w:leader="none" w:pos="1753" w:val="left"/>
        </w:tabs>
        <w:numPr>
          <w:ilvl w:val="0"/>
          <w:numId w:val="547"/>
        </w:numPr>
        <w:rPr>
          <w:rFonts w:ascii="Arial" w:cs="Arial" w:eastAsia="Arial" w:hAnsi="Arial"/>
          <w:sz w:val="19"/>
          <w:szCs w:val="19"/>
          <w:color w:val="auto"/>
        </w:rPr>
      </w:pPr>
      <w:r>
        <w:rPr>
          <w:rFonts w:ascii="Arial" w:cs="Arial" w:eastAsia="Arial" w:hAnsi="Arial"/>
          <w:sz w:val="19"/>
          <w:szCs w:val="19"/>
          <w:color w:val="auto"/>
        </w:rPr>
        <w:t xml:space="preserve">to release any Lien on any property granted to or held by the Administrative Agent or the Collateral Agent (or any sub-agent thereof) under any Loan Document (or to acknowledge that a Lien does exist on any property): (i) upon the Termination Date, (ii) that is (A) Securitization Assets or Receivables Assets sold or transferred (other than to a Loan Party) in connection with or as part of a Qualified Securitization Financing or a Receivables Facility (including any related bank accounts or collection accounts related thereto), in each case permitted pursuant to the terms of this Agreement or (B) sold or to be sold or transferred as part of or in connection with any sale or other transfer permitted hereunder or under any other Loan Document to a Person other than another Loan Party, in connection with any other sale or disposition resulting in any Collateral becoming Excluded Property, or in connection with the designation of any Restricted Subsidiary as an Unrestricted Subsidiary, (iii) that constitutes Excluded Property or other assets not required to be Collateral pursuant to the applicable Collateral Document (with respect to Holdings and Foreign Subsidiaries), (iv) if the property subject to such Lien is owned by a Loan Party, upon the release of such Loan Party from the applicable Guaranty otherwise in accordance with the Loan Documents, (v) as to the extent, if any, provided in the Security Documents or (vi) if approved, authorized or ratified in writing in accordance with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64" w:lineRule="exact"/>
        <w:rPr>
          <w:rFonts w:ascii="Arial" w:cs="Arial" w:eastAsia="Arial" w:hAnsi="Arial"/>
          <w:sz w:val="19"/>
          <w:szCs w:val="19"/>
          <w:color w:val="auto"/>
        </w:rPr>
      </w:pPr>
    </w:p>
    <w:p>
      <w:pPr>
        <w:ind w:firstLine="1304"/>
        <w:spacing w:after="0" w:line="298" w:lineRule="auto"/>
        <w:tabs>
          <w:tab w:leader="none" w:pos="1828" w:val="left"/>
        </w:tabs>
        <w:numPr>
          <w:ilvl w:val="0"/>
          <w:numId w:val="547"/>
        </w:numPr>
        <w:rPr>
          <w:rFonts w:ascii="Arial" w:cs="Arial" w:eastAsia="Arial" w:hAnsi="Arial"/>
          <w:sz w:val="19"/>
          <w:szCs w:val="19"/>
          <w:color w:val="auto"/>
        </w:rPr>
      </w:pPr>
      <w:r>
        <w:rPr>
          <w:rFonts w:ascii="Arial" w:cs="Arial" w:eastAsia="Arial" w:hAnsi="Arial"/>
          <w:sz w:val="19"/>
          <w:szCs w:val="19"/>
          <w:color w:val="auto"/>
        </w:rPr>
        <w:t>to release any Loan Party from its obligations under the applicable Guaranty if such Person ceases to be a Restricted Subsidiary (or becomes an Excluded Subsidiary) as a result of a transaction or designation permitted hereunder;</w:t>
      </w:r>
    </w:p>
    <w:p>
      <w:pPr>
        <w:spacing w:after="0" w:line="105" w:lineRule="exact"/>
        <w:rPr>
          <w:rFonts w:ascii="Arial" w:cs="Arial" w:eastAsia="Arial" w:hAnsi="Arial"/>
          <w:sz w:val="19"/>
          <w:szCs w:val="19"/>
          <w:color w:val="auto"/>
        </w:rPr>
      </w:pPr>
    </w:p>
    <w:p>
      <w:pPr>
        <w:jc w:val="both"/>
        <w:ind w:firstLine="1304"/>
        <w:spacing w:after="0" w:line="223" w:lineRule="auto"/>
        <w:tabs>
          <w:tab w:leader="none" w:pos="1842" w:val="left"/>
        </w:tabs>
        <w:numPr>
          <w:ilvl w:val="0"/>
          <w:numId w:val="547"/>
        </w:numPr>
        <w:rPr>
          <w:rFonts w:ascii="Arial" w:cs="Arial" w:eastAsia="Arial" w:hAnsi="Arial"/>
          <w:sz w:val="22"/>
          <w:szCs w:val="22"/>
          <w:color w:val="auto"/>
        </w:rPr>
      </w:pPr>
      <w:r>
        <w:rPr>
          <w:rFonts w:ascii="Arial" w:cs="Arial" w:eastAsia="Arial" w:hAnsi="Arial"/>
          <w:sz w:val="22"/>
          <w:szCs w:val="22"/>
          <w:color w:val="auto"/>
        </w:rPr>
        <w:t xml:space="preserve">to subordinate any Lien on any property granted to or held by the Administrative Agent or the Collateral Agent under any Loan Document to the holder of any Lien on such property that is permitted under </w:t>
      </w:r>
      <w:r>
        <w:rPr>
          <w:rFonts w:ascii="Arial" w:cs="Arial" w:eastAsia="Arial" w:hAnsi="Arial"/>
          <w:sz w:val="22"/>
          <w:szCs w:val="22"/>
          <w:u w:val="single" w:color="auto"/>
          <w:color w:val="auto"/>
        </w:rPr>
        <w:t>Section 6.02(d)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6.02(e)</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51" w:val="left"/>
        </w:tabs>
        <w:numPr>
          <w:ilvl w:val="0"/>
          <w:numId w:val="547"/>
        </w:numPr>
        <w:rPr>
          <w:rFonts w:ascii="Arial" w:cs="Arial" w:eastAsia="Arial" w:hAnsi="Arial"/>
          <w:sz w:val="22"/>
          <w:szCs w:val="22"/>
          <w:color w:val="auto"/>
        </w:rPr>
      </w:pPr>
      <w:r>
        <w:rPr>
          <w:rFonts w:ascii="Arial" w:cs="Arial" w:eastAsia="Arial" w:hAnsi="Arial"/>
          <w:sz w:val="22"/>
          <w:szCs w:val="22"/>
          <w:color w:val="auto"/>
        </w:rPr>
        <w:t>to enter into subordination or intercreditor agreements with respect to Indebtedness to the extent the Collateral Agent is otherwise contemplated herein as being a party to such intercreditor or subordination agreement, including any Pari Passu Intercreditor Agreement or Second Lien Intercreditor Agreement; and</w:t>
      </w:r>
    </w:p>
    <w:p>
      <w:pPr>
        <w:spacing w:after="0" w:line="158" w:lineRule="exact"/>
        <w:rPr>
          <w:rFonts w:ascii="Arial" w:cs="Arial" w:eastAsia="Arial" w:hAnsi="Arial"/>
          <w:sz w:val="22"/>
          <w:szCs w:val="22"/>
          <w:color w:val="auto"/>
        </w:rPr>
      </w:pPr>
    </w:p>
    <w:p>
      <w:pPr>
        <w:ind w:firstLine="1304"/>
        <w:spacing w:after="0" w:line="232" w:lineRule="auto"/>
        <w:tabs>
          <w:tab w:leader="none" w:pos="1828" w:val="left"/>
        </w:tabs>
        <w:numPr>
          <w:ilvl w:val="0"/>
          <w:numId w:val="547"/>
        </w:numPr>
        <w:rPr>
          <w:rFonts w:ascii="Arial" w:cs="Arial" w:eastAsia="Arial" w:hAnsi="Arial"/>
          <w:sz w:val="22"/>
          <w:szCs w:val="22"/>
          <w:color w:val="auto"/>
        </w:rPr>
      </w:pPr>
      <w:r>
        <w:rPr>
          <w:rFonts w:ascii="Arial" w:cs="Arial" w:eastAsia="Arial" w:hAnsi="Arial"/>
          <w:sz w:val="22"/>
          <w:szCs w:val="22"/>
          <w:color w:val="auto"/>
        </w:rPr>
        <w:t>to enter into and sign for and on behalf of the Lenders as Secured Parties the Security Documents for the benefit of the Lenders and the other Secured Parties.</w:t>
      </w:r>
    </w:p>
    <w:p>
      <w:pPr>
        <w:spacing w:after="0" w:line="159"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 xml:space="preserve">Upon request by the Administrative Agent or the Collateral Agent at any time, the Required Lenders (or such greater number of Lenders as may be required pursuant to </w:t>
      </w:r>
      <w:r>
        <w:rPr>
          <w:rFonts w:ascii="Arial" w:cs="Arial" w:eastAsia="Arial" w:hAnsi="Arial"/>
          <w:sz w:val="21"/>
          <w:szCs w:val="21"/>
          <w:u w:val="single" w:color="auto"/>
          <w:color w:val="auto"/>
        </w:rPr>
        <w:t>Section 9.02(b)(v)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(vi)</w:t>
      </w:r>
      <w:r>
        <w:rPr>
          <w:rFonts w:ascii="Arial" w:cs="Arial" w:eastAsia="Arial" w:hAnsi="Arial"/>
          <w:sz w:val="21"/>
          <w:szCs w:val="21"/>
          <w:color w:val="auto"/>
        </w:rPr>
        <w:t xml:space="preserve">) will confirm in writing the Administrative Agent’s or the Collateral Agent’s, as the case may be, authority to release or subordinate its interest in particular types or items of property, or to release any Loan Party from its obligations under the applicable Guaranty pursuant to this </w:t>
      </w:r>
      <w:r>
        <w:rPr>
          <w:rFonts w:ascii="Arial" w:cs="Arial" w:eastAsia="Arial" w:hAnsi="Arial"/>
          <w:sz w:val="21"/>
          <w:szCs w:val="21"/>
          <w:u w:val="single" w:color="auto"/>
          <w:color w:val="auto"/>
        </w:rPr>
        <w:t>Section 8.09</w:t>
      </w:r>
      <w:r>
        <w:rPr>
          <w:rFonts w:ascii="Arial" w:cs="Arial" w:eastAsia="Arial" w:hAnsi="Arial"/>
          <w:sz w:val="21"/>
          <w:szCs w:val="21"/>
          <w:color w:val="auto"/>
        </w:rPr>
        <w:t xml:space="preserve">. In each case as specified in this </w:t>
      </w:r>
      <w:r>
        <w:rPr>
          <w:rFonts w:ascii="Arial" w:cs="Arial" w:eastAsia="Arial" w:hAnsi="Arial"/>
          <w:sz w:val="21"/>
          <w:szCs w:val="21"/>
          <w:u w:val="single" w:color="auto"/>
          <w:color w:val="auto"/>
        </w:rPr>
        <w:t>Section 8.09</w:t>
      </w:r>
      <w:r>
        <w:rPr>
          <w:rFonts w:ascii="Arial" w:cs="Arial" w:eastAsia="Arial" w:hAnsi="Arial"/>
          <w:sz w:val="21"/>
          <w:szCs w:val="21"/>
          <w:color w:val="auto"/>
        </w:rPr>
        <w:t xml:space="preserve"> , the Administrative Agent and the Collateral Agent will (and each Lender hereby authorizes the Administrative Agent and the Collateral Agent to), at the Borrower’s expense, execute and deliver to the applicable Loan Party such documents as such Loan Party may reasonably request to evidence the release of such item of Collateral from the assignment and security interest granted under the Security Documents or to subordinate its interest in such item, or to release such Loan Party from its obligations under the applicable Guaranty, in each case in accordance with the terms of the Loan Documents and this </w:t>
      </w:r>
      <w:r>
        <w:rPr>
          <w:rFonts w:ascii="Arial" w:cs="Arial" w:eastAsia="Arial" w:hAnsi="Arial"/>
          <w:sz w:val="21"/>
          <w:szCs w:val="21"/>
          <w:u w:val="single" w:color="auto"/>
          <w:color w:val="auto"/>
        </w:rPr>
        <w:t>Section 8.09</w:t>
      </w:r>
      <w:r>
        <w:rPr>
          <w:rFonts w:ascii="Arial" w:cs="Arial" w:eastAsia="Arial" w:hAnsi="Arial"/>
          <w:sz w:val="21"/>
          <w:szCs w:val="21"/>
          <w:color w:val="auto"/>
        </w:rPr>
        <w:t>.</w:t>
      </w:r>
    </w:p>
    <w:p>
      <w:pPr>
        <w:spacing w:after="0" w:line="16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auto"/>
        </w:rPr>
        <w:t>Section 8.10 Secured Swap Agents and Secured Cash Management Agents</w:t>
      </w:r>
      <w:r>
        <w:rPr>
          <w:rFonts w:ascii="Arial" w:cs="Arial" w:eastAsia="Arial" w:hAnsi="Arial"/>
          <w:sz w:val="22"/>
          <w:szCs w:val="22"/>
          <w:color w:val="auto"/>
        </w:rPr>
        <w:t>. No Lender Counterparty that obtains the benefits of the Security Agreement, the Guaranty or any Collateral by virtue of the provisions hereof or of any Guaranty or any Security Document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74" w:name="page475"/>
    <w:bookmarkEnd w:id="474"/>
    <w:p>
      <w:pPr>
        <w:jc w:val="both"/>
        <w:spacing w:after="0" w:line="246" w:lineRule="auto"/>
        <w:rPr>
          <w:sz w:val="20"/>
          <w:szCs w:val="20"/>
          <w:color w:val="auto"/>
        </w:rPr>
      </w:pPr>
      <w:r>
        <w:rPr>
          <w:rFonts w:ascii="Arial" w:cs="Arial" w:eastAsia="Arial" w:hAnsi="Arial"/>
          <w:sz w:val="19"/>
          <w:szCs w:val="19"/>
          <w:color w:val="auto"/>
        </w:rPr>
        <w:t xml:space="preserve">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to the contrary, neither the Administrative Agent nor the Collateral Agent shall be required to verify the payment of, or that other satisfactory arrangements have been made with respect to, Secured Swap Obligations or Secured Cash Management Obligations arising under Secured Swap Agreements or Secured Cash Management Agreements with Lender Counterparties unless the Administrative Agent has received written notice of such Secured Obligations, together with such supporting documentation as the Administrative Agent may request, from the applicable Lender Counterparty.</w:t>
      </w:r>
    </w:p>
    <w:p>
      <w:pPr>
        <w:spacing w:after="0" w:line="152" w:lineRule="exact"/>
        <w:rPr>
          <w:sz w:val="20"/>
          <w:szCs w:val="20"/>
          <w:color w:val="auto"/>
        </w:rPr>
      </w:pPr>
    </w:p>
    <w:p>
      <w:pPr>
        <w:jc w:val="both"/>
        <w:ind w:firstLine="1296"/>
        <w:spacing w:after="0"/>
        <w:rPr>
          <w:sz w:val="20"/>
          <w:szCs w:val="20"/>
          <w:color w:val="auto"/>
        </w:rPr>
      </w:pPr>
      <w:r>
        <w:rPr>
          <w:rFonts w:ascii="Arial" w:cs="Arial" w:eastAsia="Arial" w:hAnsi="Arial"/>
          <w:sz w:val="19"/>
          <w:szCs w:val="19"/>
          <w:u w:val="single" w:color="auto"/>
          <w:color w:val="auto"/>
        </w:rPr>
        <w:t>Section 8.11 Withholding Tax</w:t>
      </w:r>
      <w:r>
        <w:rPr>
          <w:rFonts w:ascii="Arial" w:cs="Arial" w:eastAsia="Arial" w:hAnsi="Arial"/>
          <w:sz w:val="19"/>
          <w:szCs w:val="19"/>
          <w:color w:val="auto"/>
        </w:rPr>
        <w:t xml:space="preserve">. To the extent required by any applicable law (as determined in good faith by the Administrative Agent), the Administrative Agent may withhold from any payment to any Lender under any Loan Document an amount equivalent to any applicable withholding Tax. If the IRS or any other Governmental Authority of any jurisdiction asserts a claim that an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or is otherwise required to pay any Indemnified Tax attributable to such Lender, any Excluded Tax attributable to such Lender or any Tax attributable to such Lender’s failure to comply with its obligations relating to the maintenance of a Participant Register, such Lender shall indemnify the Administrative Agent (to the extent that the Administrative Agent has not already been reimbursed by the Loan Parties and without limiting the obligation of the Loan Parties to do so) fully for, and shall make payable in respect thereof within ten (10) days after demand therefor, all amounts paid, directly or indirectly, by the Administrative Agent as Tax or otherwise, including penalties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The agreements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8.11</w:t>
      </w:r>
      <w:r>
        <w:rPr>
          <w:rFonts w:ascii="Arial" w:cs="Arial" w:eastAsia="Arial" w:hAnsi="Arial"/>
          <w:sz w:val="19"/>
          <w:szCs w:val="19"/>
          <w:color w:val="auto"/>
        </w:rPr>
        <w:t xml:space="preserve"> shall survive the resignation and/or replacement of the Administrative Agent, any assignment of rights by, or the replacement of, a Lender, the termination of the Commitments and the repayment, satisfaction or discharge of all other Obligations. For purposes of this </w:t>
      </w:r>
      <w:r>
        <w:rPr>
          <w:rFonts w:ascii="Arial" w:cs="Arial" w:eastAsia="Arial" w:hAnsi="Arial"/>
          <w:sz w:val="19"/>
          <w:szCs w:val="19"/>
          <w:u w:val="single" w:color="auto"/>
          <w:color w:val="auto"/>
        </w:rPr>
        <w:t>Section 8.11</w:t>
      </w:r>
      <w:r>
        <w:rPr>
          <w:rFonts w:ascii="Arial" w:cs="Arial" w:eastAsia="Arial" w:hAnsi="Arial"/>
          <w:sz w:val="19"/>
          <w:szCs w:val="19"/>
          <w:color w:val="auto"/>
        </w:rPr>
        <w:t>, the term “Lender” includes any Issuing Bank.</w:t>
      </w:r>
    </w:p>
    <w:p>
      <w:pPr>
        <w:spacing w:after="0" w:line="387"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u w:val="single" w:color="auto"/>
          <w:color w:val="auto"/>
        </w:rPr>
        <w:t>Section 8.12 Administrative Agent and Collateral Agent May File Proofs of Claim</w:t>
      </w:r>
      <w:r>
        <w:rPr>
          <w:rFonts w:ascii="Arial" w:cs="Arial" w:eastAsia="Arial" w:hAnsi="Arial"/>
          <w:sz w:val="22"/>
          <w:szCs w:val="22"/>
          <w:color w:val="auto"/>
        </w:rPr>
        <w:t>. In case of the pendency of any receivership, examinership, insolvency, liquidation, bankruptcy, reorganization, arrangement, adjustment or composition under any Debtor Relief Law or any other judicial proceeding relative to any Loan Party, the Administrative Agent and the Collateral Agent (irrespective of whether the principal of any Loan or LC Exposure shall then be due and payable as herein expressed or by declaration or otherwise and irrespective of whether the Administrative Agent or the Collateral Agent shall have made any demand on the Borrower) shall be entitled and empowered (but not obligated), by intervention in such proceeding or otherwise:</w:t>
      </w:r>
    </w:p>
    <w:p>
      <w:pPr>
        <w:spacing w:after="0" w:line="164" w:lineRule="exact"/>
        <w:rPr>
          <w:sz w:val="20"/>
          <w:szCs w:val="20"/>
          <w:color w:val="auto"/>
        </w:rPr>
      </w:pPr>
    </w:p>
    <w:p>
      <w:pPr>
        <w:jc w:val="both"/>
        <w:ind w:firstLine="1304"/>
        <w:spacing w:after="0" w:line="257" w:lineRule="auto"/>
        <w:tabs>
          <w:tab w:leader="none" w:pos="1848" w:val="left"/>
        </w:tabs>
        <w:numPr>
          <w:ilvl w:val="0"/>
          <w:numId w:val="548"/>
        </w:numPr>
        <w:rPr>
          <w:rFonts w:ascii="Arial" w:cs="Arial" w:eastAsia="Arial" w:hAnsi="Arial"/>
          <w:sz w:val="19"/>
          <w:szCs w:val="19"/>
          <w:color w:val="auto"/>
        </w:rPr>
      </w:pPr>
      <w:r>
        <w:rPr>
          <w:rFonts w:ascii="Arial" w:cs="Arial" w:eastAsia="Arial" w:hAnsi="Arial"/>
          <w:sz w:val="19"/>
          <w:szCs w:val="19"/>
          <w:color w:val="auto"/>
        </w:rPr>
        <w:t>to file and prove a claim for the amount of the principal and interest owing and unpaid in respect of the Loans, LC Exposures and all other Obligations, in each case, that are owing and unpaid by such Loan Party and to file such other documents as may be necessary or advisable in order to have such claims of the Lenders, the Issuing Banks, the Administrative Agent and the Collateral Agent (including any claim for the reasonable compensation,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75" w:name="page476"/>
    <w:bookmarkEnd w:id="475"/>
    <w:p>
      <w:pPr>
        <w:jc w:val="both"/>
        <w:spacing w:after="0" w:line="268" w:lineRule="auto"/>
        <w:rPr>
          <w:sz w:val="20"/>
          <w:szCs w:val="20"/>
          <w:color w:val="auto"/>
        </w:rPr>
      </w:pPr>
      <w:r>
        <w:rPr>
          <w:rFonts w:ascii="Arial" w:cs="Arial" w:eastAsia="Arial" w:hAnsi="Arial"/>
          <w:sz w:val="19"/>
          <w:szCs w:val="19"/>
          <w:color w:val="auto"/>
        </w:rPr>
        <w:t xml:space="preserve">disbursements and advances of the Lenders, the Issuing Banks, the Administrative Agent and the Collateral Agent and their respective agents and counsel and all other amounts due the Lenders, the Issuing Banks, the Administrative Agent and the Collateral Agent under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which are payable by such Loan Party) allowed in such judicial proceeding;</w:t>
      </w:r>
    </w:p>
    <w:p>
      <w:pPr>
        <w:spacing w:after="0" w:line="132" w:lineRule="exact"/>
        <w:rPr>
          <w:sz w:val="20"/>
          <w:szCs w:val="20"/>
          <w:color w:val="auto"/>
        </w:rPr>
      </w:pPr>
    </w:p>
    <w:p>
      <w:pPr>
        <w:ind w:firstLine="1304"/>
        <w:spacing w:after="0" w:line="232" w:lineRule="auto"/>
        <w:tabs>
          <w:tab w:leader="none" w:pos="1916" w:val="left"/>
        </w:tabs>
        <w:numPr>
          <w:ilvl w:val="0"/>
          <w:numId w:val="549"/>
        </w:numPr>
        <w:rPr>
          <w:rFonts w:ascii="Arial" w:cs="Arial" w:eastAsia="Arial" w:hAnsi="Arial"/>
          <w:sz w:val="22"/>
          <w:szCs w:val="22"/>
          <w:color w:val="auto"/>
        </w:rPr>
      </w:pPr>
      <w:r>
        <w:rPr>
          <w:rFonts w:ascii="Arial" w:cs="Arial" w:eastAsia="Arial" w:hAnsi="Arial"/>
          <w:sz w:val="22"/>
          <w:szCs w:val="22"/>
          <w:color w:val="auto"/>
        </w:rPr>
        <w:t>to collect and receive any monies or other property payable or deliverable on any such claims and to distribute the same; and</w:t>
      </w:r>
    </w:p>
    <w:p>
      <w:pPr>
        <w:spacing w:after="0" w:line="158" w:lineRule="exact"/>
        <w:rPr>
          <w:rFonts w:ascii="Arial" w:cs="Arial" w:eastAsia="Arial" w:hAnsi="Arial"/>
          <w:sz w:val="22"/>
          <w:szCs w:val="22"/>
          <w:color w:val="auto"/>
        </w:rPr>
      </w:pPr>
    </w:p>
    <w:p>
      <w:pPr>
        <w:jc w:val="both"/>
        <w:ind w:firstLine="1304"/>
        <w:spacing w:after="0" w:line="247" w:lineRule="auto"/>
        <w:tabs>
          <w:tab w:leader="none" w:pos="2057" w:val="left"/>
        </w:tabs>
        <w:numPr>
          <w:ilvl w:val="0"/>
          <w:numId w:val="549"/>
        </w:numPr>
        <w:rPr>
          <w:rFonts w:ascii="Arial" w:cs="Arial" w:eastAsia="Arial" w:hAnsi="Arial"/>
          <w:sz w:val="19"/>
          <w:szCs w:val="19"/>
          <w:color w:val="auto"/>
        </w:rPr>
      </w:pPr>
      <w:r>
        <w:rPr>
          <w:rFonts w:ascii="Arial" w:cs="Arial" w:eastAsia="Arial" w:hAnsi="Arial"/>
          <w:sz w:val="19"/>
          <w:szCs w:val="19"/>
          <w:color w:val="auto"/>
        </w:rPr>
        <w:t xml:space="preserve">any custodian, receiver, interim receiver, receiver-manager, examiner, assignee, trustee, liquidator, sequestrator, examiner or other similar official in any such judicial proceeding is hereby authorized by each Lender and each of the Issuing Banks to make such payments to the Administrative Agent and, if the Administrative Agent shall consent, to the making of such payments directly to the Lenders and the Issuing Banks, to pay to the Administrative Agent (and Lenders and Issuing Banks, as applicable) any amount due for the reasonable compensation, expenses, disbursements and advances of the Administrative Agent and its agents and counsel, and any other amounts due the Administrative Agent under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in each case reimbursable or payable by such Loan Party.</w:t>
      </w:r>
    </w:p>
    <w:p>
      <w:pPr>
        <w:spacing w:after="0" w:line="154"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Nothing contained herein shall be deemed to authorize the Administrative Agent or the Collateral Agent to authorize or consent to or accept or adopt on behalf of any Lender or any Issuing Bank any plan of reorganization, arrangement, adjustment or composition affecting the Obligations or the rights of any Lender or any Issuing Bank to authorize the Administrative Agent or the Collateral Agent to vote in respect of the claim of any Lender or any Issuing Bank or in any such proceeding, in each case subject to Section 14(d) of the Security Agreement. To the extent that the payment of any such compensation, expenses, disbursements and advances of the Administrative Agent, its agents and counsel, and any other amounts due the Administrative Agent under this Agreement out of the estate in any such proceeding, shall be denied for any reason, payment of the same shall be secured by a Lien on, and shall be paid out of, any and all distributions, dividends, money, securities and other properties that the Lenders may be entitled to receive in such proceeding whether in liquidation or under any plan of reorganization or arrangement or otherwise.</w:t>
      </w:r>
    </w:p>
    <w:p>
      <w:pPr>
        <w:spacing w:after="0" w:line="16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8.13</w:t>
      </w:r>
      <w:r>
        <w:rPr>
          <w:sz w:val="20"/>
          <w:szCs w:val="20"/>
          <w:color w:val="auto"/>
        </w:rPr>
        <w:tab/>
      </w:r>
      <w:r>
        <w:rPr>
          <w:rFonts w:ascii="Arial" w:cs="Arial" w:eastAsia="Arial" w:hAnsi="Arial"/>
          <w:sz w:val="19"/>
          <w:szCs w:val="19"/>
          <w:u w:val="single" w:color="auto"/>
          <w:color w:val="auto"/>
        </w:rPr>
        <w:t>Lender ERISA Representations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6" w:lineRule="auto"/>
        <w:tabs>
          <w:tab w:leader="none" w:pos="1755" w:val="left"/>
        </w:tabs>
        <w:numPr>
          <w:ilvl w:val="0"/>
          <w:numId w:val="550"/>
        </w:numPr>
        <w:rPr>
          <w:rFonts w:ascii="Arial" w:cs="Arial" w:eastAsia="Arial" w:hAnsi="Arial"/>
          <w:sz w:val="22"/>
          <w:szCs w:val="22"/>
          <w:color w:val="auto"/>
        </w:rPr>
      </w:pPr>
      <w:r>
        <w:rPr>
          <w:rFonts w:ascii="Arial" w:cs="Arial" w:eastAsia="Arial" w:hAnsi="Arial"/>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 or any other Loan Party, that at least one of the following is and will be true:</w:t>
      </w:r>
    </w:p>
    <w:p>
      <w:pPr>
        <w:spacing w:after="0" w:line="158" w:lineRule="exact"/>
        <w:rPr>
          <w:sz w:val="20"/>
          <w:szCs w:val="20"/>
          <w:color w:val="auto"/>
        </w:rPr>
      </w:pPr>
    </w:p>
    <w:p>
      <w:pPr>
        <w:jc w:val="both"/>
        <w:ind w:left="660" w:firstLine="644"/>
        <w:spacing w:after="0" w:line="223" w:lineRule="auto"/>
        <w:tabs>
          <w:tab w:leader="none" w:pos="1736" w:val="left"/>
        </w:tabs>
        <w:numPr>
          <w:ilvl w:val="0"/>
          <w:numId w:val="551"/>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58" w:lineRule="exact"/>
        <w:rPr>
          <w:rFonts w:ascii="Arial" w:cs="Arial" w:eastAsia="Arial" w:hAnsi="Arial"/>
          <w:sz w:val="22"/>
          <w:szCs w:val="22"/>
          <w:color w:val="auto"/>
        </w:rPr>
      </w:pPr>
    </w:p>
    <w:p>
      <w:pPr>
        <w:jc w:val="both"/>
        <w:ind w:left="660" w:firstLine="644"/>
        <w:spacing w:after="0" w:line="249" w:lineRule="auto"/>
        <w:tabs>
          <w:tab w:leader="none" w:pos="1837" w:val="left"/>
        </w:tabs>
        <w:numPr>
          <w:ilvl w:val="0"/>
          <w:numId w:val="551"/>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76" w:name="page477"/>
    <w:bookmarkEnd w:id="476"/>
    <w:p>
      <w:pPr>
        <w:ind w:left="660"/>
        <w:spacing w:after="0"/>
        <w:rPr>
          <w:sz w:val="20"/>
          <w:szCs w:val="20"/>
          <w:color w:val="auto"/>
        </w:rPr>
      </w:pPr>
      <w:r>
        <w:rPr>
          <w:rFonts w:ascii="Arial" w:cs="Arial" w:eastAsia="Arial" w:hAnsi="Arial"/>
          <w:sz w:val="22"/>
          <w:szCs w:val="22"/>
          <w:color w:val="auto"/>
        </w:rPr>
        <w:t>of and performance of the Loans, the Letters of Credit, the Commitments and this Agreement,</w:t>
      </w:r>
    </w:p>
    <w:p>
      <w:pPr>
        <w:spacing w:after="0" w:line="179" w:lineRule="exact"/>
        <w:rPr>
          <w:sz w:val="20"/>
          <w:szCs w:val="20"/>
          <w:color w:val="auto"/>
        </w:rPr>
      </w:pPr>
    </w:p>
    <w:p>
      <w:pPr>
        <w:jc w:val="both"/>
        <w:ind w:left="660" w:firstLine="644"/>
        <w:spacing w:after="0" w:line="246" w:lineRule="auto"/>
        <w:tabs>
          <w:tab w:leader="none" w:pos="1910" w:val="left"/>
        </w:tabs>
        <w:numPr>
          <w:ilvl w:val="0"/>
          <w:numId w:val="552"/>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2" w:lineRule="exact"/>
        <w:rPr>
          <w:rFonts w:ascii="Arial" w:cs="Arial" w:eastAsia="Arial" w:hAnsi="Arial"/>
          <w:sz w:val="19"/>
          <w:szCs w:val="19"/>
          <w:color w:val="auto"/>
        </w:rPr>
      </w:pPr>
    </w:p>
    <w:p>
      <w:pPr>
        <w:ind w:left="660" w:firstLine="644"/>
        <w:spacing w:after="0" w:line="232" w:lineRule="auto"/>
        <w:tabs>
          <w:tab w:leader="none" w:pos="1899" w:val="left"/>
        </w:tabs>
        <w:numPr>
          <w:ilvl w:val="0"/>
          <w:numId w:val="552"/>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59" w:lineRule="exact"/>
        <w:rPr>
          <w:sz w:val="20"/>
          <w:szCs w:val="20"/>
          <w:color w:val="auto"/>
        </w:rPr>
      </w:pPr>
    </w:p>
    <w:p>
      <w:pPr>
        <w:jc w:val="both"/>
        <w:ind w:firstLine="1304"/>
        <w:spacing w:after="0" w:line="244" w:lineRule="auto"/>
        <w:tabs>
          <w:tab w:leader="none" w:pos="1814" w:val="left"/>
        </w:tabs>
        <w:numPr>
          <w:ilvl w:val="0"/>
          <w:numId w:val="553"/>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 or any other Loan Party, that none of the Administrative Agent, the Joint Lead Arrangers nor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3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IX</w:t>
      </w:r>
    </w:p>
    <w:p>
      <w:pPr>
        <w:ind w:left="5000"/>
        <w:spacing w:after="0"/>
        <w:rPr>
          <w:sz w:val="20"/>
          <w:szCs w:val="20"/>
          <w:color w:val="auto"/>
        </w:rPr>
      </w:pPr>
      <w:r>
        <w:rPr>
          <w:rFonts w:ascii="Arial" w:cs="Arial" w:eastAsia="Arial" w:hAnsi="Arial"/>
          <w:sz w:val="22"/>
          <w:szCs w:val="22"/>
          <w:u w:val="single" w:color="auto"/>
          <w:color w:val="auto"/>
        </w:rPr>
        <w:t>Miscellaneous</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auto"/>
        </w:rPr>
        <w:t>Section 9.01 Notices</w:t>
      </w:r>
      <w:r>
        <w:rPr>
          <w:rFonts w:ascii="Arial" w:cs="Arial" w:eastAsia="Arial" w:hAnsi="Arial"/>
          <w:sz w:val="22"/>
          <w:szCs w:val="22"/>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facsimile, as follows:</w:t>
      </w:r>
    </w:p>
    <w:p>
      <w:pPr>
        <w:spacing w:after="0" w:line="159" w:lineRule="exact"/>
        <w:rPr>
          <w:sz w:val="20"/>
          <w:szCs w:val="20"/>
          <w:color w:val="auto"/>
        </w:rPr>
      </w:pPr>
    </w:p>
    <w:p>
      <w:pPr>
        <w:jc w:val="both"/>
        <w:ind w:firstLine="1304"/>
        <w:spacing w:after="0" w:line="214" w:lineRule="auto"/>
        <w:tabs>
          <w:tab w:leader="none" w:pos="1760" w:val="left"/>
        </w:tabs>
        <w:numPr>
          <w:ilvl w:val="0"/>
          <w:numId w:val="554"/>
        </w:numPr>
        <w:rPr>
          <w:rFonts w:ascii="Arial" w:cs="Arial" w:eastAsia="Arial" w:hAnsi="Arial"/>
          <w:sz w:val="22"/>
          <w:szCs w:val="22"/>
          <w:color w:val="auto"/>
        </w:rPr>
      </w:pPr>
      <w:r>
        <w:rPr>
          <w:rFonts w:ascii="Arial" w:cs="Arial" w:eastAsia="Arial" w:hAnsi="Arial"/>
          <w:sz w:val="22"/>
          <w:szCs w:val="22"/>
          <w:color w:val="auto"/>
        </w:rPr>
        <w:t>if to the Borrower or any Loan Party, to it (a) c/o Francisco Partners, One Letterman Drive, Building C, Suite 410, San Francisco, CA 94120, Attention of Chris Adams (E-mail: ), Adam Solomon (E-mail: ) and Megan Karlen (E-mail: ) and copies to Kirkland &amp; Ellis LLP, 555 California St., San Francisco, CA 94104, Attention: Christopher Kirkham, P.C. (Facsimile No.: ) and (b) c/o Silver Lake Partners, 2775 Sand Hill Road, Suite 100, Menlo Park, CA 94025, Attention: Andrew J. Schader (E-mail: ) and copies to Ropes &amp; Gray LLP, Prudential Tower, 800 Boylston Street, Boston, MA 02199-3600, Attention: Byung Choi (Facsimile No.: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77" w:name="page478"/>
    <w:bookmarkEnd w:id="477"/>
    <w:p>
      <w:pPr>
        <w:ind w:left="1300"/>
        <w:spacing w:after="0"/>
        <w:tabs>
          <w:tab w:leader="none" w:pos="17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if to the Administrative Agent, to it at the following address:</w:t>
      </w:r>
    </w:p>
    <w:p>
      <w:pPr>
        <w:spacing w:after="0" w:line="160"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Barclays Bank PLC</w:t>
      </w:r>
    </w:p>
    <w:p>
      <w:pPr>
        <w:ind w:left="2160"/>
        <w:spacing w:after="0" w:line="204" w:lineRule="auto"/>
        <w:rPr>
          <w:sz w:val="20"/>
          <w:szCs w:val="20"/>
          <w:color w:val="auto"/>
        </w:rPr>
      </w:pPr>
      <w:r>
        <w:rPr>
          <w:rFonts w:ascii="Arial" w:cs="Arial" w:eastAsia="Arial" w:hAnsi="Arial"/>
          <w:sz w:val="22"/>
          <w:szCs w:val="22"/>
          <w:color w:val="auto"/>
        </w:rPr>
        <w:t>Street Address: 400 Jefferson Park</w:t>
      </w:r>
    </w:p>
    <w:p>
      <w:pPr>
        <w:ind w:left="2160"/>
        <w:spacing w:after="0" w:line="205" w:lineRule="auto"/>
        <w:rPr>
          <w:sz w:val="20"/>
          <w:szCs w:val="20"/>
          <w:color w:val="auto"/>
        </w:rPr>
      </w:pPr>
      <w:r>
        <w:rPr>
          <w:rFonts w:ascii="Arial" w:cs="Arial" w:eastAsia="Arial" w:hAnsi="Arial"/>
          <w:sz w:val="22"/>
          <w:szCs w:val="22"/>
          <w:color w:val="auto"/>
        </w:rPr>
        <w:t>City, State, Zip Code: Whippany, NJ 07987</w:t>
      </w:r>
    </w:p>
    <w:p>
      <w:pPr>
        <w:ind w:left="1960"/>
        <w:spacing w:after="0" w:line="205" w:lineRule="auto"/>
        <w:tabs>
          <w:tab w:leader="none" w:pos="2640" w:val="left"/>
        </w:tabs>
        <w:rPr>
          <w:sz w:val="20"/>
          <w:szCs w:val="20"/>
          <w:color w:val="auto"/>
        </w:rPr>
      </w:pPr>
      <w:r>
        <w:rPr>
          <w:rFonts w:ascii="Arial" w:cs="Arial" w:eastAsia="Arial" w:hAnsi="Arial"/>
          <w:sz w:val="22"/>
          <w:szCs w:val="22"/>
          <w:color w:val="auto"/>
        </w:rPr>
        <w:t>Attn:</w:t>
        <w:tab/>
        <w:t>Grace Pascocello</w:t>
      </w:r>
    </w:p>
    <w:p>
      <w:pPr>
        <w:ind w:left="1960"/>
        <w:spacing w:after="0" w:line="205" w:lineRule="auto"/>
        <w:rPr>
          <w:sz w:val="20"/>
          <w:szCs w:val="20"/>
          <w:color w:val="auto"/>
        </w:rPr>
      </w:pPr>
      <w:r>
        <w:rPr>
          <w:rFonts w:ascii="Arial" w:cs="Arial" w:eastAsia="Arial" w:hAnsi="Arial"/>
          <w:sz w:val="22"/>
          <w:szCs w:val="22"/>
          <w:color w:val="auto"/>
        </w:rPr>
        <w:t>Phone:</w:t>
      </w:r>
    </w:p>
    <w:p>
      <w:pPr>
        <w:ind w:left="1960"/>
        <w:spacing w:after="0" w:line="205" w:lineRule="auto"/>
        <w:rPr>
          <w:sz w:val="20"/>
          <w:szCs w:val="20"/>
          <w:color w:val="auto"/>
        </w:rPr>
      </w:pPr>
      <w:r>
        <w:rPr>
          <w:rFonts w:ascii="Arial" w:cs="Arial" w:eastAsia="Arial" w:hAnsi="Arial"/>
          <w:sz w:val="22"/>
          <w:szCs w:val="22"/>
          <w:color w:val="auto"/>
        </w:rPr>
        <w:t>Fax:</w:t>
      </w:r>
    </w:p>
    <w:p>
      <w:pPr>
        <w:ind w:left="1960"/>
        <w:spacing w:after="0" w:line="205" w:lineRule="auto"/>
        <w:rPr>
          <w:sz w:val="20"/>
          <w:szCs w:val="20"/>
          <w:color w:val="auto"/>
        </w:rPr>
      </w:pPr>
      <w:r>
        <w:rPr>
          <w:rFonts w:ascii="Arial" w:cs="Arial" w:eastAsia="Arial" w:hAnsi="Arial"/>
          <w:sz w:val="22"/>
          <w:szCs w:val="22"/>
          <w:color w:val="auto"/>
        </w:rPr>
        <w:t>E-Mail Address:</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copy to:</w:t>
      </w:r>
    </w:p>
    <w:p>
      <w:pPr>
        <w:spacing w:after="0" w:line="161" w:lineRule="exact"/>
        <w:rPr>
          <w:sz w:val="20"/>
          <w:szCs w:val="20"/>
          <w:color w:val="auto"/>
        </w:rPr>
      </w:pPr>
    </w:p>
    <w:p>
      <w:pPr>
        <w:ind w:firstLine="1304"/>
        <w:spacing w:after="0" w:line="232" w:lineRule="auto"/>
        <w:tabs>
          <w:tab w:leader="none" w:pos="1779" w:val="left"/>
        </w:tabs>
        <w:numPr>
          <w:ilvl w:val="0"/>
          <w:numId w:val="555"/>
        </w:numPr>
        <w:rPr>
          <w:rFonts w:ascii="Arial" w:cs="Arial" w:eastAsia="Arial" w:hAnsi="Arial"/>
          <w:sz w:val="22"/>
          <w:szCs w:val="22"/>
          <w:color w:val="auto"/>
        </w:rPr>
      </w:pPr>
      <w:r>
        <w:rPr>
          <w:rFonts w:ascii="Arial" w:cs="Arial" w:eastAsia="Arial" w:hAnsi="Arial"/>
          <w:sz w:val="22"/>
          <w:szCs w:val="22"/>
          <w:color w:val="auto"/>
        </w:rPr>
        <w:t>if to an Issuing Bank, to it at the address or facsimile number set forth separately in writing and delivered to the Borrower and the Administrative Agent;</w:t>
      </w:r>
    </w:p>
    <w:p>
      <w:pPr>
        <w:spacing w:after="0" w:line="158" w:lineRule="exact"/>
        <w:rPr>
          <w:rFonts w:ascii="Arial" w:cs="Arial" w:eastAsia="Arial" w:hAnsi="Arial"/>
          <w:sz w:val="22"/>
          <w:szCs w:val="22"/>
          <w:color w:val="auto"/>
        </w:rPr>
      </w:pPr>
    </w:p>
    <w:p>
      <w:pPr>
        <w:ind w:firstLine="1304"/>
        <w:spacing w:after="0" w:line="232" w:lineRule="auto"/>
        <w:tabs>
          <w:tab w:leader="none" w:pos="1904" w:val="left"/>
        </w:tabs>
        <w:numPr>
          <w:ilvl w:val="0"/>
          <w:numId w:val="555"/>
        </w:numPr>
        <w:rPr>
          <w:rFonts w:ascii="Arial" w:cs="Arial" w:eastAsia="Arial" w:hAnsi="Arial"/>
          <w:sz w:val="22"/>
          <w:szCs w:val="22"/>
          <w:color w:val="auto"/>
        </w:rPr>
      </w:pPr>
      <w:r>
        <w:rPr>
          <w:rFonts w:ascii="Arial" w:cs="Arial" w:eastAsia="Arial" w:hAnsi="Arial"/>
          <w:sz w:val="22"/>
          <w:szCs w:val="22"/>
          <w:color w:val="auto"/>
        </w:rPr>
        <w:t>if to the Swingline Lender, to it at the address or facsimile number set forth separately in writing and delivered to the Borrower and the Administrative Agent; and</w:t>
      </w:r>
    </w:p>
    <w:p>
      <w:pPr>
        <w:spacing w:after="0" w:line="158" w:lineRule="exact"/>
        <w:rPr>
          <w:rFonts w:ascii="Arial" w:cs="Arial" w:eastAsia="Arial" w:hAnsi="Arial"/>
          <w:sz w:val="22"/>
          <w:szCs w:val="22"/>
          <w:color w:val="auto"/>
        </w:rPr>
      </w:pPr>
    </w:p>
    <w:p>
      <w:pPr>
        <w:ind w:left="1760" w:hanging="456"/>
        <w:spacing w:after="0"/>
        <w:tabs>
          <w:tab w:leader="none" w:pos="1760" w:val="left"/>
        </w:tabs>
        <w:numPr>
          <w:ilvl w:val="0"/>
          <w:numId w:val="555"/>
        </w:numPr>
        <w:rPr>
          <w:rFonts w:ascii="Arial" w:cs="Arial" w:eastAsia="Arial" w:hAnsi="Arial"/>
          <w:sz w:val="19"/>
          <w:szCs w:val="19"/>
          <w:color w:val="auto"/>
        </w:rPr>
      </w:pPr>
      <w:r>
        <w:rPr>
          <w:rFonts w:ascii="Arial" w:cs="Arial" w:eastAsia="Arial" w:hAnsi="Arial"/>
          <w:sz w:val="19"/>
          <w:szCs w:val="19"/>
          <w:color w:val="auto"/>
        </w:rPr>
        <w:t>if to any other Lender, to it at its address (or facsimile number) set forth in its Administrative Questionnaire.</w:t>
      </w:r>
    </w:p>
    <w:p>
      <w:pPr>
        <w:spacing w:after="0" w:line="214"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 xml:space="preserve">Any party hereto may change its address or facsimile number for notices and other communications hereunder by notice to the other parties hereto. Subject to </w:t>
      </w:r>
      <w:r>
        <w:rPr>
          <w:rFonts w:ascii="Arial" w:cs="Arial" w:eastAsia="Arial" w:hAnsi="Arial"/>
          <w:sz w:val="19"/>
          <w:szCs w:val="19"/>
          <w:u w:val="single" w:color="auto"/>
          <w:color w:val="auto"/>
        </w:rPr>
        <w:t>Section 9.15</w:t>
      </w:r>
      <w:r>
        <w:rPr>
          <w:rFonts w:ascii="Arial" w:cs="Arial" w:eastAsia="Arial" w:hAnsi="Arial"/>
          <w:sz w:val="19"/>
          <w:szCs w:val="19"/>
          <w:color w:val="auto"/>
        </w:rPr>
        <w:t xml:space="preserve">, notices and other communications to the Lenders and the Issuing Banks hereunder may also be delivered or furnished by electronic communication (including e-mail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any Issuing Bank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such Issuing Bank, as applicable,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 All notices and other communications given to any party hereto in accordance with the provisions of this Agreement shall be deemed to have been given on the date of receipt.</w:t>
      </w:r>
    </w:p>
    <w:p>
      <w:pPr>
        <w:spacing w:after="0" w:line="15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u w:val="single" w:color="auto"/>
          <w:color w:val="auto"/>
        </w:rPr>
        <w:t>Section 9.02 Waivers; Amendments</w:t>
      </w:r>
      <w:r>
        <w:rPr>
          <w:rFonts w:ascii="Arial" w:cs="Arial" w:eastAsia="Arial" w:hAnsi="Arial"/>
          <w:sz w:val="19"/>
          <w:szCs w:val="19"/>
          <w:color w:val="auto"/>
        </w:rPr>
        <w:t xml:space="preserve">. (a) 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in any case shall entitle the Borrower to any other or further notice or demand in similar or other circumstances.</w:t>
      </w:r>
    </w:p>
    <w:p>
      <w:pPr>
        <w:spacing w:after="0" w:line="164" w:lineRule="exact"/>
        <w:rPr>
          <w:sz w:val="20"/>
          <w:szCs w:val="20"/>
          <w:color w:val="auto"/>
        </w:rPr>
      </w:pPr>
    </w:p>
    <w:p>
      <w:pPr>
        <w:ind w:firstLine="1304"/>
        <w:spacing w:after="0" w:line="232" w:lineRule="auto"/>
        <w:tabs>
          <w:tab w:leader="none" w:pos="1824" w:val="left"/>
        </w:tabs>
        <w:numPr>
          <w:ilvl w:val="0"/>
          <w:numId w:val="556"/>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with respect to any Incremental Credit Facility Amendment,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2.21</w:t>
      </w:r>
      <w:r>
        <w:rPr>
          <w:rFonts w:ascii="Arial" w:cs="Arial" w:eastAsia="Arial" w:hAnsi="Arial"/>
          <w:sz w:val="22"/>
          <w:szCs w:val="22"/>
          <w:color w:val="auto"/>
        </w:rPr>
        <w:t xml:space="preserve"> with respect to any Refinancing Amendment, in </w:t>
      </w:r>
      <w:r>
        <w:rPr>
          <w:rFonts w:ascii="Arial" w:cs="Arial" w:eastAsia="Arial" w:hAnsi="Arial"/>
          <w:sz w:val="22"/>
          <w:szCs w:val="22"/>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78" w:name="page479"/>
    <w:bookmarkEnd w:id="478"/>
    <w:p>
      <w:pPr>
        <w:jc w:val="both"/>
        <w:spacing w:after="0" w:line="238" w:lineRule="auto"/>
        <w:rPr>
          <w:sz w:val="20"/>
          <w:szCs w:val="20"/>
          <w:color w:val="auto"/>
        </w:rPr>
      </w:pPr>
      <w:r>
        <w:rPr>
          <w:rFonts w:ascii="Arial" w:cs="Arial" w:eastAsia="Arial" w:hAnsi="Arial"/>
          <w:sz w:val="19"/>
          <w:szCs w:val="19"/>
          <w:u w:val="single" w:color="auto"/>
          <w:color w:val="auto"/>
        </w:rPr>
        <w:t>2.24</w:t>
      </w:r>
      <w:r>
        <w:rPr>
          <w:rFonts w:ascii="Arial" w:cs="Arial" w:eastAsia="Arial" w:hAnsi="Arial"/>
          <w:sz w:val="19"/>
          <w:szCs w:val="19"/>
          <w:color w:val="auto"/>
        </w:rPr>
        <w:t xml:space="preserve"> with respect to an Extension Offer, in connection with the Term Loan Exchange Notes, in </w:t>
      </w:r>
      <w:r>
        <w:rPr>
          <w:rFonts w:ascii="Arial" w:cs="Arial" w:eastAsia="Arial" w:hAnsi="Arial"/>
          <w:sz w:val="19"/>
          <w:szCs w:val="19"/>
          <w:u w:val="single" w:color="auto"/>
          <w:color w:val="auto"/>
        </w:rPr>
        <w:t>Section 9.02(d)</w:t>
      </w:r>
      <w:r>
        <w:rPr>
          <w:rFonts w:ascii="Arial" w:cs="Arial" w:eastAsia="Arial" w:hAnsi="Arial"/>
          <w:sz w:val="19"/>
          <w:szCs w:val="19"/>
          <w:color w:val="auto"/>
        </w:rPr>
        <w:t xml:space="preserve"> with respect to any amendment in respect of Replacement Term Loans and in </w:t>
      </w:r>
      <w:r>
        <w:rPr>
          <w:rFonts w:ascii="Arial" w:cs="Arial" w:eastAsia="Arial" w:hAnsi="Arial"/>
          <w:sz w:val="19"/>
          <w:szCs w:val="19"/>
          <w:u w:val="single" w:color="auto"/>
          <w:color w:val="auto"/>
        </w:rPr>
        <w:t>Section 9.02(i)</w:t>
      </w:r>
      <w:r>
        <w:rPr>
          <w:rFonts w:ascii="Arial" w:cs="Arial" w:eastAsia="Arial" w:hAnsi="Arial"/>
          <w:sz w:val="19"/>
          <w:szCs w:val="19"/>
          <w:color w:val="auto"/>
        </w:rPr>
        <w:t xml:space="preserve"> , in </w:t>
      </w:r>
      <w:r>
        <w:rPr>
          <w:rFonts w:ascii="Arial" w:cs="Arial" w:eastAsia="Arial" w:hAnsi="Arial"/>
          <w:sz w:val="19"/>
          <w:szCs w:val="19"/>
          <w:u w:val="single" w:color="auto"/>
          <w:color w:val="auto"/>
        </w:rPr>
        <w:t>Section 9.16</w:t>
      </w:r>
      <w:r>
        <w:rPr>
          <w:rFonts w:ascii="Arial" w:cs="Arial" w:eastAsia="Arial" w:hAnsi="Arial"/>
          <w:sz w:val="19"/>
          <w:szCs w:val="19"/>
          <w:color w:val="auto"/>
        </w:rPr>
        <w:t xml:space="preserve"> or as otherwise specifically provided below or otherwise provided herein or in a Loan Document, neither any Loan Document nor any provision thereof may be waived, amended or modified except, in the case of this Agreement, pursuant to an agreement or agreements in writing entered into by the Borrower and the Required Lenders or, in the case of any other Loan Document, pursuant to an agreement or agreements in writing entered into by the Administrative Agent and the Loan Party or Loan Parties that are parties thereto (except as otherwise expressly provided therein), in each case with the consent of the Required Lenders (other than with respect to any amendment, modification or waiver contemplated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which shall require only the consent of the Lenders expressly set forth therein and not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 (i) increase the Commitment of any Lender without the written consent of such Lender (it being understood that a waiver of any condition precedent in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4.02 of this Agreement or the waiver of any covenant, Default, Event of Default or mandatory prepayment or reductions shall not constitute an increase of any Commitment of a Lender),</w:t>
      </w:r>
    </w:p>
    <w:p>
      <w:pPr>
        <w:spacing w:after="0" w:line="10" w:lineRule="exact"/>
        <w:rPr>
          <w:sz w:val="20"/>
          <w:szCs w:val="20"/>
          <w:color w:val="auto"/>
        </w:rPr>
      </w:pPr>
    </w:p>
    <w:p>
      <w:pPr>
        <w:jc w:val="both"/>
        <w:ind w:firstLine="8"/>
        <w:spacing w:after="0"/>
        <w:tabs>
          <w:tab w:leader="none" w:pos="324" w:val="left"/>
        </w:tabs>
        <w:numPr>
          <w:ilvl w:val="0"/>
          <w:numId w:val="557"/>
        </w:numPr>
        <w:rPr>
          <w:rFonts w:ascii="Arial" w:cs="Arial" w:eastAsia="Arial" w:hAnsi="Arial"/>
          <w:sz w:val="19"/>
          <w:szCs w:val="19"/>
          <w:color w:val="auto"/>
        </w:rPr>
      </w:pPr>
      <w:r>
        <w:rPr>
          <w:rFonts w:ascii="Arial" w:cs="Arial" w:eastAsia="Arial" w:hAnsi="Arial"/>
          <w:sz w:val="19"/>
          <w:szCs w:val="19"/>
          <w:color w:val="auto"/>
        </w:rPr>
        <w:t xml:space="preserve">reduce or forgive the principal amount of any Loan or LC Disbursement owed to a Lender or, subject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and the proviso in the definition of “Term SOFR”, reduce the rate of interest thereon owed to such Lender, or reduce any fees or premiums payable hereunder owed to such Lender, without the written consent of such Lender directly and adversely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waiver of any Default or Event of Default or default interest, waiver of a mandatory prepayment or any modification, waiver or amendment to the financial covenant definitions or financial ratios or any component thereof in this Agreement shall not constitute a reduction or forgiveness in the interest rates or the fees or premiums for purposes of this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(iii) except as otherwise provided hereunder, including pursuant to Refinancing Amendments or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postpone the scheduled maturity of any Loan, or the date of any scheduled repayment (but not prepayment) of the principal amount of any Term Loan under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or the applicable Incremental Credit Facility Amendment, or the required date of reimbursement of any LC Disbursement, or any date for the payment of any interest, fees or premiums payable hereunder, or reduce or forgive the amount of, waive or excuse any such repayment (but not prepayment), or postpone the scheduled date of expiration of any Commitment, without the written consent of each Lender directly and adversely affected thereby (it being understood that no amendment, modification or waiver of, or consent to departure from, any condition precedent, covenant, Default, Event of Default, waiver of default interest, mandatory prepayment or mandatory reduction of the Commitments shall constitute a postponement of any date scheduled for the payment of principal or interest or an extension of the final maturity of any Loan or the scheduled termination date of any Commitment), (iv) change any of the provisions of this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or reduce the percentage set forth in the definition of the term “Required Lenders” or reduce the percentage in any other provision of any Loan Document specifying the number or percentage of Lenders (or Lenders of any Class) required (including pursuant to </w:t>
      </w:r>
      <w:r>
        <w:rPr>
          <w:rFonts w:ascii="Arial" w:cs="Arial" w:eastAsia="Arial" w:hAnsi="Arial"/>
          <w:sz w:val="19"/>
          <w:szCs w:val="19"/>
          <w:u w:val="single" w:color="auto"/>
          <w:color w:val="auto"/>
        </w:rPr>
        <w:t>clause (z)</w:t>
      </w:r>
      <w:r>
        <w:rPr>
          <w:rFonts w:ascii="Arial" w:cs="Arial" w:eastAsia="Arial" w:hAnsi="Arial"/>
          <w:sz w:val="19"/>
          <w:szCs w:val="19"/>
          <w:color w:val="auto"/>
        </w:rPr>
        <w:t xml:space="preserve"> of the proviso to definition of “Required Lenders”) to waive, amend or modify any rights thereunder or make any determination or grant any consent thereunder, without the written consent of each Lender directly and adversely affected thereby (or each Lender of such Class directly and adversely affected thereby, as the case may be) (it being understood that, other than as specifically provided in this Agreement, including pursuant to (v) the Term Loan Exchange Notes, (w) </w:t>
      </w:r>
      <w:r>
        <w:rPr>
          <w:rFonts w:ascii="Arial" w:cs="Arial" w:eastAsia="Arial" w:hAnsi="Arial"/>
          <w:sz w:val="19"/>
          <w:szCs w:val="19"/>
          <w:u w:val="single" w:color="auto"/>
          <w:color w:val="auto"/>
        </w:rPr>
        <w:t>Section 9.02(d)</w:t>
      </w:r>
      <w:r>
        <w:rPr>
          <w:rFonts w:ascii="Arial" w:cs="Arial" w:eastAsia="Arial" w:hAnsi="Arial"/>
          <w:sz w:val="19"/>
          <w:szCs w:val="19"/>
          <w:color w:val="auto"/>
        </w:rPr>
        <w:t xml:space="preserve"> with respect to Replacement Term Loans, (x) any Incremental Credit Facility Amendment (the consent requirements for which are set forth in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(y) a Refinancing Amendment (the consent requirements for which are set forth in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and (z) an Extension Offer pursuant to </w:t>
      </w:r>
      <w:r>
        <w:rPr>
          <w:rFonts w:ascii="Arial" w:cs="Arial" w:eastAsia="Arial" w:hAnsi="Arial"/>
          <w:sz w:val="19"/>
          <w:szCs w:val="19"/>
          <w:u w:val="single" w:color="auto"/>
          <w:color w:val="auto"/>
        </w:rPr>
        <w:t>Section 2.24</w:t>
      </w:r>
      <w:r>
        <w:rPr>
          <w:rFonts w:ascii="Arial" w:cs="Arial" w:eastAsia="Arial" w:hAnsi="Arial"/>
          <w:sz w:val="19"/>
          <w:szCs w:val="19"/>
          <w:color w:val="auto"/>
        </w:rPr>
        <w:t>, with the consent of the Required Lenders, additional extensions of credit pursuant to this Agreement may be included in the determination of the Required Lenders or a particular Class of Lenders on substantially the same basis as the Term Loans and Revolving Commitments on the Closing Date), (v) release all or substantially all of the value of the Guarantees under the Guaranties (except as provided herein or in the applicable Loan Document), without the written consent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79" w:name="page480"/>
    <w:bookmarkEnd w:id="479"/>
    <w:p>
      <w:pPr>
        <w:jc w:val="both"/>
        <w:spacing w:after="0"/>
        <w:rPr>
          <w:sz w:val="20"/>
          <w:szCs w:val="20"/>
          <w:color w:val="auto"/>
        </w:rPr>
      </w:pPr>
      <w:r>
        <w:rPr>
          <w:rFonts w:ascii="Arial" w:cs="Arial" w:eastAsia="Arial" w:hAnsi="Arial"/>
          <w:sz w:val="19"/>
          <w:szCs w:val="19"/>
          <w:color w:val="auto"/>
        </w:rPr>
        <w:t xml:space="preserve">each Lender, (vi) release all or substantially all the Collateral from the Liens of the Security Documents (except as provided herein or in the applicable Loan Document), without the written consent of each Lender (it being understood that any subordination of a lien permitted hereunder shall not constitute a release of a lien under this Section and the granting of any pari passu liens in connection with the incurrence of debt or the granting of liens otherwise permitted hereunder from time to time (including pursuant to amendments) shall not constitute a release of liens), (vii) [reserved], (viii) amend, waive or otherwise modify (w) any provision of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(x) solely for purposes of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the definition of “First Lien Net Leverage Ratio” or any defined term used in such definition, (y) solely for purposes of </w:t>
      </w:r>
      <w:r>
        <w:rPr>
          <w:rFonts w:ascii="Arial" w:cs="Arial" w:eastAsia="Arial" w:hAnsi="Arial"/>
          <w:sz w:val="19"/>
          <w:szCs w:val="19"/>
          <w:u w:val="single" w:color="auto"/>
          <w:color w:val="auto"/>
        </w:rPr>
        <w:t>Section 7.04</w:t>
      </w:r>
      <w:r>
        <w:rPr>
          <w:rFonts w:ascii="Arial" w:cs="Arial" w:eastAsia="Arial" w:hAnsi="Arial"/>
          <w:sz w:val="19"/>
          <w:szCs w:val="19"/>
          <w:color w:val="auto"/>
        </w:rPr>
        <w:t>, the definition of “Cure Right”, “Cure Amount” or any other defined term used in such provisions or (z) the conditions precedent to any Borrowings or other Credit Event, including issuances of Letters of Credit, under the Revolving Credit Facility, in each case, without the written consent of the Required Revolving Lenders, (ix) decrease the amount of any mandatory prepayment to be received by the Initial Term Loan Lenders hereunder in a manner disproportionately adverse to the interests of such Class in relation to the Lenders of any other Class of Term Loans, in each case without the written consent of Lenders holding more than 50% of the Initial Term Loans, or (x) in connection with an amendment that addresses solely a re-pricing transaction in which any Class of Term Loans is refinanced with a replacement Class of term loans bearing (or is modified in such a manner such that the resulting term loans bear) a lower Yield (a “</w:t>
      </w:r>
      <w:r>
        <w:rPr>
          <w:rFonts w:ascii="Arial" w:cs="Arial" w:eastAsia="Arial" w:hAnsi="Arial"/>
          <w:sz w:val="19"/>
          <w:szCs w:val="19"/>
          <w:u w:val="single" w:color="auto"/>
          <w:color w:val="auto"/>
        </w:rPr>
        <w:t>Permitted Repricing Amendment</w:t>
      </w:r>
      <w:r>
        <w:rPr>
          <w:rFonts w:ascii="Arial" w:cs="Arial" w:eastAsia="Arial" w:hAnsi="Arial"/>
          <w:sz w:val="19"/>
          <w:szCs w:val="19"/>
          <w:color w:val="auto"/>
        </w:rPr>
        <w:t xml:space="preserve">”), only the consent of the Lenders holding Term Loans subject to such permitted repricing transaction that will continue as Lenders in respect of the repriced tranche of Term Loans or modified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agreement shall directly adversely amend or modify the rights or duties of the Administrative Agent, the Collateral Agent, the Swingline Lender or the Issuing Banks without the prior written consent of the Administrative Agent, the Collateral Agent, the Swingline Lender or the Issuing Banks, as the case may be. In the event an amendment to this Agreement or any other Loan Document is effected without the consent of the Administrative Agent or the Collateral Agent (to the extent permitted hereunder) and to which the Administrative Agent or the Collateral Agent is not a party, the Borrower shall furnish a copy of such amendment to the Administrative Agent. Notwithstanding the foregoing, no Lender consent is required to effect any amendment, modification or supplement to any intercreditor agreement or arrangement permitted under this Agreement or in any document pertaining to any Indebtedness permitted hereby that is permitted to be secured by the Collateral, including any Incremental Term Loan or Incremental Revolving Loan, any Additional Debt, any Other Term Loan, Other Revolving Loan or Other Revolving Commitments, Extended Term Loans, Extended Revolving Loans, or any Term Loan Exchange Notes and Permitted First Priority Replacement Debt or Permitted Second Priority Replacement Debt, for the purpose of adding the holders of such Indebtedness (or their senior representative) as a party thereto and otherwise causing such Indebtedness to be subject thereto, in each case as contemplated by the terms of such intercreditor agreement or arrangement permitted under this Agreement, as applicable, together with any immaterial changes and other modifications, in each case, in form and substance reasonably satisfactory to the Collateral Agent (it being understood that junior Liens are not required to be pari passu with other junior Liens, and that Indebtedness secured by junior Liens may be secured by Liens that are pari passu with, or junior in priority to, other Liens that are junior to the Liens securing the Obligations).</w:t>
      </w:r>
    </w:p>
    <w:p>
      <w:pPr>
        <w:spacing w:after="0" w:line="352" w:lineRule="exact"/>
        <w:rPr>
          <w:sz w:val="20"/>
          <w:szCs w:val="20"/>
          <w:color w:val="auto"/>
        </w:rPr>
      </w:pPr>
    </w:p>
    <w:p>
      <w:pPr>
        <w:jc w:val="both"/>
        <w:ind w:firstLine="1304"/>
        <w:spacing w:after="0" w:line="247" w:lineRule="auto"/>
        <w:tabs>
          <w:tab w:leader="none" w:pos="1836" w:val="left"/>
        </w:tabs>
        <w:numPr>
          <w:ilvl w:val="0"/>
          <w:numId w:val="558"/>
        </w:numPr>
        <w:rPr>
          <w:rFonts w:ascii="Arial" w:cs="Arial" w:eastAsia="Arial" w:hAnsi="Arial"/>
          <w:sz w:val="19"/>
          <w:szCs w:val="19"/>
          <w:color w:val="auto"/>
        </w:rPr>
      </w:pPr>
      <w:r>
        <w:rPr>
          <w:rFonts w:ascii="Arial" w:cs="Arial" w:eastAsia="Arial" w:hAnsi="Arial"/>
          <w:sz w:val="19"/>
          <w:szCs w:val="19"/>
          <w:color w:val="auto"/>
        </w:rPr>
        <w:t>In connection with any proposed amendment, modification, waiver or termination (a “</w:t>
      </w:r>
      <w:r>
        <w:rPr>
          <w:rFonts w:ascii="Arial" w:cs="Arial" w:eastAsia="Arial" w:hAnsi="Arial"/>
          <w:sz w:val="19"/>
          <w:szCs w:val="19"/>
          <w:u w:val="single" w:color="auto"/>
          <w:color w:val="auto"/>
        </w:rPr>
        <w:t>Proposed Change</w:t>
      </w:r>
      <w:r>
        <w:rPr>
          <w:rFonts w:ascii="Arial" w:cs="Arial" w:eastAsia="Arial" w:hAnsi="Arial"/>
          <w:sz w:val="19"/>
          <w:szCs w:val="19"/>
          <w:color w:val="auto"/>
        </w:rPr>
        <w:t xml:space="preserve">”) requiring the consent of all Lenders or all directly and adversely affected Lenders, if the consent of the Required Lenders (and, to the extent any Proposed Change requires the consent of Lenders holding Loans of any Class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(x)</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9.02</w:t>
      </w:r>
      <w:r>
        <w:rPr>
          <w:rFonts w:ascii="Arial" w:cs="Arial" w:eastAsia="Arial" w:hAnsi="Arial"/>
          <w:sz w:val="19"/>
          <w:szCs w:val="19"/>
          <w:color w:val="auto"/>
        </w:rPr>
        <w:t>, the consent of a majority in interest of the outstanding Loans and unused Commitments of such Class) (or, in the case of a consent, waiver or amendment involving directly and adversely affected Lenders, at least 50.1% of such directly and adversely affected Lenders) to such Proposed Change is obtained, but the consent to such Proposed Change of other Lenders whose consent is required is not obtained (any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80" w:name="page481"/>
    <w:bookmarkEnd w:id="480"/>
    <w:p>
      <w:pPr>
        <w:jc w:val="both"/>
        <w:spacing w:after="0" w:line="247" w:lineRule="auto"/>
        <w:rPr>
          <w:sz w:val="20"/>
          <w:szCs w:val="20"/>
          <w:color w:val="auto"/>
        </w:rPr>
      </w:pPr>
      <w:r>
        <w:rPr>
          <w:rFonts w:ascii="Arial" w:cs="Arial" w:eastAsia="Arial" w:hAnsi="Arial"/>
          <w:sz w:val="19"/>
          <w:szCs w:val="19"/>
          <w:color w:val="auto"/>
        </w:rPr>
        <w:t xml:space="preserve">whose consent is not obtained as described in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being referred to as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then, the Borrower may, at its sole expense and effort, upon notice to such Non-Consenting Lender and the Administrative Agent,</w:t>
      </w:r>
    </w:p>
    <w:p>
      <w:pPr>
        <w:jc w:val="both"/>
        <w:ind w:firstLine="8"/>
        <w:spacing w:after="0" w:line="237" w:lineRule="auto"/>
        <w:tabs>
          <w:tab w:leader="none" w:pos="312" w:val="left"/>
        </w:tabs>
        <w:numPr>
          <w:ilvl w:val="0"/>
          <w:numId w:val="559"/>
        </w:numPr>
        <w:rPr>
          <w:rFonts w:ascii="Arial" w:cs="Arial" w:eastAsia="Arial" w:hAnsi="Arial"/>
          <w:sz w:val="19"/>
          <w:szCs w:val="19"/>
          <w:color w:val="auto"/>
        </w:rPr>
      </w:pPr>
      <w:r>
        <w:rPr>
          <w:rFonts w:ascii="Arial" w:cs="Arial" w:eastAsia="Arial" w:hAnsi="Arial"/>
          <w:sz w:val="19"/>
          <w:szCs w:val="19"/>
          <w:color w:val="auto"/>
        </w:rPr>
        <w:t xml:space="preserve">require such Non-Consenting Lender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Non-Consenting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if the Non-Consenting Lender is a Lender with Term Loans being required to assign Term Loans under this </w:t>
      </w:r>
      <w:r>
        <w:rPr>
          <w:rFonts w:ascii="Arial" w:cs="Arial" w:eastAsia="Arial" w:hAnsi="Arial"/>
          <w:sz w:val="19"/>
          <w:szCs w:val="19"/>
          <w:u w:val="single" w:color="auto"/>
          <w:color w:val="auto"/>
        </w:rPr>
        <w:t>Section 9.02(c)</w:t>
      </w:r>
      <w:r>
        <w:rPr>
          <w:rFonts w:ascii="Arial" w:cs="Arial" w:eastAsia="Arial" w:hAnsi="Arial"/>
          <w:sz w:val="19"/>
          <w:szCs w:val="19"/>
          <w:color w:val="auto"/>
        </w:rPr>
        <w:t xml:space="preserve"> due solely to its failure to waive, postpone or reduce the prepayment premium set forth in </w:t>
      </w:r>
      <w:r>
        <w:rPr>
          <w:rFonts w:ascii="Arial" w:cs="Arial" w:eastAsia="Arial" w:hAnsi="Arial"/>
          <w:sz w:val="19"/>
          <w:szCs w:val="19"/>
          <w:u w:val="single" w:color="auto"/>
          <w:color w:val="auto"/>
        </w:rPr>
        <w:t>Section 2.11(a)</w:t>
      </w:r>
      <w:r>
        <w:rPr>
          <w:rFonts w:ascii="Arial" w:cs="Arial" w:eastAsia="Arial" w:hAnsi="Arial"/>
          <w:sz w:val="19"/>
          <w:szCs w:val="19"/>
          <w:color w:val="auto"/>
        </w:rPr>
        <w:t xml:space="preserve">, the payment by the assignee of such prepayment premium as if such Term Loans subject to such assignment were subject to a Repricing Transaction, (b) the Borrower or such assignee shall have paid to the Administrative Agent the processing and recordation fee specified in </w:t>
      </w:r>
      <w:r>
        <w:rPr>
          <w:rFonts w:ascii="Arial" w:cs="Arial" w:eastAsia="Arial" w:hAnsi="Arial"/>
          <w:sz w:val="19"/>
          <w:szCs w:val="19"/>
          <w:u w:val="single" w:color="auto"/>
          <w:color w:val="auto"/>
        </w:rPr>
        <w:t>clause (b)(ii)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(c) such assignee shall have consented to the Proposed Change or</w:t>
      </w:r>
    </w:p>
    <w:p>
      <w:pPr>
        <w:spacing w:after="0" w:line="2" w:lineRule="exact"/>
        <w:rPr>
          <w:rFonts w:ascii="Arial" w:cs="Arial" w:eastAsia="Arial" w:hAnsi="Arial"/>
          <w:sz w:val="19"/>
          <w:szCs w:val="19"/>
          <w:color w:val="auto"/>
        </w:rPr>
      </w:pPr>
    </w:p>
    <w:p>
      <w:pPr>
        <w:jc w:val="both"/>
        <w:ind w:firstLine="8"/>
        <w:spacing w:after="0" w:line="209" w:lineRule="auto"/>
        <w:tabs>
          <w:tab w:leader="none" w:pos="322" w:val="left"/>
        </w:tabs>
        <w:numPr>
          <w:ilvl w:val="0"/>
          <w:numId w:val="559"/>
        </w:numPr>
        <w:rPr>
          <w:rFonts w:ascii="Arial" w:cs="Arial" w:eastAsia="Arial" w:hAnsi="Arial"/>
          <w:sz w:val="22"/>
          <w:szCs w:val="22"/>
          <w:color w:val="auto"/>
        </w:rPr>
      </w:pPr>
      <w:r>
        <w:rPr>
          <w:rFonts w:ascii="Arial" w:cs="Arial" w:eastAsia="Arial" w:hAnsi="Arial"/>
          <w:sz w:val="22"/>
          <w:szCs w:val="22"/>
          <w:color w:val="auto"/>
        </w:rPr>
        <w:t xml:space="preserve">terminate the Commitment of such Lender or Issuing Bank, as the case may be, and (1) in the case of a Lender (other than an Issuing Bank), repay all Obligations of the Borrower due and owing to such Lender relating to the Loans and participations held by such Lender as of such termination date and (2) in the case of an Issuing Bank, repay all Obligations of the Borrower owing to such Issuing Bank relating to the Loans and participations held by such Issuing Bank as of such termination date and cancel or backstop on terms satisfactory to such Issuing Bank any Letters of Credit issued by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any such termination of a Non-Consenting Lender such termination shall be sufficient (together with all other consenting Lenders and terminated Lenders after giving effect hereto) to cause the adoption of the applicable departure, waiver or amendment of the Loan Documents.</w:t>
      </w:r>
    </w:p>
    <w:p>
      <w:pPr>
        <w:spacing w:after="0" w:line="163" w:lineRule="exact"/>
        <w:rPr>
          <w:rFonts w:ascii="Arial" w:cs="Arial" w:eastAsia="Arial" w:hAnsi="Arial"/>
          <w:sz w:val="22"/>
          <w:szCs w:val="22"/>
          <w:color w:val="auto"/>
        </w:rPr>
      </w:pPr>
    </w:p>
    <w:p>
      <w:pPr>
        <w:jc w:val="both"/>
        <w:ind w:firstLine="1304"/>
        <w:spacing w:after="0"/>
        <w:tabs>
          <w:tab w:leader="none" w:pos="1777" w:val="left"/>
        </w:tabs>
        <w:numPr>
          <w:ilvl w:val="1"/>
          <w:numId w:val="559"/>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or any other Loan Document to the contrary, in connection with </w:t>
      </w:r>
      <w:r>
        <w:rPr>
          <w:rFonts w:ascii="Arial" w:cs="Arial" w:eastAsia="Arial" w:hAnsi="Arial"/>
          <w:sz w:val="19"/>
          <w:szCs w:val="19"/>
          <w:u w:val="single" w:color="auto"/>
          <w:color w:val="auto"/>
        </w:rPr>
        <w:t>Section 2.21</w:t>
      </w:r>
      <w:r>
        <w:rPr>
          <w:rFonts w:ascii="Arial" w:cs="Arial" w:eastAsia="Arial" w:hAnsi="Arial"/>
          <w:sz w:val="19"/>
          <w:szCs w:val="19"/>
          <w:color w:val="auto"/>
        </w:rPr>
        <w:t>, this Agreement may be amended (or amended and restated) solely with the written consent of the Administrative Agent, the Holding Companies, the Borrower and the Lenders providing the relevant Replacement Term Loans (as such term is defined below) to permit the refinancing of all or any portion of any Class of Term Loans outstanding as of the applicable date of determination (the “</w:t>
      </w:r>
      <w:r>
        <w:rPr>
          <w:rFonts w:ascii="Arial" w:cs="Arial" w:eastAsia="Arial" w:hAnsi="Arial"/>
          <w:sz w:val="19"/>
          <w:szCs w:val="19"/>
          <w:u w:val="single" w:color="auto"/>
          <w:color w:val="auto"/>
        </w:rPr>
        <w:t>Refinanced Term Loans</w:t>
      </w:r>
      <w:r>
        <w:rPr>
          <w:rFonts w:ascii="Arial" w:cs="Arial" w:eastAsia="Arial" w:hAnsi="Arial"/>
          <w:sz w:val="19"/>
          <w:szCs w:val="19"/>
          <w:color w:val="auto"/>
        </w:rPr>
        <w:t>”) with a replacement term loan tranche hereunder (the “</w:t>
      </w:r>
      <w:r>
        <w:rPr>
          <w:rFonts w:ascii="Arial" w:cs="Arial" w:eastAsia="Arial" w:hAnsi="Arial"/>
          <w:sz w:val="19"/>
          <w:szCs w:val="19"/>
          <w:u w:val="single" w:color="auto"/>
          <w:color w:val="auto"/>
        </w:rPr>
        <w:t>Replacement Term Loans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aggregate principal amount of such Replacement Term Loans shall not exceed the aggregate principal amount of such Refinanced Term Loans plus premiums, accrued interest, fees and expenses in connection therewith, (ii) the Applicable Margin for such Replacement Term Loans shall not be higher than the Applicable Margin for such Refinanced Term Loans, unless the any such higher Applicable Margin applies after the Term Loan Maturity Date, (iii) the Weighted Average Life to Maturity and final maturity of such Replacement Term Loans shall not be shorter than the Weighted Average Life to Maturity and final maturity of such Refinanced Term Loans at the time of such refinancing (without giving effect to nominal amortization for periods where amortization has been eliminated as a result of a prepayment of the applicable Refinanced Term Loans), (iv) the mandatory prepayment and optional prepayment provisions of the Replacement Term Loans shall not require more than pro rata payments and may permit optional prepayments and mandatory prepayments to be paid in respect of the Term Loans not constituting Refinanced Term Loans, and (v) the covenants, events of default and guarantees shall be not materially more restrictive (taken as a whole) (as determined in good faith by the Borrower) to the Lenders providing such Replacement Term Loans than the covenants, events of default and guarantees applicable to such Refinanced Term Loans, except to the extent necessary to provide for covenants, events of default and guarantees applicable to any period after the maturity date in respect of the Refinanced Term Loans in effect immediately prior to such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81" w:name="page482"/>
    <w:bookmarkEnd w:id="481"/>
    <w:p>
      <w:pPr>
        <w:jc w:val="both"/>
        <w:ind w:firstLine="1304"/>
        <w:spacing w:after="0"/>
        <w:tabs>
          <w:tab w:leader="none" w:pos="1797" w:val="left"/>
        </w:tabs>
        <w:numPr>
          <w:ilvl w:val="0"/>
          <w:numId w:val="560"/>
        </w:numPr>
        <w:rPr>
          <w:rFonts w:ascii="Arial" w:cs="Arial" w:eastAsia="Arial" w:hAnsi="Arial"/>
          <w:sz w:val="19"/>
          <w:szCs w:val="19"/>
          <w:color w:val="auto"/>
        </w:rPr>
      </w:pPr>
      <w:r>
        <w:rPr>
          <w:rFonts w:ascii="Arial" w:cs="Arial" w:eastAsia="Arial" w:hAnsi="Arial"/>
          <w:sz w:val="19"/>
          <w:szCs w:val="19"/>
          <w:color w:val="auto"/>
        </w:rPr>
        <w:t xml:space="preserve">The Lenders, the Swingline Lender and the Issuing Banks, and all other Secured Parties hereby irrevocably agree that the Liens granted to the Collateral Agent by the Loan Parties on any Collateral shall, at the sole cost and expense of the Borrower, be automatically released (i) upon the occurrence of the Termination Date of this Agreement, (ii) upon the sale or other disposition of such Collateral (as part of or in connection with any other sale or other disposition permitted hereunder) to any Person other than another Loan Party, in connection with any other sale or disposition resulting in any Collateral becoming Excluded Property, or in connection with the designation of any Restricted Subsidiary as an Unrestricted Subsidiary, in each case, to the extent such sale or other disposition is made in compliance with the terms of this Agreement, (iii) to the extent such Collateral is comprised of property leased to a Loan Party, (iv) if the release of such Lien is approved, authorized or ratified in writing by the Required Lenders (or such other percentage of the Lenders whose consent may be required in accordance with this </w:t>
      </w:r>
      <w:r>
        <w:rPr>
          <w:rFonts w:ascii="Arial" w:cs="Arial" w:eastAsia="Arial" w:hAnsi="Arial"/>
          <w:sz w:val="19"/>
          <w:szCs w:val="19"/>
          <w:u w:val="single" w:color="auto"/>
          <w:color w:val="auto"/>
        </w:rPr>
        <w:t>Section 9.02</w:t>
      </w:r>
      <w:r>
        <w:rPr>
          <w:rFonts w:ascii="Arial" w:cs="Arial" w:eastAsia="Arial" w:hAnsi="Arial"/>
          <w:sz w:val="19"/>
          <w:szCs w:val="19"/>
          <w:color w:val="auto"/>
        </w:rPr>
        <w:t>), (v) to the extent such property constitutes Excluded Property or other assets not required to be Collateral pursuant to the applicable Collateral Document (with respect to Holdings and Foreign Subsidiaries), (vi) to the extent the property constituting such Collateral is owned by any Loan Party, upon the release of such Loan Party from its obligations under the Guaranty (in accordance with the following sentence) to the extent such release of a Loan Party is made in compliance with the terms of this Agreement and (vii) as required to effect any sale or other disposition of Collateral in connection with any exercise of remedies of the Collateral Agent pursuant to the Loan Documents. 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 sale, all of which shall continue to constitute part of the Collateral except to the extent comprised of Excluded Property or other assets not required to be Collateral pursuant to the applicable Collateral Document (with respect to Holdings and Foreign Subsidiaries) or otherwise released in accordance with the provisions of the Loan Documents. Additionally, the Lenders, the Issuing Banks, and all other Secured Parties, hereby irrevocably agree that each Loan Party shall be released from the Guaranty upon consummation of any transaction permitted hereunder resulting in such Subsidiary ceasing to constitute a Restricted Subsidiary. The Lenders, the Issuing Banks, and all other Secured Parties, hereby authorize the Administrative Agent and the Collateral Agent, as applicable, to execute and deliver any instruments, documents, and agreements necessary or desirable to evidence and confirm the release of any Loan Party’s Guarantee under the Guaranty or its Collateral pursuant to the foregoing provisions of this paragraph, all without the further consent or joinder of any Lender, Issuing Bank or other Secured Party.</w:t>
      </w:r>
    </w:p>
    <w:p>
      <w:pPr>
        <w:spacing w:after="0" w:line="369" w:lineRule="exact"/>
        <w:rPr>
          <w:rFonts w:ascii="Arial" w:cs="Arial" w:eastAsia="Arial" w:hAnsi="Arial"/>
          <w:sz w:val="19"/>
          <w:szCs w:val="19"/>
          <w:color w:val="auto"/>
        </w:rPr>
      </w:pPr>
    </w:p>
    <w:p>
      <w:pPr>
        <w:jc w:val="both"/>
        <w:ind w:firstLine="1304"/>
        <w:spacing w:after="0" w:line="249" w:lineRule="auto"/>
        <w:tabs>
          <w:tab w:leader="none" w:pos="1847" w:val="left"/>
        </w:tabs>
        <w:numPr>
          <w:ilvl w:val="0"/>
          <w:numId w:val="560"/>
        </w:numPr>
        <w:rPr>
          <w:rFonts w:ascii="Arial" w:cs="Arial" w:eastAsia="Arial" w:hAnsi="Arial"/>
          <w:sz w:val="19"/>
          <w:szCs w:val="19"/>
          <w:color w:val="auto"/>
        </w:rPr>
      </w:pPr>
      <w:r>
        <w:rPr>
          <w:rFonts w:ascii="Arial" w:cs="Arial" w:eastAsia="Arial" w:hAnsi="Arial"/>
          <w:sz w:val="19"/>
          <w:szCs w:val="19"/>
          <w:color w:val="auto"/>
        </w:rPr>
        <w:t xml:space="preserve">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pursuant to </w:t>
      </w:r>
      <w:r>
        <w:rPr>
          <w:rFonts w:ascii="Arial" w:cs="Arial" w:eastAsia="Arial" w:hAnsi="Arial"/>
          <w:sz w:val="19"/>
          <w:szCs w:val="19"/>
          <w:u w:val="single" w:color="auto"/>
          <w:color w:val="auto"/>
        </w:rPr>
        <w:t>Section 9.02(b)(v)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9.02(b)(vi)</w:t>
      </w:r>
      <w:r>
        <w:rPr>
          <w:rFonts w:ascii="Arial" w:cs="Arial" w:eastAsia="Arial" w:hAnsi="Arial"/>
          <w:sz w:val="19"/>
          <w:szCs w:val="19"/>
          <w:color w:val="auto"/>
        </w:rPr>
        <w:t xml:space="preserve"> or each directly and adversely affected Lender pursuant to </w:t>
      </w:r>
      <w:r>
        <w:rPr>
          <w:rFonts w:ascii="Arial" w:cs="Arial" w:eastAsia="Arial" w:hAnsi="Arial"/>
          <w:sz w:val="19"/>
          <w:szCs w:val="19"/>
          <w:u w:val="single" w:color="auto"/>
          <w:color w:val="auto"/>
        </w:rPr>
        <w:t>Section 9.02(b)(ii)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9.02(b)(iii)</w:t>
      </w:r>
      <w:r>
        <w:rPr>
          <w:rFonts w:ascii="Arial" w:cs="Arial" w:eastAsia="Arial" w:hAnsi="Arial"/>
          <w:sz w:val="19"/>
          <w:szCs w:val="19"/>
          <w:color w:val="auto"/>
        </w:rPr>
        <w:t>, shall, in each case, require the consent of such Defaulting Lender.</w:t>
      </w:r>
    </w:p>
    <w:p>
      <w:pPr>
        <w:spacing w:after="0" w:line="151" w:lineRule="exact"/>
        <w:rPr>
          <w:rFonts w:ascii="Arial" w:cs="Arial" w:eastAsia="Arial" w:hAnsi="Arial"/>
          <w:sz w:val="19"/>
          <w:szCs w:val="19"/>
          <w:color w:val="auto"/>
        </w:rPr>
      </w:pPr>
    </w:p>
    <w:p>
      <w:pPr>
        <w:jc w:val="both"/>
        <w:ind w:firstLine="1304"/>
        <w:spacing w:after="0" w:line="249" w:lineRule="auto"/>
        <w:tabs>
          <w:tab w:leader="none" w:pos="1777" w:val="left"/>
        </w:tabs>
        <w:numPr>
          <w:ilvl w:val="0"/>
          <w:numId w:val="560"/>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or any other Loan Document to the contrary, in connection with </w:t>
      </w:r>
      <w:r>
        <w:rPr>
          <w:rFonts w:ascii="Arial" w:cs="Arial" w:eastAsia="Arial" w:hAnsi="Arial"/>
          <w:sz w:val="19"/>
          <w:szCs w:val="19"/>
          <w:u w:val="single" w:color="auto"/>
          <w:color w:val="auto"/>
        </w:rPr>
        <w:t>Section 2.24</w:t>
      </w:r>
      <w:r>
        <w:rPr>
          <w:rFonts w:ascii="Arial" w:cs="Arial" w:eastAsia="Arial" w:hAnsi="Arial"/>
          <w:sz w:val="19"/>
          <w:szCs w:val="19"/>
          <w:color w:val="auto"/>
        </w:rPr>
        <w:t>, this Agreement may be amended (or amended and restated) solely with the written consent of the Required Lenders, the Administrative Agent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Loans and the Revolving Loans and the accrued interest and fees in respect thereof and (b) to include appropriately the Lenders holding such credit facilities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82" w:name="page483"/>
    <w:bookmarkEnd w:id="482"/>
    <w:p>
      <w:pPr>
        <w:spacing w:after="0" w:line="232" w:lineRule="auto"/>
        <w:rPr>
          <w:sz w:val="20"/>
          <w:szCs w:val="20"/>
          <w:color w:val="auto"/>
        </w:rPr>
      </w:pPr>
      <w:r>
        <w:rPr>
          <w:rFonts w:ascii="Arial" w:cs="Arial" w:eastAsia="Arial" w:hAnsi="Arial"/>
          <w:sz w:val="22"/>
          <w:szCs w:val="22"/>
          <w:color w:val="auto"/>
        </w:rPr>
        <w:t>determination of the Required Lenders. Further, the LC Sublimit may be increased with the consent of the Required Revolving Lenders, each of the Issuing Banks and the Administrative Agent.</w:t>
      </w:r>
    </w:p>
    <w:p>
      <w:pPr>
        <w:spacing w:after="0" w:line="159" w:lineRule="exact"/>
        <w:rPr>
          <w:sz w:val="20"/>
          <w:szCs w:val="20"/>
          <w:color w:val="auto"/>
        </w:rPr>
      </w:pPr>
    </w:p>
    <w:p>
      <w:pPr>
        <w:jc w:val="both"/>
        <w:ind w:firstLine="1304"/>
        <w:spacing w:after="0" w:line="239" w:lineRule="auto"/>
        <w:tabs>
          <w:tab w:leader="none" w:pos="1866" w:val="left"/>
        </w:tabs>
        <w:numPr>
          <w:ilvl w:val="1"/>
          <w:numId w:val="561"/>
        </w:numPr>
        <w:rPr>
          <w:rFonts w:ascii="Arial" w:cs="Arial" w:eastAsia="Arial" w:hAnsi="Arial"/>
          <w:sz w:val="19"/>
          <w:szCs w:val="19"/>
          <w:color w:val="auto"/>
        </w:rPr>
      </w:pPr>
      <w:r>
        <w:rPr>
          <w:rFonts w:ascii="Arial" w:cs="Arial" w:eastAsia="Arial" w:hAnsi="Arial"/>
          <w:sz w:val="19"/>
          <w:szCs w:val="19"/>
          <w:color w:val="auto"/>
        </w:rPr>
        <w:t xml:space="preserve">In connection with the issuance of Replacement Term Loans or any replacement credit facility, then, the Borrower may, at its sole expense and effort, upon notice to any applicable Lender and the Administrative Agent, (i) require such Lender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all its interests, rights and obligations under this Agreement to an assignee that shall assume such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and (b) the Borrower or such assignee shall have paid to the Administrative Agent the processing and recordation fee specified in </w:t>
      </w:r>
      <w:r>
        <w:rPr>
          <w:rFonts w:ascii="Arial" w:cs="Arial" w:eastAsia="Arial" w:hAnsi="Arial"/>
          <w:sz w:val="19"/>
          <w:szCs w:val="19"/>
          <w:u w:val="single" w:color="auto"/>
          <w:color w:val="auto"/>
        </w:rPr>
        <w:t>clause (b)</w:t>
      </w:r>
    </w:p>
    <w:p>
      <w:pPr>
        <w:spacing w:after="0" w:line="5" w:lineRule="exact"/>
        <w:rPr>
          <w:rFonts w:ascii="Arial" w:cs="Arial" w:eastAsia="Arial" w:hAnsi="Arial"/>
          <w:sz w:val="19"/>
          <w:szCs w:val="19"/>
          <w:color w:val="auto"/>
        </w:rPr>
      </w:pPr>
    </w:p>
    <w:p>
      <w:pPr>
        <w:jc w:val="both"/>
        <w:ind w:firstLine="8"/>
        <w:spacing w:after="0" w:line="247" w:lineRule="auto"/>
        <w:tabs>
          <w:tab w:leader="none" w:pos="322" w:val="left"/>
        </w:tabs>
        <w:numPr>
          <w:ilvl w:val="0"/>
          <w:numId w:val="562"/>
        </w:numPr>
        <w:rPr>
          <w:rFonts w:ascii="Arial" w:cs="Arial" w:eastAsia="Arial" w:hAnsi="Arial"/>
          <w:sz w:val="19"/>
          <w:szCs w:val="19"/>
          <w:u w:val="single" w:color="auto"/>
          <w:color w:val="auto"/>
        </w:rPr>
      </w:pPr>
      <w:r>
        <w:rPr>
          <w:rFonts w:ascii="Arial" w:cs="Arial" w:eastAsia="Arial" w:hAnsi="Arial"/>
          <w:sz w:val="19"/>
          <w:szCs w:val="19"/>
          <w:color w:val="auto"/>
        </w:rPr>
        <w:t xml:space="preserve">of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or (ii) terminate the Commitment of such Lender or Issuing Bank, as the case may be, and (1) in the case of a Lender (other than an Issuing Bank), repay all Obligations of the Borrower due and owing to such Lender relating to the Loans and participations held by such Lender as of such termination date and (2) in the case of an Issuing Bank, repay all Obligations of the Borrower owing to such Issuing Bank relating to the Loans and participations held by such Issuing Bank as of such termination date and cancel or backstop on terms satisfactory to such Issuing Bank any Letters of Credit issued by it.</w:t>
      </w:r>
    </w:p>
    <w:p>
      <w:pPr>
        <w:spacing w:after="0" w:line="153" w:lineRule="exact"/>
        <w:rPr>
          <w:rFonts w:ascii="Arial" w:cs="Arial" w:eastAsia="Arial" w:hAnsi="Arial"/>
          <w:sz w:val="19"/>
          <w:szCs w:val="19"/>
          <w:u w:val="single" w:color="auto"/>
          <w:color w:val="auto"/>
        </w:rPr>
      </w:pPr>
    </w:p>
    <w:p>
      <w:pPr>
        <w:jc w:val="both"/>
        <w:ind w:firstLine="1304"/>
        <w:spacing w:after="0" w:line="243" w:lineRule="auto"/>
        <w:tabs>
          <w:tab w:leader="none" w:pos="1768" w:val="left"/>
        </w:tabs>
        <w:numPr>
          <w:ilvl w:val="1"/>
          <w:numId w:val="562"/>
        </w:numPr>
        <w:rPr>
          <w:rFonts w:ascii="Arial" w:cs="Arial" w:eastAsia="Arial" w:hAnsi="Arial"/>
          <w:sz w:val="19"/>
          <w:szCs w:val="19"/>
          <w:color w:val="auto"/>
        </w:rPr>
      </w:pPr>
      <w:r>
        <w:rPr>
          <w:rFonts w:ascii="Arial" w:cs="Arial" w:eastAsia="Arial" w:hAnsi="Arial"/>
          <w:sz w:val="19"/>
          <w:szCs w:val="19"/>
          <w:color w:val="auto"/>
        </w:rPr>
        <w:t xml:space="preserve">Notwithstanding the foregoing, this Agreement and any other Loan Document may be amended solely with the consent of the Administrative Agent and the Borrower without the need to obtain the consent of any other Lender if such amendment is delivered in order to correct or cure (x) ambiguities, errors, omissions or defects, (y) to effect administrative changes of a technical or immaterial nature or (z) incorrect cross-references or similar inaccuracies in this Agreement or the applicable Loan Document. Guarantees, collateral documents, security documents, intercreditor agreements, and related documents executed in connection with this Agreement may be in a form reasonably determined by the Administrative Agent or the Collateral Agent, as applicable, and may be amended, modified, terminated or waived, and consent to any departure therefrom may be given by the Administrative Agent or the Collateral Agent, as applicable, without the consent of any Lender. The Borrower and the Administrative Agent may, without the consent of any other Lender, effect amendments to this Agreement and the other Loan Documents as may be necessary in the reasonable opinion of the Borrower and the Administrative Agent to effect the provisions of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2.24</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1304"/>
        <w:spacing w:after="0" w:line="219" w:lineRule="auto"/>
        <w:tabs>
          <w:tab w:leader="none" w:pos="1785" w:val="left"/>
        </w:tabs>
        <w:numPr>
          <w:ilvl w:val="1"/>
          <w:numId w:val="562"/>
        </w:numPr>
        <w:rPr>
          <w:rFonts w:ascii="Arial" w:cs="Arial" w:eastAsia="Arial" w:hAnsi="Arial"/>
          <w:sz w:val="21"/>
          <w:szCs w:val="21"/>
          <w:color w:val="auto"/>
        </w:rPr>
      </w:pPr>
      <w:r>
        <w:rPr>
          <w:rFonts w:ascii="Arial" w:cs="Arial" w:eastAsia="Arial" w:hAnsi="Arial"/>
          <w:sz w:val="21"/>
          <w:szCs w:val="21"/>
          <w:color w:val="auto"/>
        </w:rPr>
        <w:t xml:space="preserve">Subject to the provisos of this paragraph, for purposes of any amendment, modification, waiver or consent (other than pursuant to </w:t>
      </w:r>
      <w:r>
        <w:rPr>
          <w:rFonts w:ascii="Arial" w:cs="Arial" w:eastAsia="Arial" w:hAnsi="Arial"/>
          <w:sz w:val="21"/>
          <w:szCs w:val="21"/>
          <w:u w:val="single" w:color="auto"/>
          <w:color w:val="auto"/>
        </w:rPr>
        <w:t>Sections 9.02(b)(i)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or any amendment, modification, waiver or consent that directly and adversely affects any Affiliated Lender in its capacity as a Lender disproportionately in relation to other affected Lenders) under any Loan Document, any Loans held by an Affiliated Lender (other than any Affiliated Institutional Lender) shall be automatically deemed to be voted in the same proportion as all other Lenders who are not Affiliated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in the event that any proceeding under the Bankruptcy Code shall be instituted by or against the Borrower, each Affiliated Lender (other than any Affiliated Institutional Lender) shall acknowledge and agree that they are each “insiders” under Section 101(31) of the Bankruptcy Code and, as such, the claims associated with the Loans and Commitments owned by it shall not be included in determining whether the applicable class of creditors holding such claims has voted to accept a proposed plan for purposes of Section 1129(a)(10) of the Bankruptcy Code; (b) alternatively, to the extent that the foregoing designation is deemed unenforceable for any reason, each Affiliated Lender (other than any Affiliated Institutional Lender) shall vote in such proceedings in the same proportion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83" w:name="page484"/>
    <w:bookmarkEnd w:id="483"/>
    <w:p>
      <w:pPr>
        <w:jc w:val="both"/>
        <w:spacing w:after="0" w:line="214" w:lineRule="auto"/>
        <w:rPr>
          <w:sz w:val="20"/>
          <w:szCs w:val="20"/>
          <w:color w:val="auto"/>
        </w:rPr>
      </w:pPr>
      <w:r>
        <w:rPr>
          <w:rFonts w:ascii="Arial" w:cs="Arial" w:eastAsia="Arial" w:hAnsi="Arial"/>
          <w:sz w:val="22"/>
          <w:szCs w:val="22"/>
          <w:color w:val="auto"/>
        </w:rPr>
        <w:t>the allocation of voting with respect to such matter by those Lenders who are not Affiliated Lenders, except to the extent that any plan of reorganization proposes to treat the Obligations held by such Affiliated Lender in a manner that is less favorable in any material respect to such Affiliated Lender than the proposed treatment of similar Obligations held by Lenders that are not Affiliated Lenders and (c) for purposes of this paragraph, for the avoidance of doubt, Affiliated Lenders shall be deemed to not include Affiliated Institutional Lenders (and the foregoing limitations shall not apply in respect of Affiliated Institutional Lenders).</w:t>
      </w:r>
    </w:p>
    <w:p>
      <w:pPr>
        <w:spacing w:after="0" w:line="159" w:lineRule="exact"/>
        <w:rPr>
          <w:sz w:val="20"/>
          <w:szCs w:val="20"/>
          <w:color w:val="auto"/>
        </w:rPr>
      </w:pPr>
    </w:p>
    <w:p>
      <w:pPr>
        <w:jc w:val="both"/>
        <w:ind w:firstLine="1304"/>
        <w:spacing w:after="0" w:line="223" w:lineRule="auto"/>
        <w:tabs>
          <w:tab w:leader="none" w:pos="1770" w:val="left"/>
        </w:tabs>
        <w:numPr>
          <w:ilvl w:val="0"/>
          <w:numId w:val="563"/>
        </w:numPr>
        <w:rPr>
          <w:rFonts w:ascii="Arial" w:cs="Arial" w:eastAsia="Arial" w:hAnsi="Arial"/>
          <w:sz w:val="22"/>
          <w:szCs w:val="22"/>
          <w:color w:val="auto"/>
        </w:rPr>
      </w:pPr>
      <w:r>
        <w:rPr>
          <w:rFonts w:ascii="Arial" w:cs="Arial" w:eastAsia="Arial" w:hAnsi="Arial"/>
          <w:sz w:val="22"/>
          <w:szCs w:val="22"/>
          <w:color w:val="auto"/>
        </w:rPr>
        <w:t>Notwithstanding anything to the contrary herein, in connection with any amendment, modification, waiver or consent hereunder, in no event shall Affiliated Institutional Lenders exclusively constitute Required Lenders in and of themselves.</w:t>
      </w:r>
    </w:p>
    <w:p>
      <w:pPr>
        <w:spacing w:after="0" w:line="159"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9"/>
          <w:szCs w:val="19"/>
          <w:u w:val="single" w:color="auto"/>
          <w:color w:val="auto"/>
        </w:rPr>
        <w:t>Section 9.03 Expenses; Indemnity; Damage Waiver</w:t>
      </w:r>
      <w:r>
        <w:rPr>
          <w:rFonts w:ascii="Arial" w:cs="Arial" w:eastAsia="Arial" w:hAnsi="Arial"/>
          <w:sz w:val="19"/>
          <w:szCs w:val="19"/>
          <w:color w:val="auto"/>
        </w:rPr>
        <w:t>. (a) The Borrower shall cause to be paid within thirty (30) days after receipt of reasonably detailed documentation therefor, (i) all reasonable and documented out-of-pocket expenses incurred by the Issuing Banks in connection with the issuance, amendment, renewal or extension of any Letter of Credit, (ii) all reasonable and documented out-of-pocket expenses incurred by the Administrative Agent, the Collateral Agent, the Issuing Banks, the Joint Lead Arrangers and the Lenders (and each of their respective Affiliates and controlling persons and other representatives of each of the foregoing and their respective successors (other than Excluded Affiliates)) (but limited, in the case of legal fees and expenses, to the reasonable fees, charges and disbursements of a single counsel for the Administrative Agent, the Collateral Agent, the Issuing Banks, the Joint Lead Arrangers, the Lenders, and other Secured Parties (in addition to, if reasonably necessary, a single local counsel in each relevant jurisdiction, and in the event an actual or perceived conflict of interest arises, one additional primary counsel (plus local counsel in each relevant jurisdiction) to the similarly affected parties (taken as a whole))) in connection with the enforcement or protection of any rights under this Agreement or any other Loan Documents, including rights under this Section, or in connection with the Loans made or Letters of Credit issued hereunder and</w:t>
      </w:r>
    </w:p>
    <w:p>
      <w:pPr>
        <w:spacing w:after="0" w:line="10" w:lineRule="exact"/>
        <w:rPr>
          <w:sz w:val="20"/>
          <w:szCs w:val="20"/>
          <w:color w:val="auto"/>
        </w:rPr>
      </w:pPr>
    </w:p>
    <w:p>
      <w:pPr>
        <w:jc w:val="both"/>
        <w:ind w:firstLine="8"/>
        <w:spacing w:after="0" w:line="245" w:lineRule="auto"/>
        <w:tabs>
          <w:tab w:leader="none" w:pos="420" w:val="left"/>
        </w:tabs>
        <w:numPr>
          <w:ilvl w:val="0"/>
          <w:numId w:val="564"/>
        </w:numPr>
        <w:rPr>
          <w:rFonts w:ascii="Arial" w:cs="Arial" w:eastAsia="Arial" w:hAnsi="Arial"/>
          <w:sz w:val="19"/>
          <w:szCs w:val="19"/>
          <w:color w:val="auto"/>
        </w:rPr>
      </w:pPr>
      <w:r>
        <w:rPr>
          <w:rFonts w:ascii="Arial" w:cs="Arial" w:eastAsia="Arial" w:hAnsi="Arial"/>
          <w:sz w:val="19"/>
          <w:szCs w:val="19"/>
          <w:color w:val="auto"/>
        </w:rPr>
        <w:t>all reasonable and documented out-of-pocket expenses incurred by the Administrative Agent, the Collateral Agent, the Issuing Banks and the Joint Lead Arrangers, (but limited, in the case of legal fees and expenses, to the reasonable fees, charges and disbursements of a single counsel for the Administrative Agent, the Issuing Banks, and the Joint Lead Arrangers (in addition to a single local counsel in each relevant jurisdiction and, in the event an actual or perceived conflict of interest arises, one additional primary counsel to the similarly affected parties (taken as a whole))) in connection with the syndication, preparation, execution, delivery and administration of the Loan Documents and any amendment, modification or waiver with respect thereto.</w:t>
      </w:r>
    </w:p>
    <w:p>
      <w:pPr>
        <w:spacing w:after="0" w:line="155" w:lineRule="exact"/>
        <w:rPr>
          <w:rFonts w:ascii="Arial" w:cs="Arial" w:eastAsia="Arial" w:hAnsi="Arial"/>
          <w:sz w:val="19"/>
          <w:szCs w:val="19"/>
          <w:color w:val="auto"/>
        </w:rPr>
      </w:pPr>
    </w:p>
    <w:p>
      <w:pPr>
        <w:jc w:val="both"/>
        <w:ind w:firstLine="1304"/>
        <w:spacing w:after="0" w:line="242" w:lineRule="auto"/>
        <w:tabs>
          <w:tab w:leader="none" w:pos="1769" w:val="left"/>
        </w:tabs>
        <w:numPr>
          <w:ilvl w:val="1"/>
          <w:numId w:val="564"/>
        </w:numPr>
        <w:rPr>
          <w:rFonts w:ascii="Arial" w:cs="Arial" w:eastAsia="Arial" w:hAnsi="Arial"/>
          <w:sz w:val="19"/>
          <w:szCs w:val="19"/>
          <w:color w:val="auto"/>
        </w:rPr>
      </w:pPr>
      <w:r>
        <w:rPr>
          <w:rFonts w:ascii="Arial" w:cs="Arial" w:eastAsia="Arial" w:hAnsi="Arial"/>
          <w:sz w:val="19"/>
          <w:szCs w:val="19"/>
          <w:color w:val="auto"/>
        </w:rPr>
        <w:t xml:space="preserve">Without duplication of the expense reimbursement obligations pursuant to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above, the Borrower shall jointly and severally indemnify the Administrative Agent, the Collateral Agent, the other Agents, the Joint Lead Arrangers, the Joint Bookrunners, the Swingline Lender, each of the Issuing Banks, and each Lender (and each of their respective Affiliates and controlling persons and their respective officers, directors, employees, partners, advisors and agents and other representatives of each of the foregoing and their respective successors,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hold each Indemnitee harmless from, any and all reasonable and documented out-of-pocket costs, actual losses, disputes, claims, damages, investigations, litigation, proceedings actual liabilities and related expenses, excluding in any event lost profits, but (x) limited, in the case of legal fees and expenses, to the reasonable and documented fees, charges and disbursements of a single counsel for the Indemnitees (in addition to one local counsel in each relevant jurisdiction and, in the event an actual or perceived conflict of interest arises, one additional counsel (plus local counsel in each relevant jurisdiction) to the similarly affected Indemnitees (taken as a whole)) and (y) including those arising from or relating to any actual presence or Release of Hazardous Materials on any property currently or formerly owned or operated by the Borrower or any Subsidiaries or any Environmental Liability related in any way to the Borrower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84" w:name="page485"/>
    <w:bookmarkEnd w:id="484"/>
    <w:p>
      <w:pPr>
        <w:jc w:val="both"/>
        <w:spacing w:after="0" w:line="241" w:lineRule="auto"/>
        <w:rPr>
          <w:sz w:val="20"/>
          <w:szCs w:val="20"/>
          <w:color w:val="auto"/>
        </w:rPr>
      </w:pPr>
      <w:r>
        <w:rPr>
          <w:rFonts w:ascii="Arial" w:cs="Arial" w:eastAsia="Arial" w:hAnsi="Arial"/>
          <w:sz w:val="19"/>
          <w:szCs w:val="19"/>
          <w:color w:val="auto"/>
        </w:rPr>
        <w:t>Subsidiaries incurred by or asserted against any Indemnitee arising out of, in connection with, or as a result of the execution or delivery of any Loan Document or any other agreement or instrument contemplated thereby, the performance by the parties to the Loan Documents of their respective obligations thereunder or the consummation of the Transactions or any other transactions contemplated thereby, whether or not any such Indemnitee shall be designated as a party or a potential party thereto and whether or not such matter is initiated by any Holding Company, the Borrower or any of their respective Affiliates or shareholders, and any fees or expenses incurred by Indemnitees in enforcing this indemnity (collectively, the “</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Indemnitee will be indemnified (a) for its (or any of its Related Parties) willful misconduct, bad faith or gross negligence (to the extent determined in a final non-appealable order of a court of competent jurisdiction), (b) for its (or any of its Related Parties) material breach of its obligations under the Loan Documents (to the extent determined in a final non-appealable order of a court of competent jurisdiction), (c) for any dispute among Indemnitees that does not involve an act or omission by any Holding Company, the Borrower or any Restricted Subsidiary (other than any claims against an Agent, a Joint Lead Arranger or a Joint Bookrunner in their capacity as such and subject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or (d) any settlement effected without the Borrower’s prior written consent, but if settled with the Borrower’s prior written consent (not to be unreasonably withheld or delayed) or if there is a final judgment against an Indemnitee in any such proceedings, the Borrower will indemnify and hold harmless each Indemnitee from and against any and all actual losses, claims, damages, liabilities and expenses by reason of such settlement or judgment in accordance with this Section.</w:t>
      </w:r>
    </w:p>
    <w:p>
      <w:pPr>
        <w:spacing w:after="0" w:line="381" w:lineRule="exact"/>
        <w:rPr>
          <w:sz w:val="20"/>
          <w:szCs w:val="20"/>
          <w:color w:val="auto"/>
        </w:rPr>
      </w:pPr>
    </w:p>
    <w:p>
      <w:pPr>
        <w:jc w:val="both"/>
        <w:ind w:firstLine="1304"/>
        <w:spacing w:after="0" w:line="242" w:lineRule="auto"/>
        <w:tabs>
          <w:tab w:leader="none" w:pos="1764" w:val="left"/>
        </w:tabs>
        <w:numPr>
          <w:ilvl w:val="0"/>
          <w:numId w:val="565"/>
        </w:numPr>
        <w:rPr>
          <w:rFonts w:ascii="Arial" w:cs="Arial" w:eastAsia="Arial" w:hAnsi="Arial"/>
          <w:sz w:val="19"/>
          <w:szCs w:val="19"/>
          <w:color w:val="auto"/>
        </w:rPr>
      </w:pPr>
      <w:r>
        <w:rPr>
          <w:rFonts w:ascii="Arial" w:cs="Arial" w:eastAsia="Arial" w:hAnsi="Arial"/>
          <w:sz w:val="19"/>
          <w:szCs w:val="19"/>
          <w:color w:val="auto"/>
        </w:rPr>
        <w:t xml:space="preserve">To the extent that the Borrower fails to pay any amount required to be paid by it to the Administrative Agent, the Collateral Agent, the Swingline Lender or the Issuing Banks under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and without limiting the Borrower’s obligation to do so, each Lender severally agrees to pay to the Administrative Agent, the Collateral Agent, the Swingline Lender, or the Issuing Banks, as the case may be, such Lender’s pro rata share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the Collateral Agent, the Swingline Lender or any Issuing Bank in its capacity as such. For purposes hereof, a Lender’s “</w:t>
      </w:r>
      <w:r>
        <w:rPr>
          <w:rFonts w:ascii="Arial" w:cs="Arial" w:eastAsia="Arial" w:hAnsi="Arial"/>
          <w:sz w:val="19"/>
          <w:szCs w:val="19"/>
          <w:u w:val="single" w:color="auto"/>
          <w:color w:val="auto"/>
        </w:rPr>
        <w:t>pro rata share</w:t>
      </w:r>
      <w:r>
        <w:rPr>
          <w:rFonts w:ascii="Arial" w:cs="Arial" w:eastAsia="Arial" w:hAnsi="Arial"/>
          <w:sz w:val="19"/>
          <w:szCs w:val="19"/>
          <w:color w:val="auto"/>
        </w:rPr>
        <w:t xml:space="preserve">” shall be determined based upon (i) in the case of unpaid amounts owing to the Administrative Agent, its share of the aggregate Revolving Exposures and unused Revolving Commitments at the time, (ii) in the case of unpaid amounts owing to the Administrative Agent, its share of the outstanding Term Loans and unused Term Commitments at the time and (iii) in the case of unpaid amounts owing to any Issuing Bank in respect of any Letter of Credit, its share of the aggregate Revolving Exposure and unused Revolving Commitments at such time. The obligations of the Lenders under this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are subject to the last sentence of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(which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xml:space="preserve"> to the Lenders’ obligations under this </w:t>
      </w:r>
      <w:r>
        <w:rPr>
          <w:rFonts w:ascii="Arial" w:cs="Arial" w:eastAsia="Arial" w:hAnsi="Arial"/>
          <w:sz w:val="19"/>
          <w:szCs w:val="19"/>
          <w:u w:val="single" w:color="auto"/>
          <w:color w:val="auto"/>
        </w:rPr>
        <w:t>paragraph (c)</w:t>
      </w:r>
      <w:r>
        <w:rPr>
          <w:rFonts w:ascii="Arial" w:cs="Arial" w:eastAsia="Arial" w:hAnsi="Arial"/>
          <w:sz w:val="19"/>
          <w:szCs w:val="19"/>
          <w:color w:val="auto"/>
        </w:rPr>
        <w:t>).</w:t>
      </w:r>
    </w:p>
    <w:p>
      <w:pPr>
        <w:spacing w:after="0" w:line="376" w:lineRule="exact"/>
        <w:rPr>
          <w:rFonts w:ascii="Arial" w:cs="Arial" w:eastAsia="Arial" w:hAnsi="Arial"/>
          <w:sz w:val="19"/>
          <w:szCs w:val="19"/>
          <w:color w:val="auto"/>
        </w:rPr>
      </w:pPr>
    </w:p>
    <w:p>
      <w:pPr>
        <w:jc w:val="both"/>
        <w:ind w:firstLine="1304"/>
        <w:spacing w:after="0" w:line="244" w:lineRule="auto"/>
        <w:tabs>
          <w:tab w:leader="none" w:pos="1839" w:val="left"/>
        </w:tabs>
        <w:numPr>
          <w:ilvl w:val="0"/>
          <w:numId w:val="565"/>
        </w:numPr>
        <w:rPr>
          <w:rFonts w:ascii="Arial" w:cs="Arial" w:eastAsia="Arial" w:hAnsi="Arial"/>
          <w:sz w:val="19"/>
          <w:szCs w:val="19"/>
          <w:color w:val="auto"/>
        </w:rPr>
      </w:pPr>
      <w:r>
        <w:rPr>
          <w:rFonts w:ascii="Arial" w:cs="Arial" w:eastAsia="Arial" w:hAnsi="Arial"/>
          <w:sz w:val="19"/>
          <w:szCs w:val="19"/>
          <w:color w:val="auto"/>
        </w:rPr>
        <w:t xml:space="preserve">To the extent permitted by applicable law, none of the Holding Companies, the Borrower, any Agent, any Lender, the Swingline Lender, any Issuing Bank, any other party hereto or any Indemnitee shall assert, and each such Person hereby waives and releases, any claim against any other such Person,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or any agreement or instrument contemplated hereby or referred to herein, the use or proposed used of the proceeds thereof,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in no event limit the Borrower’s indemnification obligations under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85" w:name="page486"/>
    <w:bookmarkEnd w:id="485"/>
    <w:p>
      <w:pPr>
        <w:jc w:val="both"/>
        <w:ind w:firstLine="1304"/>
        <w:spacing w:after="0" w:line="229" w:lineRule="auto"/>
        <w:tabs>
          <w:tab w:leader="none" w:pos="1867" w:val="left"/>
        </w:tabs>
        <w:numPr>
          <w:ilvl w:val="0"/>
          <w:numId w:val="566"/>
        </w:numPr>
        <w:rPr>
          <w:rFonts w:ascii="Arial" w:cs="Arial" w:eastAsia="Arial" w:hAnsi="Arial"/>
          <w:sz w:val="21"/>
          <w:szCs w:val="21"/>
          <w:color w:val="auto"/>
        </w:rPr>
      </w:pPr>
      <w:r>
        <w:rPr>
          <w:rFonts w:ascii="Arial" w:cs="Arial" w:eastAsia="Arial" w:hAnsi="Arial"/>
          <w:sz w:val="21"/>
          <w:szCs w:val="21"/>
          <w:color w:val="auto"/>
        </w:rPr>
        <w:t xml:space="preserve">In case any proceeding is instituted involving any Indemnitee for which indemnification is to be sought hereunder by such Indemnitee, then such Indemnitee will promptly notify the Borrower of the commencement of any proceeding;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failure to do so will not relieve the Borrower from any liability that it may have to such Indemnitee hereunder, except to the extent that the Borrower is materially prejudiced by such failure.</w:t>
      </w:r>
    </w:p>
    <w:p>
      <w:pPr>
        <w:spacing w:after="0" w:line="158" w:lineRule="exact"/>
        <w:rPr>
          <w:rFonts w:ascii="Arial" w:cs="Arial" w:eastAsia="Arial" w:hAnsi="Arial"/>
          <w:sz w:val="21"/>
          <w:szCs w:val="21"/>
          <w:color w:val="auto"/>
        </w:rPr>
      </w:pPr>
    </w:p>
    <w:p>
      <w:pPr>
        <w:jc w:val="both"/>
        <w:ind w:firstLine="1304"/>
        <w:spacing w:after="0" w:line="224" w:lineRule="auto"/>
        <w:tabs>
          <w:tab w:leader="none" w:pos="1739" w:val="left"/>
        </w:tabs>
        <w:numPr>
          <w:ilvl w:val="0"/>
          <w:numId w:val="566"/>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no party hereto or any Indemnitee shall be liable for any damages arising from the use by others of information or other materials obtained through electronic, telecommunications or other information transmission systems (including IntraLinks or SyndTrak Online), in each case, except to the extent any such damages are found in a final non-appealable judgment of a court of competent jurisdiction to have resulted from the gross negligence, bad faith or willful misconduct of, or material breach of this Agreement or the other Loan Documents by, such Indemnitee (or its officers, directors, employees, Related Parties or Affiliates).</w:t>
      </w:r>
    </w:p>
    <w:p>
      <w:pPr>
        <w:spacing w:after="0" w:line="159" w:lineRule="exact"/>
        <w:rPr>
          <w:rFonts w:ascii="Arial" w:cs="Arial" w:eastAsia="Arial" w:hAnsi="Arial"/>
          <w:sz w:val="21"/>
          <w:szCs w:val="21"/>
          <w:color w:val="auto"/>
        </w:rPr>
      </w:pPr>
    </w:p>
    <w:p>
      <w:pPr>
        <w:ind w:firstLine="1304"/>
        <w:spacing w:after="0" w:line="247" w:lineRule="auto"/>
        <w:tabs>
          <w:tab w:leader="none" w:pos="1829" w:val="left"/>
        </w:tabs>
        <w:numPr>
          <w:ilvl w:val="0"/>
          <w:numId w:val="566"/>
        </w:numPr>
        <w:rPr>
          <w:rFonts w:ascii="Arial" w:cs="Arial" w:eastAsia="Arial" w:hAnsi="Arial"/>
          <w:sz w:val="21"/>
          <w:szCs w:val="21"/>
          <w:color w:val="auto"/>
        </w:rPr>
      </w:pPr>
      <w:r>
        <w:rPr>
          <w:rFonts w:ascii="Arial" w:cs="Arial" w:eastAsia="Arial" w:hAnsi="Arial"/>
          <w:sz w:val="21"/>
          <w:szCs w:val="21"/>
          <w:color w:val="auto"/>
        </w:rPr>
        <w:t xml:space="preserve">Except to the extent otherwise expressly provided herein, all amounts due under this </w:t>
      </w:r>
      <w:r>
        <w:rPr>
          <w:rFonts w:ascii="Arial" w:cs="Arial" w:eastAsia="Arial" w:hAnsi="Arial"/>
          <w:sz w:val="21"/>
          <w:szCs w:val="21"/>
          <w:u w:val="single" w:color="auto"/>
          <w:color w:val="auto"/>
        </w:rPr>
        <w:t>Section 9.03</w:t>
      </w:r>
      <w:r>
        <w:rPr>
          <w:rFonts w:ascii="Arial" w:cs="Arial" w:eastAsia="Arial" w:hAnsi="Arial"/>
          <w:sz w:val="21"/>
          <w:szCs w:val="21"/>
          <w:color w:val="auto"/>
        </w:rPr>
        <w:t xml:space="preserve"> shall be payable within thirty (30) days after receipt by the Borrower of reasonably detailed documentation therefor.</w:t>
      </w:r>
    </w:p>
    <w:p>
      <w:pPr>
        <w:spacing w:after="0" w:line="150" w:lineRule="exact"/>
        <w:rPr>
          <w:rFonts w:ascii="Arial" w:cs="Arial" w:eastAsia="Arial" w:hAnsi="Arial"/>
          <w:sz w:val="21"/>
          <w:szCs w:val="21"/>
          <w:color w:val="auto"/>
        </w:rPr>
      </w:pPr>
    </w:p>
    <w:p>
      <w:pPr>
        <w:ind w:firstLine="1304"/>
        <w:spacing w:after="0" w:line="232" w:lineRule="auto"/>
        <w:tabs>
          <w:tab w:leader="none" w:pos="1814" w:val="left"/>
        </w:tabs>
        <w:numPr>
          <w:ilvl w:val="0"/>
          <w:numId w:val="566"/>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 shall not apply to Taxes, except for Taxes which represent costs, losses, claims, etc. with respect to a non-Tax claim.</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9.04</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79" w:lineRule="exact"/>
        <w:rPr>
          <w:sz w:val="20"/>
          <w:szCs w:val="20"/>
          <w:color w:val="auto"/>
        </w:rPr>
      </w:pPr>
    </w:p>
    <w:p>
      <w:pPr>
        <w:jc w:val="both"/>
        <w:ind w:firstLine="1304"/>
        <w:spacing w:after="0" w:line="243" w:lineRule="auto"/>
        <w:tabs>
          <w:tab w:leader="none" w:pos="1755" w:val="left"/>
        </w:tabs>
        <w:numPr>
          <w:ilvl w:val="0"/>
          <w:numId w:val="567"/>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permitted hereby (including any Affiliate of an Issuing Bank that issues any Letter of Credit), except that (i) except as otherwise permitted herein, the Borrower may not assign or otherwise transfer any of its rights or obligations hereunder without the prior written consent of each Lender (and any such attempted assignment or transfer by the Borrower without such consent shall be null and void) and (ii) no Lender may assign or otherwise transfer its rights or obligations hereunder except in accordance with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any attempted assignment or transfer by such Lender otherwise shall be null and void). Nothing in this Agreement, expressed or implied, shall be construed to confer upon any Person (other than the parties hereto, their respective successors and assigns permitted hereby (including any Affiliate of an Issuing Bank that issues any Letter of Credit), Participants (solely to the extent provided in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9.04</w:t>
      </w:r>
      <w:r>
        <w:rPr>
          <w:rFonts w:ascii="Arial" w:cs="Arial" w:eastAsia="Arial" w:hAnsi="Arial"/>
          <w:sz w:val="19"/>
          <w:szCs w:val="19"/>
          <w:color w:val="auto"/>
        </w:rPr>
        <w:t>) and, to the extent expressly contemplated hereby, the Related Parties of each of the Administrative Agent, the Issuing Banks and the Lenders) any legal or equitable right, remedy or claim under or by reason of this Agreement.</w:t>
      </w:r>
    </w:p>
    <w:p>
      <w:pPr>
        <w:spacing w:after="0" w:line="158" w:lineRule="exact"/>
        <w:rPr>
          <w:rFonts w:ascii="Arial" w:cs="Arial" w:eastAsia="Arial" w:hAnsi="Arial"/>
          <w:sz w:val="19"/>
          <w:szCs w:val="19"/>
          <w:color w:val="auto"/>
        </w:rPr>
      </w:pPr>
    </w:p>
    <w:p>
      <w:pPr>
        <w:jc w:val="both"/>
        <w:ind w:firstLine="1304"/>
        <w:spacing w:after="0" w:line="244" w:lineRule="auto"/>
        <w:tabs>
          <w:tab w:leader="none" w:pos="1836" w:val="left"/>
        </w:tabs>
        <w:numPr>
          <w:ilvl w:val="0"/>
          <w:numId w:val="567"/>
        </w:numPr>
        <w:rPr>
          <w:rFonts w:ascii="Arial" w:cs="Arial" w:eastAsia="Arial" w:hAnsi="Arial"/>
          <w:sz w:val="19"/>
          <w:szCs w:val="19"/>
          <w:color w:val="auto"/>
        </w:rPr>
      </w:pPr>
      <w:r>
        <w:rPr>
          <w:rFonts w:ascii="Arial" w:cs="Arial" w:eastAsia="Arial" w:hAnsi="Arial"/>
          <w:sz w:val="19"/>
          <w:szCs w:val="19"/>
          <w:color w:val="auto"/>
        </w:rPr>
        <w:t xml:space="preserve">(i) Subject to the express conditions set forth in </w:t>
      </w:r>
      <w:r>
        <w:rPr>
          <w:rFonts w:ascii="Arial" w:cs="Arial" w:eastAsia="Arial" w:hAnsi="Arial"/>
          <w:sz w:val="19"/>
          <w:szCs w:val="19"/>
          <w:u w:val="single" w:color="auto"/>
          <w:color w:val="auto"/>
        </w:rPr>
        <w:t>paragraph (b)(ii)</w:t>
      </w:r>
      <w:r>
        <w:rPr>
          <w:rFonts w:ascii="Arial" w:cs="Arial" w:eastAsia="Arial" w:hAnsi="Arial"/>
          <w:sz w:val="19"/>
          <w:szCs w:val="19"/>
          <w:color w:val="auto"/>
        </w:rPr>
        <w:t xml:space="preserve">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conditioned, withheld or delayed) of (A)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Borrower shall be required for (x) an assignment of (i) all or any portion of a Revolving Loan or Revolving Commitment to a Revolving Lender and (ii) all of any portion of a Term Loan to a Lender, an Affiliate of a Lender or an Approved Fund (as defined below), or (y) if an Event of Default under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7.01(i)</w:t>
      </w:r>
      <w:r>
        <w:rPr>
          <w:rFonts w:ascii="Arial" w:cs="Arial" w:eastAsia="Arial" w:hAnsi="Arial"/>
          <w:sz w:val="19"/>
          <w:szCs w:val="19"/>
          <w:color w:val="auto"/>
        </w:rPr>
        <w:t xml:space="preserve"> has occurred and is continuing, any other assignee,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deemed to have consented to any such assignment of Term Loans unless the Borrower shall object thereto by written notice to the Administrative Agent within ten (10) Business Days after a Responsible Officer of the Borrower having received written notice thereof, (B)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86" w:name="page487"/>
    <w:bookmarkEnd w:id="486"/>
    <w:p>
      <w:pPr>
        <w:jc w:val="both"/>
        <w:spacing w:after="0" w:line="216" w:lineRule="auto"/>
        <w:rPr>
          <w:sz w:val="20"/>
          <w:szCs w:val="20"/>
          <w:color w:val="auto"/>
        </w:rPr>
      </w:pPr>
      <w:r>
        <w:rPr>
          <w:rFonts w:ascii="Arial" w:cs="Arial" w:eastAsia="Arial" w:hAnsi="Arial"/>
          <w:sz w:val="22"/>
          <w:szCs w:val="22"/>
          <w:color w:val="auto"/>
        </w:rPr>
        <w:t xml:space="preserve">Administrative Agent shall be required for an assignment of all or any portion of a Term Loan or Term Commitment to a Lender, an Affiliate of a Lender, any Affiliated Lender or an Approved Fund (or any Holding Company, the Borrower or each other Restricted Subsidiary) or pursuant to </w:t>
      </w:r>
      <w:r>
        <w:rPr>
          <w:rFonts w:ascii="Arial" w:cs="Arial" w:eastAsia="Arial" w:hAnsi="Arial"/>
          <w:sz w:val="22"/>
          <w:szCs w:val="22"/>
          <w:u w:val="single" w:color="auto"/>
          <w:color w:val="auto"/>
        </w:rPr>
        <w:t>Section 2.11(i)</w:t>
      </w:r>
      <w:r>
        <w:rPr>
          <w:rFonts w:ascii="Arial" w:cs="Arial" w:eastAsia="Arial" w:hAnsi="Arial"/>
          <w:sz w:val="22"/>
          <w:szCs w:val="22"/>
          <w:color w:val="auto"/>
        </w:rPr>
        <w:t xml:space="preserve"> and (C) in the case of any assignment of a Revolving Commitment, each of the Issuing Banks and the Swingline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any Issuing Bank or the Swingline Lender shall be required for any assignment of a Term Loan.</w:t>
      </w:r>
    </w:p>
    <w:p>
      <w:pPr>
        <w:spacing w:after="0" w:line="158" w:lineRule="exact"/>
        <w:rPr>
          <w:sz w:val="20"/>
          <w:szCs w:val="20"/>
          <w:color w:val="auto"/>
        </w:rPr>
      </w:pPr>
    </w:p>
    <w:p>
      <w:pPr>
        <w:jc w:val="both"/>
        <w:ind w:left="660" w:firstLine="644"/>
        <w:spacing w:after="0"/>
        <w:tabs>
          <w:tab w:leader="none" w:pos="1880" w:val="left"/>
        </w:tabs>
        <w:numPr>
          <w:ilvl w:val="0"/>
          <w:numId w:val="568"/>
        </w:numPr>
        <w:rPr>
          <w:rFonts w:ascii="Arial" w:cs="Arial" w:eastAsia="Arial" w:hAnsi="Arial"/>
          <w:sz w:val="19"/>
          <w:szCs w:val="19"/>
          <w:color w:val="auto"/>
        </w:rPr>
      </w:pPr>
      <w:r>
        <w:rPr>
          <w:rFonts w:ascii="Arial" w:cs="Arial" w:eastAsia="Arial" w:hAnsi="Arial"/>
          <w:sz w:val="19"/>
          <w:szCs w:val="19"/>
          <w:color w:val="auto"/>
        </w:rPr>
        <w:t xml:space="preserve">Assignments shall be subject to the following additional express conditions: (A) except in the case of an assignment to a Lender, an Affiliate of a Lender, an Approved Fund or to an Affiliated Lender (or any Holding Company, the Borrower or each other Restricted Subsidiary), or pursuant to </w:t>
      </w:r>
      <w:r>
        <w:rPr>
          <w:rFonts w:ascii="Arial" w:cs="Arial" w:eastAsia="Arial" w:hAnsi="Arial"/>
          <w:sz w:val="19"/>
          <w:szCs w:val="19"/>
          <w:u w:val="single" w:color="auto"/>
          <w:color w:val="auto"/>
        </w:rPr>
        <w:t>Section 2.11(i)</w:t>
      </w:r>
      <w:r>
        <w:rPr>
          <w:rFonts w:ascii="Arial" w:cs="Arial" w:eastAsia="Arial" w:hAnsi="Arial"/>
          <w:sz w:val="19"/>
          <w:szCs w:val="19"/>
          <w:color w:val="auto"/>
        </w:rPr>
        <w:t xml:space="preserve">, an assignment of the entire remaining amount of the assigning Lender’s Commitment or Loans of any Class, the amount of the Commitment or Loans of the assigning Lender subject to each such assignment (determined as of the date the Assignment and Assumption (or Affiliated Lender Assignment and Assumption Agreement) with respect to such assignment is delivered to the Administrative Agent) shall be in an amount of an integral multiple of $1,000,000, in the case of a Term Commitment or Term Loan, or $5,000,000, in the case of a Revolving Loan or Revolving Commitment, unless the Borrower and the Administrative Agent otherwise consent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Borrower shall be required if an Event of Default under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7.01(i)</w:t>
      </w:r>
      <w:r>
        <w:rPr>
          <w:rFonts w:ascii="Arial" w:cs="Arial" w:eastAsia="Arial" w:hAnsi="Arial"/>
          <w:sz w:val="19"/>
          <w:szCs w:val="19"/>
          <w:color w:val="auto"/>
        </w:rPr>
        <w:t xml:space="preserve"> has occurred and is continuing, (B) each partial assignment shall be made as an assignment of a proportionate part of all the assigning Lender’s rights and obligations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not be construed to prohibit assignment of a proportionate part of all the assigning Lender’s rights and obligations in respect of one Class of Commitments or Loans, (C) the parties to each assignment shall (1) execute and deliver to the Administrative Agent an Assignment and Assumption (or Affiliated Lender Assignment and Assumption Agreement), via an electronic settlement system acceptable to the Administrative Agent or (2) if previously agreed with the Administrative Agent, manually execute and deliver to the Administrative Agent an Assignment and Assumption (or Affiliated Lender Assignment and Assumption Agreement), together with a processing and recordation fee of $3,500 (which fee (x) may be waived or reduced in the sole discretion of the Administrative Agent and (y) shall be waived with respect to assignments by GS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assignments made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9.02(c)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9.02(h)</w:t>
      </w:r>
      <w:r>
        <w:rPr>
          <w:rFonts w:ascii="Arial" w:cs="Arial" w:eastAsia="Arial" w:hAnsi="Arial"/>
          <w:sz w:val="19"/>
          <w:szCs w:val="19"/>
          <w:color w:val="auto"/>
        </w:rPr>
        <w:t xml:space="preserve"> shall not require the signature of the assigning Lender to become effective and (D) the assignee, if it shall not be a Lender or Affiliated Lender (or any Holding Company, the Borrower or each other Restricted Subsidiary), shall deliver to the Administrative Agent an Administrative Questionnaire (in which the assignee designates one or more credit contacts to whom all syndicate-level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 and any tax forms required by </w:t>
      </w:r>
      <w:r>
        <w:rPr>
          <w:rFonts w:ascii="Arial" w:cs="Arial" w:eastAsia="Arial" w:hAnsi="Arial"/>
          <w:sz w:val="19"/>
          <w:szCs w:val="19"/>
          <w:u w:val="single" w:color="auto"/>
          <w:color w:val="auto"/>
        </w:rPr>
        <w:t>Section 2.17(e)</w:t>
      </w:r>
      <w:r>
        <w:rPr>
          <w:rFonts w:ascii="Arial" w:cs="Arial" w:eastAsia="Arial" w:hAnsi="Arial"/>
          <w:sz w:val="19"/>
          <w:szCs w:val="19"/>
          <w:color w:val="auto"/>
        </w:rPr>
        <w:t>.</w:t>
      </w:r>
    </w:p>
    <w:p>
      <w:pPr>
        <w:spacing w:after="0" w:line="3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of this Section, the term “</w:t>
      </w:r>
      <w:r>
        <w:rPr>
          <w:rFonts w:ascii="Arial" w:cs="Arial" w:eastAsia="Arial" w:hAnsi="Arial"/>
          <w:sz w:val="22"/>
          <w:szCs w:val="22"/>
          <w:u w:val="single" w:color="auto"/>
          <w:color w:val="auto"/>
        </w:rPr>
        <w:t>Approved Fund</w:t>
      </w:r>
      <w:r>
        <w:rPr>
          <w:rFonts w:ascii="Arial" w:cs="Arial" w:eastAsia="Arial" w:hAnsi="Arial"/>
          <w:sz w:val="22"/>
          <w:szCs w:val="22"/>
          <w:color w:val="auto"/>
        </w:rPr>
        <w:t>” has the following meaning:</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with respect to any Lender, any Person (other than a natural person) that is engaged in making, purchasing, holding or otherwise investing in commercial loans and similar extensions of credit in the ordinary course of its activities and is administered, advised or managed by (i) such Lender, (ii) an Affiliate of such Lender or (iii) an entity or an Affiliate of an entity that administers, advises or manages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87" w:name="page488"/>
    <w:bookmarkEnd w:id="487"/>
    <w:p>
      <w:pPr>
        <w:jc w:val="both"/>
        <w:ind w:left="660" w:firstLine="644"/>
        <w:spacing w:after="0" w:line="219" w:lineRule="auto"/>
        <w:tabs>
          <w:tab w:leader="none" w:pos="1879" w:val="left"/>
        </w:tabs>
        <w:numPr>
          <w:ilvl w:val="0"/>
          <w:numId w:val="569"/>
        </w:numPr>
        <w:rPr>
          <w:rFonts w:ascii="Arial" w:cs="Arial" w:eastAsia="Arial" w:hAnsi="Arial"/>
          <w:sz w:val="21"/>
          <w:szCs w:val="21"/>
          <w:color w:val="auto"/>
        </w:rPr>
      </w:pPr>
      <w:r>
        <w:rPr>
          <w:rFonts w:ascii="Arial" w:cs="Arial" w:eastAsia="Arial" w:hAnsi="Arial"/>
          <w:sz w:val="21"/>
          <w:szCs w:val="21"/>
          <w:color w:val="auto"/>
        </w:rPr>
        <w:t xml:space="preserve">Subject to acceptance and recording thereof pursuant to </w:t>
      </w:r>
      <w:r>
        <w:rPr>
          <w:rFonts w:ascii="Arial" w:cs="Arial" w:eastAsia="Arial" w:hAnsi="Arial"/>
          <w:sz w:val="21"/>
          <w:szCs w:val="21"/>
          <w:u w:val="single" w:color="auto"/>
          <w:color w:val="auto"/>
        </w:rPr>
        <w:t>paragraph (b)(v)</w:t>
      </w:r>
      <w:r>
        <w:rPr>
          <w:rFonts w:ascii="Arial" w:cs="Arial" w:eastAsia="Arial" w:hAnsi="Arial"/>
          <w:sz w:val="21"/>
          <w:szCs w:val="21"/>
          <w:color w:val="auto"/>
        </w:rPr>
        <w:t xml:space="preserve"> of this Section, from and after the effective date specified in each Assignment and Assumption (or Affiliated Lender Assignment and Assumption Agreement), the assignee thereunder shall be a party hereto and, to the extent of the interest assigned by such Assignment and Assumption (or Affiliated Lender Assignment and Assumption Agreement), have the rights and obligations of a Lender under this Agreement, and the assigning Lender thereunder shall, to the extent of the interest assigned by such Assignment and Assumption (or Affiliated Lender Assignment and Assumption Agreement), be released from its obligations under this Agreement (and, in the case of an Assignment and Assumption (or Affiliated Lender Assignment and Assumption Agreement) covering all of the assigning Lender’s rights and obligations under this Agreement, such Lender shall cease to be a party hereto but shall continue to be entitled to the benefits of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9.03</w:t>
      </w:r>
      <w:r>
        <w:rPr>
          <w:rFonts w:ascii="Arial" w:cs="Arial" w:eastAsia="Arial" w:hAnsi="Arial"/>
          <w:sz w:val="21"/>
          <w:szCs w:val="21"/>
          <w:color w:val="auto"/>
        </w:rPr>
        <w:t xml:space="preserve"> and to any fees payable hereunder that have accrued for such Lender’s account but have not yet been paid).</w:t>
      </w:r>
    </w:p>
    <w:p>
      <w:pPr>
        <w:spacing w:after="0" w:line="168" w:lineRule="exact"/>
        <w:rPr>
          <w:rFonts w:ascii="Arial" w:cs="Arial" w:eastAsia="Arial" w:hAnsi="Arial"/>
          <w:sz w:val="21"/>
          <w:szCs w:val="21"/>
          <w:color w:val="auto"/>
        </w:rPr>
      </w:pPr>
    </w:p>
    <w:p>
      <w:pPr>
        <w:jc w:val="both"/>
        <w:ind w:left="660" w:firstLine="644"/>
        <w:spacing w:after="0" w:line="219" w:lineRule="auto"/>
        <w:tabs>
          <w:tab w:leader="none" w:pos="1841" w:val="left"/>
        </w:tabs>
        <w:numPr>
          <w:ilvl w:val="0"/>
          <w:numId w:val="569"/>
        </w:numPr>
        <w:rPr>
          <w:rFonts w:ascii="Arial" w:cs="Arial" w:eastAsia="Arial" w:hAnsi="Arial"/>
          <w:sz w:val="21"/>
          <w:szCs w:val="21"/>
          <w:color w:val="auto"/>
        </w:rPr>
      </w:pPr>
      <w:r>
        <w:rPr>
          <w:rFonts w:ascii="Arial" w:cs="Arial" w:eastAsia="Arial" w:hAnsi="Arial"/>
          <w:sz w:val="21"/>
          <w:szCs w:val="21"/>
          <w:color w:val="auto"/>
        </w:rPr>
        <w:t>The Administrative Agent, acting for this purpose as a non-fiduciary agent of the Borrower, shall maintain at one of its offices a copy of each Assignment and Assumption (or Affiliated Lender Assignment and Assumption Agreement) delivered to it and a register for the recordation of the names and addresses of the Lenders, and the Commitment of, and principal and related interest amounts of the Loans and LC Disbursements owing to, each Lender pursuant to the terms hereof from time to time (the “</w:t>
      </w:r>
      <w:r>
        <w:rPr>
          <w:rFonts w:ascii="Arial" w:cs="Arial" w:eastAsia="Arial" w:hAnsi="Arial"/>
          <w:sz w:val="21"/>
          <w:szCs w:val="21"/>
          <w:u w:val="single" w:color="auto"/>
          <w:color w:val="auto"/>
        </w:rPr>
        <w:t>Register</w:t>
      </w:r>
      <w:r>
        <w:rPr>
          <w:rFonts w:ascii="Arial" w:cs="Arial" w:eastAsia="Arial" w:hAnsi="Arial"/>
          <w:sz w:val="21"/>
          <w:szCs w:val="21"/>
          <w:color w:val="auto"/>
        </w:rPr>
        <w:t xml:space="preserve">”). The entries in the Register shall be conclusive absent manifest error, and the Holding Companies,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Banks and, with respect to its own interests only, any Lender, at any reasonable time and from time to time upon reasonable prior notice. This </w:t>
      </w:r>
      <w:r>
        <w:rPr>
          <w:rFonts w:ascii="Arial" w:cs="Arial" w:eastAsia="Arial" w:hAnsi="Arial"/>
          <w:sz w:val="21"/>
          <w:szCs w:val="21"/>
          <w:u w:val="single" w:color="auto"/>
          <w:color w:val="auto"/>
        </w:rPr>
        <w:t>Section 9.04(b)(iv)</w:t>
      </w:r>
      <w:r>
        <w:rPr>
          <w:rFonts w:ascii="Arial" w:cs="Arial" w:eastAsia="Arial" w:hAnsi="Arial"/>
          <w:sz w:val="21"/>
          <w:szCs w:val="21"/>
          <w:color w:val="auto"/>
        </w:rPr>
        <w:t xml:space="preserve"> shall be construed so that the Loans and unreimbursed LC Disbursements are at all times maintained in “registered form” within the meaning of Sections 163(f), 871(h)(2) and 881(c)(2) of the Code.</w:t>
      </w:r>
    </w:p>
    <w:p>
      <w:pPr>
        <w:spacing w:after="0" w:line="163" w:lineRule="exact"/>
        <w:rPr>
          <w:rFonts w:ascii="Arial" w:cs="Arial" w:eastAsia="Arial" w:hAnsi="Arial"/>
          <w:sz w:val="21"/>
          <w:szCs w:val="21"/>
          <w:color w:val="auto"/>
        </w:rPr>
      </w:pPr>
    </w:p>
    <w:p>
      <w:pPr>
        <w:jc w:val="both"/>
        <w:ind w:left="660" w:firstLine="644"/>
        <w:spacing w:after="0" w:line="246" w:lineRule="auto"/>
        <w:tabs>
          <w:tab w:leader="none" w:pos="1886" w:val="left"/>
        </w:tabs>
        <w:numPr>
          <w:ilvl w:val="0"/>
          <w:numId w:val="569"/>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Assumption (or Affiliated Lender Assignment and Assumption Agreement) executed by an assigning Lender and an assignee, the assignee’s completed Administrative Questionnaire and any tax forms required by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as applicable (unless the assignee shall already be a Lender hereunder), the processing and recordation fee referred to in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(to the extent required) and any written consent to such assignment required by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the Administrative Agent shall accept such Assignment and Assumption (or Affiliated Lender Assignment and Assumption Agreement) and record the information contained therein in the Register. No assignment shall be effective for purposes of this Agreement unless it has been recorded in the Register as provided in this paragraph.</w:t>
      </w:r>
    </w:p>
    <w:p>
      <w:pPr>
        <w:spacing w:after="0" w:line="152" w:lineRule="exact"/>
        <w:rPr>
          <w:rFonts w:ascii="Arial" w:cs="Arial" w:eastAsia="Arial" w:hAnsi="Arial"/>
          <w:sz w:val="19"/>
          <w:szCs w:val="19"/>
          <w:color w:val="auto"/>
        </w:rPr>
      </w:pPr>
    </w:p>
    <w:p>
      <w:pPr>
        <w:jc w:val="both"/>
        <w:ind w:left="660" w:firstLine="644"/>
        <w:spacing w:after="0" w:line="249" w:lineRule="auto"/>
        <w:tabs>
          <w:tab w:leader="none" w:pos="1868" w:val="left"/>
        </w:tabs>
        <w:numPr>
          <w:ilvl w:val="0"/>
          <w:numId w:val="569"/>
        </w:numPr>
        <w:rPr>
          <w:rFonts w:ascii="Arial" w:cs="Arial" w:eastAsia="Arial" w:hAnsi="Arial"/>
          <w:sz w:val="19"/>
          <w:szCs w:val="19"/>
          <w:color w:val="auto"/>
        </w:rPr>
      </w:pPr>
      <w:r>
        <w:rPr>
          <w:rFonts w:ascii="Arial" w:cs="Arial" w:eastAsia="Arial" w:hAnsi="Arial"/>
          <w:sz w:val="19"/>
          <w:szCs w:val="19"/>
          <w:color w:val="auto"/>
        </w:rPr>
        <w:t>The words “execution,” “signed,” “signature” and words of like import in any Assignment and Assumption or Affiliated Lender Assignment and Assumption Agreement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88" w:name="page489"/>
    <w:bookmarkEnd w:id="488"/>
    <w:p>
      <w:pPr>
        <w:ind w:left="660"/>
        <w:spacing w:after="0"/>
        <w:rPr>
          <w:sz w:val="20"/>
          <w:szCs w:val="20"/>
          <w:color w:val="auto"/>
        </w:rPr>
      </w:pPr>
      <w:r>
        <w:rPr>
          <w:rFonts w:ascii="Arial" w:cs="Arial" w:eastAsia="Arial" w:hAnsi="Arial"/>
          <w:sz w:val="19"/>
          <w:szCs w:val="19"/>
          <w:color w:val="auto"/>
        </w:rPr>
        <w:t>Electronic Signatures and Records Act or any other similar state laws based on the Uniform Electronic Transactions Act.</w:t>
      </w:r>
    </w:p>
    <w:p>
      <w:pPr>
        <w:spacing w:after="0" w:line="214" w:lineRule="exact"/>
        <w:rPr>
          <w:sz w:val="20"/>
          <w:szCs w:val="20"/>
          <w:color w:val="auto"/>
        </w:rPr>
      </w:pPr>
    </w:p>
    <w:p>
      <w:pPr>
        <w:jc w:val="both"/>
        <w:ind w:left="660" w:firstLine="644"/>
        <w:spacing w:after="0" w:line="252" w:lineRule="auto"/>
        <w:tabs>
          <w:tab w:leader="none" w:pos="1919" w:val="left"/>
        </w:tabs>
        <w:numPr>
          <w:ilvl w:val="0"/>
          <w:numId w:val="57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but subject in all respects to the last paragraph of this </w:t>
      </w:r>
      <w:r>
        <w:rPr>
          <w:rFonts w:ascii="Arial" w:cs="Arial" w:eastAsia="Arial" w:hAnsi="Arial"/>
          <w:sz w:val="19"/>
          <w:szCs w:val="19"/>
          <w:u w:val="single" w:color="auto"/>
          <w:color w:val="auto"/>
        </w:rPr>
        <w:t>Section 9.04(b)</w:t>
      </w:r>
      <w:r>
        <w:rPr>
          <w:rFonts w:ascii="Arial" w:cs="Arial" w:eastAsia="Arial" w:hAnsi="Arial"/>
          <w:sz w:val="19"/>
          <w:szCs w:val="19"/>
          <w:color w:val="auto"/>
        </w:rPr>
        <w:t xml:space="preserve">, any assignment pursuant to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by a Lender of its Loans or Commitments to any Affiliated Lender or any Holding Company, Borrower or each other Restricted Subsidiary (and, in the case of </w:t>
      </w:r>
      <w:r>
        <w:rPr>
          <w:rFonts w:ascii="Arial" w:cs="Arial" w:eastAsia="Arial" w:hAnsi="Arial"/>
          <w:sz w:val="19"/>
          <w:szCs w:val="19"/>
          <w:u w:val="single" w:color="auto"/>
          <w:color w:val="auto"/>
        </w:rPr>
        <w:t>clause (D)(I)</w:t>
      </w:r>
      <w:r>
        <w:rPr>
          <w:rFonts w:ascii="Arial" w:cs="Arial" w:eastAsia="Arial" w:hAnsi="Arial"/>
          <w:sz w:val="19"/>
          <w:szCs w:val="19"/>
          <w:color w:val="auto"/>
        </w:rPr>
        <w:t xml:space="preserve"> below, to any Affiliated Institutional Lender) (it being understood that with respect to purchases pursuant to </w:t>
      </w:r>
      <w:r>
        <w:rPr>
          <w:rFonts w:ascii="Arial" w:cs="Arial" w:eastAsia="Arial" w:hAnsi="Arial"/>
          <w:sz w:val="19"/>
          <w:szCs w:val="19"/>
          <w:u w:val="single" w:color="auto"/>
          <w:color w:val="auto"/>
        </w:rPr>
        <w:t>Section 2.11(i)</w:t>
      </w:r>
      <w:r>
        <w:rPr>
          <w:rFonts w:ascii="Arial" w:cs="Arial" w:eastAsia="Arial" w:hAnsi="Arial"/>
          <w:sz w:val="19"/>
          <w:szCs w:val="19"/>
          <w:color w:val="auto"/>
        </w:rPr>
        <w:t>, this Section shall not be applicable) shall be subject to the following additional conditions:</w:t>
      </w:r>
    </w:p>
    <w:p>
      <w:pPr>
        <w:spacing w:after="0" w:line="148" w:lineRule="exact"/>
        <w:rPr>
          <w:rFonts w:ascii="Arial" w:cs="Arial" w:eastAsia="Arial" w:hAnsi="Arial"/>
          <w:sz w:val="19"/>
          <w:szCs w:val="19"/>
          <w:color w:val="auto"/>
        </w:rPr>
      </w:pPr>
    </w:p>
    <w:p>
      <w:pPr>
        <w:jc w:val="both"/>
        <w:ind w:left="1300" w:firstLine="652"/>
        <w:spacing w:after="0" w:line="223" w:lineRule="auto"/>
        <w:tabs>
          <w:tab w:leader="none" w:pos="2551" w:val="left"/>
        </w:tabs>
        <w:numPr>
          <w:ilvl w:val="1"/>
          <w:numId w:val="570"/>
        </w:numPr>
        <w:rPr>
          <w:rFonts w:ascii="Arial" w:cs="Arial" w:eastAsia="Arial" w:hAnsi="Arial"/>
          <w:sz w:val="22"/>
          <w:szCs w:val="22"/>
          <w:color w:val="auto"/>
        </w:rPr>
      </w:pPr>
      <w:r>
        <w:rPr>
          <w:rFonts w:ascii="Arial" w:cs="Arial" w:eastAsia="Arial" w:hAnsi="Arial"/>
          <w:sz w:val="22"/>
          <w:szCs w:val="22"/>
          <w:color w:val="auto"/>
        </w:rPr>
        <w:t>the assigning Lender and Affiliated Lender purchasing such Lender’s Loans and/or Commitments shall execute and deliver to the Administrative Agent an Affiliated Lender Assignment and Assumption Agreement;</w:t>
      </w:r>
    </w:p>
    <w:p>
      <w:pPr>
        <w:spacing w:after="0" w:line="158" w:lineRule="exact"/>
        <w:rPr>
          <w:rFonts w:ascii="Arial" w:cs="Arial" w:eastAsia="Arial" w:hAnsi="Arial"/>
          <w:sz w:val="22"/>
          <w:szCs w:val="22"/>
          <w:color w:val="auto"/>
        </w:rPr>
      </w:pPr>
    </w:p>
    <w:p>
      <w:pPr>
        <w:jc w:val="both"/>
        <w:ind w:left="1300" w:firstLine="652"/>
        <w:spacing w:after="0" w:line="218" w:lineRule="auto"/>
        <w:tabs>
          <w:tab w:leader="none" w:pos="2457" w:val="left"/>
        </w:tabs>
        <w:numPr>
          <w:ilvl w:val="1"/>
          <w:numId w:val="570"/>
        </w:numPr>
        <w:rPr>
          <w:rFonts w:ascii="Arial" w:cs="Arial" w:eastAsia="Arial" w:hAnsi="Arial"/>
          <w:sz w:val="22"/>
          <w:szCs w:val="22"/>
          <w:color w:val="auto"/>
        </w:rPr>
      </w:pPr>
      <w:r>
        <w:rPr>
          <w:rFonts w:ascii="Arial" w:cs="Arial" w:eastAsia="Arial" w:hAnsi="Arial"/>
          <w:sz w:val="22"/>
          <w:szCs w:val="22"/>
          <w:color w:val="auto"/>
        </w:rPr>
        <w:t>any Loans or Commitments acquired by any Holding Company, the Borrower or any other Restricted Subsidiary (x) no Default or Event of Default shall have occurred and be continuing at the time of and immediately after giving effect to the acquisition of such Loans and (y) shall be retired and cancelled immediately upon the acquisition thereof;</w:t>
      </w:r>
    </w:p>
    <w:p>
      <w:pPr>
        <w:spacing w:after="0" w:line="160" w:lineRule="exact"/>
        <w:rPr>
          <w:rFonts w:ascii="Arial" w:cs="Arial" w:eastAsia="Arial" w:hAnsi="Arial"/>
          <w:sz w:val="22"/>
          <w:szCs w:val="22"/>
          <w:color w:val="auto"/>
        </w:rPr>
      </w:pPr>
    </w:p>
    <w:p>
      <w:pPr>
        <w:ind w:left="2480" w:hanging="528"/>
        <w:spacing w:after="0"/>
        <w:tabs>
          <w:tab w:leader="none" w:pos="2480" w:val="left"/>
        </w:tabs>
        <w:numPr>
          <w:ilvl w:val="1"/>
          <w:numId w:val="570"/>
        </w:numPr>
        <w:rPr>
          <w:rFonts w:ascii="Arial" w:cs="Arial" w:eastAsia="Arial" w:hAnsi="Arial"/>
          <w:sz w:val="19"/>
          <w:szCs w:val="19"/>
          <w:color w:val="auto"/>
        </w:rPr>
      </w:pPr>
      <w:r>
        <w:rPr>
          <w:rFonts w:ascii="Arial" w:cs="Arial" w:eastAsia="Arial" w:hAnsi="Arial"/>
          <w:sz w:val="19"/>
          <w:szCs w:val="19"/>
          <w:color w:val="auto"/>
        </w:rPr>
        <w:t>each Affiliated Lender hereby agrees that notwithstanding anything to the contrary herein, it may not</w:t>
      </w:r>
    </w:p>
    <w:p>
      <w:pPr>
        <w:spacing w:after="0" w:line="15" w:lineRule="exact"/>
        <w:rPr>
          <w:rFonts w:ascii="Arial" w:cs="Arial" w:eastAsia="Arial" w:hAnsi="Arial"/>
          <w:sz w:val="19"/>
          <w:szCs w:val="19"/>
          <w:color w:val="auto"/>
        </w:rPr>
      </w:pPr>
    </w:p>
    <w:p>
      <w:pPr>
        <w:jc w:val="both"/>
        <w:ind w:left="1300"/>
        <w:spacing w:after="0" w:line="210" w:lineRule="auto"/>
        <w:rPr>
          <w:rFonts w:ascii="Arial" w:cs="Arial" w:eastAsia="Arial" w:hAnsi="Arial"/>
          <w:sz w:val="19"/>
          <w:szCs w:val="19"/>
          <w:color w:val="auto"/>
        </w:rPr>
      </w:pPr>
      <w:r>
        <w:rPr>
          <w:rFonts w:ascii="Arial" w:cs="Arial" w:eastAsia="Arial" w:hAnsi="Arial"/>
          <w:sz w:val="22"/>
          <w:szCs w:val="22"/>
          <w:color w:val="auto"/>
        </w:rPr>
        <w:t>(A) attend (including by telephone) any meeting or discussions (or portion thereof) among any Agent or any Lender to which representatives of the Borrower are not invited or then present, or (B) have access to the Platform or receive any information or material prepared by any Agent or any Lender or any communication by or among any Agent and/or one or more Lenders, except to the extent such information or materials have been made available to the Borrower or its representatives (and in any case, other than the right to receive notices of prepayments and other administrative notices in respect of its Loans required to be delivered to Lenders pursuant hereto);</w:t>
      </w:r>
    </w:p>
    <w:p>
      <w:pPr>
        <w:spacing w:after="0" w:line="160" w:lineRule="exact"/>
        <w:rPr>
          <w:rFonts w:ascii="Arial" w:cs="Arial" w:eastAsia="Arial" w:hAnsi="Arial"/>
          <w:sz w:val="19"/>
          <w:szCs w:val="19"/>
          <w:color w:val="auto"/>
        </w:rPr>
      </w:pPr>
    </w:p>
    <w:p>
      <w:pPr>
        <w:jc w:val="both"/>
        <w:ind w:left="1300" w:firstLine="652"/>
        <w:spacing w:after="0" w:line="241" w:lineRule="auto"/>
        <w:tabs>
          <w:tab w:leader="none" w:pos="2544" w:val="left"/>
        </w:tabs>
        <w:numPr>
          <w:ilvl w:val="1"/>
          <w:numId w:val="570"/>
        </w:numPr>
        <w:rPr>
          <w:rFonts w:ascii="Arial" w:cs="Arial" w:eastAsia="Arial" w:hAnsi="Arial"/>
          <w:sz w:val="19"/>
          <w:szCs w:val="19"/>
          <w:color w:val="auto"/>
        </w:rPr>
      </w:pPr>
      <w:r>
        <w:rPr>
          <w:rFonts w:ascii="Arial" w:cs="Arial" w:eastAsia="Arial" w:hAnsi="Arial"/>
          <w:sz w:val="19"/>
          <w:szCs w:val="19"/>
          <w:color w:val="auto"/>
        </w:rPr>
        <w:t xml:space="preserve">(I) Revolving Commitments and Revolving Loans may not be assigned to any Affiliated Lenders, any Holding Company, the Borrower or any other Restricted Subsidiary, or Affiliated Institutional Lenders or Persons who will become Affiliated Lenders or Affiliated Institutional Lenders upon completion of the relevant assignment, and no Affiliated Lender, any Holding Company, the Borrower or any other Restricted Subsidiary or Affiliated Institutional Lenders or Person who will become an Affiliated Lender or an Affiliated Institutional Lender upon completion of the relevant assignment shall be permitted to purchase any Revolving Commitments or Revolving Loans, (II) no proceeds of Revolving Commitments or Revolving Loans may be used by any Affiliated Lender or Person who will become an Affiliated Lender upon completion of the relevant assignment or by any Holding Company, the Borrower or each other Restricted Subsidiary to effect any permitted assignments to it or purchase such commitments or loans, (III) the maximum aggregate principal amount of Term Loans and Commitments held by all Affiliated Lenders at the time of the proposed assignment (after giving effect thereto) may not exceed 25% of the aggregate principal amount of Term Loans then outstanding and (IV) without limiting the foregoing, Affiliated Lenders and Persons who will become Affiliated Lenders upon completion of the relevant assignment may (but are not required to) acquire Term Loans through Auctions conducted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2.11(i)</w:t>
      </w:r>
      <w:r>
        <w:rPr>
          <w:rFonts w:ascii="Arial" w:cs="Arial" w:eastAsia="Arial" w:hAnsi="Arial"/>
          <w:sz w:val="19"/>
          <w:szCs w:val="19"/>
          <w:color w:val="auto"/>
        </w:rPr>
        <w:t xml:space="preserve"> as if it were an Auction Party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89" w:name="page490"/>
    <w:bookmarkEnd w:id="489"/>
    <w:p>
      <w:pPr>
        <w:jc w:val="both"/>
        <w:ind w:left="1300"/>
        <w:spacing w:after="0" w:line="223" w:lineRule="auto"/>
        <w:rPr>
          <w:sz w:val="20"/>
          <w:szCs w:val="20"/>
          <w:color w:val="auto"/>
        </w:rPr>
      </w:pPr>
      <w:r>
        <w:rPr>
          <w:rFonts w:ascii="Arial" w:cs="Arial" w:eastAsia="Arial" w:hAnsi="Arial"/>
          <w:sz w:val="22"/>
          <w:szCs w:val="22"/>
          <w:color w:val="auto"/>
        </w:rPr>
        <w:t xml:space="preserve">acquired by Affiliated Lenders and Persons who will become Affiliated Lenders upon completion of the relevant assignment through an Auction do not need to be canceled in accordance with </w:t>
      </w:r>
      <w:r>
        <w:rPr>
          <w:rFonts w:ascii="Arial" w:cs="Arial" w:eastAsia="Arial" w:hAnsi="Arial"/>
          <w:sz w:val="22"/>
          <w:szCs w:val="22"/>
          <w:u w:val="single" w:color="auto"/>
          <w:color w:val="auto"/>
        </w:rPr>
        <w:t>Section 2.11(i)</w:t>
      </w:r>
      <w:r>
        <w:rPr>
          <w:rFonts w:ascii="Arial" w:cs="Arial" w:eastAsia="Arial" w:hAnsi="Arial"/>
          <w:sz w:val="22"/>
          <w:szCs w:val="22"/>
          <w:color w:val="auto"/>
        </w:rPr>
        <w:t xml:space="preserve"> unless contributed to the Borrower in accordance with subsection (E) below);</w:t>
      </w:r>
    </w:p>
    <w:p>
      <w:pPr>
        <w:spacing w:after="0" w:line="159" w:lineRule="exact"/>
        <w:rPr>
          <w:sz w:val="20"/>
          <w:szCs w:val="20"/>
          <w:color w:val="auto"/>
        </w:rPr>
      </w:pPr>
    </w:p>
    <w:p>
      <w:pPr>
        <w:jc w:val="both"/>
        <w:ind w:left="1300" w:firstLine="652"/>
        <w:spacing w:after="0"/>
        <w:tabs>
          <w:tab w:leader="none" w:pos="2646" w:val="left"/>
        </w:tabs>
        <w:numPr>
          <w:ilvl w:val="1"/>
          <w:numId w:val="571"/>
        </w:numPr>
        <w:rPr>
          <w:rFonts w:ascii="Arial" w:cs="Arial" w:eastAsia="Arial" w:hAnsi="Arial"/>
          <w:sz w:val="19"/>
          <w:szCs w:val="19"/>
          <w:color w:val="auto"/>
        </w:rPr>
      </w:pPr>
      <w:r>
        <w:rPr>
          <w:rFonts w:ascii="Arial" w:cs="Arial" w:eastAsia="Arial" w:hAnsi="Arial"/>
          <w:sz w:val="19"/>
          <w:szCs w:val="19"/>
          <w:color w:val="auto"/>
        </w:rPr>
        <w:t xml:space="preserve">any Affiliated Lender may, with the consent of the Borrower and with written notice to the Administrative Agent, contribute any of its Term Loans to Holdings, the Borrower or any of their respective Restricted Subsidiaries and, to the extent agreed with the Borrower, may in return receive loans or Qualified Equity Interests of any Holding Company (to the extent not constituting a Change in Control) or, the extent not prohibited to be issued pursuant to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hereunder, Holdings, the Borrower or any of its Restricted Subsidiaries. Any Term Loans so contributed pursuant to this subsection shall, without further action by any Person, be deemed cancelled for all purposes and no longer outstanding (and may not be resold by the Borrower), for all purposes of this Agreement and all other Loan Documents, including, but not limited to (A) the making of, or the application of, any payments to the Lenders under this Agreement or any other Loan Document, (B) the making of any request, demand, authorization, direction, notice, consent or waiver under this Agreement or any other Loan Document or (C) the determination of Required Lenders, or for any similar or related purpose, under this Agreement or any other Loan Document. In connection with any Term Loans so cancelled pursuant to this subsection, the Administrative Agent is authorized to make appropriate entries in the Register to reflect any such cancellation. Any gains from the cancellation of such Term Loans shall not increase the Available Amount, Consolidated EBITDA or Excess Cash Flow for any purpose hereunder. The cancellations contemplated by this subsection shall be deemed to be voluntary prepayments by the Borrower pursuant to </w:t>
      </w:r>
      <w:r>
        <w:rPr>
          <w:rFonts w:ascii="Arial" w:cs="Arial" w:eastAsia="Arial" w:hAnsi="Arial"/>
          <w:sz w:val="19"/>
          <w:szCs w:val="19"/>
          <w:u w:val="single" w:color="auto"/>
          <w:color w:val="auto"/>
        </w:rPr>
        <w:t>Section 2.11(a)</w:t>
      </w:r>
      <w:r>
        <w:rPr>
          <w:rFonts w:ascii="Arial" w:cs="Arial" w:eastAsia="Arial" w:hAnsi="Arial"/>
          <w:sz w:val="19"/>
          <w:szCs w:val="19"/>
          <w:color w:val="auto"/>
        </w:rPr>
        <w:t>, and the principal amount of any such Term Loans so cancelled shall be applied to the Term Loans of the Lender from whom they were purchased as directed by the Borrower; and</w:t>
      </w:r>
    </w:p>
    <w:p>
      <w:pPr>
        <w:spacing w:after="0" w:line="389" w:lineRule="exact"/>
        <w:rPr>
          <w:rFonts w:ascii="Arial" w:cs="Arial" w:eastAsia="Arial" w:hAnsi="Arial"/>
          <w:sz w:val="19"/>
          <w:szCs w:val="19"/>
          <w:color w:val="auto"/>
        </w:rPr>
      </w:pPr>
    </w:p>
    <w:p>
      <w:pPr>
        <w:jc w:val="both"/>
        <w:ind w:left="1300" w:firstLine="652"/>
        <w:spacing w:after="0" w:line="223" w:lineRule="auto"/>
        <w:tabs>
          <w:tab w:leader="none" w:pos="2429" w:val="left"/>
        </w:tabs>
        <w:numPr>
          <w:ilvl w:val="1"/>
          <w:numId w:val="571"/>
        </w:numPr>
        <w:rPr>
          <w:rFonts w:ascii="Arial" w:cs="Arial" w:eastAsia="Arial" w:hAnsi="Arial"/>
          <w:sz w:val="22"/>
          <w:szCs w:val="22"/>
          <w:color w:val="auto"/>
        </w:rPr>
      </w:pPr>
      <w:r>
        <w:rPr>
          <w:rFonts w:ascii="Arial" w:cs="Arial" w:eastAsia="Arial" w:hAnsi="Arial"/>
          <w:sz w:val="22"/>
          <w:szCs w:val="22"/>
          <w:color w:val="auto"/>
        </w:rPr>
        <w:t>none of the Borrower, any Sponsor nor any of their respective Affiliates shall be required to make any representation that it is not in possession of material nonpublic information with respect to Holdings, the Borrower, any of their respective subsidiaries or their respective securities.</w:t>
      </w:r>
    </w:p>
    <w:p>
      <w:pPr>
        <w:spacing w:after="0" w:line="158" w:lineRule="exact"/>
        <w:rPr>
          <w:rFonts w:ascii="Arial" w:cs="Arial" w:eastAsia="Arial" w:hAnsi="Arial"/>
          <w:sz w:val="22"/>
          <w:szCs w:val="22"/>
          <w:color w:val="auto"/>
        </w:rPr>
      </w:pPr>
    </w:p>
    <w:p>
      <w:pPr>
        <w:jc w:val="both"/>
        <w:ind w:left="660" w:firstLine="644"/>
        <w:spacing w:after="0" w:line="243" w:lineRule="auto"/>
        <w:tabs>
          <w:tab w:leader="none" w:pos="2047" w:val="left"/>
        </w:tabs>
        <w:numPr>
          <w:ilvl w:val="0"/>
          <w:numId w:val="572"/>
        </w:numPr>
        <w:rPr>
          <w:rFonts w:ascii="Arial" w:cs="Arial" w:eastAsia="Arial" w:hAnsi="Arial"/>
          <w:sz w:val="19"/>
          <w:szCs w:val="19"/>
          <w:color w:val="auto"/>
        </w:rPr>
      </w:pPr>
      <w:r>
        <w:rPr>
          <w:rFonts w:ascii="Arial" w:cs="Arial" w:eastAsia="Arial" w:hAnsi="Arial"/>
          <w:sz w:val="19"/>
          <w:szCs w:val="19"/>
          <w:color w:val="auto"/>
        </w:rPr>
        <w:t xml:space="preserve">Notwithstanding the foregoing, (i) in no event shall the Administrative Agent be obligated to ascertain, monitor or inquire as to whether any Lender is an Affiliated Lender nor shall the Administrative Agent be obligated to monitor the aggregate amount of Term Loans held by Affiliated Lenders, (ii) in no event shall any Affiliated Institutional Lender be required to comply with (or otherwise be subject to) the terms of this </w:t>
      </w:r>
      <w:r>
        <w:rPr>
          <w:rFonts w:ascii="Arial" w:cs="Arial" w:eastAsia="Arial" w:hAnsi="Arial"/>
          <w:sz w:val="19"/>
          <w:szCs w:val="19"/>
          <w:u w:val="single" w:color="auto"/>
          <w:color w:val="auto"/>
        </w:rPr>
        <w:t>clause (vii)</w:t>
      </w:r>
      <w:r>
        <w:rPr>
          <w:rFonts w:ascii="Arial" w:cs="Arial" w:eastAsia="Arial" w:hAnsi="Arial"/>
          <w:sz w:val="19"/>
          <w:szCs w:val="19"/>
          <w:color w:val="auto"/>
        </w:rPr>
        <w:t xml:space="preserve"> and (iii) no Affiliated Lender shall be required to make a representation that it is not in possession of material nonpublic information with respect to Holdings, the Borrower, any of their respective Subsidiaries or their respective securities. Each Affiliated Lender (other than any Affiliated Institutional Lenders) agrees to notify the Administrative Agent promptly (and in any event within 10 Business Days) if it acquires any Person who is also a Lender, and each Lender agrees to notify the Administrative Agent promptly (and in any event within 10 Business Days) if it becomes an Affiliated Lender (other than any Affiliated Institutional Lenders). Such notice shall contain the type of information required and be delivered to the same addressee as set forth in an Affiliated Lender Assignment and Assumption Agreement.</w:t>
      </w:r>
    </w:p>
    <w:p>
      <w:pPr>
        <w:spacing w:after="0" w:line="159" w:lineRule="exact"/>
        <w:rPr>
          <w:sz w:val="20"/>
          <w:szCs w:val="20"/>
          <w:color w:val="auto"/>
        </w:rPr>
      </w:pPr>
    </w:p>
    <w:p>
      <w:pPr>
        <w:ind w:firstLine="1304"/>
        <w:spacing w:after="0" w:line="232" w:lineRule="auto"/>
        <w:tabs>
          <w:tab w:leader="none" w:pos="1753" w:val="left"/>
        </w:tabs>
        <w:numPr>
          <w:ilvl w:val="0"/>
          <w:numId w:val="573"/>
        </w:numPr>
        <w:rPr>
          <w:rFonts w:ascii="Arial" w:cs="Arial" w:eastAsia="Arial" w:hAnsi="Arial"/>
          <w:sz w:val="22"/>
          <w:szCs w:val="22"/>
          <w:color w:val="auto"/>
        </w:rPr>
      </w:pPr>
      <w:r>
        <w:rPr>
          <w:rFonts w:ascii="Arial" w:cs="Arial" w:eastAsia="Arial" w:hAnsi="Arial"/>
          <w:sz w:val="22"/>
          <w:szCs w:val="22"/>
          <w:color w:val="auto"/>
        </w:rPr>
        <w:t>Any Lender may, without the consent of the Borrower, the Sponsors, the Administrative Agent, the Swingline Lender or the Issuing Banks, sell participations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90" w:name="page491"/>
    <w:bookmarkEnd w:id="490"/>
    <w:p>
      <w:pPr>
        <w:jc w:val="both"/>
        <w:spacing w:after="0" w:line="246" w:lineRule="auto"/>
        <w:rPr>
          <w:sz w:val="20"/>
          <w:szCs w:val="20"/>
          <w:color w:val="auto"/>
        </w:rPr>
      </w:pPr>
      <w:r>
        <w:rPr>
          <w:rFonts w:ascii="Arial" w:cs="Arial" w:eastAsia="Arial" w:hAnsi="Arial"/>
          <w:sz w:val="19"/>
          <w:szCs w:val="19"/>
          <w:color w:val="auto"/>
        </w:rPr>
        <w:t>Person (other than a natural person, Holdings and its Subsidiaries, an Affiliated Institutional Lender, any Defaulting Lender, any Excluded Affiliate or any Disqualified Lender to the extent the list of Disqualified Lenders is provided to each Lender upon request in connection with an assignment or participation)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(including all or a portion of its Commitment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(C) the Borrower, the Administrative Agent, the Issuing Banks and the other Lenders shall continue to deal solely and directly with such Lender in connection with such Lender’s rights and obligations under this Agreement and (D) such Person shall not be entitled to exercise any rights of a Lender under the Loan Documents.</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of the first proviso to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that directly or adversely affects such Participant. Subject to the paragraph below, the Borrower agrees that each Participant shall be entitled to the benefits of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(subject to the limitations and requirements of such Sections, including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(it being understood that the documentation required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2.17(e)</w:t>
      </w:r>
      <w:r>
        <w:rPr>
          <w:rFonts w:ascii="Arial" w:cs="Arial" w:eastAsia="Arial" w:hAnsi="Arial"/>
          <w:sz w:val="19"/>
          <w:szCs w:val="19"/>
          <w:color w:val="auto"/>
        </w:rPr>
        <w:t xml:space="preserve"> shall be delivered to the participating Lender) and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to the same extent as if it were a Lender and had acquired its interest by assignment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the obligation to disclose all or a portion of the Participant Register (including the identity of the Participant or any information relating to a Participant’s interest in any Loans or other obligations under any Loan Document) to any Person except to the extent that such disclosure is necessary in connection with a Tax audit or other proceeding to establish that any Loans are in registered form for U.S. federal income tax purposes. The entries in the Participant Register shall be conclusive absent manifest error, and the Borrower and such Lender shall treat each person whose name is recorded in the Participant Register as the owner of such participation for all purposes of this Agreement notwithstanding any notice to the contrary. This Section shall be construed so that the Loan Documents are at all times maintained in “registered form” within the meaning of Sections 163(f), 871(h)(2) and 881(c)(2) of the Code.</w:t>
      </w:r>
    </w:p>
    <w:p>
      <w:pPr>
        <w:spacing w:after="0" w:line="169"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 xml:space="preserve">A Participant shall not be entitled to receive any greater payment under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than the applicable Lender would have been entitled to receive with respect to the participation sold to such Participant, except to the extent the right to a greater payment results from a Change in Law after the Participant becomes a Participant or the sale of the participation to such Participant is made with the Borrower’s prior written consent.</w:t>
      </w:r>
    </w:p>
    <w:p>
      <w:pPr>
        <w:spacing w:after="0" w:line="158" w:lineRule="exact"/>
        <w:rPr>
          <w:sz w:val="20"/>
          <w:szCs w:val="20"/>
          <w:color w:val="auto"/>
        </w:rPr>
      </w:pPr>
    </w:p>
    <w:p>
      <w:pPr>
        <w:jc w:val="both"/>
        <w:ind w:firstLine="1304"/>
        <w:spacing w:after="0" w:line="249" w:lineRule="auto"/>
        <w:tabs>
          <w:tab w:leader="none" w:pos="1839" w:val="left"/>
        </w:tabs>
        <w:numPr>
          <w:ilvl w:val="0"/>
          <w:numId w:val="574"/>
        </w:numPr>
        <w:rPr>
          <w:rFonts w:ascii="Arial" w:cs="Arial" w:eastAsia="Arial" w:hAnsi="Arial"/>
          <w:sz w:val="19"/>
          <w:szCs w:val="19"/>
          <w:color w:val="auto"/>
        </w:rPr>
      </w:pPr>
      <w:r>
        <w:rPr>
          <w:rFonts w:ascii="Arial" w:cs="Arial" w:eastAsia="Arial" w:hAnsi="Arial"/>
          <w:sz w:val="19"/>
          <w:szCs w:val="19"/>
          <w:color w:val="auto"/>
        </w:rPr>
        <w:t>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including any pledge or assignment to any holders of obligations owed, or securities issued, by such Lender (including to any trustee for, or any other representative of, such holders) (such holders, each a “</w:t>
      </w:r>
      <w:r>
        <w:rPr>
          <w:rFonts w:ascii="Arial" w:cs="Arial" w:eastAsia="Arial" w:hAnsi="Arial"/>
          <w:sz w:val="19"/>
          <w:szCs w:val="19"/>
          <w:u w:val="single" w:color="auto"/>
          <w:color w:val="auto"/>
        </w:rPr>
        <w:t>Lender Financing Source</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of a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91" w:name="page492"/>
    <w:bookmarkEnd w:id="491"/>
    <w:p>
      <w:pPr>
        <w:spacing w:after="0" w:line="232" w:lineRule="auto"/>
        <w:rPr>
          <w:sz w:val="20"/>
          <w:szCs w:val="20"/>
          <w:color w:val="auto"/>
        </w:rPr>
      </w:pPr>
      <w:r>
        <w:rPr>
          <w:rFonts w:ascii="Arial" w:cs="Arial" w:eastAsia="Arial" w:hAnsi="Arial"/>
          <w:sz w:val="22"/>
          <w:szCs w:val="22"/>
          <w:color w:val="auto"/>
        </w:rPr>
        <w:t>interest shall release a Lender from any of its obligations hereunder or substitute any such pledgee or assignee for such Lender as a party hereto.</w:t>
      </w:r>
    </w:p>
    <w:p>
      <w:pPr>
        <w:spacing w:after="0" w:line="159" w:lineRule="exact"/>
        <w:rPr>
          <w:sz w:val="20"/>
          <w:szCs w:val="20"/>
          <w:color w:val="auto"/>
        </w:rPr>
      </w:pPr>
    </w:p>
    <w:p>
      <w:pPr>
        <w:jc w:val="both"/>
        <w:ind w:firstLine="1304"/>
        <w:spacing w:after="0"/>
        <w:tabs>
          <w:tab w:leader="none" w:pos="1768" w:val="left"/>
        </w:tabs>
        <w:numPr>
          <w:ilvl w:val="0"/>
          <w:numId w:val="575"/>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any Lender (a “</w:t>
      </w:r>
      <w:r>
        <w:rPr>
          <w:rFonts w:ascii="Arial" w:cs="Arial" w:eastAsia="Arial" w:hAnsi="Arial"/>
          <w:sz w:val="19"/>
          <w:szCs w:val="19"/>
          <w:u w:val="single" w:color="auto"/>
          <w:color w:val="auto"/>
        </w:rPr>
        <w:t>Granting Lender</w:t>
      </w:r>
      <w:r>
        <w:rPr>
          <w:rFonts w:ascii="Arial" w:cs="Arial" w:eastAsia="Arial" w:hAnsi="Arial"/>
          <w:sz w:val="19"/>
          <w:szCs w:val="19"/>
          <w:color w:val="auto"/>
        </w:rPr>
        <w:t>”) may grant to a special purpose funding vehicle organized and administered by such Granting Lender (an “</w:t>
      </w:r>
      <w:r>
        <w:rPr>
          <w:rFonts w:ascii="Arial" w:cs="Arial" w:eastAsia="Arial" w:hAnsi="Arial"/>
          <w:sz w:val="19"/>
          <w:szCs w:val="19"/>
          <w:u w:val="single" w:color="auto"/>
          <w:color w:val="auto"/>
        </w:rPr>
        <w:t>SPV</w:t>
      </w:r>
      <w:r>
        <w:rPr>
          <w:rFonts w:ascii="Arial" w:cs="Arial" w:eastAsia="Arial" w:hAnsi="Arial"/>
          <w:sz w:val="19"/>
          <w:szCs w:val="19"/>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such party will not institute against, or join any other Person in instituting against, such SPV any bankruptcy, reorganization, arrangement, insolvency or liquidation proceedings under the laws of the United States or any State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Lender designating any SPV hereby agrees to indemnify and hold harmless each other party hereto for any loss, cost, damage or expense arising out of its inability to institute such a proceeding against such SPV during such period of forbearance. In addition, notwithstanding anything to the contrary contained in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Disqualified Lenders to the extent the list of Disqualified Lenders is provided to each Lender upon request in connection with an assignment or participation, providing liquidity or credit support to or for the account of such SPV to support the funding or maintenance of Loans and (ii) subject to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disclose on a confidential basis any non-public information relating to its Loans to any rating agency, commercial paper dealer or provider of any surety, guarantee or credit or liquidity enhancement to such SPV other than any Disqualified Lender. The Borrower agrees that each SPV shall be entitled to the benefits of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(subject to the limitations and requirements of such Sections, including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to the same extent as if it were a Lender and had acquired its interest by assignment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 SPV shall not be entitled to receive any greater payment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than the applicable Granting Lender would have been entitled to receive with respect to the interest granted to such SPV, except to the extent the right to a greater payment results from a Change in Law after the date of the grant to such SPV, or the grant to such SPV is made with the Borrower’s prior written consent.</w:t>
      </w:r>
    </w:p>
    <w:p>
      <w:pPr>
        <w:spacing w:after="0" w:line="359" w:lineRule="exact"/>
        <w:rPr>
          <w:rFonts w:ascii="Arial" w:cs="Arial" w:eastAsia="Arial" w:hAnsi="Arial"/>
          <w:sz w:val="19"/>
          <w:szCs w:val="19"/>
          <w:color w:val="auto"/>
        </w:rPr>
      </w:pPr>
    </w:p>
    <w:p>
      <w:pPr>
        <w:jc w:val="both"/>
        <w:ind w:firstLine="1304"/>
        <w:spacing w:after="0" w:line="223" w:lineRule="auto"/>
        <w:tabs>
          <w:tab w:leader="none" w:pos="1814" w:val="left"/>
        </w:tabs>
        <w:numPr>
          <w:ilvl w:val="0"/>
          <w:numId w:val="575"/>
        </w:numPr>
        <w:rPr>
          <w:rFonts w:ascii="Arial" w:cs="Arial" w:eastAsia="Arial" w:hAnsi="Arial"/>
          <w:sz w:val="22"/>
          <w:szCs w:val="22"/>
          <w:color w:val="auto"/>
        </w:rPr>
      </w:pPr>
      <w:r>
        <w:rPr>
          <w:rFonts w:ascii="Arial" w:cs="Arial" w:eastAsia="Arial" w:hAnsi="Arial"/>
          <w:sz w:val="22"/>
          <w:szCs w:val="22"/>
          <w:color w:val="auto"/>
        </w:rPr>
        <w:t xml:space="preserve">No such assignment shall be made (A) to any Defaulting Lender or any of its subsidiaries, or any Person who, upon becoming a Lender hereunder, would constitute any of the foregoing Persons described in this </w:t>
      </w:r>
      <w:r>
        <w:rPr>
          <w:rFonts w:ascii="Arial" w:cs="Arial" w:eastAsia="Arial" w:hAnsi="Arial"/>
          <w:sz w:val="22"/>
          <w:szCs w:val="22"/>
          <w:u w:val="single" w:color="auto"/>
          <w:color w:val="auto"/>
        </w:rPr>
        <w:t>clause (A)</w:t>
      </w:r>
      <w:r>
        <w:rPr>
          <w:rFonts w:ascii="Arial" w:cs="Arial" w:eastAsia="Arial" w:hAnsi="Arial"/>
          <w:sz w:val="22"/>
          <w:szCs w:val="22"/>
          <w:color w:val="auto"/>
        </w:rPr>
        <w:t>, or (B) to a natural person.</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842" w:val="left"/>
        </w:tabs>
        <w:numPr>
          <w:ilvl w:val="0"/>
          <w:numId w:val="575"/>
        </w:numPr>
        <w:rPr>
          <w:rFonts w:ascii="Arial" w:cs="Arial" w:eastAsia="Arial" w:hAnsi="Arial"/>
          <w:sz w:val="22"/>
          <w:szCs w:val="22"/>
          <w:color w:val="auto"/>
        </w:rPr>
      </w:pPr>
      <w:r>
        <w:rPr>
          <w:rFonts w:ascii="Arial" w:cs="Arial" w:eastAsia="Arial" w:hAnsi="Arial"/>
          <w:sz w:val="22"/>
          <w:szCs w:val="22"/>
          <w:color w:val="auto"/>
        </w:rPr>
        <w:t>In connection with any assignment of rights and obligations of any Defaulting Lender hereunder, no such assignment shall be effective unless and until, in addition to the other express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92" w:name="page493"/>
    <w:bookmarkEnd w:id="492"/>
    <w:p>
      <w:pPr>
        <w:jc w:val="both"/>
        <w:spacing w:after="0" w:line="221" w:lineRule="auto"/>
        <w:rPr>
          <w:sz w:val="20"/>
          <w:szCs w:val="20"/>
          <w:color w:val="auto"/>
        </w:rPr>
      </w:pPr>
      <w:r>
        <w:rPr>
          <w:rFonts w:ascii="Arial" w:cs="Arial" w:eastAsia="Arial" w:hAnsi="Arial"/>
          <w:sz w:val="21"/>
          <w:szCs w:val="21"/>
          <w:color w:val="auto"/>
        </w:rPr>
        <w:t>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5" w:lineRule="exact"/>
        <w:rPr>
          <w:sz w:val="20"/>
          <w:szCs w:val="20"/>
          <w:color w:val="auto"/>
        </w:rPr>
      </w:pPr>
    </w:p>
    <w:p>
      <w:pPr>
        <w:jc w:val="both"/>
        <w:ind w:firstLine="1304"/>
        <w:spacing w:after="0" w:line="247" w:lineRule="auto"/>
        <w:tabs>
          <w:tab w:leader="none" w:pos="1841" w:val="left"/>
        </w:tabs>
        <w:numPr>
          <w:ilvl w:val="0"/>
          <w:numId w:val="576"/>
        </w:numPr>
        <w:rPr>
          <w:rFonts w:ascii="Arial" w:cs="Arial" w:eastAsia="Arial" w:hAnsi="Arial"/>
          <w:sz w:val="19"/>
          <w:szCs w:val="19"/>
          <w:color w:val="auto"/>
        </w:rPr>
      </w:pPr>
      <w:r>
        <w:rPr>
          <w:rFonts w:ascii="Arial" w:cs="Arial" w:eastAsia="Arial" w:hAnsi="Arial"/>
          <w:sz w:val="19"/>
          <w:szCs w:val="19"/>
          <w:u w:val="single" w:color="auto"/>
          <w:color w:val="auto"/>
        </w:rPr>
        <w:t>Disqualified Lenders</w:t>
      </w:r>
      <w:r>
        <w:rPr>
          <w:rFonts w:ascii="Arial" w:cs="Arial" w:eastAsia="Arial" w:hAnsi="Arial"/>
          <w:sz w:val="19"/>
          <w:szCs w:val="19"/>
          <w:color w:val="auto"/>
        </w:rPr>
        <w:t>. The Administrative Agent shall provide the list of Disqualified Lenders to a Lender upon its request in connection with an assignment or participation. Notwithstanding anything to the contrary herein,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153" w:lineRule="exact"/>
        <w:rPr>
          <w:rFonts w:ascii="Arial" w:cs="Arial" w:eastAsia="Arial" w:hAnsi="Arial"/>
          <w:sz w:val="19"/>
          <w:szCs w:val="19"/>
          <w:color w:val="auto"/>
        </w:rPr>
      </w:pPr>
    </w:p>
    <w:p>
      <w:pPr>
        <w:ind w:left="1720" w:hanging="416"/>
        <w:spacing w:after="0"/>
        <w:tabs>
          <w:tab w:leader="none" w:pos="1720" w:val="left"/>
        </w:tabs>
        <w:numPr>
          <w:ilvl w:val="0"/>
          <w:numId w:val="576"/>
        </w:numPr>
        <w:rPr>
          <w:rFonts w:ascii="Arial" w:cs="Arial" w:eastAsia="Arial" w:hAnsi="Arial"/>
          <w:sz w:val="19"/>
          <w:szCs w:val="19"/>
          <w:color w:val="auto"/>
        </w:rPr>
      </w:pPr>
      <w:r>
        <w:rPr>
          <w:rFonts w:ascii="Arial" w:cs="Arial" w:eastAsia="Arial" w:hAnsi="Arial"/>
          <w:sz w:val="19"/>
          <w:szCs w:val="19"/>
          <w:color w:val="auto"/>
        </w:rPr>
        <w:t xml:space="preserve">The Borrower may require any Lender to assign its Loans and Commitments in accordance with </w:t>
      </w:r>
      <w:r>
        <w:rPr>
          <w:rFonts w:ascii="Arial" w:cs="Arial" w:eastAsia="Arial" w:hAnsi="Arial"/>
          <w:sz w:val="19"/>
          <w:szCs w:val="19"/>
          <w:u w:val="single" w:color="auto"/>
          <w:color w:val="auto"/>
        </w:rPr>
        <w:t>Section 2.21</w:t>
      </w:r>
      <w:r>
        <w:rPr>
          <w:rFonts w:ascii="Arial" w:cs="Arial" w:eastAsia="Arial" w:hAnsi="Arial"/>
          <w:sz w:val="19"/>
          <w:szCs w:val="19"/>
          <w:color w:val="auto"/>
        </w:rPr>
        <w:t>.</w:t>
      </w:r>
    </w:p>
    <w:p>
      <w:pPr>
        <w:spacing w:after="0" w:line="21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u w:val="single" w:color="auto"/>
          <w:color w:val="auto"/>
        </w:rPr>
        <w:t>Section 9.05 Survival</w:t>
      </w:r>
      <w:r>
        <w:rPr>
          <w:rFonts w:ascii="Arial" w:cs="Arial" w:eastAsia="Arial" w:hAnsi="Arial"/>
          <w:sz w:val="19"/>
          <w:szCs w:val="19"/>
          <w:color w:val="auto"/>
        </w:rPr>
        <w:t>. All representations and warranties made by the Loan Parties herein and in the other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w:t>
      </w:r>
    </w:p>
    <w:p>
      <w:pPr>
        <w:spacing w:after="0" w:line="152"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u w:val="single" w:color="auto"/>
          <w:color w:val="auto"/>
        </w:rPr>
        <w:t>Section 9.06 Counterparts; Integration</w:t>
      </w:r>
      <w:r>
        <w:rPr>
          <w:rFonts w:ascii="Arial" w:cs="Arial" w:eastAsia="Arial" w:hAnsi="Arial"/>
          <w:sz w:val="21"/>
          <w:szCs w:val="21"/>
          <w:color w:val="auto"/>
        </w:rPr>
        <w:t>. This Agreement may be executed in counterparts (and by different parties hereto on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and there are no promises, undertakings, representations or warranties by the Holding Companies, the Borrower, the Administrative Agent, nor any Lender relative to the subject matter hereof not expressly set forth or referred to herein or in the other Loan Documents. Delivery of an executed counterpart of a signature page of this Agreement by telecopy or electronic transmission (including Adobe pdf file) shall be effective as delivery of a manually executed counterpart of this Agreement.</w:t>
      </w:r>
    </w:p>
    <w:p>
      <w:pPr>
        <w:spacing w:after="0" w:line="15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u w:val="single" w:color="auto"/>
          <w:color w:val="auto"/>
        </w:rPr>
        <w:t>Section 9.07 Severability</w:t>
      </w:r>
      <w:r>
        <w:rPr>
          <w:rFonts w:ascii="Arial" w:cs="Arial" w:eastAsia="Arial" w:hAnsi="Arial"/>
          <w:sz w:val="22"/>
          <w:szCs w:val="22"/>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w:t>
      </w:r>
      <w:r>
        <w:rPr>
          <w:rFonts w:ascii="Arial" w:cs="Arial" w:eastAsia="Arial" w:hAnsi="Arial"/>
          <w:sz w:val="22"/>
          <w:szCs w:val="22"/>
          <w:u w:val="single" w:color="auto"/>
          <w:color w:val="auto"/>
        </w:rPr>
        <w:t>Section 9.07</w:t>
      </w:r>
      <w:r>
        <w:rPr>
          <w:rFonts w:ascii="Arial" w:cs="Arial" w:eastAsia="Arial" w:hAnsi="Arial"/>
          <w:sz w:val="22"/>
          <w:szCs w:val="22"/>
          <w:color w:val="auto"/>
        </w:rPr>
        <w:t>, if and to the extent that the enforceability of any provisions in this Agreement relating to Defaulting Lenders shall be limited by Debtor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93" w:name="page494"/>
    <w:bookmarkEnd w:id="493"/>
    <w:p>
      <w:pPr>
        <w:jc w:val="both"/>
        <w:spacing w:after="0" w:line="232" w:lineRule="auto"/>
        <w:rPr>
          <w:sz w:val="20"/>
          <w:szCs w:val="20"/>
          <w:color w:val="auto"/>
        </w:rPr>
      </w:pPr>
      <w:r>
        <w:rPr>
          <w:rFonts w:ascii="Arial" w:cs="Arial" w:eastAsia="Arial" w:hAnsi="Arial"/>
          <w:sz w:val="22"/>
          <w:szCs w:val="22"/>
          <w:color w:val="auto"/>
        </w:rPr>
        <w:t>Relief Laws, as determined in good faith by the Administrative Agent or the Issuing Banks, as applicable, then such provisions shall be deemed to be in effect only to the extent not so limited.</w:t>
      </w:r>
    </w:p>
    <w:p>
      <w:pPr>
        <w:spacing w:after="0" w:line="159" w:lineRule="exact"/>
        <w:rPr>
          <w:sz w:val="20"/>
          <w:szCs w:val="20"/>
          <w:color w:val="auto"/>
        </w:rPr>
      </w:pPr>
    </w:p>
    <w:p>
      <w:pPr>
        <w:jc w:val="both"/>
        <w:ind w:firstLine="1296"/>
        <w:spacing w:after="0"/>
        <w:rPr>
          <w:sz w:val="20"/>
          <w:szCs w:val="20"/>
          <w:color w:val="auto"/>
        </w:rPr>
      </w:pPr>
      <w:r>
        <w:rPr>
          <w:rFonts w:ascii="Arial" w:cs="Arial" w:eastAsia="Arial" w:hAnsi="Arial"/>
          <w:sz w:val="19"/>
          <w:szCs w:val="19"/>
          <w:u w:val="single" w:color="auto"/>
          <w:color w:val="auto"/>
        </w:rPr>
        <w:t>Section 9.08 Right of Setoff</w:t>
      </w:r>
      <w:r>
        <w:rPr>
          <w:rFonts w:ascii="Arial" w:cs="Arial" w:eastAsia="Arial" w:hAnsi="Arial"/>
          <w:sz w:val="19"/>
          <w:szCs w:val="19"/>
          <w:color w:val="auto"/>
        </w:rPr>
        <w:t xml:space="preserve">. If an Event of Default shall have occurred and be continuing, each Lender and Issuing Bank (and each of their respective Affiliates) is hereby authorized at any time and from time to time, after obtaining the prior written consent of the Administrative Agent and the Required Lenders, to set off and apply any and all deposits (general or special, time or demand, provisional or final, in whatever currency, but not any tax accounts, trust accounts, withholding or payroll accounts) at any time held and other obligations (in whatever currency) at any time owing by such Lender or such Issuing Bank to or for the credit or the account of the Borrower against any and all of the Obligations of the Borrower now or hereafter existing under this Agreement held by such Lender or such Issuing Bank, but only to the extent then due and payable;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(i)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and the Lenders and (ii) the Defaulting Lender shall provide promptly to the Administrative Agent a statement describing in reasonable detail the Obligations owing to such Defaulting Lender as to which it exercised such right of setoff. The rights of each Lender and each of the Issuing Banks under this Section are in addition to other rights and remedies (including other rights of setoff) that such Lender or such Issuing Bank may have. Each Lender and each of the Issuing Banks agree promptly to notify the Borrower and the Administrative Agent of such setoff and application made by such Lender or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any delay in giving such notice shall not affect the validity of any such setoff and application under this </w:t>
      </w:r>
      <w:r>
        <w:rPr>
          <w:rFonts w:ascii="Arial" w:cs="Arial" w:eastAsia="Arial" w:hAnsi="Arial"/>
          <w:sz w:val="19"/>
          <w:szCs w:val="19"/>
          <w:u w:val="single" w:color="auto"/>
          <w:color w:val="auto"/>
        </w:rPr>
        <w:t>Section 9.08</w:t>
      </w:r>
      <w:r>
        <w:rPr>
          <w:rFonts w:ascii="Arial" w:cs="Arial" w:eastAsia="Arial" w:hAnsi="Arial"/>
          <w:sz w:val="19"/>
          <w:szCs w:val="19"/>
          <w:color w:val="auto"/>
        </w:rPr>
        <w:t>. None of any Agent, any Lender or any Issuing Bank shall be under any obligation to marshal any assets in favor of any Loan Party or any other Person or against or in payment of any or all of the Obligations. To the extent that any Loan Party makes a payment or payments to Administrative Agent, Issuing Bank or Lenders (or to Administrative Agent, on behalf of Lenders or Issuing Bank), or any Agent, Issuing Bank or Lender enforces any security interests or exercises any right of setoff, and such payment or payments or the proceeds of such enforcement or setoff or any part thereof are subsequently invalidated, declared to be fraudulent or preferential, set aside and/or required to be repaid to a trustee, receiver or any other party under any Debtor Relief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200" w:lineRule="exact"/>
        <w:rPr>
          <w:sz w:val="20"/>
          <w:szCs w:val="20"/>
          <w:color w:val="auto"/>
        </w:rPr>
      </w:pPr>
    </w:p>
    <w:p>
      <w:pPr>
        <w:spacing w:after="0" w:line="3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9.09</w:t>
      </w:r>
      <w:r>
        <w:rPr>
          <w:sz w:val="20"/>
          <w:szCs w:val="20"/>
          <w:color w:val="auto"/>
        </w:rPr>
        <w:tab/>
      </w:r>
      <w:r>
        <w:rPr>
          <w:rFonts w:ascii="Arial" w:cs="Arial" w:eastAsia="Arial" w:hAnsi="Arial"/>
          <w:sz w:val="19"/>
          <w:szCs w:val="19"/>
          <w:u w:val="single" w:color="auto"/>
          <w:color w:val="auto"/>
        </w:rPr>
        <w:t>Governing Law; Jurisdiction; Consent to Service of Process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1" w:lineRule="auto"/>
        <w:tabs>
          <w:tab w:leader="none" w:pos="1818" w:val="left"/>
        </w:tabs>
        <w:numPr>
          <w:ilvl w:val="0"/>
          <w:numId w:val="577"/>
        </w:numPr>
        <w:rPr>
          <w:rFonts w:ascii="Arial" w:cs="Arial" w:eastAsia="Arial" w:hAnsi="Arial"/>
          <w:sz w:val="21"/>
          <w:szCs w:val="21"/>
          <w:color w:val="auto"/>
        </w:rPr>
      </w:pPr>
      <w:r>
        <w:rPr>
          <w:rFonts w:ascii="Arial" w:cs="Arial" w:eastAsia="Arial" w:hAnsi="Arial"/>
          <w:sz w:val="21"/>
          <w:szCs w:val="21"/>
          <w:color w:val="auto"/>
        </w:rPr>
        <w:t xml:space="preserve">This Agreement shall be construed in accordance with and governed by the law of the State of New York, without regard to conflict of laws principles thereof to the extent such principles would cause the application of the law of another state;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the laws of the State of Delaware shall govern in determining (1) the interpretation of a Parent Material Adverse Effect and whether an Parent Material Adverse Effect shall have occurred, (2) the accuracy of any Specified Recapitalization Agreement Representation and whether as a result of any inaccuracy thereof the Borrower or any Affiliate thereof has the right (without regard to any notice requirement) to terminate its obligations under the Recapitalization Agreement and (3) whether the Closing Date Recapitalization has been consummated in accordance with the terms of the Recapitalization Agreement (in each case, without regard to the laws of any other jurisdiction that might be applied because of the conflicts of laws principles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94" w:name="page495"/>
    <w:bookmarkEnd w:id="494"/>
    <w:p>
      <w:pPr>
        <w:jc w:val="both"/>
        <w:ind w:firstLine="1304"/>
        <w:spacing w:after="0" w:line="242" w:lineRule="auto"/>
        <w:tabs>
          <w:tab w:leader="none" w:pos="1813" w:val="left"/>
        </w:tabs>
        <w:numPr>
          <w:ilvl w:val="0"/>
          <w:numId w:val="578"/>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(other than with respect to any Security Document to the extent expressly provided otherwise therein),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(other than with respect to any Security Document to the extent expressly provided otherwise therein). Each of the parties hereto agrees that a final judgment in any such action or proceeding shall be conclusive and may be enforced in other jurisdictions by suit on the judgment or in any other manner provided by law. Notwithstanding the foregoing, nothing in any Loan Document shall affect any right that the Administrative Agent, the Collateral Agent or any Lender may otherwise have to bring any action or proceeding relating to any Loan Document against the Holding Companies, the Borrower or their respective property in the courts of any jurisdiction.</w:t>
      </w:r>
    </w:p>
    <w:p>
      <w:pPr>
        <w:spacing w:after="0" w:line="164" w:lineRule="exact"/>
        <w:rPr>
          <w:rFonts w:ascii="Arial" w:cs="Arial" w:eastAsia="Arial" w:hAnsi="Arial"/>
          <w:sz w:val="19"/>
          <w:szCs w:val="19"/>
          <w:color w:val="auto"/>
        </w:rPr>
      </w:pPr>
    </w:p>
    <w:p>
      <w:pPr>
        <w:jc w:val="both"/>
        <w:ind w:firstLine="1304"/>
        <w:spacing w:after="0" w:line="216" w:lineRule="auto"/>
        <w:tabs>
          <w:tab w:leader="none" w:pos="1782" w:val="left"/>
        </w:tabs>
        <w:numPr>
          <w:ilvl w:val="0"/>
          <w:numId w:val="578"/>
        </w:numPr>
        <w:rPr>
          <w:rFonts w:ascii="Arial" w:cs="Arial" w:eastAsia="Arial" w:hAnsi="Arial"/>
          <w:sz w:val="22"/>
          <w:szCs w:val="22"/>
          <w:color w:val="auto"/>
        </w:rPr>
      </w:pPr>
      <w:r>
        <w:rPr>
          <w:rFonts w:ascii="Arial" w:cs="Arial" w:eastAsia="Arial" w:hAnsi="Arial"/>
          <w:sz w:val="22"/>
          <w:szCs w:val="22"/>
          <w:color w:val="auto"/>
        </w:rPr>
        <w:t xml:space="preserve">Each of the parties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9.09</w:t>
      </w:r>
      <w:r>
        <w:rPr>
          <w:rFonts w:ascii="Arial" w:cs="Arial" w:eastAsia="Arial" w:hAnsi="Arial"/>
          <w:sz w:val="22"/>
          <w:szCs w:val="22"/>
          <w:color w:val="auto"/>
        </w:rPr>
        <w:t>. Each of the parties hereto hereby irrevocably waives, to the fullest extent permitted by law, the defense of an inconvenient forum to the maintenance of such action or proceeding in any such court.</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770" w:val="left"/>
        </w:tabs>
        <w:numPr>
          <w:ilvl w:val="0"/>
          <w:numId w:val="578"/>
        </w:numPr>
        <w:rPr>
          <w:rFonts w:ascii="Arial" w:cs="Arial" w:eastAsia="Arial" w:hAnsi="Arial"/>
          <w:sz w:val="22"/>
          <w:szCs w:val="22"/>
          <w:color w:val="auto"/>
        </w:rPr>
      </w:pPr>
      <w:r>
        <w:rPr>
          <w:rFonts w:ascii="Arial" w:cs="Arial" w:eastAsia="Arial" w:hAnsi="Arial"/>
          <w:sz w:val="22"/>
          <w:szCs w:val="22"/>
          <w:color w:val="auto"/>
        </w:rPr>
        <w:t xml:space="preserve">Each party to this Agreement irrevocably consents to service of process in the manner provided for notices in </w:t>
      </w:r>
      <w:r>
        <w:rPr>
          <w:rFonts w:ascii="Arial" w:cs="Arial" w:eastAsia="Arial" w:hAnsi="Arial"/>
          <w:sz w:val="22"/>
          <w:szCs w:val="22"/>
          <w:u w:val="single" w:color="auto"/>
          <w:color w:val="auto"/>
        </w:rPr>
        <w:t>Section 9.01</w:t>
      </w:r>
      <w:r>
        <w:rPr>
          <w:rFonts w:ascii="Arial" w:cs="Arial" w:eastAsia="Arial" w:hAnsi="Arial"/>
          <w:sz w:val="22"/>
          <w:szCs w:val="22"/>
          <w:color w:val="auto"/>
        </w:rPr>
        <w:t>. Nothing in any Loan Document will affect the right of any party to this Agreement to serve process in any other manner permitted by law.</w:t>
      </w:r>
    </w:p>
    <w:p>
      <w:pPr>
        <w:spacing w:after="0" w:line="15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u w:val="single" w:color="auto"/>
          <w:color w:val="auto"/>
        </w:rPr>
        <w:t>Section 9.10 WAIVER OF JURY TRIAL</w:t>
      </w:r>
      <w:r>
        <w:rPr>
          <w:rFonts w:ascii="Arial" w:cs="Arial" w:eastAsia="Arial" w:hAnsi="Arial"/>
          <w:sz w:val="21"/>
          <w:szCs w:val="21"/>
          <w:color w:val="auto"/>
        </w:rPr>
        <w:t xml:space="preserve">. 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Arial" w:cs="Arial" w:eastAsia="Arial" w:hAnsi="Arial"/>
          <w:sz w:val="21"/>
          <w:szCs w:val="21"/>
          <w:u w:val="single" w:color="auto"/>
          <w:color w:val="auto"/>
        </w:rPr>
        <w:t>SECTION 9.10</w:t>
      </w:r>
      <w:r>
        <w:rPr>
          <w:rFonts w:ascii="Arial" w:cs="Arial" w:eastAsia="Arial" w:hAnsi="Arial"/>
          <w:sz w:val="21"/>
          <w:szCs w:val="21"/>
          <w:color w:val="auto"/>
        </w:rPr>
        <w: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auto"/>
        </w:rPr>
        <w:t>Section 9.11 Headings</w:t>
      </w:r>
      <w:r>
        <w:rPr>
          <w:rFonts w:ascii="Arial" w:cs="Arial" w:eastAsia="Arial" w:hAnsi="Arial"/>
          <w:sz w:val="22"/>
          <w:szCs w:val="22"/>
          <w:color w:val="auto"/>
        </w:rPr>
        <w:t xml:space="preserve"> . Article and Section headings and the Table of Contents used herein are for convenience of reference only, are not part of this Agreement and shall not affect the construction of, or be taken into consideration in interpreting, this Agreement.</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u w:val="single" w:color="auto"/>
          <w:color w:val="auto"/>
        </w:rPr>
        <w:t>Section 9.12 Confidentiality</w:t>
      </w:r>
      <w:r>
        <w:rPr>
          <w:rFonts w:ascii="Arial" w:cs="Arial" w:eastAsia="Arial" w:hAnsi="Arial"/>
          <w:sz w:val="19"/>
          <w:szCs w:val="19"/>
          <w:color w:val="auto"/>
        </w:rPr>
        <w:t>. Each of the Administrative Agent, the other Agents, the Issuing Banks and the Lenders agrees to maintain the confidentiality of the Information (as defined below), except that Information may be disclosed</w:t>
      </w:r>
    </w:p>
    <w:p>
      <w:pPr>
        <w:jc w:val="both"/>
        <w:ind w:firstLine="8"/>
        <w:spacing w:after="0" w:line="237" w:lineRule="auto"/>
        <w:tabs>
          <w:tab w:leader="none" w:pos="295" w:val="left"/>
        </w:tabs>
        <w:numPr>
          <w:ilvl w:val="0"/>
          <w:numId w:val="579"/>
        </w:numPr>
        <w:rPr>
          <w:rFonts w:ascii="Arial" w:cs="Arial" w:eastAsia="Arial" w:hAnsi="Arial"/>
          <w:sz w:val="19"/>
          <w:szCs w:val="19"/>
          <w:color w:val="auto"/>
        </w:rPr>
      </w:pPr>
      <w:r>
        <w:rPr>
          <w:rFonts w:ascii="Arial" w:cs="Arial" w:eastAsia="Arial" w:hAnsi="Arial"/>
          <w:sz w:val="19"/>
          <w:szCs w:val="19"/>
          <w:color w:val="auto"/>
        </w:rPr>
        <w:t xml:space="preserve">to its and its Affiliates’ directors, trustees, officers, employees and agents, including accountants, legal counsel, other advisors, and any numbering, administration or settlement service providers on a “need to know” basis (it being understood that the Persons to whom such disclosure is made will be informed of the confidential nature of such Information and instructed to keep such Information confidential,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relevant Lender shall be responsible for such compliance and non-compliance),</w:t>
      </w:r>
    </w:p>
    <w:p>
      <w:pPr>
        <w:ind w:left="320" w:hanging="312"/>
        <w:spacing w:after="0"/>
        <w:tabs>
          <w:tab w:leader="none" w:pos="320" w:val="left"/>
        </w:tabs>
        <w:numPr>
          <w:ilvl w:val="0"/>
          <w:numId w:val="579"/>
        </w:numPr>
        <w:rPr>
          <w:rFonts w:ascii="Arial" w:cs="Arial" w:eastAsia="Arial" w:hAnsi="Arial"/>
          <w:sz w:val="22"/>
          <w:szCs w:val="22"/>
          <w:color w:val="auto"/>
        </w:rPr>
      </w:pPr>
      <w:r>
        <w:rPr>
          <w:rFonts w:ascii="Arial" w:cs="Arial" w:eastAsia="Arial" w:hAnsi="Arial"/>
          <w:sz w:val="22"/>
          <w:szCs w:val="22"/>
          <w:color w:val="auto"/>
        </w:rPr>
        <w:t>to the extent requested by any 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95" w:name="page496"/>
    <w:bookmarkEnd w:id="495"/>
    <w:p>
      <w:pPr>
        <w:jc w:val="both"/>
        <w:spacing w:after="0"/>
        <w:rPr>
          <w:sz w:val="20"/>
          <w:szCs w:val="20"/>
          <w:color w:val="auto"/>
        </w:rPr>
      </w:pPr>
      <w:r>
        <w:rPr>
          <w:rFonts w:ascii="Arial" w:cs="Arial" w:eastAsia="Arial" w:hAnsi="Arial"/>
          <w:sz w:val="19"/>
          <w:szCs w:val="19"/>
          <w:color w:val="auto"/>
        </w:rPr>
        <w:t xml:space="preserve">(including any self-regulatory authority), (c) to the extent required by applicable laws or regulations or by any subpoena or similar legal process,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notice shall have been given to the Borrower, to the extent practicable and permitted by applicable laws or regulations other than with respect to ordinary course filings, (d) to any other party to this Agreement, (e) in connection with the exercise of any remedies hereunder or any suit, action or proceeding relating to any Loan Document or the enforcement of rights thereunder, (f) subject to an agreement containing provisions substantially the same as those of this Section, to (i) any assignee of or Participant in, or any prospective assignee of or Participant in, any of its rights or obligations under this Agreement, in each case, except to any Excluded Affiliate or Disqualified Lender to the extent that a list thereof is made available to the Lenders upon request, or (ii) any actual or prospective Lender Counterparty to any Secured Swap Agreement relating to any Loan Party and its obligations under the Loan Documents, in each case, except to any Excluded Affiliate or Disqualified Lender to the extent that a list thereof is made available to the Lenders upon request, (g) with the written consent of the Borrower, (h) to the extent such Information (1) becomes publicly available other than as a result of a breach of this Section or (2) becomes available to the Administrative Agent, any other Agent, an Issuing Bank or any Lender on a nonconfidential basis from a source other than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source is not actually known (after due inquiry) by such disclosing party or other confidentiality obligations owed to the Borrower or its Affiliates, to be bound by an agreement containing provisions substantially the same as those contained in this confidentiality provision), (i) on a confidential basis to (x) any rating agency in connection with rating the Borrower or the facilities hereunder or (y) the CUSIP Service Bureau, Clearpar or Loanserv or any similar agency in connection with the issuance and monitoring of CUSIP numbers, settlement of assignments or other general administrative functions with respect to the facilities or (j) to any Lender Financing Source (it being understood that such Lender Financing Source to whom such disclosure is made will be informed of the confidential nature of such Information and instructed to keep such Information confidential,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applicable Lender shall be responsible for such compliance and non-compliance or (k) to industry trade organizations where such information with respect to the Credit Facilities is customarily included in league table measurements). For the purposes of this Section the term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means all information received from or on behalf of the Borrower relating to Holdings, the Borrower or any of their respective Subsidiaries or any of their respective businesses, other than any such information that is available to the Administrative Agent, any other Agent, any Issuing Bank or any Lender on a nonconfidential basis prior to disclosure by the Borrower. Any Person required to maintain the confidentiality of Information as provided in this </w:t>
      </w:r>
      <w:r>
        <w:rPr>
          <w:rFonts w:ascii="Arial" w:cs="Arial" w:eastAsia="Arial" w:hAnsi="Arial"/>
          <w:sz w:val="19"/>
          <w:szCs w:val="19"/>
          <w:u w:val="single" w:color="auto"/>
          <w:color w:val="auto"/>
        </w:rPr>
        <w:t>Section 9.12</w:t>
      </w:r>
      <w:r>
        <w:rPr>
          <w:rFonts w:ascii="Arial" w:cs="Arial" w:eastAsia="Arial" w:hAnsi="Arial"/>
          <w:sz w:val="19"/>
          <w:szCs w:val="19"/>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36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Each Lender acknowledges that Information furnished to it pursuant to this Agreement may include material non-public information concerning the Loan Parties and their respective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58"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Loan Parties and their respective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96" w:name="page497"/>
    <w:bookmarkEnd w:id="496"/>
    <w:p>
      <w:pPr>
        <w:jc w:val="both"/>
        <w:ind w:firstLine="1296"/>
        <w:spacing w:after="0" w:line="243" w:lineRule="auto"/>
        <w:rPr>
          <w:sz w:val="20"/>
          <w:szCs w:val="20"/>
          <w:color w:val="auto"/>
        </w:rPr>
      </w:pPr>
      <w:r>
        <w:rPr>
          <w:rFonts w:ascii="Arial" w:cs="Arial" w:eastAsia="Arial" w:hAnsi="Arial"/>
          <w:sz w:val="19"/>
          <w:szCs w:val="19"/>
          <w:u w:val="single" w:color="auto"/>
          <w:color w:val="auto"/>
        </w:rPr>
        <w:t>Section 9.13 Interest Rate Limitation</w:t>
      </w:r>
      <w:r>
        <w:rPr>
          <w:rFonts w:ascii="Arial" w:cs="Arial" w:eastAsia="Arial" w:hAnsi="Arial"/>
          <w:sz w:val="19"/>
          <w:szCs w:val="19"/>
          <w:color w:val="auto"/>
        </w:rPr>
        <w:t>. Notwithstanding anything herein to the contrary, if at any time the interest rate applicable to any Loan or participation in any LC Disbursement, together with all fees, charges and other amounts that are treated as interest on such Loan or LC Disbursement or participation therein under applicable law (collectively, the “</w:t>
      </w:r>
      <w:r>
        <w:rPr>
          <w:rFonts w:ascii="Arial" w:cs="Arial" w:eastAsia="Arial" w:hAnsi="Arial"/>
          <w:sz w:val="19"/>
          <w:szCs w:val="19"/>
          <w:u w:val="single" w:color="auto"/>
          <w:color w:val="auto"/>
        </w:rPr>
        <w:t>Charges</w:t>
      </w:r>
      <w:r>
        <w:rPr>
          <w:rFonts w:ascii="Arial" w:cs="Arial" w:eastAsia="Arial" w:hAnsi="Arial"/>
          <w:sz w:val="19"/>
          <w:szCs w:val="19"/>
          <w:color w:val="auto"/>
        </w:rPr>
        <w:t xml:space="preserve"> ”),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xml:space="preserve">”) that may be contracted for, charged, taken, received or reserved by the Lender holding such Loan or LC Disbursement or participation therein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or LC Disbursement or participation therein but were not payable as a result of the operation of this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shall be cumulated and the interest and Charges payable to such Lender in respect of other Loans or LC Disbursement or participation therein or periods shall be increased (but not above the Maximum Rate therefor) until such cumulated amount, together with interest thereon at the NYFRB to the date of repayment, shall have been received by such Lender.</w:t>
      </w:r>
    </w:p>
    <w:p>
      <w:pPr>
        <w:spacing w:after="0" w:line="159"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u w:val="single" w:color="auto"/>
          <w:color w:val="auto"/>
        </w:rPr>
        <w:t>Section 9.14 USA Patriot Act</w:t>
      </w:r>
      <w:r>
        <w:rPr>
          <w:rFonts w:ascii="Arial" w:cs="Arial" w:eastAsia="Arial" w:hAnsi="Arial"/>
          <w:sz w:val="21"/>
          <w:szCs w:val="21"/>
          <w:color w:val="auto"/>
        </w:rPr>
        <w:t>. Each Lender and each of the Issuing Banks that is subject to the Patriot Act (as hereinafter defined) and the Administrative Agent (for itself and not on behalf of any Lender) hereby notifies the Loan Parties that pursuant to the requirements of the USA Patriot Act (Title III of Pub. L. 107-56 (signed into law October 26, 2001)) (the “</w:t>
      </w:r>
      <w:r>
        <w:rPr>
          <w:rFonts w:ascii="Arial" w:cs="Arial" w:eastAsia="Arial" w:hAnsi="Arial"/>
          <w:sz w:val="21"/>
          <w:szCs w:val="21"/>
          <w:u w:val="single" w:color="auto"/>
          <w:color w:val="auto"/>
        </w:rPr>
        <w:t>Patriot Act</w:t>
      </w:r>
      <w:r>
        <w:rPr>
          <w:rFonts w:ascii="Arial" w:cs="Arial" w:eastAsia="Arial" w:hAnsi="Arial"/>
          <w:sz w:val="21"/>
          <w:szCs w:val="21"/>
          <w:color w:val="auto"/>
        </w:rPr>
        <w:t>”), it is required to obtain, verify and record information that identifies the Loan Parties, which information includes the name and address of the Loan Parties and other information that will allow such Lender, such Issuing Bank or the Administrative Agent, as applicable, to identify the Loan Parties in accordance with the Patriot Act.</w:t>
      </w:r>
    </w:p>
    <w:p>
      <w:pPr>
        <w:spacing w:after="0" w:line="160"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u w:val="single" w:color="auto"/>
          <w:color w:val="auto"/>
        </w:rPr>
        <w:t>Section 9.15 Direct Website Communication</w:t>
      </w:r>
      <w:r>
        <w:rPr>
          <w:rFonts w:ascii="Arial" w:cs="Arial" w:eastAsia="Arial" w:hAnsi="Arial"/>
          <w:sz w:val="19"/>
          <w:szCs w:val="19"/>
          <w:color w:val="auto"/>
        </w:rPr>
        <w:t>. The Borrower may, at its option, provide to the Administrative Agent any information, documents and other materials that it is obligated to furnish to the Administrative Agent pursuant to the Loan Documents, including all notices, requests, financial statements, financial and other reports, certificates and other information materials (all such communications being referred to herein collectively as “</w:t>
      </w:r>
      <w:r>
        <w:rPr>
          <w:rFonts w:ascii="Arial" w:cs="Arial" w:eastAsia="Arial" w:hAnsi="Arial"/>
          <w:sz w:val="19"/>
          <w:szCs w:val="19"/>
          <w:u w:val="single" w:color="auto"/>
          <w:color w:val="auto"/>
        </w:rPr>
        <w:t>Communications</w:t>
      </w:r>
      <w:r>
        <w:rPr>
          <w:rFonts w:ascii="Arial" w:cs="Arial" w:eastAsia="Arial" w:hAnsi="Arial"/>
          <w:sz w:val="19"/>
          <w:szCs w:val="19"/>
          <w:color w:val="auto"/>
        </w:rPr>
        <w:t xml:space="preserve">”), by (i) posting such documents, or providing a link thereto, on the Borrower’s website, (ii) such documents being posted on the Borrower’s behalf on an Internet or Intranet website, if any, to which the Administrative Agent has access (whether a commercial third-party website or a website sponsored by the Administrative Agent) or (iii) by transmitting the Communications in an electronic/soft medium to the Administrative Agent at an email address provided by the Administrative Agent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promptly following written request by the Administrative Agent, the Borrower shall continue to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Each Lender shall be solely responsible for timely accessing posted documents or requesting delivery of paper copies of such documents from the Administrative Agent and maintaining its copies of such documents. Nothing in this </w:t>
      </w:r>
      <w:r>
        <w:rPr>
          <w:rFonts w:ascii="Arial" w:cs="Arial" w:eastAsia="Arial" w:hAnsi="Arial"/>
          <w:sz w:val="19"/>
          <w:szCs w:val="19"/>
          <w:u w:val="single" w:color="auto"/>
          <w:color w:val="auto"/>
        </w:rPr>
        <w:t>Section 9.15</w:t>
      </w:r>
      <w:r>
        <w:rPr>
          <w:rFonts w:ascii="Arial" w:cs="Arial" w:eastAsia="Arial" w:hAnsi="Arial"/>
          <w:sz w:val="19"/>
          <w:szCs w:val="19"/>
          <w:color w:val="auto"/>
        </w:rPr>
        <w:t xml:space="preserve"> shall prejudice the right of the Borrower, the Administrative Agent, any other Agent or any Lender to give any notice or other communication pursuant to any Loan Document in any other manner specified in such Loan Document.</w:t>
      </w:r>
    </w:p>
    <w:p>
      <w:pPr>
        <w:spacing w:after="0" w:line="38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 xml:space="preserve">The Administrative Agent agrees that the receipt of the Communications by the Administrative Agent at its e-mail address in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shall constitute effective delivery of the Communications to the Administrative Agent for purposes of the Loan Documents. Each Lender agrees that notice to it (as provided in the next sentence) specifying that the Communications have been posted to the Platform shall constitute effective delivery of the Communications to such Lender for purposes of the Loan Documents. Each Lender agrees (A) to notify the Administrative Agent in writing (including by electronic communication) from time to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97" w:name="page498"/>
    <w:bookmarkEnd w:id="497"/>
    <w:p>
      <w:pPr>
        <w:jc w:val="both"/>
        <w:spacing w:after="0" w:line="244" w:lineRule="auto"/>
        <w:rPr>
          <w:sz w:val="20"/>
          <w:szCs w:val="20"/>
          <w:color w:val="auto"/>
        </w:rPr>
      </w:pPr>
      <w:r>
        <w:rPr>
          <w:rFonts w:ascii="Arial" w:cs="Arial" w:eastAsia="Arial" w:hAnsi="Arial"/>
          <w:sz w:val="19"/>
          <w:szCs w:val="19"/>
          <w:color w:val="auto"/>
        </w:rPr>
        <w:t xml:space="preserve">such Lender’s e-mail address to which the foregoing notice may be sent by electronic transmission and (B) that the foregoing notice may be sent to such e-mail address.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notification that such notice or communication is available and identifying the website address therefor.</w:t>
      </w:r>
    </w:p>
    <w:p>
      <w:pPr>
        <w:spacing w:after="0" w:line="16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Each of the Borrower, the Administrative Agent and each of the Issuing Banks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and each of the Issuing Banks.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w:t>
      </w:r>
    </w:p>
    <w:p>
      <w:pPr>
        <w:spacing w:after="0" w:line="16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9.16</w:t>
      </w:r>
      <w:r>
        <w:rPr>
          <w:sz w:val="20"/>
          <w:szCs w:val="20"/>
          <w:color w:val="auto"/>
        </w:rPr>
        <w:tab/>
      </w:r>
      <w:r>
        <w:rPr>
          <w:rFonts w:ascii="Arial" w:cs="Arial" w:eastAsia="Arial" w:hAnsi="Arial"/>
          <w:sz w:val="19"/>
          <w:szCs w:val="19"/>
          <w:u w:val="single" w:color="auto"/>
          <w:color w:val="auto"/>
        </w:rPr>
        <w:t>Intercreditor Agreement Governs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4" w:lineRule="auto"/>
        <w:tabs>
          <w:tab w:leader="none" w:pos="1822" w:val="left"/>
        </w:tabs>
        <w:numPr>
          <w:ilvl w:val="0"/>
          <w:numId w:val="580"/>
        </w:numPr>
        <w:rPr>
          <w:rFonts w:ascii="Arial" w:cs="Arial" w:eastAsia="Arial" w:hAnsi="Arial"/>
          <w:sz w:val="19"/>
          <w:szCs w:val="19"/>
          <w:color w:val="auto"/>
        </w:rPr>
      </w:pPr>
      <w:r>
        <w:rPr>
          <w:rFonts w:ascii="Arial" w:cs="Arial" w:eastAsia="Arial" w:hAnsi="Arial"/>
          <w:sz w:val="19"/>
          <w:szCs w:val="19"/>
          <w:color w:val="auto"/>
        </w:rPr>
        <w:t>Each Lender and Agent (a) hereby agrees that it will be bound by and will take no actions contrary to the provisions of any intercreditor agreement entered into pursuant to the terms hereof, including, without limitation, the Second Lien Intercreditor Agreement, (b) hereby authorizes and instructs the Collateral Agent to enter into the Second Lien Intercreditor Agreement and any other intercreditor agreement entered into pursuant to the terms hereof and to subject the Liens securing the Secured Obligations to the provisions thereof and (c) hereby authorizes and instructs the Collateral Agent to enter into any intercreditor agreement that includes, or to amend any than existing intercreditor agreement to provide for, the terms described in the definition of the terms “Additional Debt,” “Permitted First Priority Replacement Debt”, “Permitted Second Priority Replacement Debt” or “First Lien Senior Secured Note”, as applicable, or as otherwise provided for by the terms of this Agreement, including any Pari Passu Intercreditor Agreement or Second Lien Intercreditor Agreement.</w:t>
      </w:r>
    </w:p>
    <w:p>
      <w:pPr>
        <w:spacing w:after="0" w:line="160" w:lineRule="exact"/>
        <w:rPr>
          <w:rFonts w:ascii="Arial" w:cs="Arial" w:eastAsia="Arial" w:hAnsi="Arial"/>
          <w:sz w:val="19"/>
          <w:szCs w:val="19"/>
          <w:color w:val="auto"/>
        </w:rPr>
      </w:pPr>
    </w:p>
    <w:p>
      <w:pPr>
        <w:jc w:val="both"/>
        <w:ind w:firstLine="1304"/>
        <w:spacing w:after="0" w:line="246" w:lineRule="auto"/>
        <w:tabs>
          <w:tab w:leader="none" w:pos="1832" w:val="left"/>
        </w:tabs>
        <w:numPr>
          <w:ilvl w:val="0"/>
          <w:numId w:val="580"/>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or in any other Loan Document: (a) the Liens granted to the Collateral Agent in favor of the Secured Parties pursuant to the Loan Documents and the exercise of any right related to any Collateral shall be subject, in each case, to the terms of the Second Lien Intercreditor Agreement, (b) in the event of any conflict between the express terms and provisions of this Agreement or any other Loan Document, on the one hand, and of the Second Lien Intercreditor Agreement, on the other hand, the terms and provisions of the Second Lien Intercreditor Agreement shall control, and (c) each Lender and, by its acceptance of the benefit of the Security Documents, each other Loan Party, authorizes the Administrative Agent and/or the Collateral Agent to execute the Second Lien Intercreditor Agreement on behalf of such Lender, and such Lender agrees to be bound by the terms thereof.</w:t>
      </w:r>
    </w:p>
    <w:p>
      <w:pPr>
        <w:spacing w:after="0" w:line="15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u w:val="single" w:color="auto"/>
          <w:color w:val="auto"/>
        </w:rPr>
        <w:t>Section 9.17 Judgment Currency</w:t>
      </w:r>
      <w:r>
        <w:rPr>
          <w:rFonts w:ascii="Arial" w:cs="Arial" w:eastAsia="Arial" w:hAnsi="Arial"/>
          <w:sz w:val="19"/>
          <w:szCs w:val="19"/>
          <w:color w:val="auto"/>
        </w:rPr>
        <w:t>. If, for the purposes of obtaining judgment in any court, it is necessary to convert a sum due hereunder or under any other Loan Document in one currency into another currency, the rate of exchange used shall be that at which in accordance with the normal banking procedures the Administrative Agent could purchase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98" w:name="page499"/>
    <w:bookmarkEnd w:id="498"/>
    <w:p>
      <w:pPr>
        <w:jc w:val="both"/>
        <w:spacing w:after="0" w:line="242" w:lineRule="auto"/>
        <w:rPr>
          <w:sz w:val="20"/>
          <w:szCs w:val="20"/>
          <w:color w:val="auto"/>
        </w:rPr>
      </w:pPr>
      <w:r>
        <w:rPr>
          <w:rFonts w:ascii="Arial" w:cs="Arial" w:eastAsia="Arial" w:hAnsi="Arial"/>
          <w:sz w:val="19"/>
          <w:szCs w:val="19"/>
          <w:color w:val="auto"/>
        </w:rPr>
        <w:t>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other than that in which such sum is denominated in accordance with the applicable provisions of this Agreement (the “</w:t>
      </w:r>
      <w:r>
        <w:rPr>
          <w:rFonts w:ascii="Arial" w:cs="Arial" w:eastAsia="Arial" w:hAnsi="Arial"/>
          <w:sz w:val="19"/>
          <w:szCs w:val="19"/>
          <w:u w:val="single" w:color="auto"/>
          <w:color w:val="auto"/>
        </w:rPr>
        <w:t>Agreement Currency</w:t>
      </w:r>
      <w:r>
        <w:rPr>
          <w:rFonts w:ascii="Arial" w:cs="Arial" w:eastAsia="Arial" w:hAnsi="Arial"/>
          <w:sz w:val="19"/>
          <w:szCs w:val="19"/>
          <w:color w:val="auto"/>
        </w:rPr>
        <w:t>”), be discharged only to the extent that on the Business Day following receipt by the Administrative Agent or the relevant Lender of any sum adjudged to be so due in the Judgment Currency, the Administrative Agent or the relevant Lender may in accordance with the normal banking procedures purchase the Agreement Currency with the Judgment Currency. If the amount of the Agreement Currency so purchased is less than the sum originally due to the Administrative Agent or such Lender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or such Lender in such currency, the Administrative Agent or such Lender agrees to return the amount of any excess to the Borrower (or to any other Person who may be entitled thereto under applicable law).</w:t>
      </w:r>
    </w:p>
    <w:p>
      <w:pPr>
        <w:spacing w:after="0" w:line="380"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Section 9.18 No Advisory or Fiduciary Responsibility. 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the other Agents, the Joint Lead Arrangers and the Joint Bookrunners and the making of the Loans and Commitments by the Lenders are arm’s-length commercial transactions between the Borrower and its respective Affiliates, on the one hand, and the Administrative Agent, the other Agents, the Lenders and the Joint Lead Arrangers and the Joint Bookrunners, on the other hand, (B) the Borrower has consulted its own legal, accounting, regulatory and tax advisors to the extent it has deemed appropriate, and (C) the Borrower is capable of evaluating, and understands and accepts, the terms, risks and express conditions of the transactions contemplated hereby and by the other Loan Documents; (ii) (A) the Administrative Agent, each other Agent, each Joint Lead Arranger, each Joint Bookrunner and each Lender is and has been acting solely as a principal and, except as expressly agreed in writing by the relevant parties, has not been, is not, and will not be acting as an advisor, agent or fiduciary for the Borrower or any of its respective Affiliates, or any other Person and (B) none of the Administrative Agent, any other Agent, any Joint Lead Arranger, any Joint Bookrunner, or any Lender has any obligation to the Borrower or any of their Affiliates with respect to the transactions contemplated hereby except those obligations expressly set forth herein and in the other Loan Documents; and (iii) the Administrative Agent, the other Agents, the Joint Lead Arrangers, the Joint Bookrunners, the Lenders, and the respective Affiliates of each of the foregoing may be engaged in a broad range of transactions that involve interests that differ from those of the Borrower and its Affiliates, and none of the Administrative Agent, any other Agent, any Joint Lead Arrangers, any Joint Bookrunner or any Lender has any obligation to disclose any of such interests to the Borrower or any of its Affiliates. To the fullest extent permitted by law, the Borrower hereby agrees not to assert any claims that it may have against the Administrative Agent, the other Agents, the Joint Lead Arrangers, the Joint Bookrunners or the Lenders with respect to any alleged breach of agency or fiduciary duty in connection with any aspect of any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-2770505</wp:posOffset>
            </wp:positionV>
            <wp:extent cx="33115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3311525" cy="8255"/>
                    </a:xfrm>
                    <a:prstGeom prst="rect">
                      <a:avLst/>
                    </a:prstGeom>
                    <a:noFill/>
                  </pic:spPr>
                </pic:pic>
              </a:graphicData>
            </a:graphic>
          </wp:anchor>
        </w:drawing>
      </w:r>
    </w:p>
    <w:p>
      <w:pPr>
        <w:spacing w:after="0" w:line="360"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u w:val="single" w:color="auto"/>
          <w:color w:val="auto"/>
        </w:rPr>
        <w:t>Section 9.19 Acknowledgement and Consent to Bail-In of EEA Financial Institutions</w:t>
      </w:r>
      <w:r>
        <w:rPr>
          <w:rFonts w:ascii="Arial" w:cs="Arial" w:eastAsia="Arial" w:hAnsi="Arial"/>
          <w:sz w:val="22"/>
          <w:szCs w:val="22"/>
          <w:color w:val="auto"/>
        </w:rPr>
        <w:t>. Notwithstanding anything to the contrary in any Loan Document or in any other agreement, arrangement or understanding among any such parties, each party hereto acknowledges that any liability of any Lender or Issuing Bank that is an EEA Financial Institution arising under any Loan Document, to the extent such liability is unsecured,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499" w:name="page500"/>
    <w:bookmarkEnd w:id="499"/>
    <w:p>
      <w:pPr>
        <w:spacing w:after="0" w:line="232" w:lineRule="auto"/>
        <w:rPr>
          <w:sz w:val="20"/>
          <w:szCs w:val="20"/>
          <w:color w:val="auto"/>
        </w:rPr>
      </w:pPr>
      <w:r>
        <w:rPr>
          <w:rFonts w:ascii="Arial" w:cs="Arial" w:eastAsia="Arial" w:hAnsi="Arial"/>
          <w:sz w:val="22"/>
          <w:szCs w:val="22"/>
          <w:color w:val="auto"/>
        </w:rPr>
        <w:t>subject to the write-down and conversion powers of an EEA Resolution Authority and agrees and consents to, and acknowledges and agrees to be bound by:</w:t>
      </w:r>
    </w:p>
    <w:p>
      <w:pPr>
        <w:spacing w:after="0" w:line="159" w:lineRule="exact"/>
        <w:rPr>
          <w:sz w:val="20"/>
          <w:szCs w:val="20"/>
          <w:color w:val="auto"/>
        </w:rPr>
      </w:pPr>
    </w:p>
    <w:p>
      <w:pPr>
        <w:ind w:firstLine="1304"/>
        <w:spacing w:after="0" w:line="298" w:lineRule="auto"/>
        <w:tabs>
          <w:tab w:leader="none" w:pos="1849" w:val="left"/>
        </w:tabs>
        <w:numPr>
          <w:ilvl w:val="0"/>
          <w:numId w:val="581"/>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Lender or Issuing Bank that is an EEA Financial Institution; and</w:t>
      </w:r>
    </w:p>
    <w:p>
      <w:pPr>
        <w:spacing w:after="0" w:line="105" w:lineRule="exact"/>
        <w:rPr>
          <w:rFonts w:ascii="Arial" w:cs="Arial" w:eastAsia="Arial" w:hAnsi="Arial"/>
          <w:sz w:val="19"/>
          <w:szCs w:val="19"/>
          <w:color w:val="auto"/>
        </w:rPr>
      </w:pPr>
    </w:p>
    <w:p>
      <w:pPr>
        <w:ind w:left="1780" w:hanging="476"/>
        <w:spacing w:after="0"/>
        <w:tabs>
          <w:tab w:leader="none" w:pos="1780" w:val="left"/>
        </w:tabs>
        <w:numPr>
          <w:ilvl w:val="0"/>
          <w:numId w:val="581"/>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179" w:lineRule="exact"/>
        <w:rPr>
          <w:sz w:val="20"/>
          <w:szCs w:val="20"/>
          <w:color w:val="auto"/>
        </w:rPr>
      </w:pPr>
    </w:p>
    <w:p>
      <w:pPr>
        <w:ind w:left="1720" w:hanging="416"/>
        <w:spacing w:after="0"/>
        <w:tabs>
          <w:tab w:leader="none" w:pos="1720" w:val="left"/>
        </w:tabs>
        <w:numPr>
          <w:ilvl w:val="0"/>
          <w:numId w:val="582"/>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179" w:lineRule="exact"/>
        <w:rPr>
          <w:rFonts w:ascii="Arial" w:cs="Arial" w:eastAsia="Arial" w:hAnsi="Arial"/>
          <w:sz w:val="22"/>
          <w:szCs w:val="22"/>
          <w:color w:val="auto"/>
        </w:rPr>
      </w:pPr>
    </w:p>
    <w:p>
      <w:pPr>
        <w:jc w:val="both"/>
        <w:ind w:left="660" w:firstLine="644"/>
        <w:spacing w:after="0" w:line="218" w:lineRule="auto"/>
        <w:tabs>
          <w:tab w:leader="none" w:pos="1816" w:val="left"/>
        </w:tabs>
        <w:numPr>
          <w:ilvl w:val="0"/>
          <w:numId w:val="582"/>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0" w:lineRule="exact"/>
        <w:rPr>
          <w:rFonts w:ascii="Arial" w:cs="Arial" w:eastAsia="Arial" w:hAnsi="Arial"/>
          <w:sz w:val="22"/>
          <w:szCs w:val="22"/>
          <w:color w:val="auto"/>
        </w:rPr>
      </w:pPr>
    </w:p>
    <w:p>
      <w:pPr>
        <w:ind w:left="660" w:firstLine="644"/>
        <w:spacing w:after="0" w:line="232" w:lineRule="auto"/>
        <w:tabs>
          <w:tab w:leader="none" w:pos="1868" w:val="left"/>
        </w:tabs>
        <w:numPr>
          <w:ilvl w:val="0"/>
          <w:numId w:val="582"/>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#97036997v3</w:t>
      </w:r>
    </w:p>
    <w:p>
      <w:pPr>
        <w:sectPr>
          <w:pgSz w:w="11900" w:h="16838" w:orient="portrait"/>
          <w:cols w:equalWidth="0" w:num="1">
            <w:col w:w="11240"/>
          </w:cols>
          <w:pgMar w:left="320" w:top="1400" w:right="339" w:bottom="1440" w:gutter="0" w:footer="0" w:header="0"/>
        </w:sectPr>
      </w:pPr>
    </w:p>
    <w:bookmarkStart w:id="500" w:name="page501"/>
    <w:bookmarkEnd w:id="500"/>
    <w:p>
      <w:pPr>
        <w:spacing w:after="0"/>
        <w:rPr>
          <w:sz w:val="20"/>
          <w:szCs w:val="20"/>
          <w:color w:val="auto"/>
        </w:rPr>
      </w:pPr>
      <w:r>
        <w:rPr>
          <w:rFonts w:ascii="Arial" w:cs="Arial" w:eastAsia="Arial" w:hAnsi="Arial"/>
          <w:sz w:val="20"/>
          <w:szCs w:val="20"/>
          <w:b w:val="1"/>
          <w:bCs w:val="1"/>
          <w:u w:val="single" w:color="auto"/>
          <w:color w:val="auto"/>
        </w:rPr>
        <w:t>EXHIBIT B</w:t>
      </w:r>
      <w:r>
        <w:rPr>
          <w:rFonts w:ascii="Arial" w:cs="Arial" w:eastAsia="Arial" w:hAnsi="Arial"/>
          <w:sz w:val="20"/>
          <w:szCs w:val="20"/>
          <w:b w:val="1"/>
          <w:bCs w:val="1"/>
          <w:color w:val="auto"/>
        </w:rPr>
        <w:t xml:space="preserve">: </w:t>
      </w:r>
      <w:r>
        <w:rPr>
          <w:rFonts w:ascii="Arial" w:cs="Arial" w:eastAsia="Arial" w:hAnsi="Arial"/>
          <w:sz w:val="20"/>
          <w:szCs w:val="20"/>
          <w:color w:val="auto"/>
        </w:rPr>
        <w:t>FORM OF BORROWING REQUEST</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EXHIBIT C</w:t>
      </w:r>
      <w:r>
        <w:rPr>
          <w:rFonts w:ascii="Arial" w:cs="Arial" w:eastAsia="Arial" w:hAnsi="Arial"/>
          <w:sz w:val="19"/>
          <w:szCs w:val="19"/>
          <w:b w:val="1"/>
          <w:bCs w:val="1"/>
          <w:color w:val="auto"/>
        </w:rPr>
        <w:t xml:space="preserve">: </w:t>
      </w:r>
      <w:r>
        <w:rPr>
          <w:rFonts w:ascii="Arial" w:cs="Arial" w:eastAsia="Arial" w:hAnsi="Arial"/>
          <w:sz w:val="19"/>
          <w:szCs w:val="19"/>
          <w:color w:val="auto"/>
        </w:rPr>
        <w:t>FORM OF INTEREST ELECTION REQUEST</w:t>
      </w:r>
    </w:p>
    <w:p>
      <w:pPr>
        <w:sectPr>
          <w:pgSz w:w="11900" w:h="16838" w:orient="portrait"/>
          <w:cols w:equalWidth="0" w:num="1">
            <w:col w:w="10139"/>
          </w:cols>
          <w:pgMar w:left="320" w:top="1399" w:right="1440" w:bottom="1440" w:gutter="0" w:footer="0" w:header="0"/>
        </w:sectPr>
      </w:pPr>
    </w:p>
    <w:bookmarkStart w:id="501" w:name="page502"/>
    <w:bookmarkEnd w:id="501"/>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I, Scott Wagner, certify that:</w:t>
      </w:r>
    </w:p>
    <w:p>
      <w:pPr>
        <w:spacing w:after="0" w:line="221" w:lineRule="exact"/>
        <w:rPr>
          <w:sz w:val="20"/>
          <w:szCs w:val="20"/>
          <w:color w:val="auto"/>
        </w:rPr>
      </w:pPr>
    </w:p>
    <w:p>
      <w:pPr>
        <w:ind w:left="660" w:hanging="652"/>
        <w:spacing w:after="0"/>
        <w:tabs>
          <w:tab w:leader="none" w:pos="660" w:val="left"/>
        </w:tabs>
        <w:numPr>
          <w:ilvl w:val="0"/>
          <w:numId w:val="58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GoodRx Holdings, Inc.;</w:t>
      </w:r>
    </w:p>
    <w:p>
      <w:pPr>
        <w:spacing w:after="0" w:line="234" w:lineRule="exact"/>
        <w:rPr>
          <w:rFonts w:ascii="Arial" w:cs="Arial" w:eastAsia="Arial" w:hAnsi="Arial"/>
          <w:sz w:val="16"/>
          <w:szCs w:val="16"/>
          <w:color w:val="auto"/>
        </w:rPr>
      </w:pPr>
    </w:p>
    <w:p>
      <w:pPr>
        <w:jc w:val="both"/>
        <w:ind w:left="660" w:right="120" w:hanging="652"/>
        <w:spacing w:after="0" w:line="261" w:lineRule="auto"/>
        <w:tabs>
          <w:tab w:leader="none" w:pos="660" w:val="left"/>
        </w:tabs>
        <w:numPr>
          <w:ilvl w:val="0"/>
          <w:numId w:val="5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left="660" w:right="240" w:hanging="652"/>
        <w:spacing w:after="0" w:line="276" w:lineRule="auto"/>
        <w:tabs>
          <w:tab w:leader="none" w:pos="660" w:val="left"/>
        </w:tabs>
        <w:numPr>
          <w:ilvl w:val="0"/>
          <w:numId w:val="5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ind w:left="660" w:right="260" w:hanging="652"/>
        <w:spacing w:after="0" w:line="261" w:lineRule="auto"/>
        <w:tabs>
          <w:tab w:leader="none" w:pos="660" w:val="left"/>
        </w:tabs>
        <w:numPr>
          <w:ilvl w:val="0"/>
          <w:numId w:val="58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Arial" w:cs="Arial" w:eastAsia="Arial" w:hAnsi="Arial"/>
          <w:sz w:val="16"/>
          <w:szCs w:val="16"/>
          <w:color w:val="auto"/>
        </w:rPr>
      </w:pPr>
    </w:p>
    <w:p>
      <w:pPr>
        <w:ind w:left="1300" w:right="240" w:hanging="644"/>
        <w:spacing w:after="0" w:line="261" w:lineRule="auto"/>
        <w:tabs>
          <w:tab w:leader="none" w:pos="1300" w:val="left"/>
        </w:tabs>
        <w:numPr>
          <w:ilvl w:val="1"/>
          <w:numId w:val="58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6"/>
          <w:szCs w:val="16"/>
          <w:color w:val="auto"/>
        </w:rPr>
      </w:pPr>
    </w:p>
    <w:p>
      <w:pPr>
        <w:ind w:left="1300" w:right="160" w:hanging="644"/>
        <w:spacing w:after="0" w:line="270" w:lineRule="auto"/>
        <w:tabs>
          <w:tab w:leader="none" w:pos="1300" w:val="left"/>
        </w:tabs>
        <w:numPr>
          <w:ilvl w:val="1"/>
          <w:numId w:val="5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6"/>
          <w:szCs w:val="16"/>
          <w:color w:val="auto"/>
        </w:rPr>
      </w:pPr>
    </w:p>
    <w:p>
      <w:pPr>
        <w:jc w:val="both"/>
        <w:ind w:left="1300" w:right="160" w:hanging="644"/>
        <w:spacing w:after="0" w:line="276" w:lineRule="auto"/>
        <w:tabs>
          <w:tab w:leader="none" w:pos="1300" w:val="left"/>
        </w:tabs>
        <w:numPr>
          <w:ilvl w:val="1"/>
          <w:numId w:val="5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300" w:right="20" w:hanging="644"/>
        <w:spacing w:after="0" w:line="270" w:lineRule="auto"/>
        <w:tabs>
          <w:tab w:leader="none" w:pos="1300" w:val="left"/>
        </w:tabs>
        <w:numPr>
          <w:ilvl w:val="1"/>
          <w:numId w:val="5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660" w:right="180" w:hanging="652"/>
        <w:spacing w:after="0" w:line="276" w:lineRule="auto"/>
        <w:tabs>
          <w:tab w:leader="none" w:pos="660" w:val="left"/>
        </w:tabs>
        <w:numPr>
          <w:ilvl w:val="0"/>
          <w:numId w:val="58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6"/>
          <w:szCs w:val="16"/>
          <w:color w:val="auto"/>
        </w:rPr>
      </w:pPr>
    </w:p>
    <w:p>
      <w:pPr>
        <w:ind w:left="1300" w:right="640" w:hanging="644"/>
        <w:spacing w:after="0" w:line="276" w:lineRule="auto"/>
        <w:tabs>
          <w:tab w:leader="none" w:pos="1300" w:val="left"/>
        </w:tabs>
        <w:numPr>
          <w:ilvl w:val="1"/>
          <w:numId w:val="5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300" w:right="280" w:hanging="644"/>
        <w:spacing w:after="0" w:line="276" w:lineRule="auto"/>
        <w:tabs>
          <w:tab w:leader="none" w:pos="1300" w:val="left"/>
        </w:tabs>
        <w:numPr>
          <w:ilvl w:val="1"/>
          <w:numId w:val="58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20"/>
        <w:spacing w:after="0"/>
        <w:tabs>
          <w:tab w:leader="none" w:pos="5340" w:val="left"/>
          <w:tab w:leader="none" w:pos="7960" w:val="left"/>
        </w:tabs>
        <w:rPr>
          <w:sz w:val="20"/>
          <w:szCs w:val="20"/>
          <w:color w:val="auto"/>
        </w:rPr>
      </w:pPr>
      <w:r>
        <w:rPr>
          <w:rFonts w:ascii="Arial" w:cs="Arial" w:eastAsia="Arial" w:hAnsi="Arial"/>
          <w:sz w:val="16"/>
          <w:szCs w:val="16"/>
          <w:color w:val="auto"/>
        </w:rPr>
        <w:t>Date: August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Scott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35560</wp:posOffset>
            </wp:positionV>
            <wp:extent cx="33775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66" w:lineRule="exact"/>
        <w:rPr>
          <w:sz w:val="20"/>
          <w:szCs w:val="20"/>
          <w:color w:val="auto"/>
        </w:rPr>
      </w:pPr>
    </w:p>
    <w:p>
      <w:pPr>
        <w:ind w:left="8100"/>
        <w:spacing w:after="0"/>
        <w:rPr>
          <w:sz w:val="20"/>
          <w:szCs w:val="20"/>
          <w:color w:val="auto"/>
        </w:rPr>
      </w:pPr>
      <w:r>
        <w:rPr>
          <w:rFonts w:ascii="Arial" w:cs="Arial" w:eastAsia="Arial" w:hAnsi="Arial"/>
          <w:sz w:val="16"/>
          <w:szCs w:val="16"/>
          <w:color w:val="auto"/>
        </w:rPr>
        <w:t>Scott Wagner</w:t>
      </w:r>
    </w:p>
    <w:p>
      <w:pPr>
        <w:spacing w:after="0" w:line="59"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Interim Chief Executive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47" w:right="339" w:bottom="1440" w:gutter="0" w:footer="0" w:header="0"/>
        </w:sectPr>
      </w:pPr>
    </w:p>
    <w:bookmarkStart w:id="502" w:name="page503"/>
    <w:bookmarkEnd w:id="502"/>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I, Karsten Voermann, certify that:</w:t>
      </w:r>
    </w:p>
    <w:p>
      <w:pPr>
        <w:spacing w:after="0" w:line="221" w:lineRule="exact"/>
        <w:rPr>
          <w:sz w:val="20"/>
          <w:szCs w:val="20"/>
          <w:color w:val="auto"/>
        </w:rPr>
      </w:pPr>
    </w:p>
    <w:p>
      <w:pPr>
        <w:ind w:left="660" w:hanging="652"/>
        <w:spacing w:after="0"/>
        <w:tabs>
          <w:tab w:leader="none" w:pos="660" w:val="left"/>
        </w:tabs>
        <w:numPr>
          <w:ilvl w:val="0"/>
          <w:numId w:val="58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GoodRx Holdings, Inc.;</w:t>
      </w:r>
    </w:p>
    <w:p>
      <w:pPr>
        <w:spacing w:after="0" w:line="234" w:lineRule="exact"/>
        <w:rPr>
          <w:rFonts w:ascii="Arial" w:cs="Arial" w:eastAsia="Arial" w:hAnsi="Arial"/>
          <w:sz w:val="16"/>
          <w:szCs w:val="16"/>
          <w:color w:val="auto"/>
        </w:rPr>
      </w:pPr>
    </w:p>
    <w:p>
      <w:pPr>
        <w:jc w:val="both"/>
        <w:ind w:left="660" w:right="120" w:hanging="652"/>
        <w:spacing w:after="0" w:line="261" w:lineRule="auto"/>
        <w:tabs>
          <w:tab w:leader="none" w:pos="660" w:val="left"/>
        </w:tabs>
        <w:numPr>
          <w:ilvl w:val="0"/>
          <w:numId w:val="5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left="660" w:right="240" w:hanging="652"/>
        <w:spacing w:after="0" w:line="276" w:lineRule="auto"/>
        <w:tabs>
          <w:tab w:leader="none" w:pos="660" w:val="left"/>
        </w:tabs>
        <w:numPr>
          <w:ilvl w:val="0"/>
          <w:numId w:val="5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ind w:left="660" w:right="260" w:hanging="652"/>
        <w:spacing w:after="0" w:line="261" w:lineRule="auto"/>
        <w:tabs>
          <w:tab w:leader="none" w:pos="660" w:val="left"/>
        </w:tabs>
        <w:numPr>
          <w:ilvl w:val="0"/>
          <w:numId w:val="58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Arial" w:cs="Arial" w:eastAsia="Arial" w:hAnsi="Arial"/>
          <w:sz w:val="16"/>
          <w:szCs w:val="16"/>
          <w:color w:val="auto"/>
        </w:rPr>
      </w:pPr>
    </w:p>
    <w:p>
      <w:pPr>
        <w:ind w:left="1300" w:right="240" w:hanging="644"/>
        <w:spacing w:after="0" w:line="261" w:lineRule="auto"/>
        <w:tabs>
          <w:tab w:leader="none" w:pos="1300" w:val="left"/>
        </w:tabs>
        <w:numPr>
          <w:ilvl w:val="1"/>
          <w:numId w:val="58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6"/>
          <w:szCs w:val="16"/>
          <w:color w:val="auto"/>
        </w:rPr>
      </w:pPr>
    </w:p>
    <w:p>
      <w:pPr>
        <w:ind w:left="1300" w:right="160" w:hanging="644"/>
        <w:spacing w:after="0" w:line="270" w:lineRule="auto"/>
        <w:tabs>
          <w:tab w:leader="none" w:pos="1300" w:val="left"/>
        </w:tabs>
        <w:numPr>
          <w:ilvl w:val="1"/>
          <w:numId w:val="58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6"/>
          <w:szCs w:val="16"/>
          <w:color w:val="auto"/>
        </w:rPr>
      </w:pPr>
    </w:p>
    <w:p>
      <w:pPr>
        <w:jc w:val="both"/>
        <w:ind w:left="1300" w:right="160" w:hanging="644"/>
        <w:spacing w:after="0" w:line="276" w:lineRule="auto"/>
        <w:tabs>
          <w:tab w:leader="none" w:pos="1300" w:val="left"/>
        </w:tabs>
        <w:numPr>
          <w:ilvl w:val="1"/>
          <w:numId w:val="5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300" w:right="20" w:hanging="644"/>
        <w:spacing w:after="0" w:line="270" w:lineRule="auto"/>
        <w:tabs>
          <w:tab w:leader="none" w:pos="1300" w:val="left"/>
        </w:tabs>
        <w:numPr>
          <w:ilvl w:val="1"/>
          <w:numId w:val="58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660" w:right="180" w:hanging="652"/>
        <w:spacing w:after="0" w:line="276" w:lineRule="auto"/>
        <w:tabs>
          <w:tab w:leader="none" w:pos="660" w:val="left"/>
        </w:tabs>
        <w:numPr>
          <w:ilvl w:val="0"/>
          <w:numId w:val="58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6"/>
          <w:szCs w:val="16"/>
          <w:color w:val="auto"/>
        </w:rPr>
      </w:pPr>
    </w:p>
    <w:p>
      <w:pPr>
        <w:ind w:left="1300" w:right="640" w:hanging="644"/>
        <w:spacing w:after="0" w:line="276" w:lineRule="auto"/>
        <w:tabs>
          <w:tab w:leader="none" w:pos="1300" w:val="left"/>
        </w:tabs>
        <w:numPr>
          <w:ilvl w:val="1"/>
          <w:numId w:val="5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300" w:right="280" w:hanging="644"/>
        <w:spacing w:after="0" w:line="276" w:lineRule="auto"/>
        <w:tabs>
          <w:tab w:leader="none" w:pos="1300" w:val="left"/>
        </w:tabs>
        <w:numPr>
          <w:ilvl w:val="1"/>
          <w:numId w:val="58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20"/>
        <w:spacing w:after="0"/>
        <w:tabs>
          <w:tab w:leader="none" w:pos="5320" w:val="left"/>
          <w:tab w:leader="none" w:pos="7760" w:val="left"/>
        </w:tabs>
        <w:rPr>
          <w:sz w:val="20"/>
          <w:szCs w:val="20"/>
          <w:color w:val="auto"/>
        </w:rPr>
      </w:pPr>
      <w:r>
        <w:rPr>
          <w:rFonts w:ascii="Arial" w:cs="Arial" w:eastAsia="Arial" w:hAnsi="Arial"/>
          <w:sz w:val="16"/>
          <w:szCs w:val="16"/>
          <w:color w:val="auto"/>
        </w:rPr>
        <w:t>Date: August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35560</wp:posOffset>
            </wp:positionV>
            <wp:extent cx="33775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66"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Karsten Voermann</w:t>
      </w:r>
    </w:p>
    <w:p>
      <w:pPr>
        <w:spacing w:after="0" w:line="59"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Chief Financial Officer</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147" w:right="339" w:bottom="1440" w:gutter="0" w:footer="0" w:header="0"/>
        </w:sectPr>
      </w:pPr>
    </w:p>
    <w:bookmarkStart w:id="503" w:name="page504"/>
    <w:bookmarkEnd w:id="503"/>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3" w:lineRule="exact"/>
        <w:rPr>
          <w:sz w:val="20"/>
          <w:szCs w:val="20"/>
          <w:color w:val="auto"/>
        </w:rPr>
      </w:pPr>
    </w:p>
    <w:p>
      <w:pPr>
        <w:ind w:right="580"/>
        <w:spacing w:after="0" w:line="261" w:lineRule="auto"/>
        <w:rPr>
          <w:sz w:val="20"/>
          <w:szCs w:val="20"/>
          <w:color w:val="auto"/>
        </w:rPr>
      </w:pPr>
      <w:r>
        <w:rPr>
          <w:rFonts w:ascii="Arial" w:cs="Arial" w:eastAsia="Arial" w:hAnsi="Arial"/>
          <w:sz w:val="16"/>
          <w:szCs w:val="16"/>
          <w:color w:val="auto"/>
        </w:rPr>
        <w:t>In connection with the Quarterly Report on Form 10-Q of GoodRx Holdings, Inc. (the “Company”) for the period ended June 30, 2023 as filed with the Securities and Exchange Commission on the date hereof (the “Report”), I certify, pursuant to 18 U.S.C. § 1350, as adopted pursuant to § 906 of the Sarbanes-Oxley Act of 2002, that, to the best of my knowledge:</w:t>
      </w:r>
    </w:p>
    <w:p>
      <w:pPr>
        <w:spacing w:after="0" w:line="196" w:lineRule="exact"/>
        <w:rPr>
          <w:sz w:val="20"/>
          <w:szCs w:val="20"/>
          <w:color w:val="auto"/>
        </w:rPr>
      </w:pPr>
    </w:p>
    <w:p>
      <w:pPr>
        <w:ind w:left="660" w:hanging="652"/>
        <w:spacing w:after="0"/>
        <w:tabs>
          <w:tab w:leader="none" w:pos="660" w:val="left"/>
        </w:tabs>
        <w:numPr>
          <w:ilvl w:val="0"/>
          <w:numId w:val="58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5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140"/>
        <w:spacing w:after="0"/>
        <w:tabs>
          <w:tab w:leader="none" w:pos="5400" w:val="left"/>
          <w:tab w:leader="none" w:pos="8000" w:val="left"/>
        </w:tabs>
        <w:rPr>
          <w:sz w:val="20"/>
          <w:szCs w:val="20"/>
          <w:color w:val="auto"/>
        </w:rPr>
      </w:pPr>
      <w:r>
        <w:rPr>
          <w:rFonts w:ascii="Arial" w:cs="Arial" w:eastAsia="Arial" w:hAnsi="Arial"/>
          <w:sz w:val="16"/>
          <w:szCs w:val="16"/>
          <w:color w:val="auto"/>
        </w:rPr>
        <w:t>Date: August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Scott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26670</wp:posOffset>
            </wp:positionV>
            <wp:extent cx="33432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3"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Scott Wagner</w:t>
      </w:r>
    </w:p>
    <w:p>
      <w:pPr>
        <w:spacing w:after="0" w:line="59" w:lineRule="exact"/>
        <w:rPr>
          <w:sz w:val="20"/>
          <w:szCs w:val="20"/>
          <w:color w:val="auto"/>
        </w:rPr>
      </w:pPr>
    </w:p>
    <w:p>
      <w:pPr>
        <w:ind w:left="7520"/>
        <w:spacing w:after="0"/>
        <w:rPr>
          <w:sz w:val="20"/>
          <w:szCs w:val="20"/>
          <w:color w:val="auto"/>
        </w:rPr>
      </w:pPr>
      <w:r>
        <w:rPr>
          <w:rFonts w:ascii="Arial" w:cs="Arial" w:eastAsia="Arial" w:hAnsi="Arial"/>
          <w:sz w:val="16"/>
          <w:szCs w:val="16"/>
          <w:color w:val="auto"/>
        </w:rPr>
        <w:t>Interim Chief Executive Officer</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47" w:right="339" w:bottom="1440" w:gutter="0" w:footer="0" w:header="0"/>
        </w:sectPr>
      </w:pPr>
    </w:p>
    <w:bookmarkStart w:id="504" w:name="page505"/>
    <w:bookmarkEnd w:id="504"/>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3" w:lineRule="exact"/>
        <w:rPr>
          <w:sz w:val="20"/>
          <w:szCs w:val="20"/>
          <w:color w:val="auto"/>
        </w:rPr>
      </w:pPr>
    </w:p>
    <w:p>
      <w:pPr>
        <w:ind w:right="580"/>
        <w:spacing w:after="0" w:line="261" w:lineRule="auto"/>
        <w:rPr>
          <w:sz w:val="20"/>
          <w:szCs w:val="20"/>
          <w:color w:val="auto"/>
        </w:rPr>
      </w:pPr>
      <w:r>
        <w:rPr>
          <w:rFonts w:ascii="Arial" w:cs="Arial" w:eastAsia="Arial" w:hAnsi="Arial"/>
          <w:sz w:val="16"/>
          <w:szCs w:val="16"/>
          <w:color w:val="auto"/>
        </w:rPr>
        <w:t>In connection with the Quarterly Report on Form 10-Q of GoodRx Holdings, Inc. (the “Company”) for the period ended June 30, 2023 as filed with the Securities and Exchange Commission on the date hereof (the “Report”), I certify, pursuant to 18 U.S.C. § 1350, as adopted pursuant to § 906 of the Sarbanes-Oxley Act of 2002, that, to the best of my knowledge:</w:t>
      </w:r>
    </w:p>
    <w:p>
      <w:pPr>
        <w:spacing w:after="0" w:line="196" w:lineRule="exact"/>
        <w:rPr>
          <w:sz w:val="20"/>
          <w:szCs w:val="20"/>
          <w:color w:val="auto"/>
        </w:rPr>
      </w:pPr>
    </w:p>
    <w:p>
      <w:pPr>
        <w:ind w:left="660" w:hanging="652"/>
        <w:spacing w:after="0"/>
        <w:tabs>
          <w:tab w:leader="none" w:pos="660" w:val="left"/>
        </w:tabs>
        <w:numPr>
          <w:ilvl w:val="0"/>
          <w:numId w:val="58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5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tabs>
          <w:tab w:leader="none" w:pos="5320" w:val="left"/>
          <w:tab w:leader="none" w:pos="7760" w:val="left"/>
        </w:tabs>
        <w:rPr>
          <w:sz w:val="20"/>
          <w:szCs w:val="20"/>
          <w:color w:val="auto"/>
        </w:rPr>
      </w:pPr>
      <w:r>
        <w:rPr>
          <w:rFonts w:ascii="Arial" w:cs="Arial" w:eastAsia="Arial" w:hAnsi="Arial"/>
          <w:sz w:val="16"/>
          <w:szCs w:val="16"/>
          <w:color w:val="auto"/>
        </w:rPr>
        <w:t>Date: August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26670</wp:posOffset>
            </wp:positionV>
            <wp:extent cx="33775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53"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Karsten Voermann</w:t>
      </w:r>
    </w:p>
    <w:p>
      <w:pPr>
        <w:spacing w:after="0" w:line="59"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Chief Financial Officer</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B26587"/>
    <w:multiLevelType w:val="hybridMultilevel"/>
    <w:lvl w:ilvl="0">
      <w:lvlJc w:val="left"/>
      <w:lvlText w:val="x"/>
      <w:numFmt w:val="bullet"/>
      <w:start w:val="1"/>
    </w:lvl>
  </w:abstractNum>
  <w:abstractNum w:abstractNumId="1">
    <w:nsid w:val="44B3FA61"/>
    <w:multiLevelType w:val="hybridMultilevel"/>
    <w:lvl w:ilvl="0">
      <w:lvlJc w:val="left"/>
      <w:lvlText w:val="o"/>
      <w:numFmt w:val="bullet"/>
      <w:start w:val="1"/>
    </w:lvl>
  </w:abstractNum>
  <w:abstractNum w:abstractNumId="2">
    <w:nsid w:val="1C0CA67C"/>
    <w:multiLevelType w:val="hybridMultilevel"/>
    <w:lvl w:ilvl="0">
      <w:lvlJc w:val="left"/>
      <w:lvlText w:val="%1."/>
      <w:numFmt w:val="decimal"/>
      <w:start w:val="2"/>
    </w:lvl>
  </w:abstractNum>
  <w:abstractNum w:abstractNumId="3">
    <w:nsid w:val="3D206613"/>
    <w:multiLevelType w:val="hybridMultilevel"/>
    <w:lvl w:ilvl="0">
      <w:lvlJc w:val="left"/>
      <w:lvlText w:val="%1."/>
      <w:numFmt w:val="decimal"/>
      <w:start w:val="3"/>
    </w:lvl>
  </w:abstractNum>
  <w:abstractNum w:abstractNumId="4">
    <w:nsid w:val="7993B662"/>
    <w:multiLevelType w:val="hybridMultilevel"/>
    <w:lvl w:ilvl="0">
      <w:lvlJc w:val="left"/>
      <w:lvlText w:val="%1."/>
      <w:numFmt w:val="decimal"/>
      <w:start w:val="9"/>
    </w:lvl>
  </w:abstractNum>
  <w:abstractNum w:abstractNumId="5">
    <w:nsid w:val="3BAB699E"/>
    <w:multiLevelType w:val="hybridMultilevel"/>
    <w:lvl w:ilvl="0">
      <w:lvlJc w:val="left"/>
      <w:lvlText w:val="•"/>
      <w:numFmt w:val="bullet"/>
      <w:start w:val="1"/>
    </w:lvl>
  </w:abstractNum>
  <w:abstractNum w:abstractNumId="6">
    <w:nsid w:val="71315369"/>
    <w:multiLevelType w:val="hybridMultilevel"/>
    <w:lvl w:ilvl="0">
      <w:lvlJc w:val="left"/>
      <w:lvlText w:val="•"/>
      <w:numFmt w:val="bullet"/>
      <w:start w:val="1"/>
    </w:lvl>
  </w:abstractNum>
  <w:abstractNum w:abstractNumId="7">
    <w:nsid w:val="7BCFBAFC"/>
    <w:multiLevelType w:val="hybridMultilevel"/>
    <w:lvl w:ilvl="0">
      <w:lvlJc w:val="left"/>
      <w:lvlText w:val="•"/>
      <w:numFmt w:val="bullet"/>
      <w:start w:val="1"/>
    </w:lvl>
  </w:abstractNum>
  <w:abstractNum w:abstractNumId="8">
    <w:nsid w:val="17859F72"/>
    <w:multiLevelType w:val="hybridMultilevel"/>
    <w:lvl w:ilvl="0">
      <w:lvlJc w:val="left"/>
      <w:lvlText w:val="(%1)"/>
      <w:numFmt w:val="decimal"/>
      <w:start w:val="1"/>
    </w:lvl>
  </w:abstractNum>
  <w:abstractNum w:abstractNumId="9">
    <w:nsid w:val="3AA10581"/>
    <w:multiLevelType w:val="hybridMultilevel"/>
    <w:lvl w:ilvl="0">
      <w:lvlJc w:val="left"/>
      <w:lvlText w:val="•"/>
      <w:numFmt w:val="bullet"/>
      <w:start w:val="1"/>
    </w:lvl>
  </w:abstractNum>
  <w:abstractNum w:abstractNumId="10">
    <w:nsid w:val="63DE60CD"/>
    <w:multiLevelType w:val="hybridMultilevel"/>
    <w:lvl w:ilvl="0">
      <w:lvlJc w:val="left"/>
      <w:lvlText w:val="•"/>
      <w:numFmt w:val="bullet"/>
      <w:start w:val="1"/>
    </w:lvl>
  </w:abstractNum>
  <w:abstractNum w:abstractNumId="11">
    <w:nsid w:val="621AF471"/>
    <w:multiLevelType w:val="hybridMultilevel"/>
    <w:lvl w:ilvl="0">
      <w:lvlJc w:val="left"/>
      <w:lvlText w:val="•"/>
      <w:numFmt w:val="bullet"/>
      <w:start w:val="1"/>
    </w:lvl>
  </w:abstractNum>
  <w:abstractNum w:abstractNumId="12">
    <w:nsid w:val="73CFE165"/>
    <w:multiLevelType w:val="hybridMultilevel"/>
    <w:lvl w:ilvl="0">
      <w:lvlJc w:val="left"/>
      <w:lvlText w:val="•"/>
      <w:numFmt w:val="bullet"/>
      <w:start w:val="1"/>
    </w:lvl>
  </w:abstractNum>
  <w:abstractNum w:abstractNumId="13">
    <w:nsid w:val="20F88EA6"/>
    <w:multiLevelType w:val="hybridMultilevel"/>
    <w:lvl w:ilvl="0">
      <w:lvlJc w:val="left"/>
      <w:lvlText w:val="(%1)"/>
      <w:numFmt w:val="decimal"/>
      <w:start w:val="1"/>
    </w:lvl>
  </w:abstractNum>
  <w:abstractNum w:abstractNumId="14">
    <w:nsid w:val="617C843E"/>
    <w:multiLevelType w:val="hybridMultilevel"/>
    <w:lvl w:ilvl="0">
      <w:lvlJc w:val="left"/>
      <w:lvlText w:val="%1"/>
      <w:numFmt w:val="decimal"/>
      <w:start w:val="104"/>
    </w:lvl>
  </w:abstractNum>
  <w:abstractNum w:abstractNumId="15">
    <w:nsid w:val="7B541FAB"/>
    <w:multiLevelType w:val="hybridMultilevel"/>
    <w:lvl w:ilvl="0">
      <w:lvlJc w:val="left"/>
      <w:lvlText w:val="*"/>
      <w:numFmt w:val="bullet"/>
      <w:start w:val="1"/>
    </w:lvl>
  </w:abstractNum>
  <w:abstractNum w:abstractNumId="16">
    <w:nsid w:val="2A79EC49"/>
    <w:multiLevelType w:val="hybridMultilevel"/>
    <w:lvl w:ilvl="0">
      <w:lvlJc w:val="left"/>
      <w:lvlText w:val="**"/>
      <w:numFmt w:val="bullet"/>
      <w:start w:val="1"/>
    </w:lvl>
  </w:abstractNum>
  <w:abstractNum w:abstractNumId="17">
    <w:nsid w:val="338125CF"/>
    <w:multiLevelType w:val="hybridMultilevel"/>
    <w:lvl w:ilvl="0">
      <w:lvlJc w:val="left"/>
      <w:lvlText w:val="†"/>
      <w:numFmt w:val="bullet"/>
      <w:start w:val="1"/>
    </w:lvl>
  </w:abstractNum>
  <w:abstractNum w:abstractNumId="18">
    <w:nsid w:val="47C7C971"/>
    <w:multiLevelType w:val="hybridMultilevel"/>
    <w:lvl w:ilvl="0">
      <w:lvlJc w:val="left"/>
      <w:lvlText w:val="%1."/>
      <w:numFmt w:val="lowerLetter"/>
      <w:start w:val="1"/>
    </w:lvl>
  </w:abstractNum>
  <w:abstractNum w:abstractNumId="19">
    <w:nsid w:val="46F8284B"/>
    <w:multiLevelType w:val="hybridMultilevel"/>
    <w:lvl w:ilvl="0">
      <w:lvlJc w:val="left"/>
      <w:lvlText w:val="%1."/>
      <w:numFmt w:val="lowerLetter"/>
      <w:start w:val="3"/>
    </w:lvl>
  </w:abstractNum>
  <w:abstractNum w:abstractNumId="20">
    <w:nsid w:val="4FA327CE"/>
    <w:multiLevelType w:val="hybridMultilevel"/>
    <w:lvl w:ilvl="0">
      <w:lvlJc w:val="left"/>
      <w:lvlText w:val="%1."/>
      <w:numFmt w:val="lowerLetter"/>
      <w:start w:val="1"/>
    </w:lvl>
  </w:abstractNum>
  <w:abstractNum w:abstractNumId="21">
    <w:nsid w:val="1873983A"/>
    <w:multiLevelType w:val="hybridMultilevel"/>
    <w:lvl w:ilvl="0">
      <w:lvlJc w:val="left"/>
      <w:lvlText w:val="%1."/>
      <w:numFmt w:val="lowerLetter"/>
      <w:start w:val="1"/>
    </w:lvl>
  </w:abstractNum>
  <w:abstractNum w:abstractNumId="22">
    <w:nsid w:val="3D2DD275"/>
    <w:multiLevelType w:val="hybridMultilevel"/>
    <w:lvl w:ilvl="0">
      <w:lvlJc w:val="left"/>
      <w:lvlText w:val="(%1)"/>
      <w:numFmt w:val="lowerRoman"/>
      <w:start w:val="1"/>
    </w:lvl>
  </w:abstractNum>
  <w:abstractNum w:abstractNumId="23">
    <w:nsid w:val="2E17ECA7"/>
    <w:multiLevelType w:val="hybridMultilevel"/>
    <w:lvl w:ilvl="0">
      <w:lvlJc w:val="left"/>
      <w:lvlText w:val="(%1)"/>
      <w:numFmt w:val="lowerRoman"/>
      <w:start w:val="2"/>
    </w:lvl>
  </w:abstractNum>
  <w:abstractNum w:abstractNumId="24">
    <w:nsid w:val="53B2564F"/>
    <w:multiLevelType w:val="hybridMultilevel"/>
    <w:lvl w:ilvl="0">
      <w:lvlJc w:val="left"/>
      <w:lvlText w:val="%1"/>
      <w:numFmt w:val="lowerRoman"/>
      <w:start w:val="1"/>
    </w:lvl>
    <w:lvl w:ilvl="1">
      <w:lvlJc w:val="left"/>
      <w:lvlText w:val="(%2)"/>
      <w:numFmt w:val="lowerRoman"/>
      <w:start w:val="3"/>
    </w:lvl>
  </w:abstractNum>
  <w:abstractNum w:abstractNumId="25">
    <w:nsid w:val="75509D76"/>
    <w:multiLevelType w:val="hybridMultilevel"/>
    <w:lvl w:ilvl="0">
      <w:lvlJc w:val="left"/>
      <w:lvlText w:val="(%1)"/>
      <w:numFmt w:val="lowerRoman"/>
      <w:start w:val="4"/>
    </w:lvl>
    <w:lvl w:ilvl="1">
      <w:lvlJc w:val="left"/>
      <w:lvlText w:val="%2"/>
      <w:numFmt w:val="lowerRoman"/>
      <w:start w:val="1"/>
    </w:lvl>
  </w:abstractNum>
  <w:abstractNum w:abstractNumId="26">
    <w:nsid w:val="1AF7F0EA"/>
    <w:multiLevelType w:val="hybridMultilevel"/>
    <w:lvl w:ilvl="0">
      <w:lvlJc w:val="left"/>
      <w:lvlText w:val="(%1)"/>
      <w:numFmt w:val="lowerRoman"/>
      <w:start w:val="5"/>
    </w:lvl>
  </w:abstractNum>
  <w:abstractNum w:abstractNumId="27">
    <w:nsid w:val="4DA32C7E"/>
    <w:multiLevelType w:val="hybridMultilevel"/>
    <w:lvl w:ilvl="0">
      <w:lvlJc w:val="left"/>
      <w:lvlText w:val="(%1)"/>
      <w:numFmt w:val="lowerRoman"/>
      <w:start w:val="6"/>
    </w:lvl>
    <w:lvl w:ilvl="1">
      <w:lvlJc w:val="left"/>
      <w:lvlText w:val="(%2)"/>
      <w:numFmt w:val="lowerRoman"/>
      <w:start w:val="7"/>
    </w:lvl>
    <w:lvl w:ilvl="2">
      <w:lvlJc w:val="left"/>
      <w:lvlText w:val="(%3)"/>
      <w:numFmt w:val="lowerRoman"/>
      <w:start w:val="7"/>
    </w:lvl>
  </w:abstractNum>
  <w:abstractNum w:abstractNumId="28">
    <w:nsid w:val="6EC68664"/>
    <w:multiLevelType w:val="hybridMultilevel"/>
    <w:lvl w:ilvl="0">
      <w:lvlJc w:val="left"/>
      <w:lvlText w:val="(%1)"/>
      <w:numFmt w:val="lowerRoman"/>
      <w:start w:val="9"/>
    </w:lvl>
  </w:abstractNum>
  <w:abstractNum w:abstractNumId="29">
    <w:nsid w:val="E0D31FF"/>
    <w:multiLevelType w:val="hybridMultilevel"/>
    <w:lvl w:ilvl="0">
      <w:lvlJc w:val="left"/>
      <w:lvlText w:val="(%1)"/>
      <w:numFmt w:val="lowerLetter"/>
      <w:start w:val="1"/>
    </w:lvl>
  </w:abstractNum>
  <w:abstractNum w:abstractNumId="30">
    <w:nsid w:val="2FD0AD81"/>
    <w:multiLevelType w:val="hybridMultilevel"/>
    <w:lvl w:ilvl="0">
      <w:lvlJc w:val="left"/>
      <w:lvlText w:val="(%1)"/>
      <w:numFmt w:val="lowerLetter"/>
      <w:start w:val="2"/>
    </w:lvl>
  </w:abstractNum>
  <w:abstractNum w:abstractNumId="31">
    <w:nsid w:val="1978EBEB"/>
    <w:multiLevelType w:val="hybridMultilevel"/>
    <w:lvl w:ilvl="0">
      <w:lvlJc w:val="left"/>
      <w:lvlText w:val="%1"/>
      <w:numFmt w:val="upperLetter"/>
      <w:start w:val="1"/>
    </w:lvl>
    <w:lvl w:ilvl="1">
      <w:lvlJc w:val="left"/>
      <w:lvlText w:val="(%2)"/>
      <w:numFmt w:val="lowerLetter"/>
      <w:start w:val="1"/>
    </w:lvl>
  </w:abstractNum>
  <w:abstractNum w:abstractNumId="32">
    <w:nsid w:val="52C12C61"/>
    <w:multiLevelType w:val="hybridMultilevel"/>
    <w:lvl w:ilvl="0">
      <w:lvlJc w:val="left"/>
      <w:lvlText w:val="(%1)"/>
      <w:numFmt w:val="upperLetter"/>
      <w:start w:val="2"/>
    </w:lvl>
    <w:lvl w:ilvl="1">
      <w:lvlJc w:val="left"/>
      <w:lvlText w:val="%2"/>
      <w:numFmt w:val="lowerLetter"/>
      <w:start w:val="1"/>
    </w:lvl>
  </w:abstractNum>
  <w:abstractNum w:abstractNumId="33">
    <w:nsid w:val="4BDD53FD"/>
    <w:multiLevelType w:val="hybridMultilevel"/>
    <w:lvl w:ilvl="0">
      <w:lvlJc w:val="left"/>
      <w:lvlText w:val="(%1)"/>
      <w:numFmt w:val="lowerLetter"/>
      <w:start w:val="7"/>
    </w:lvl>
  </w:abstractNum>
  <w:abstractNum w:abstractNumId="34">
    <w:nsid w:val="569951FE"/>
    <w:multiLevelType w:val="hybridMultilevel"/>
    <w:lvl w:ilvl="0">
      <w:lvlJc w:val="left"/>
      <w:lvlText w:val="(%1)"/>
      <w:numFmt w:val="lowerLetter"/>
      <w:start w:val="1"/>
    </w:lvl>
  </w:abstractNum>
  <w:abstractNum w:abstractNumId="35">
    <w:nsid w:val="4C54E2C3"/>
    <w:multiLevelType w:val="hybridMultilevel"/>
    <w:lvl w:ilvl="0">
      <w:lvlJc w:val="left"/>
      <w:lvlText w:val="(%1)"/>
      <w:numFmt w:val="decimal"/>
      <w:start w:val="1"/>
    </w:lvl>
  </w:abstractNum>
  <w:abstractNum w:abstractNumId="36">
    <w:nsid w:val="788BD9B"/>
    <w:multiLevelType w:val="hybridMultilevel"/>
    <w:lvl w:ilvl="0">
      <w:lvlJc w:val="left"/>
      <w:lvlText w:val="(%1)"/>
      <w:numFmt w:val="lowerLetter"/>
      <w:start w:val="1"/>
    </w:lvl>
  </w:abstractNum>
  <w:abstractNum w:abstractNumId="37">
    <w:nsid w:val="47CAA567"/>
    <w:multiLevelType w:val="hybridMultilevel"/>
    <w:lvl w:ilvl="0">
      <w:lvlJc w:val="left"/>
      <w:lvlText w:val="(%1)"/>
      <w:numFmt w:val="lowerLetter"/>
      <w:start w:val="7"/>
    </w:lvl>
  </w:abstractNum>
  <w:abstractNum w:abstractNumId="38">
    <w:nsid w:val="48249DBF"/>
    <w:multiLevelType w:val="hybridMultilevel"/>
    <w:lvl w:ilvl="0">
      <w:lvlJc w:val="left"/>
      <w:lvlText w:val="%1"/>
      <w:numFmt w:val="decimal"/>
      <w:start w:val="1"/>
    </w:lvl>
    <w:lvl w:ilvl="1">
      <w:lvlJc w:val="left"/>
      <w:lvlText w:val="(%2)"/>
      <w:numFmt w:val="lowerLetter"/>
      <w:start w:val="11"/>
    </w:lvl>
  </w:abstractNum>
  <w:abstractNum w:abstractNumId="39">
    <w:nsid w:val="1F0E5D0D"/>
    <w:multiLevelType w:val="hybridMultilevel"/>
    <w:lvl w:ilvl="0">
      <w:lvlJc w:val="left"/>
      <w:lvlText w:val="(%1)"/>
      <w:numFmt w:val="decimal"/>
      <w:start w:val="2"/>
    </w:lvl>
    <w:lvl w:ilvl="1">
      <w:lvlJc w:val="left"/>
      <w:lvlText w:val="(%2)"/>
      <w:numFmt w:val="lowerLetter"/>
      <w:start w:val="1"/>
    </w:lvl>
  </w:abstractNum>
  <w:abstractNum w:abstractNumId="40">
    <w:nsid w:val="26BAAE9"/>
    <w:multiLevelType w:val="hybridMultilevel"/>
    <w:lvl w:ilvl="0">
      <w:lvlJc w:val="left"/>
      <w:lvlText w:val="(%1)"/>
      <w:numFmt w:val="decimal"/>
      <w:start w:val="1"/>
    </w:lvl>
  </w:abstractNum>
  <w:abstractNum w:abstractNumId="41">
    <w:nsid w:val="2C02FE8C"/>
    <w:multiLevelType w:val="hybridMultilevel"/>
    <w:lvl w:ilvl="0">
      <w:lvlJc w:val="left"/>
      <w:lvlText w:val="(%1)"/>
      <w:numFmt w:val="lowerLetter"/>
      <w:start w:val="1"/>
    </w:lvl>
  </w:abstractNum>
  <w:abstractNum w:abstractNumId="42">
    <w:nsid w:val="129517E"/>
    <w:multiLevelType w:val="hybridMultilevel"/>
    <w:lvl w:ilvl="0">
      <w:lvlJc w:val="left"/>
      <w:lvlText w:val="(%1)"/>
      <w:numFmt w:val="lowerLetter"/>
      <w:start w:val="13"/>
    </w:lvl>
  </w:abstractNum>
  <w:abstractNum w:abstractNumId="43">
    <w:nsid w:val="763B8C4E"/>
    <w:multiLevelType w:val="hybridMultilevel"/>
    <w:lvl w:ilvl="0">
      <w:lvlJc w:val="left"/>
      <w:lvlText w:val="(%1)"/>
      <w:numFmt w:val="lowerLetter"/>
      <w:start w:val="21"/>
    </w:lvl>
  </w:abstractNum>
  <w:abstractNum w:abstractNumId="44">
    <w:nsid w:val="4CFB8D32"/>
    <w:multiLevelType w:val="hybridMultilevel"/>
    <w:lvl w:ilvl="0">
      <w:lvlJc w:val="left"/>
      <w:lvlText w:val="(%1)"/>
      <w:numFmt w:val="lowerLetter"/>
      <w:start w:val="4"/>
    </w:lvl>
  </w:abstractNum>
  <w:abstractNum w:abstractNumId="45">
    <w:nsid w:val="62A5D5BD"/>
    <w:multiLevelType w:val="hybridMultilevel"/>
    <w:lvl w:ilvl="0">
      <w:lvlJc w:val="left"/>
      <w:lvlText w:val="(%1)"/>
      <w:numFmt w:val="lowerLetter"/>
      <w:start w:val="35"/>
    </w:lvl>
  </w:abstractNum>
  <w:abstractNum w:abstractNumId="46">
    <w:nsid w:val="718FABF9"/>
    <w:multiLevelType w:val="hybridMultilevel"/>
    <w:lvl w:ilvl="0">
      <w:lvlJc w:val="left"/>
      <w:lvlText w:val="(%1)"/>
      <w:numFmt w:val="upperLetter"/>
      <w:start w:val="1"/>
    </w:lvl>
  </w:abstractNum>
  <w:abstractNum w:abstractNumId="47">
    <w:nsid w:val="7775797C"/>
    <w:multiLevelType w:val="hybridMultilevel"/>
    <w:lvl w:ilvl="0">
      <w:lvlJc w:val="left"/>
      <w:lvlText w:val="(%1)"/>
      <w:numFmt w:val="lowerRoman"/>
      <w:start w:val="4"/>
    </w:lvl>
    <w:lvl w:ilvl="1">
      <w:lvlJc w:val="left"/>
      <w:lvlText w:val="(%2)"/>
      <w:numFmt w:val="upperLetter"/>
      <w:start w:val="2"/>
    </w:lvl>
  </w:abstractNum>
  <w:abstractNum w:abstractNumId="48">
    <w:nsid w:val="1626FB8C"/>
    <w:multiLevelType w:val="hybridMultilevel"/>
    <w:lvl w:ilvl="0">
      <w:lvlJc w:val="left"/>
      <w:lvlText w:val="(%1)"/>
      <w:numFmt w:val="lowerRoman"/>
      <w:start w:val="2"/>
    </w:lvl>
    <w:lvl w:ilvl="1">
      <w:lvlJc w:val="left"/>
      <w:lvlText w:val="(%2)"/>
      <w:numFmt w:val="upperLetter"/>
      <w:start w:val="3"/>
    </w:lvl>
  </w:abstractNum>
  <w:abstractNum w:abstractNumId="49">
    <w:nsid w:val="3957756A"/>
    <w:multiLevelType w:val="hybridMultilevel"/>
    <w:lvl w:ilvl="0">
      <w:lvlJc w:val="left"/>
      <w:lvlText w:val="(%1)"/>
      <w:numFmt w:val="lowerRoman"/>
      <w:start w:val="1"/>
    </w:lvl>
    <w:lvl w:ilvl="1">
      <w:lvlJc w:val="left"/>
      <w:lvlText w:val="%2"/>
      <w:numFmt w:val="upperLetter"/>
      <w:start w:val="1"/>
    </w:lvl>
  </w:abstractNum>
  <w:abstractNum w:abstractNumId="50">
    <w:nsid w:val="3E6DA1C7"/>
    <w:multiLevelType w:val="hybridMultilevel"/>
    <w:lvl w:ilvl="0">
      <w:lvlJc w:val="left"/>
      <w:lvlText w:val="(%1)"/>
      <w:numFmt w:val="upperLetter"/>
      <w:start w:val="4"/>
    </w:lvl>
  </w:abstractNum>
  <w:abstractNum w:abstractNumId="51">
    <w:nsid w:val="65CA235B"/>
    <w:multiLevelType w:val="hybridMultilevel"/>
    <w:lvl w:ilvl="0">
      <w:lvlJc w:val="left"/>
      <w:lvlText w:val="(%1)"/>
      <w:numFmt w:val="upperLetter"/>
      <w:start w:val="1"/>
    </w:lvl>
  </w:abstractNum>
  <w:abstractNum w:abstractNumId="52">
    <w:nsid w:val="51CB0DA4"/>
    <w:multiLevelType w:val="hybridMultilevel"/>
    <w:lvl w:ilvl="0">
      <w:lvlJc w:val="left"/>
      <w:lvlText w:val="(%1)"/>
      <w:numFmt w:val="lowerLetter"/>
      <w:start w:val="1"/>
    </w:lvl>
    <w:lvl w:ilvl="1">
      <w:lvlJc w:val="left"/>
      <w:lvlText w:val="(%2)"/>
      <w:numFmt w:val="lowerRoman"/>
      <w:start w:val="1"/>
    </w:lvl>
  </w:abstractNum>
  <w:abstractNum w:abstractNumId="53">
    <w:nsid w:val="7B9B743C"/>
    <w:multiLevelType w:val="hybridMultilevel"/>
    <w:lvl w:ilvl="0">
      <w:lvlJc w:val="left"/>
      <w:lvlText w:val="(%1)"/>
      <w:numFmt w:val="lowerRoman"/>
      <w:start w:val="1"/>
    </w:lvl>
  </w:abstractNum>
  <w:abstractNum w:abstractNumId="54">
    <w:nsid w:val="13E21002"/>
    <w:multiLevelType w:val="hybridMultilevel"/>
    <w:lvl w:ilvl="0">
      <w:lvlJc w:val="left"/>
      <w:lvlText w:val="(%1)"/>
      <w:numFmt w:val="lowerRoman"/>
      <w:start w:val="3"/>
    </w:lvl>
  </w:abstractNum>
  <w:abstractNum w:abstractNumId="55">
    <w:nsid w:val="257D63F4"/>
    <w:multiLevelType w:val="hybridMultilevel"/>
    <w:lvl w:ilvl="0">
      <w:lvlJc w:val="left"/>
      <w:lvlText w:val="(%1)"/>
      <w:numFmt w:val="lowerRoman"/>
      <w:start w:val="9"/>
    </w:lvl>
  </w:abstractNum>
  <w:abstractNum w:abstractNumId="56">
    <w:nsid w:val="70EC11B2"/>
    <w:multiLevelType w:val="hybridMultilevel"/>
    <w:lvl w:ilvl="0">
      <w:lvlJc w:val="left"/>
      <w:lvlText w:val="(%1)"/>
      <w:numFmt w:val="decimal"/>
      <w:start w:val="1"/>
    </w:lvl>
  </w:abstractNum>
  <w:abstractNum w:abstractNumId="57">
    <w:nsid w:val="2EDA00ED"/>
    <w:multiLevelType w:val="hybridMultilevel"/>
    <w:lvl w:ilvl="0">
      <w:lvlJc w:val="left"/>
      <w:lvlText w:val="(%1)"/>
      <w:numFmt w:val="lowerLetter"/>
      <w:start w:val="15"/>
    </w:lvl>
  </w:abstractNum>
  <w:abstractNum w:abstractNumId="58">
    <w:nsid w:val="73209072"/>
    <w:multiLevelType w:val="hybridMultilevel"/>
    <w:lvl w:ilvl="0">
      <w:lvlJc w:val="left"/>
      <w:lvlText w:val="(%1)"/>
      <w:numFmt w:val="lowerLetter"/>
      <w:start w:val="1"/>
    </w:lvl>
  </w:abstractNum>
  <w:abstractNum w:abstractNumId="59">
    <w:nsid w:val="5FB29816"/>
    <w:multiLevelType w:val="hybridMultilevel"/>
    <w:lvl w:ilvl="0">
      <w:lvlJc w:val="left"/>
      <w:lvlText w:val="(%1)"/>
      <w:numFmt w:val="lowerLetter"/>
      <w:start w:val="1"/>
    </w:lvl>
  </w:abstractNum>
  <w:abstractNum w:abstractNumId="60">
    <w:nsid w:val="3CE732EC"/>
    <w:multiLevelType w:val="hybridMultilevel"/>
    <w:lvl w:ilvl="0">
      <w:lvlJc w:val="left"/>
      <w:lvlText w:val="(%1)"/>
      <w:numFmt w:val="lowerLetter"/>
      <w:start w:val="2"/>
    </w:lvl>
  </w:abstractNum>
  <w:abstractNum w:abstractNumId="61">
    <w:nsid w:val="22F13DF3"/>
    <w:multiLevelType w:val="hybridMultilevel"/>
    <w:lvl w:ilvl="0">
      <w:lvlJc w:val="left"/>
      <w:lvlText w:val="(%1)"/>
      <w:numFmt w:val="lowerLetter"/>
      <w:start w:val="1"/>
    </w:lvl>
    <w:lvl w:ilvl="1">
      <w:lvlJc w:val="left"/>
      <w:lvlText w:val="(%2)"/>
      <w:numFmt w:val="lowerLetter"/>
      <w:start w:val="9"/>
    </w:lvl>
  </w:abstractNum>
  <w:abstractNum w:abstractNumId="62">
    <w:nsid w:val="792B8401"/>
    <w:multiLevelType w:val="hybridMultilevel"/>
    <w:lvl w:ilvl="0">
      <w:lvlJc w:val="left"/>
      <w:lvlText w:val="(%1)"/>
      <w:numFmt w:val="lowerRoman"/>
      <w:start w:val="2"/>
    </w:lvl>
    <w:lvl w:ilvl="1">
      <w:lvlJc w:val="left"/>
      <w:lvlText w:val="(%2)"/>
      <w:numFmt w:val="lowerRoman"/>
      <w:start w:val="3"/>
    </w:lvl>
  </w:abstractNum>
  <w:abstractNum w:abstractNumId="63">
    <w:nsid w:val="FA85F4D"/>
    <w:multiLevelType w:val="hybridMultilevel"/>
    <w:lvl w:ilvl="0">
      <w:lvlJc w:val="left"/>
      <w:lvlText w:val="(%1)"/>
      <w:numFmt w:val="lowerLetter"/>
      <w:start w:val="4"/>
    </w:lvl>
  </w:abstractNum>
  <w:abstractNum w:abstractNumId="64">
    <w:nsid w:val="6ECE91F0"/>
    <w:multiLevelType w:val="hybridMultilevel"/>
    <w:lvl w:ilvl="0">
      <w:lvlJc w:val="left"/>
      <w:lvlText w:val="(%1)"/>
      <w:numFmt w:val="lowerLetter"/>
      <w:start w:val="1"/>
    </w:lvl>
  </w:abstractNum>
  <w:abstractNum w:abstractNumId="65">
    <w:nsid w:val="4FC4D600"/>
    <w:multiLevelType w:val="hybridMultilevel"/>
    <w:lvl w:ilvl="0">
      <w:lvlJc w:val="left"/>
      <w:lvlText w:val="(%1)"/>
      <w:numFmt w:val="lowerLetter"/>
      <w:start w:val="3"/>
    </w:lvl>
  </w:abstractNum>
  <w:abstractNum w:abstractNumId="66">
    <w:nsid w:val="5BFD4210"/>
    <w:multiLevelType w:val="hybridMultilevel"/>
    <w:lvl w:ilvl="0">
      <w:lvlJc w:val="left"/>
      <w:lvlText w:val="(%1)"/>
      <w:numFmt w:val="lowerLetter"/>
      <w:start w:val="4"/>
    </w:lvl>
  </w:abstractNum>
  <w:abstractNum w:abstractNumId="67">
    <w:nsid w:val="76574F8B"/>
    <w:multiLevelType w:val="hybridMultilevel"/>
    <w:lvl w:ilvl="0">
      <w:lvlJc w:val="left"/>
      <w:lvlText w:val="(%1)"/>
      <w:numFmt w:val="lowerLetter"/>
      <w:start w:val="1"/>
    </w:lvl>
  </w:abstractNum>
  <w:abstractNum w:abstractNumId="68">
    <w:nsid w:val="178F7B67"/>
    <w:multiLevelType w:val="hybridMultilevel"/>
    <w:lvl w:ilvl="0">
      <w:lvlJc w:val="left"/>
      <w:lvlText w:val="(%1)"/>
      <w:numFmt w:val="lowerLetter"/>
      <w:start w:val="3"/>
    </w:lvl>
  </w:abstractNum>
  <w:abstractNum w:abstractNumId="69">
    <w:nsid w:val="2421DFCF"/>
    <w:multiLevelType w:val="hybridMultilevel"/>
    <w:lvl w:ilvl="0">
      <w:lvlJc w:val="left"/>
      <w:lvlText w:val="(%1)"/>
      <w:numFmt w:val="lowerLetter"/>
      <w:start w:val="4"/>
    </w:lvl>
  </w:abstractNum>
  <w:abstractNum w:abstractNumId="70">
    <w:nsid w:val="1565AC99"/>
    <w:multiLevelType w:val="hybridMultilevel"/>
    <w:lvl w:ilvl="0">
      <w:lvlJc w:val="left"/>
      <w:lvlText w:val="(%1)"/>
      <w:numFmt w:val="lowerLetter"/>
      <w:start w:val="1"/>
    </w:lvl>
  </w:abstractNum>
  <w:abstractNum w:abstractNumId="71">
    <w:nsid w:val="19FB2650"/>
    <w:multiLevelType w:val="hybridMultilevel"/>
    <w:lvl w:ilvl="0">
      <w:lvlJc w:val="left"/>
      <w:lvlText w:val="(%1)"/>
      <w:numFmt w:val="lowerLetter"/>
      <w:start w:val="1"/>
    </w:lvl>
  </w:abstractNum>
  <w:abstractNum w:abstractNumId="72">
    <w:nsid w:val="5024DE5B"/>
    <w:multiLevelType w:val="hybridMultilevel"/>
    <w:lvl w:ilvl="0">
      <w:lvlJc w:val="left"/>
      <w:lvlText w:val="(%1)"/>
      <w:numFmt w:val="lowerLetter"/>
      <w:start w:val="1"/>
    </w:lvl>
  </w:abstractNum>
  <w:abstractNum w:abstractNumId="73">
    <w:nsid w:val="168EFE17"/>
    <w:multiLevelType w:val="hybridMultilevel"/>
    <w:lvl w:ilvl="0">
      <w:lvlJc w:val="left"/>
      <w:lvlText w:val="(%1)"/>
      <w:numFmt w:val="lowerRoman"/>
      <w:start w:val="10"/>
    </w:lvl>
  </w:abstractNum>
  <w:abstractNum w:abstractNumId="74">
    <w:nsid w:val="1036B29F"/>
    <w:multiLevelType w:val="hybridMultilevel"/>
    <w:lvl w:ilvl="0">
      <w:lvlJc w:val="left"/>
      <w:lvlText w:val="(%1)"/>
      <w:numFmt w:val="lowerLetter"/>
      <w:start w:val="1"/>
    </w:lvl>
  </w:abstractNum>
  <w:abstractNum w:abstractNumId="75">
    <w:nsid w:val="1D206B8E"/>
    <w:multiLevelType w:val="hybridMultilevel"/>
    <w:lvl w:ilvl="0">
      <w:lvlJc w:val="left"/>
      <w:lvlText w:val="(%1)"/>
      <w:numFmt w:val="lowerLetter"/>
      <w:start w:val="1"/>
    </w:lvl>
  </w:abstractNum>
  <w:abstractNum w:abstractNumId="76">
    <w:nsid w:val="7934D3D4"/>
    <w:multiLevelType w:val="hybridMultilevel"/>
    <w:lvl w:ilvl="0">
      <w:lvlJc w:val="left"/>
      <w:lvlText w:val="(%1)"/>
      <w:numFmt w:val="lowerLetter"/>
      <w:start w:val="2"/>
    </w:lvl>
  </w:abstractNum>
  <w:abstractNum w:abstractNumId="77">
    <w:nsid w:val="1C65E98"/>
    <w:multiLevelType w:val="hybridMultilevel"/>
    <w:lvl w:ilvl="0">
      <w:lvlJc w:val="left"/>
      <w:lvlText w:val="(%1)"/>
      <w:numFmt w:val="lowerLetter"/>
      <w:start w:val="37"/>
    </w:lvl>
  </w:abstractNum>
  <w:abstractNum w:abstractNumId="78">
    <w:nsid w:val="1495E50A"/>
    <w:multiLevelType w:val="hybridMultilevel"/>
    <w:lvl w:ilvl="0">
      <w:lvlJc w:val="left"/>
      <w:lvlText w:val="(%1)"/>
      <w:numFmt w:val="lowerLetter"/>
      <w:start w:val="1"/>
    </w:lvl>
  </w:abstractNum>
  <w:abstractNum w:abstractNumId="79">
    <w:nsid w:val="F5BCF61"/>
    <w:multiLevelType w:val="hybridMultilevel"/>
    <w:lvl w:ilvl="0">
      <w:lvlJc w:val="left"/>
      <w:lvlText w:val="(%1)"/>
      <w:numFmt w:val="lowerLetter"/>
      <w:start w:val="5"/>
    </w:lvl>
  </w:abstractNum>
  <w:abstractNum w:abstractNumId="80">
    <w:nsid w:val="3B1DD403"/>
    <w:multiLevelType w:val="hybridMultilevel"/>
    <w:lvl w:ilvl="0">
      <w:lvlJc w:val="left"/>
      <w:lvlText w:val="%1"/>
      <w:numFmt w:val="lowerLetter"/>
      <w:start w:val="1"/>
    </w:lvl>
    <w:lvl w:ilvl="1">
      <w:lvlJc w:val="left"/>
      <w:lvlText w:val="(%2)"/>
      <w:numFmt w:val="lowerRoman"/>
      <w:start w:val="1"/>
    </w:lvl>
  </w:abstractNum>
  <w:abstractNum w:abstractNumId="81">
    <w:nsid w:val="530386D1"/>
    <w:multiLevelType w:val="hybridMultilevel"/>
    <w:lvl w:ilvl="0">
      <w:lvlJc w:val="left"/>
      <w:lvlText w:val="(%1)"/>
      <w:numFmt w:val="lowerLetter"/>
      <w:start w:val="2"/>
    </w:lvl>
    <w:lvl w:ilvl="1">
      <w:lvlJc w:val="left"/>
      <w:lvlText w:val="%2"/>
      <w:numFmt w:val="lowerRoman"/>
      <w:start w:val="1"/>
    </w:lvl>
  </w:abstractNum>
  <w:abstractNum w:abstractNumId="82">
    <w:nsid w:val="7525F2BC"/>
    <w:multiLevelType w:val="hybridMultilevel"/>
    <w:lvl w:ilvl="0">
      <w:lvlJc w:val="left"/>
      <w:lvlText w:val="(%1)"/>
      <w:numFmt w:val="lowerLetter"/>
      <w:start w:val="2"/>
    </w:lvl>
  </w:abstractNum>
  <w:abstractNum w:abstractNumId="83">
    <w:nsid w:val="CE8E1A7"/>
    <w:multiLevelType w:val="hybridMultilevel"/>
    <w:lvl w:ilvl="0">
      <w:lvlJc w:val="left"/>
      <w:lvlText w:val="(%1)"/>
      <w:numFmt w:val="lowerLetter"/>
      <w:start w:val="1"/>
    </w:lvl>
  </w:abstractNum>
  <w:abstractNum w:abstractNumId="84">
    <w:nsid w:val="4E9EFB0D"/>
    <w:multiLevelType w:val="hybridMultilevel"/>
    <w:lvl w:ilvl="0">
      <w:lvlJc w:val="left"/>
      <w:lvlText w:val="(%1)"/>
      <w:numFmt w:val="lowerLetter"/>
      <w:start w:val="2"/>
    </w:lvl>
  </w:abstractNum>
  <w:abstractNum w:abstractNumId="85">
    <w:nsid w:val="90802BE"/>
    <w:multiLevelType w:val="hybridMultilevel"/>
    <w:lvl w:ilvl="0">
      <w:lvlJc w:val="left"/>
      <w:lvlText w:val="(%1)"/>
      <w:numFmt w:val="lowerRoman"/>
      <w:start w:val="1"/>
    </w:lvl>
  </w:abstractNum>
  <w:abstractNum w:abstractNumId="86">
    <w:nsid w:val="3266459B"/>
    <w:multiLevelType w:val="hybridMultilevel"/>
    <w:lvl w:ilvl="0">
      <w:lvlJc w:val="left"/>
      <w:lvlText w:val="(%1)"/>
      <w:numFmt w:val="lowerRoman"/>
      <w:start w:val="3"/>
    </w:lvl>
    <w:lvl w:ilvl="1">
      <w:lvlJc w:val="left"/>
      <w:lvlText w:val="(%2)"/>
      <w:numFmt w:val="upperLetter"/>
      <w:start w:val="1"/>
    </w:lvl>
  </w:abstractNum>
  <w:abstractNum w:abstractNumId="87">
    <w:nsid w:val="3F8B0CBF"/>
    <w:multiLevelType w:val="hybridMultilevel"/>
    <w:lvl w:ilvl="0">
      <w:lvlJc w:val="left"/>
      <w:lvlText w:val="(%1)"/>
      <w:numFmt w:val="lowerLetter"/>
      <w:start w:val="3"/>
    </w:lvl>
  </w:abstractNum>
  <w:abstractNum w:abstractNumId="88">
    <w:nsid w:val="37E203AB"/>
    <w:multiLevelType w:val="hybridMultilevel"/>
    <w:lvl w:ilvl="0">
      <w:lvlJc w:val="left"/>
      <w:lvlText w:val="(%1)"/>
      <w:numFmt w:val="lowerLetter"/>
      <w:start w:val="6"/>
    </w:lvl>
  </w:abstractNum>
  <w:abstractNum w:abstractNumId="89">
    <w:nsid w:val="2586D60E"/>
    <w:multiLevelType w:val="hybridMultilevel"/>
    <w:lvl w:ilvl="0">
      <w:lvlJc w:val="left"/>
      <w:lvlText w:val="(%1)"/>
      <w:numFmt w:val="lowerRoman"/>
      <w:start w:val="1"/>
    </w:lvl>
  </w:abstractNum>
  <w:abstractNum w:abstractNumId="90">
    <w:nsid w:val="1F3DA4D5"/>
    <w:multiLevelType w:val="hybridMultilevel"/>
    <w:lvl w:ilvl="0">
      <w:lvlJc w:val="left"/>
      <w:lvlText w:val="%1"/>
      <w:numFmt w:val="lowerLetter"/>
      <w:start w:val="1"/>
    </w:lvl>
    <w:lvl w:ilvl="1">
      <w:lvlJc w:val="left"/>
      <w:lvlText w:val="(%2)"/>
      <w:numFmt w:val="lowerLetter"/>
      <w:start w:val="7"/>
    </w:lvl>
  </w:abstractNum>
  <w:abstractNum w:abstractNumId="91">
    <w:nsid w:val="74C93698"/>
    <w:multiLevelType w:val="hybridMultilevel"/>
    <w:lvl w:ilvl="0">
      <w:lvlJc w:val="left"/>
      <w:lvlText w:val="(%1)"/>
      <w:numFmt w:val="lowerLetter"/>
      <w:start w:val="5"/>
    </w:lvl>
    <w:lvl w:ilvl="1">
      <w:lvlJc w:val="left"/>
      <w:lvlText w:val="%2"/>
      <w:numFmt w:val="lowerLetter"/>
      <w:start w:val="1"/>
    </w:lvl>
  </w:abstractNum>
  <w:abstractNum w:abstractNumId="92">
    <w:nsid w:val="48781401"/>
    <w:multiLevelType w:val="hybridMultilevel"/>
    <w:lvl w:ilvl="0">
      <w:lvlJc w:val="left"/>
      <w:lvlText w:val="(%1)"/>
      <w:numFmt w:val="lowerLetter"/>
      <w:start w:val="8"/>
    </w:lvl>
  </w:abstractNum>
  <w:abstractNum w:abstractNumId="93">
    <w:nsid w:val="186928D6"/>
    <w:multiLevelType w:val="hybridMultilevel"/>
    <w:lvl w:ilvl="0">
      <w:lvlJc w:val="left"/>
      <w:lvlText w:val="(%1)"/>
      <w:numFmt w:val="lowerLetter"/>
      <w:start w:val="10"/>
    </w:lvl>
  </w:abstractNum>
  <w:abstractNum w:abstractNumId="94">
    <w:nsid w:val="47195E5"/>
    <w:multiLevelType w:val="hybridMultilevel"/>
    <w:lvl w:ilvl="0">
      <w:lvlJc w:val="left"/>
      <w:lvlText w:val="(%1)"/>
      <w:numFmt w:val="lowerLetter"/>
      <w:start w:val="15"/>
    </w:lvl>
  </w:abstractNum>
  <w:abstractNum w:abstractNumId="95">
    <w:nsid w:val="3746A5F2"/>
    <w:multiLevelType w:val="hybridMultilevel"/>
    <w:lvl w:ilvl="0">
      <w:lvlJc w:val="left"/>
      <w:lvlText w:val="(%1)"/>
      <w:numFmt w:val="lowerLetter"/>
      <w:start w:val="1"/>
    </w:lvl>
  </w:abstractNum>
  <w:abstractNum w:abstractNumId="96">
    <w:nsid w:val="682DFED6"/>
    <w:multiLevelType w:val="hybridMultilevel"/>
    <w:lvl w:ilvl="0">
      <w:lvlJc w:val="left"/>
      <w:lvlText w:val="(%1)"/>
      <w:numFmt w:val="lowerLetter"/>
      <w:start w:val="2"/>
    </w:lvl>
  </w:abstractNum>
  <w:abstractNum w:abstractNumId="97">
    <w:nsid w:val="606ED7F6"/>
    <w:multiLevelType w:val="hybridMultilevel"/>
    <w:lvl w:ilvl="0">
      <w:lvlJc w:val="left"/>
      <w:lvlText w:val="(%1)"/>
      <w:numFmt w:val="lowerLetter"/>
      <w:start w:val="1"/>
    </w:lvl>
  </w:abstractNum>
  <w:abstractNum w:abstractNumId="98">
    <w:nsid w:val="2D9DF57D"/>
    <w:multiLevelType w:val="hybridMultilevel"/>
    <w:lvl w:ilvl="0">
      <w:lvlJc w:val="left"/>
      <w:lvlText w:val="(%1)"/>
      <w:numFmt w:val="lowerRoman"/>
      <w:start w:val="1"/>
    </w:lvl>
  </w:abstractNum>
  <w:abstractNum w:abstractNumId="99">
    <w:nsid w:val="7FBD7A3E"/>
    <w:multiLevelType w:val="hybridMultilevel"/>
    <w:lvl w:ilvl="0">
      <w:lvlJc w:val="left"/>
      <w:lvlText w:val="(%1)"/>
      <w:numFmt w:val="lowerRoman"/>
      <w:start w:val="4"/>
    </w:lvl>
  </w:abstractNum>
  <w:abstractNum w:abstractNumId="100">
    <w:nsid w:val="490B7C5"/>
    <w:multiLevelType w:val="hybridMultilevel"/>
    <w:lvl w:ilvl="0">
      <w:lvlJc w:val="left"/>
      <w:lvlText w:val="(%1)"/>
      <w:numFmt w:val="lowerLetter"/>
      <w:start w:val="4"/>
    </w:lvl>
  </w:abstractNum>
  <w:abstractNum w:abstractNumId="101">
    <w:nsid w:val="4303A216"/>
    <w:multiLevelType w:val="hybridMultilevel"/>
    <w:lvl w:ilvl="0">
      <w:lvlJc w:val="left"/>
      <w:lvlText w:val="(%1)"/>
      <w:numFmt w:val="lowerLetter"/>
      <w:start w:val="1"/>
    </w:lvl>
  </w:abstractNum>
  <w:abstractNum w:abstractNumId="102">
    <w:nsid w:val="19B8A08E"/>
    <w:multiLevelType w:val="hybridMultilevel"/>
    <w:lvl w:ilvl="0">
      <w:lvlJc w:val="left"/>
      <w:lvlText w:val="(%1)"/>
      <w:numFmt w:val="lowerLetter"/>
      <w:start w:val="4"/>
    </w:lvl>
  </w:abstractNum>
  <w:abstractNum w:abstractNumId="103">
    <w:nsid w:val="54B59621"/>
    <w:multiLevelType w:val="hybridMultilevel"/>
    <w:lvl w:ilvl="0">
      <w:lvlJc w:val="left"/>
      <w:lvlText w:val="(%1)"/>
      <w:numFmt w:val="lowerLetter"/>
      <w:start w:val="1"/>
    </w:lvl>
  </w:abstractNum>
  <w:abstractNum w:abstractNumId="104">
    <w:nsid w:val="5992A02E"/>
    <w:multiLevelType w:val="hybridMultilevel"/>
    <w:lvl w:ilvl="0">
      <w:lvlJc w:val="left"/>
      <w:lvlText w:val="(%1)"/>
      <w:numFmt w:val="lowerRoman"/>
      <w:start w:val="1"/>
    </w:lvl>
  </w:abstractNum>
  <w:abstractNum w:abstractNumId="105">
    <w:nsid w:val="29EF532D"/>
    <w:multiLevelType w:val="hybridMultilevel"/>
    <w:lvl w:ilvl="0">
      <w:lvlJc w:val="left"/>
      <w:lvlText w:val="(%1)"/>
      <w:numFmt w:val="lowerLetter"/>
      <w:start w:val="2"/>
    </w:lvl>
  </w:abstractNum>
  <w:abstractNum w:abstractNumId="106">
    <w:nsid w:val="71D601AF"/>
    <w:multiLevelType w:val="hybridMultilevel"/>
    <w:lvl w:ilvl="0">
      <w:lvlJc w:val="left"/>
      <w:lvlText w:val="(%1)"/>
      <w:numFmt w:val="lowerLetter"/>
      <w:start w:val="1"/>
    </w:lvl>
  </w:abstractNum>
  <w:abstractNum w:abstractNumId="107">
    <w:nsid w:val="52C77402"/>
    <w:multiLevelType w:val="hybridMultilevel"/>
    <w:lvl w:ilvl="0">
      <w:lvlJc w:val="left"/>
      <w:lvlText w:val="%1"/>
      <w:numFmt w:val="lowerRoman"/>
      <w:start w:val="1"/>
    </w:lvl>
    <w:lvl w:ilvl="1">
      <w:lvlJc w:val="left"/>
      <w:lvlText w:val="(%2)"/>
      <w:numFmt w:val="lowerLetter"/>
      <w:start w:val="2"/>
    </w:lvl>
  </w:abstractNum>
  <w:abstractNum w:abstractNumId="108">
    <w:nsid w:val="2BB5B1C6"/>
    <w:multiLevelType w:val="hybridMultilevel"/>
    <w:lvl w:ilvl="0">
      <w:lvlJc w:val="left"/>
      <w:lvlText w:val="(%1)"/>
      <w:numFmt w:val="lowerRoman"/>
      <w:start w:val="4"/>
    </w:lvl>
    <w:lvl w:ilvl="1">
      <w:lvlJc w:val="left"/>
      <w:lvlText w:val="%2"/>
      <w:numFmt w:val="lowerLetter"/>
      <w:start w:val="1"/>
    </w:lvl>
  </w:abstractNum>
  <w:abstractNum w:abstractNumId="109">
    <w:nsid w:val="66BE6B9"/>
    <w:multiLevelType w:val="hybridMultilevel"/>
    <w:lvl w:ilvl="0">
      <w:lvlJc w:val="left"/>
      <w:lvlText w:val="(%1)"/>
      <w:numFmt w:val="lowerLetter"/>
      <w:start w:val="4"/>
    </w:lvl>
  </w:abstractNum>
  <w:abstractNum w:abstractNumId="110">
    <w:nsid w:val="62234363"/>
    <w:multiLevelType w:val="hybridMultilevel"/>
    <w:lvl w:ilvl="0">
      <w:lvlJc w:val="left"/>
      <w:lvlText w:val="(%1)"/>
      <w:numFmt w:val="lowerLetter"/>
      <w:start w:val="7"/>
    </w:lvl>
  </w:abstractNum>
  <w:abstractNum w:abstractNumId="111">
    <w:nsid w:val="66D385C9"/>
    <w:multiLevelType w:val="hybridMultilevel"/>
    <w:lvl w:ilvl="0">
      <w:lvlJc w:val="left"/>
      <w:lvlText w:val="(%1)"/>
      <w:numFmt w:val="lowerRoman"/>
      <w:start w:val="1"/>
    </w:lvl>
    <w:lvl w:ilvl="1">
      <w:lvlJc w:val="left"/>
      <w:lvlText w:val="(%2)"/>
      <w:numFmt w:val="upperLetter"/>
      <w:start w:val="1"/>
    </w:lvl>
  </w:abstractNum>
  <w:abstractNum w:abstractNumId="112">
    <w:nsid w:val="596F6D8A"/>
    <w:multiLevelType w:val="hybridMultilevel"/>
    <w:lvl w:ilvl="0">
      <w:lvlJc w:val="left"/>
      <w:lvlText w:val="(%1)"/>
      <w:numFmt w:val="lowerRoman"/>
      <w:start w:val="1"/>
    </w:lvl>
    <w:lvl w:ilvl="1">
      <w:lvlJc w:val="left"/>
      <w:lvlText w:val="%2"/>
      <w:numFmt w:val="upperLetter"/>
      <w:start w:val="1"/>
    </w:lvl>
  </w:abstractNum>
  <w:abstractNum w:abstractNumId="113">
    <w:nsid w:val="5749361F"/>
    <w:multiLevelType w:val="hybridMultilevel"/>
    <w:lvl w:ilvl="0">
      <w:lvlJc w:val="left"/>
      <w:lvlText w:val="(%1)"/>
      <w:numFmt w:val="lowerLetter"/>
      <w:start w:val="10"/>
    </w:lvl>
  </w:abstractNum>
  <w:abstractNum w:abstractNumId="114">
    <w:nsid w:val="73BC6770"/>
    <w:multiLevelType w:val="hybridMultilevel"/>
    <w:lvl w:ilvl="0">
      <w:lvlJc w:val="left"/>
      <w:lvlText w:val="(%1)"/>
      <w:numFmt w:val="lowerLetter"/>
      <w:start w:val="1"/>
    </w:lvl>
  </w:abstractNum>
  <w:abstractNum w:abstractNumId="115">
    <w:nsid w:val="280E6897"/>
    <w:multiLevelType w:val="hybridMultilevel"/>
    <w:lvl w:ilvl="0">
      <w:lvlJc w:val="left"/>
      <w:lvlText w:val="(%1)"/>
      <w:numFmt w:val="lowerLetter"/>
      <w:start w:val="2"/>
    </w:lvl>
  </w:abstractNum>
  <w:abstractNum w:abstractNumId="116">
    <w:nsid w:val="605138DE"/>
    <w:multiLevelType w:val="hybridMultilevel"/>
    <w:lvl w:ilvl="0">
      <w:lvlJc w:val="left"/>
      <w:lvlText w:val="(%1)"/>
      <w:numFmt w:val="lowerLetter"/>
      <w:start w:val="1"/>
    </w:lvl>
  </w:abstractNum>
  <w:abstractNum w:abstractNumId="117">
    <w:nsid w:val="2622AD0C"/>
    <w:multiLevelType w:val="hybridMultilevel"/>
    <w:lvl w:ilvl="0">
      <w:lvlJc w:val="left"/>
      <w:lvlText w:val="(%1)"/>
      <w:numFmt w:val="lowerLetter"/>
      <w:start w:val="4"/>
    </w:lvl>
  </w:abstractNum>
  <w:abstractNum w:abstractNumId="118">
    <w:nsid w:val="67997556"/>
    <w:multiLevelType w:val="hybridMultilevel"/>
    <w:lvl w:ilvl="0">
      <w:lvlJc w:val="left"/>
      <w:lvlText w:val="(%1)"/>
      <w:numFmt w:val="lowerLetter"/>
      <w:start w:val="1"/>
    </w:lvl>
  </w:abstractNum>
  <w:abstractNum w:abstractNumId="119">
    <w:nsid w:val="18333C89"/>
    <w:multiLevelType w:val="hybridMultilevel"/>
    <w:lvl w:ilvl="0">
      <w:lvlJc w:val="left"/>
      <w:lvlText w:val="(%1)"/>
      <w:numFmt w:val="lowerRoman"/>
      <w:start w:val="1"/>
    </w:lvl>
  </w:abstractNum>
  <w:abstractNum w:abstractNumId="120">
    <w:nsid w:val="4BA9831A"/>
    <w:multiLevelType w:val="hybridMultilevel"/>
    <w:lvl w:ilvl="0">
      <w:lvlJc w:val="left"/>
      <w:lvlText w:val="(%1)"/>
      <w:numFmt w:val="lowerLetter"/>
      <w:start w:val="2"/>
    </w:lvl>
  </w:abstractNum>
  <w:abstractNum w:abstractNumId="121">
    <w:nsid w:val="6D71A2B"/>
    <w:multiLevelType w:val="hybridMultilevel"/>
    <w:lvl w:ilvl="0">
      <w:lvlJc w:val="left"/>
      <w:lvlText w:val="(%1)"/>
      <w:numFmt w:val="lowerRoman"/>
      <w:start w:val="1"/>
    </w:lvl>
  </w:abstractNum>
  <w:abstractNum w:abstractNumId="122">
    <w:nsid w:val="CFC7321"/>
    <w:multiLevelType w:val="hybridMultilevel"/>
    <w:lvl w:ilvl="0">
      <w:lvlJc w:val="left"/>
      <w:lvlText w:val="(%1)"/>
      <w:numFmt w:val="lowerRoman"/>
      <w:start w:val="3"/>
    </w:lvl>
  </w:abstractNum>
  <w:abstractNum w:abstractNumId="123">
    <w:nsid w:val="1421971B"/>
    <w:multiLevelType w:val="hybridMultilevel"/>
    <w:lvl w:ilvl="0">
      <w:lvlJc w:val="left"/>
      <w:lvlText w:val="(%1)"/>
      <w:numFmt w:val="lowerLetter"/>
      <w:start w:val="2"/>
    </w:lvl>
  </w:abstractNum>
  <w:abstractNum w:abstractNumId="124">
    <w:nsid w:val="1F404301"/>
    <w:multiLevelType w:val="hybridMultilevel"/>
    <w:lvl w:ilvl="0">
      <w:lvlJc w:val="left"/>
      <w:lvlText w:val="(%1)"/>
      <w:numFmt w:val="lowerLetter"/>
      <w:start w:val="6"/>
    </w:lvl>
  </w:abstractNum>
  <w:abstractNum w:abstractNumId="125">
    <w:nsid w:val="116E0907"/>
    <w:multiLevelType w:val="hybridMultilevel"/>
    <w:lvl w:ilvl="0">
      <w:lvlJc w:val="left"/>
      <w:lvlText w:val="(%1)"/>
      <w:numFmt w:val="lowerLetter"/>
      <w:start w:val="1"/>
    </w:lvl>
  </w:abstractNum>
  <w:abstractNum w:abstractNumId="126">
    <w:nsid w:val="4B683D0D"/>
    <w:multiLevelType w:val="hybridMultilevel"/>
    <w:lvl w:ilvl="0">
      <w:lvlJc w:val="left"/>
      <w:lvlText w:val="(%1)"/>
      <w:numFmt w:val="lowerLetter"/>
      <w:start w:val="2"/>
    </w:lvl>
  </w:abstractNum>
  <w:abstractNum w:abstractNumId="127">
    <w:nsid w:val="76E41D8"/>
    <w:multiLevelType w:val="hybridMultilevel"/>
    <w:lvl w:ilvl="0">
      <w:lvlJc w:val="left"/>
      <w:lvlText w:val="(%1)"/>
      <w:numFmt w:val="lowerRoman"/>
      <w:start w:val="2"/>
    </w:lvl>
    <w:lvl w:ilvl="1">
      <w:lvlJc w:val="left"/>
      <w:lvlText w:val="(%2)"/>
      <w:numFmt w:val="upperLetter"/>
      <w:start w:val="1"/>
    </w:lvl>
  </w:abstractNum>
  <w:abstractNum w:abstractNumId="128">
    <w:nsid w:val="71DCE0FD"/>
    <w:multiLevelType w:val="hybridMultilevel"/>
    <w:lvl w:ilvl="0">
      <w:lvlJc w:val="left"/>
      <w:lvlText w:val="(%1)"/>
      <w:numFmt w:val="lowerRoman"/>
      <w:start w:val="4"/>
    </w:lvl>
  </w:abstractNum>
  <w:abstractNum w:abstractNumId="129">
    <w:nsid w:val="7906328B"/>
    <w:multiLevelType w:val="hybridMultilevel"/>
    <w:lvl w:ilvl="0">
      <w:lvlJc w:val="left"/>
      <w:lvlText w:val="(%1)"/>
      <w:numFmt w:val="lowerLetter"/>
      <w:start w:val="6"/>
    </w:lvl>
  </w:abstractNum>
  <w:abstractNum w:abstractNumId="130">
    <w:nsid w:val="72BBC16"/>
    <w:multiLevelType w:val="hybridMultilevel"/>
    <w:lvl w:ilvl="0">
      <w:lvlJc w:val="left"/>
      <w:lvlText w:val="(%1)"/>
      <w:numFmt w:val="lowerLetter"/>
      <w:start w:val="1"/>
    </w:lvl>
  </w:abstractNum>
  <w:abstractNum w:abstractNumId="131">
    <w:nsid w:val="766D98C2"/>
    <w:multiLevelType w:val="hybridMultilevel"/>
    <w:lvl w:ilvl="0">
      <w:lvlJc w:val="left"/>
      <w:lvlText w:val="%1"/>
      <w:numFmt w:val="lowerLetter"/>
      <w:start w:val="1"/>
    </w:lvl>
    <w:lvl w:ilvl="1">
      <w:lvlJc w:val="left"/>
      <w:lvlText w:val="(%2)"/>
      <w:numFmt w:val="lowerLetter"/>
      <w:start w:val="2"/>
    </w:lvl>
  </w:abstractNum>
  <w:abstractNum w:abstractNumId="132">
    <w:nsid w:val="3C09D4A1"/>
    <w:multiLevelType w:val="hybridMultilevel"/>
    <w:lvl w:ilvl="0">
      <w:lvlJc w:val="left"/>
      <w:lvlText w:val="(%1)"/>
      <w:numFmt w:val="lowerLetter"/>
      <w:start w:val="24"/>
    </w:lvl>
    <w:lvl w:ilvl="1">
      <w:lvlJc w:val="left"/>
      <w:lvlText w:val="%2"/>
      <w:numFmt w:val="lowerLetter"/>
      <w:start w:val="1"/>
    </w:lvl>
  </w:abstractNum>
  <w:abstractNum w:abstractNumId="133">
    <w:nsid w:val="20E45CA4"/>
    <w:multiLevelType w:val="hybridMultilevel"/>
    <w:lvl w:ilvl="0">
      <w:lvlJc w:val="left"/>
      <w:lvlText w:val="(%1)"/>
      <w:numFmt w:val="lowerLetter"/>
      <w:start w:val="4"/>
    </w:lvl>
  </w:abstractNum>
  <w:abstractNum w:abstractNumId="134">
    <w:nsid w:val="4B232EE3"/>
    <w:multiLevelType w:val="hybridMultilevel"/>
    <w:lvl w:ilvl="0">
      <w:lvlJc w:val="left"/>
      <w:lvlText w:val="(%1)"/>
      <w:numFmt w:val="lowerLetter"/>
      <w:start w:val="1"/>
    </w:lvl>
  </w:abstractNum>
  <w:abstractNum w:abstractNumId="135">
    <w:nsid w:val="159C74CF"/>
    <w:multiLevelType w:val="hybridMultilevel"/>
    <w:lvl w:ilvl="0">
      <w:lvlJc w:val="left"/>
      <w:lvlText w:val="(%1)"/>
      <w:numFmt w:val="lowerLetter"/>
      <w:start w:val="3"/>
    </w:lvl>
  </w:abstractNum>
  <w:abstractNum w:abstractNumId="136">
    <w:nsid w:val="4AD3AFD2"/>
    <w:multiLevelType w:val="hybridMultilevel"/>
    <w:lvl w:ilvl="0">
      <w:lvlJc w:val="left"/>
      <w:lvlText w:val="(%1)"/>
      <w:numFmt w:val="lowerLetter"/>
      <w:start w:val="1"/>
    </w:lvl>
  </w:abstractNum>
  <w:abstractNum w:abstractNumId="137">
    <w:nsid w:val="3CF93092"/>
    <w:multiLevelType w:val="hybridMultilevel"/>
    <w:lvl w:ilvl="0">
      <w:lvlJc w:val="left"/>
      <w:lvlText w:val="(%1)"/>
      <w:numFmt w:val="decimal"/>
      <w:start w:val="75"/>
    </w:lvl>
    <w:lvl w:ilvl="1">
      <w:lvlJc w:val="left"/>
      <w:lvlText w:val="(%2)"/>
      <w:numFmt w:val="lowerLetter"/>
      <w:start w:val="2"/>
    </w:lvl>
  </w:abstractNum>
  <w:abstractNum w:abstractNumId="138">
    <w:nsid w:val="6863E8D2"/>
    <w:multiLevelType w:val="hybridMultilevel"/>
    <w:lvl w:ilvl="0">
      <w:lvlJc w:val="left"/>
      <w:lvlText w:val="(%1)"/>
      <w:numFmt w:val="lowerLetter"/>
      <w:start w:val="3"/>
    </w:lvl>
  </w:abstractNum>
  <w:abstractNum w:abstractNumId="139">
    <w:nsid w:val="76896198"/>
    <w:multiLevelType w:val="hybridMultilevel"/>
    <w:lvl w:ilvl="0">
      <w:lvlJc w:val="left"/>
      <w:lvlText w:val="(%1)"/>
      <w:numFmt w:val="lowerLetter"/>
      <w:start w:val="5"/>
    </w:lvl>
  </w:abstractNum>
  <w:abstractNum w:abstractNumId="140">
    <w:nsid w:val="4365174B"/>
    <w:multiLevelType w:val="hybridMultilevel"/>
    <w:lvl w:ilvl="0">
      <w:lvlJc w:val="left"/>
      <w:lvlText w:val="(%1)"/>
      <w:numFmt w:val="lowerLetter"/>
      <w:start w:val="1"/>
    </w:lvl>
  </w:abstractNum>
  <w:abstractNum w:abstractNumId="141">
    <w:nsid w:val="4A872C35"/>
    <w:multiLevelType w:val="hybridMultilevel"/>
    <w:lvl w:ilvl="0">
      <w:lvlJc w:val="left"/>
      <w:lvlText w:val="(%1)"/>
      <w:numFmt w:val="lowerLetter"/>
      <w:start w:val="61"/>
    </w:lvl>
  </w:abstractNum>
  <w:abstractNum w:abstractNumId="142">
    <w:nsid w:val="5D5CE761"/>
    <w:multiLevelType w:val="hybridMultilevel"/>
    <w:lvl w:ilvl="0">
      <w:lvlJc w:val="left"/>
      <w:lvlText w:val="(%1)"/>
      <w:numFmt w:val="lowerLetter"/>
      <w:start w:val="1"/>
    </w:lvl>
  </w:abstractNum>
  <w:abstractNum w:abstractNumId="143">
    <w:nsid w:val="1CD484D5"/>
    <w:multiLevelType w:val="hybridMultilevel"/>
    <w:lvl w:ilvl="0">
      <w:lvlJc w:val="left"/>
      <w:lvlText w:val="(%1)"/>
      <w:numFmt w:val="lowerRoman"/>
      <w:start w:val="1"/>
    </w:lvl>
  </w:abstractNum>
  <w:abstractNum w:abstractNumId="144">
    <w:nsid w:val="21D06255"/>
    <w:multiLevelType w:val="hybridMultilevel"/>
    <w:lvl w:ilvl="0">
      <w:lvlJc w:val="left"/>
      <w:lvlText w:val="(%1)"/>
      <w:numFmt w:val="lowerRoman"/>
      <w:start w:val="3"/>
    </w:lvl>
  </w:abstractNum>
  <w:abstractNum w:abstractNumId="145">
    <w:nsid w:val="51194ED1"/>
    <w:multiLevelType w:val="hybridMultilevel"/>
    <w:lvl w:ilvl="0">
      <w:lvlJc w:val="left"/>
      <w:lvlText w:val="(%1)"/>
      <w:numFmt w:val="lowerLetter"/>
      <w:start w:val="2"/>
    </w:lvl>
  </w:abstractNum>
  <w:abstractNum w:abstractNumId="146">
    <w:nsid w:val="44E2ED6C"/>
    <w:multiLevelType w:val="hybridMultilevel"/>
    <w:lvl w:ilvl="0">
      <w:lvlJc w:val="left"/>
      <w:lvlText w:val="(%1)"/>
      <w:numFmt w:val="lowerLetter"/>
      <w:start w:val="1"/>
    </w:lvl>
  </w:abstractNum>
  <w:abstractNum w:abstractNumId="147">
    <w:nsid w:val="2219B33"/>
    <w:multiLevelType w:val="hybridMultilevel"/>
    <w:lvl w:ilvl="0">
      <w:lvlJc w:val="left"/>
      <w:lvlText w:val="(%1)"/>
      <w:numFmt w:val="lowerLetter"/>
      <w:start w:val="3"/>
    </w:lvl>
  </w:abstractNum>
  <w:abstractNum w:abstractNumId="148">
    <w:nsid w:val="773BFBDD"/>
    <w:multiLevelType w:val="hybridMultilevel"/>
    <w:lvl w:ilvl="0">
      <w:lvlJc w:val="left"/>
      <w:lvlText w:val="(%1)"/>
      <w:numFmt w:val="lowerLetter"/>
      <w:start w:val="1"/>
    </w:lvl>
  </w:abstractNum>
  <w:abstractNum w:abstractNumId="149">
    <w:nsid w:val="2C7C62C2"/>
    <w:multiLevelType w:val="hybridMultilevel"/>
    <w:lvl w:ilvl="0">
      <w:lvlJc w:val="left"/>
      <w:lvlText w:val="(%1)"/>
      <w:numFmt w:val="lowerRoman"/>
      <w:start w:val="1"/>
    </w:lvl>
  </w:abstractNum>
  <w:abstractNum w:abstractNumId="150">
    <w:nsid w:val="1A54D7BC"/>
    <w:multiLevelType w:val="hybridMultilevel"/>
    <w:lvl w:ilvl="0">
      <w:lvlJc w:val="left"/>
      <w:lvlText w:val="(%1)"/>
      <w:numFmt w:val="lowerRoman"/>
      <w:start w:val="2"/>
    </w:lvl>
  </w:abstractNum>
  <w:abstractNum w:abstractNumId="151">
    <w:nsid w:val="42E57EF7"/>
    <w:multiLevelType w:val="hybridMultilevel"/>
    <w:lvl w:ilvl="0">
      <w:lvlJc w:val="left"/>
      <w:lvlText w:val="(%1)"/>
      <w:numFmt w:val="lowerRoman"/>
      <w:start w:val="5"/>
    </w:lvl>
  </w:abstractNum>
  <w:abstractNum w:abstractNumId="152">
    <w:nsid w:val="33537CED"/>
    <w:multiLevelType w:val="hybridMultilevel"/>
    <w:lvl w:ilvl="0">
      <w:lvlJc w:val="left"/>
      <w:lvlText w:val="(%1)"/>
      <w:numFmt w:val="lowerLetter"/>
      <w:start w:val="2"/>
    </w:lvl>
  </w:abstractNum>
  <w:abstractNum w:abstractNumId="153">
    <w:nsid w:val="27514ADE"/>
    <w:multiLevelType w:val="hybridMultilevel"/>
    <w:lvl w:ilvl="0">
      <w:lvlJc w:val="left"/>
      <w:lvlText w:val="(%1)"/>
      <w:numFmt w:val="lowerLetter"/>
      <w:start w:val="4"/>
    </w:lvl>
  </w:abstractNum>
  <w:abstractNum w:abstractNumId="154">
    <w:nsid w:val="57071613"/>
    <w:multiLevelType w:val="hybridMultilevel"/>
    <w:lvl w:ilvl="0">
      <w:lvlJc w:val="left"/>
      <w:lvlText w:val="(%1)"/>
      <w:numFmt w:val="lowerLetter"/>
      <w:start w:val="1"/>
    </w:lvl>
  </w:abstractNum>
  <w:abstractNum w:abstractNumId="155">
    <w:nsid w:val="5293BFEF"/>
    <w:multiLevelType w:val="hybridMultilevel"/>
    <w:lvl w:ilvl="0">
      <w:lvlJc w:val="left"/>
      <w:lvlText w:val="%1"/>
      <w:numFmt w:val="lowerLetter"/>
      <w:start w:val="1"/>
    </w:lvl>
    <w:lvl w:ilvl="1">
      <w:lvlJc w:val="left"/>
      <w:lvlText w:val="(%2)"/>
      <w:numFmt w:val="lowerLetter"/>
      <w:start w:val="2"/>
    </w:lvl>
  </w:abstractNum>
  <w:abstractNum w:abstractNumId="156">
    <w:nsid w:val="38BF53E5"/>
    <w:multiLevelType w:val="hybridMultilevel"/>
    <w:lvl w:ilvl="0">
      <w:lvlJc w:val="left"/>
      <w:lvlText w:val="(%1)"/>
      <w:numFmt w:val="lowerLetter"/>
      <w:start w:val="9"/>
    </w:lvl>
    <w:lvl w:ilvl="1">
      <w:lvlJc w:val="left"/>
      <w:lvlText w:val="(%2)"/>
      <w:numFmt w:val="lowerLetter"/>
      <w:start w:val="3"/>
    </w:lvl>
  </w:abstractNum>
  <w:abstractNum w:abstractNumId="157">
    <w:nsid w:val="226F5320"/>
    <w:multiLevelType w:val="hybridMultilevel"/>
    <w:lvl w:ilvl="0">
      <w:lvlJc w:val="left"/>
      <w:lvlText w:val="%1"/>
      <w:numFmt w:val="upperLetter"/>
      <w:start w:val="1"/>
    </w:lvl>
    <w:lvl w:ilvl="1">
      <w:lvlJc w:val="left"/>
      <w:lvlText w:val="(%2)"/>
      <w:numFmt w:val="lowerLetter"/>
      <w:start w:val="4"/>
    </w:lvl>
  </w:abstractNum>
  <w:abstractNum w:abstractNumId="158">
    <w:nsid w:val="5A0201C7"/>
    <w:multiLevelType w:val="hybridMultilevel"/>
    <w:lvl w:ilvl="0">
      <w:lvlJc w:val="left"/>
      <w:lvlText w:val="(%1)"/>
      <w:numFmt w:val="upperLetter"/>
      <w:start w:val="2"/>
    </w:lvl>
    <w:lvl w:ilvl="1">
      <w:lvlJc w:val="left"/>
      <w:lvlText w:val="(%2)"/>
      <w:numFmt w:val="lowerLetter"/>
      <w:start w:val="5"/>
    </w:lvl>
  </w:abstractNum>
  <w:abstractNum w:abstractNumId="159">
    <w:nsid w:val="2A9C34E2"/>
    <w:multiLevelType w:val="hybridMultilevel"/>
    <w:lvl w:ilvl="0">
      <w:lvlJc w:val="left"/>
      <w:lvlText w:val="(%1)"/>
      <w:numFmt w:val="lowerLetter"/>
      <w:start w:val="1"/>
    </w:lvl>
  </w:abstractNum>
  <w:abstractNum w:abstractNumId="160">
    <w:nsid w:val="1B7585AB"/>
    <w:multiLevelType w:val="hybridMultilevel"/>
    <w:lvl w:ilvl="0">
      <w:lvlJc w:val="left"/>
      <w:lvlText w:val="(%1)"/>
      <w:numFmt w:val="lowerLetter"/>
      <w:start w:val="2"/>
    </w:lvl>
  </w:abstractNum>
  <w:abstractNum w:abstractNumId="161">
    <w:nsid w:val="612DBDDD"/>
    <w:multiLevelType w:val="hybridMultilevel"/>
    <w:lvl w:ilvl="0">
      <w:lvlJc w:val="left"/>
      <w:lvlText w:val="(%1)"/>
      <w:numFmt w:val="lowerLetter"/>
      <w:start w:val="1"/>
    </w:lvl>
  </w:abstractNum>
  <w:abstractNum w:abstractNumId="162">
    <w:nsid w:val="2109CDA4"/>
    <w:multiLevelType w:val="hybridMultilevel"/>
    <w:lvl w:ilvl="0">
      <w:lvlJc w:val="left"/>
      <w:lvlText w:val="(%1)"/>
      <w:numFmt w:val="lowerLetter"/>
      <w:start w:val="1"/>
    </w:lvl>
  </w:abstractNum>
  <w:abstractNum w:abstractNumId="163">
    <w:nsid w:val="577F5A4D"/>
    <w:multiLevelType w:val="hybridMultilevel"/>
    <w:lvl w:ilvl="0">
      <w:lvlJc w:val="left"/>
      <w:lvlText w:val="(%1)"/>
      <w:numFmt w:val="lowerLetter"/>
      <w:start w:val="3"/>
    </w:lvl>
  </w:abstractNum>
  <w:abstractNum w:abstractNumId="164">
    <w:nsid w:val="2121A81"/>
    <w:multiLevelType w:val="hybridMultilevel"/>
    <w:lvl w:ilvl="0">
      <w:lvlJc w:val="left"/>
      <w:lvlText w:val="."/>
      <w:numFmt w:val="bullet"/>
      <w:start w:val="1"/>
    </w:lvl>
  </w:abstractNum>
  <w:abstractNum w:abstractNumId="165">
    <w:nsid w:val="6C2CFC88"/>
    <w:multiLevelType w:val="hybridMultilevel"/>
    <w:lvl w:ilvl="0">
      <w:lvlJc w:val="left"/>
      <w:lvlText w:val="(%1)"/>
      <w:numFmt w:val="lowerLetter"/>
      <w:start w:val="1"/>
    </w:lvl>
  </w:abstractNum>
  <w:abstractNum w:abstractNumId="166">
    <w:nsid w:val="6D1BCF1C"/>
    <w:multiLevelType w:val="hybridMultilevel"/>
    <w:lvl w:ilvl="0">
      <w:lvlJc w:val="left"/>
      <w:lvlText w:val="(%1)"/>
      <w:numFmt w:val="lowerLetter"/>
      <w:start w:val="2"/>
    </w:lvl>
  </w:abstractNum>
  <w:abstractNum w:abstractNumId="167">
    <w:nsid w:val="4CE5CA53"/>
    <w:multiLevelType w:val="hybridMultilevel"/>
    <w:lvl w:ilvl="0">
      <w:lvlJc w:val="left"/>
      <w:lvlText w:val="(%1)"/>
      <w:numFmt w:val="lowerLetter"/>
      <w:start w:val="1"/>
    </w:lvl>
  </w:abstractNum>
  <w:abstractNum w:abstractNumId="168">
    <w:nsid w:val="29262D1A"/>
    <w:multiLevelType w:val="hybridMultilevel"/>
    <w:lvl w:ilvl="0">
      <w:lvlJc w:val="left"/>
      <w:lvlText w:val="(%1)"/>
      <w:numFmt w:val="lowerLetter"/>
      <w:start w:val="3"/>
    </w:lvl>
  </w:abstractNum>
  <w:abstractNum w:abstractNumId="169">
    <w:nsid w:val="557FB7EE"/>
    <w:multiLevelType w:val="hybridMultilevel"/>
    <w:lvl w:ilvl="0">
      <w:lvlJc w:val="left"/>
      <w:lvlText w:val="(%1)"/>
      <w:numFmt w:val="lowerLetter"/>
      <w:start w:val="9"/>
    </w:lvl>
  </w:abstractNum>
  <w:abstractNum w:abstractNumId="170">
    <w:nsid w:val="436F2BEB"/>
    <w:multiLevelType w:val="hybridMultilevel"/>
    <w:lvl w:ilvl="0">
      <w:lvlJc w:val="left"/>
      <w:lvlText w:val="(%1)"/>
      <w:numFmt w:val="lowerLetter"/>
      <w:start w:val="1"/>
    </w:lvl>
  </w:abstractNum>
  <w:abstractNum w:abstractNumId="171">
    <w:nsid w:val="6C8B4466"/>
    <w:multiLevelType w:val="hybridMultilevel"/>
    <w:lvl w:ilvl="0">
      <w:lvlJc w:val="left"/>
      <w:lvlText w:val="(%1)"/>
      <w:numFmt w:val="lowerLetter"/>
      <w:start w:val="3"/>
    </w:lvl>
  </w:abstractNum>
  <w:abstractNum w:abstractNumId="172">
    <w:nsid w:val="2006E424"/>
    <w:multiLevelType w:val="hybridMultilevel"/>
    <w:lvl w:ilvl="0">
      <w:lvlJc w:val="left"/>
      <w:lvlText w:val="(%1)"/>
      <w:numFmt w:val="lowerLetter"/>
      <w:start w:val="1"/>
    </w:lvl>
  </w:abstractNum>
  <w:abstractNum w:abstractNumId="173">
    <w:nsid w:val="20CC134C"/>
    <w:multiLevelType w:val="hybridMultilevel"/>
    <w:lvl w:ilvl="0">
      <w:lvlJc w:val="left"/>
      <w:lvlText w:val="%1"/>
      <w:numFmt w:val="lowerLetter"/>
      <w:start w:val="1"/>
    </w:lvl>
    <w:lvl w:ilvl="1">
      <w:lvlJc w:val="left"/>
      <w:lvlText w:val="(%2)"/>
      <w:numFmt w:val="lowerLetter"/>
      <w:start w:val="2"/>
    </w:lvl>
  </w:abstractNum>
  <w:abstractNum w:abstractNumId="174">
    <w:nsid w:val="95FC93B"/>
    <w:multiLevelType w:val="hybridMultilevel"/>
    <w:lvl w:ilvl="0">
      <w:lvlJc w:val="left"/>
      <w:lvlText w:val="(%1)"/>
      <w:numFmt w:val="lowerLetter"/>
      <w:start w:val="9"/>
    </w:lvl>
    <w:lvl w:ilvl="1">
      <w:lvlJc w:val="left"/>
      <w:lvlText w:val="(%2)"/>
      <w:numFmt w:val="lowerLetter"/>
      <w:start w:val="4"/>
    </w:lvl>
  </w:abstractNum>
  <w:abstractNum w:abstractNumId="175">
    <w:nsid w:val="41D74679"/>
    <w:multiLevelType w:val="hybridMultilevel"/>
    <w:lvl w:ilvl="0">
      <w:lvlJc w:val="left"/>
      <w:lvlText w:val="(%1)"/>
      <w:numFmt w:val="lowerLetter"/>
      <w:start w:val="8"/>
    </w:lvl>
  </w:abstractNum>
  <w:abstractNum w:abstractNumId="176">
    <w:nsid w:val="71E5621E"/>
    <w:multiLevelType w:val="hybridMultilevel"/>
    <w:lvl w:ilvl="0">
      <w:lvlJc w:val="left"/>
      <w:lvlText w:val="(%1)"/>
      <w:numFmt w:val="lowerLetter"/>
      <w:start w:val="1"/>
    </w:lvl>
  </w:abstractNum>
  <w:abstractNum w:abstractNumId="177">
    <w:nsid w:val="4E42B6A8"/>
    <w:multiLevelType w:val="hybridMultilevel"/>
    <w:lvl w:ilvl="0">
      <w:lvlJc w:val="left"/>
      <w:lvlText w:val="%1"/>
      <w:numFmt w:val="lowerLetter"/>
      <w:start w:val="1"/>
    </w:lvl>
    <w:lvl w:ilvl="1">
      <w:lvlJc w:val="left"/>
      <w:lvlText w:val="(%2)"/>
      <w:numFmt w:val="lowerLetter"/>
      <w:start w:val="1"/>
    </w:lvl>
  </w:abstractNum>
  <w:abstractNum w:abstractNumId="178">
    <w:nsid w:val="43F8E1AC"/>
    <w:multiLevelType w:val="hybridMultilevel"/>
    <w:lvl w:ilvl="0">
      <w:lvlJc w:val="left"/>
      <w:lvlText w:val="(%1)"/>
      <w:numFmt w:val="lowerLetter"/>
      <w:start w:val="35"/>
    </w:lvl>
    <w:lvl w:ilvl="1">
      <w:lvlJc w:val="left"/>
      <w:lvlText w:val="%2"/>
      <w:numFmt w:val="lowerLetter"/>
      <w:start w:val="1"/>
    </w:lvl>
  </w:abstractNum>
  <w:abstractNum w:abstractNumId="179">
    <w:nsid w:val="69215DFB"/>
    <w:multiLevelType w:val="hybridMultilevel"/>
    <w:lvl w:ilvl="0">
      <w:lvlJc w:val="left"/>
      <w:lvlText w:val="%1"/>
      <w:numFmt w:val="lowerLetter"/>
      <w:start w:val="1"/>
    </w:lvl>
    <w:lvl w:ilvl="1">
      <w:lvlJc w:val="left"/>
      <w:lvlText w:val="(%2)"/>
      <w:numFmt w:val="lowerLetter"/>
      <w:start w:val="2"/>
    </w:lvl>
  </w:abstractNum>
  <w:abstractNum w:abstractNumId="180">
    <w:nsid w:val="7ABF196A"/>
    <w:multiLevelType w:val="hybridMultilevel"/>
    <w:lvl w:ilvl="0">
      <w:lvlJc w:val="left"/>
      <w:lvlText w:val="(%1)"/>
      <w:numFmt w:val="lowerLetter"/>
      <w:start w:val="61"/>
    </w:lvl>
    <w:lvl w:ilvl="1">
      <w:lvlJc w:val="left"/>
      <w:lvlText w:val="(%2)"/>
      <w:numFmt w:val="lowerLetter"/>
      <w:start w:val="4"/>
    </w:lvl>
  </w:abstractNum>
  <w:abstractNum w:abstractNumId="181">
    <w:nsid w:val="5E4DB968"/>
    <w:multiLevelType w:val="hybridMultilevel"/>
    <w:lvl w:ilvl="0">
      <w:lvlJc w:val="left"/>
      <w:lvlText w:val="(%1)"/>
      <w:numFmt w:val="lowerLetter"/>
      <w:start w:val="8"/>
    </w:lvl>
  </w:abstractNum>
  <w:abstractNum w:abstractNumId="182">
    <w:nsid w:val="2C06DCF3"/>
    <w:multiLevelType w:val="hybridMultilevel"/>
    <w:lvl w:ilvl="0">
      <w:lvlJc w:val="left"/>
      <w:lvlText w:val="(%1)"/>
      <w:numFmt w:val="lowerRoman"/>
      <w:start w:val="10"/>
    </w:lvl>
  </w:abstractNum>
  <w:abstractNum w:abstractNumId="183">
    <w:nsid w:val="2E129658"/>
    <w:multiLevelType w:val="hybridMultilevel"/>
    <w:lvl w:ilvl="0">
      <w:lvlJc w:val="left"/>
      <w:lvlText w:val="(%1)"/>
      <w:numFmt w:val="lowerLetter"/>
      <w:start w:val="1"/>
    </w:lvl>
  </w:abstractNum>
  <w:abstractNum w:abstractNumId="184">
    <w:nsid w:val="59F0446"/>
    <w:multiLevelType w:val="hybridMultilevel"/>
    <w:lvl w:ilvl="0">
      <w:lvlJc w:val="left"/>
      <w:lvlText w:val="(%1)"/>
      <w:numFmt w:val="lowerRoman"/>
      <w:start w:val="2"/>
    </w:lvl>
  </w:abstractNum>
  <w:abstractNum w:abstractNumId="185">
    <w:nsid w:val="30DF306"/>
    <w:multiLevelType w:val="hybridMultilevel"/>
    <w:lvl w:ilvl="0">
      <w:lvlJc w:val="left"/>
      <w:lvlText w:val="(%1)"/>
      <w:numFmt w:val="lowerLetter"/>
      <w:start w:val="1"/>
    </w:lvl>
  </w:abstractNum>
  <w:abstractNum w:abstractNumId="186">
    <w:nsid w:val="A65647"/>
    <w:multiLevelType w:val="hybridMultilevel"/>
    <w:lvl w:ilvl="0">
      <w:lvlJc w:val="left"/>
      <w:lvlText w:val="(%1)"/>
      <w:numFmt w:val="lowerLetter"/>
      <w:start w:val="1"/>
    </w:lvl>
  </w:abstractNum>
  <w:abstractNum w:abstractNumId="187">
    <w:nsid w:val="3E5E582B"/>
    <w:multiLevelType w:val="hybridMultilevel"/>
    <w:lvl w:ilvl="0">
      <w:lvlJc w:val="left"/>
      <w:lvlText w:val="(%1)"/>
      <w:numFmt w:val="lowerLetter"/>
      <w:start w:val="3"/>
    </w:lvl>
  </w:abstractNum>
  <w:abstractNum w:abstractNumId="188">
    <w:nsid w:val="257D4626"/>
    <w:multiLevelType w:val="hybridMultilevel"/>
    <w:lvl w:ilvl="0">
      <w:lvlJc w:val="left"/>
      <w:lvlText w:val="(%1)"/>
      <w:numFmt w:val="lowerLetter"/>
      <w:start w:val="1"/>
    </w:lvl>
  </w:abstractNum>
  <w:abstractNum w:abstractNumId="189">
    <w:nsid w:val="5AA8580E"/>
    <w:multiLevelType w:val="hybridMultilevel"/>
    <w:lvl w:ilvl="0">
      <w:lvlJc w:val="left"/>
      <w:lvlText w:val="(%1)"/>
      <w:numFmt w:val="lowerLetter"/>
      <w:start w:val="3"/>
    </w:lvl>
  </w:abstractNum>
  <w:abstractNum w:abstractNumId="190">
    <w:nsid w:val="68FA8D0D"/>
    <w:multiLevelType w:val="hybridMultilevel"/>
    <w:lvl w:ilvl="0">
      <w:lvlJc w:val="left"/>
      <w:lvlText w:val="(%1)"/>
      <w:numFmt w:val="lowerRoman"/>
      <w:start w:val="1"/>
    </w:lvl>
  </w:abstractNum>
  <w:abstractNum w:abstractNumId="191">
    <w:nsid w:val="40F2CBD2"/>
    <w:multiLevelType w:val="hybridMultilevel"/>
    <w:lvl w:ilvl="0">
      <w:lvlJc w:val="left"/>
      <w:lvlText w:val="(%1)"/>
      <w:numFmt w:val="lowerRoman"/>
      <w:start w:val="5"/>
    </w:lvl>
  </w:abstractNum>
  <w:abstractNum w:abstractNumId="192">
    <w:nsid w:val="3BD615EB"/>
    <w:multiLevelType w:val="hybridMultilevel"/>
    <w:lvl w:ilvl="0">
      <w:lvlJc w:val="left"/>
      <w:lvlText w:val="%1"/>
      <w:numFmt w:val="upperLetter"/>
      <w:start w:val="1"/>
    </w:lvl>
    <w:lvl w:ilvl="1">
      <w:lvlJc w:val="left"/>
      <w:lvlText w:val="(%2)"/>
      <w:numFmt w:val="lowerLetter"/>
      <w:start w:val="1"/>
    </w:lvl>
  </w:abstractNum>
  <w:abstractNum w:abstractNumId="193">
    <w:nsid w:val="A045AB2"/>
    <w:multiLevelType w:val="hybridMultilevel"/>
    <w:lvl w:ilvl="0">
      <w:lvlJc w:val="left"/>
      <w:lvlText w:val="(%1)"/>
      <w:numFmt w:val="upperLetter"/>
      <w:start w:val="2"/>
    </w:lvl>
    <w:lvl w:ilvl="1">
      <w:lvlJc w:val="left"/>
      <w:lvlText w:val="%2"/>
      <w:numFmt w:val="lowerLetter"/>
      <w:start w:val="1"/>
    </w:lvl>
  </w:abstractNum>
  <w:abstractNum w:abstractNumId="194">
    <w:nsid w:val="1872261F"/>
    <w:multiLevelType w:val="hybridMultilevel"/>
    <w:lvl w:ilvl="0">
      <w:lvlJc w:val="left"/>
      <w:lvlText w:val="(%1)"/>
      <w:numFmt w:val="lowerLetter"/>
      <w:start w:val="3"/>
    </w:lvl>
  </w:abstractNum>
  <w:abstractNum w:abstractNumId="195">
    <w:nsid w:val="3DE8306C"/>
    <w:multiLevelType w:val="hybridMultilevel"/>
    <w:lvl w:ilvl="0">
      <w:lvlJc w:val="left"/>
      <w:lvlText w:val="(%1)"/>
      <w:numFmt w:val="lowerLetter"/>
      <w:start w:val="1"/>
    </w:lvl>
  </w:abstractNum>
  <w:abstractNum w:abstractNumId="196">
    <w:nsid w:val="7631573A"/>
    <w:multiLevelType w:val="hybridMultilevel"/>
    <w:lvl w:ilvl="0">
      <w:lvlJc w:val="left"/>
      <w:lvlText w:val="(%1)"/>
      <w:numFmt w:val="lowerLetter"/>
      <w:start w:val="2"/>
    </w:lvl>
  </w:abstractNum>
  <w:abstractNum w:abstractNumId="197">
    <w:nsid w:val="58DF53B"/>
    <w:multiLevelType w:val="hybridMultilevel"/>
    <w:lvl w:ilvl="0">
      <w:lvlJc w:val="left"/>
      <w:lvlText w:val="(%1)"/>
      <w:numFmt w:val="lowerLetter"/>
      <w:start w:val="1"/>
    </w:lvl>
  </w:abstractNum>
  <w:abstractNum w:abstractNumId="198">
    <w:nsid w:val="ACDFAC0"/>
    <w:multiLevelType w:val="hybridMultilevel"/>
    <w:lvl w:ilvl="0">
      <w:lvlJc w:val="left"/>
      <w:lvlText w:val="%1"/>
      <w:numFmt w:val="lowerLetter"/>
      <w:start w:val="1"/>
    </w:lvl>
    <w:lvl w:ilvl="1">
      <w:lvlJc w:val="left"/>
      <w:lvlText w:val="(%2)"/>
      <w:numFmt w:val="lowerLetter"/>
      <w:start w:val="1"/>
    </w:lvl>
  </w:abstractNum>
  <w:abstractNum w:abstractNumId="199">
    <w:nsid w:val="1F578454"/>
    <w:multiLevelType w:val="hybridMultilevel"/>
    <w:lvl w:ilvl="0">
      <w:lvlJc w:val="left"/>
      <w:lvlText w:val="(%1)"/>
      <w:numFmt w:val="lowerLetter"/>
      <w:start w:val="25"/>
    </w:lvl>
    <w:lvl w:ilvl="1">
      <w:lvlJc w:val="left"/>
      <w:lvlText w:val="(%2)"/>
      <w:numFmt w:val="lowerLetter"/>
      <w:start w:val="5"/>
    </w:lvl>
  </w:abstractNum>
  <w:abstractNum w:abstractNumId="200">
    <w:nsid w:val="5B0DAD2A"/>
    <w:multiLevelType w:val="hybridMultilevel"/>
    <w:lvl w:ilvl="0">
      <w:lvlJc w:val="left"/>
      <w:lvlText w:val="(%1)"/>
      <w:numFmt w:val="lowerLetter"/>
      <w:start w:val="61"/>
    </w:lvl>
    <w:lvl w:ilvl="1">
      <w:lvlJc w:val="left"/>
      <w:lvlText w:val="(%2)"/>
      <w:numFmt w:val="lowerLetter"/>
      <w:start w:val="6"/>
    </w:lvl>
  </w:abstractNum>
  <w:abstractNum w:abstractNumId="201">
    <w:nsid w:val="4E3D26AB"/>
    <w:multiLevelType w:val="hybridMultilevel"/>
    <w:lvl w:ilvl="0">
      <w:lvlJc w:val="left"/>
      <w:lvlText w:val="(%1)"/>
      <w:numFmt w:val="lowerLetter"/>
      <w:start w:val="7"/>
    </w:lvl>
  </w:abstractNum>
  <w:abstractNum w:abstractNumId="202">
    <w:nsid w:val="BE2C8BA"/>
    <w:multiLevelType w:val="hybridMultilevel"/>
    <w:lvl w:ilvl="0">
      <w:lvlJc w:val="left"/>
      <w:lvlText w:val="%1"/>
      <w:numFmt w:val="lowerLetter"/>
      <w:start w:val="1"/>
    </w:lvl>
    <w:lvl w:ilvl="1">
      <w:lvlJc w:val="left"/>
      <w:lvlText w:val="(%2)"/>
      <w:numFmt w:val="lowerLetter"/>
      <w:start w:val="17"/>
    </w:lvl>
  </w:abstractNum>
  <w:abstractNum w:abstractNumId="203">
    <w:nsid w:val="7B14914E"/>
    <w:multiLevelType w:val="hybridMultilevel"/>
    <w:lvl w:ilvl="0">
      <w:lvlJc w:val="left"/>
      <w:lvlText w:val="(%1)"/>
      <w:numFmt w:val="lowerLetter"/>
      <w:start w:val="22"/>
    </w:lvl>
    <w:lvl w:ilvl="1">
      <w:lvlJc w:val="left"/>
      <w:lvlText w:val="(%2)"/>
      <w:numFmt w:val="lowerLetter"/>
      <w:start w:val="18"/>
    </w:lvl>
  </w:abstractNum>
  <w:abstractNum w:abstractNumId="204">
    <w:nsid w:val="6F0939F8"/>
    <w:multiLevelType w:val="hybridMultilevel"/>
    <w:lvl w:ilvl="0">
      <w:lvlJc w:val="left"/>
      <w:lvlText w:val="%1"/>
      <w:numFmt w:val="upperLetter"/>
      <w:start w:val="1"/>
    </w:lvl>
    <w:lvl w:ilvl="1">
      <w:lvlJc w:val="left"/>
      <w:lvlText w:val="(%2)"/>
      <w:numFmt w:val="lowerLetter"/>
      <w:start w:val="27"/>
    </w:lvl>
  </w:abstractNum>
  <w:abstractNum w:abstractNumId="205">
    <w:nsid w:val="154291F6"/>
    <w:multiLevelType w:val="hybridMultilevel"/>
    <w:lvl w:ilvl="0">
      <w:lvlJc w:val="left"/>
      <w:lvlText w:val="(%1)"/>
      <w:numFmt w:val="upperLetter"/>
      <w:start w:val="2"/>
    </w:lvl>
    <w:lvl w:ilvl="1">
      <w:lvlJc w:val="left"/>
      <w:lvlText w:val="(%2)"/>
      <w:numFmt w:val="lowerLetter"/>
      <w:start w:val="28"/>
    </w:lvl>
  </w:abstractNum>
  <w:abstractNum w:abstractNumId="206">
    <w:nsid w:val="3CEBD7C7"/>
    <w:multiLevelType w:val="hybridMultilevel"/>
    <w:lvl w:ilvl="0">
      <w:lvlJc w:val="left"/>
      <w:lvlText w:val="(%1)"/>
      <w:numFmt w:val="lowerLetter"/>
      <w:start w:val="29"/>
    </w:lvl>
  </w:abstractNum>
  <w:abstractNum w:abstractNumId="207">
    <w:nsid w:val="60EE9C16"/>
    <w:multiLevelType w:val="hybridMultilevel"/>
    <w:lvl w:ilvl="0">
      <w:lvlJc w:val="left"/>
      <w:lvlText w:val="."/>
      <w:numFmt w:val="bullet"/>
      <w:start w:val="1"/>
    </w:lvl>
  </w:abstractNum>
  <w:abstractNum w:abstractNumId="208">
    <w:nsid w:val="6385489E"/>
    <w:multiLevelType w:val="hybridMultilevel"/>
    <w:lvl w:ilvl="0">
      <w:lvlJc w:val="left"/>
      <w:lvlText w:val="(%1)"/>
      <w:numFmt w:val="lowerLetter"/>
      <w:start w:val="1"/>
    </w:lvl>
  </w:abstractNum>
  <w:abstractNum w:abstractNumId="209">
    <w:nsid w:val="E4B973"/>
    <w:multiLevelType w:val="hybridMultilevel"/>
    <w:lvl w:ilvl="0">
      <w:lvlJc w:val="left"/>
      <w:lvlText w:val="(%1)"/>
      <w:numFmt w:val="lowerLetter"/>
      <w:start w:val="5"/>
    </w:lvl>
  </w:abstractNum>
  <w:abstractNum w:abstractNumId="210">
    <w:nsid w:val="4A0FFA11"/>
    <w:multiLevelType w:val="hybridMultilevel"/>
    <w:lvl w:ilvl="0">
      <w:lvlJc w:val="left"/>
      <w:lvlText w:val="(%1)"/>
      <w:numFmt w:val="lowerLetter"/>
      <w:start w:val="9"/>
    </w:lvl>
  </w:abstractNum>
  <w:abstractNum w:abstractNumId="211">
    <w:nsid w:val="5E446208"/>
    <w:multiLevelType w:val="hybridMultilevel"/>
    <w:lvl w:ilvl="0">
      <w:lvlJc w:val="left"/>
      <w:lvlText w:val="(%1)"/>
      <w:numFmt w:val="lowerLetter"/>
      <w:start w:val="23"/>
    </w:lvl>
  </w:abstractNum>
  <w:abstractNum w:abstractNumId="212">
    <w:nsid w:val="5F3272DB"/>
    <w:multiLevelType w:val="hybridMultilevel"/>
    <w:lvl w:ilvl="0">
      <w:lvlJc w:val="left"/>
      <w:lvlText w:val="(%1)"/>
      <w:numFmt w:val="lowerLetter"/>
      <w:start w:val="27"/>
    </w:lvl>
  </w:abstractNum>
  <w:abstractNum w:abstractNumId="213">
    <w:nsid w:val="7616D704"/>
    <w:multiLevelType w:val="hybridMultilevel"/>
    <w:lvl w:ilvl="0">
      <w:lvlJc w:val="left"/>
      <w:lvlText w:val="(%1)"/>
      <w:numFmt w:val="lowerLetter"/>
      <w:start w:val="36"/>
    </w:lvl>
  </w:abstractNum>
  <w:abstractNum w:abstractNumId="214">
    <w:nsid w:val="C56F860"/>
    <w:multiLevelType w:val="hybridMultilevel"/>
    <w:lvl w:ilvl="0">
      <w:lvlJc w:val="left"/>
      <w:lvlText w:val="(%1)"/>
      <w:numFmt w:val="lowerLetter"/>
      <w:start w:val="1"/>
    </w:lvl>
  </w:abstractNum>
  <w:abstractNum w:abstractNumId="215">
    <w:nsid w:val="64D17722"/>
    <w:multiLevelType w:val="hybridMultilevel"/>
    <w:lvl w:ilvl="0">
      <w:lvlJc w:val="left"/>
      <w:lvlText w:val="%1"/>
      <w:numFmt w:val="upperLetter"/>
      <w:start w:val="1"/>
    </w:lvl>
    <w:lvl w:ilvl="1">
      <w:lvlJc w:val="left"/>
      <w:lvlText w:val="(%2)"/>
      <w:numFmt w:val="lowerRoman"/>
      <w:start w:val="1"/>
    </w:lvl>
  </w:abstractNum>
  <w:abstractNum w:abstractNumId="216">
    <w:nsid w:val="7924CA0A"/>
    <w:multiLevelType w:val="hybridMultilevel"/>
    <w:lvl w:ilvl="0">
      <w:lvlJc w:val="left"/>
      <w:lvlText w:val="(%1)"/>
      <w:numFmt w:val="upperLetter"/>
      <w:start w:val="3"/>
    </w:lvl>
    <w:lvl w:ilvl="1">
      <w:lvlJc w:val="left"/>
      <w:lvlText w:val="(%2)"/>
      <w:numFmt w:val="lowerRoman"/>
      <w:start w:val="3"/>
    </w:lvl>
  </w:abstractNum>
  <w:abstractNum w:abstractNumId="217">
    <w:nsid w:val="CFD4EA7"/>
    <w:multiLevelType w:val="hybridMultilevel"/>
    <w:lvl w:ilvl="0">
      <w:lvlJc w:val="left"/>
      <w:lvlText w:val="(%1)"/>
      <w:numFmt w:val="lowerRoman"/>
      <w:start w:val="5"/>
    </w:lvl>
  </w:abstractNum>
  <w:abstractNum w:abstractNumId="218">
    <w:nsid w:val="232FCF4D"/>
    <w:multiLevelType w:val="hybridMultilevel"/>
    <w:lvl w:ilvl="0">
      <w:lvlJc w:val="left"/>
      <w:lvlText w:val="(%1)"/>
      <w:numFmt w:val="lowerLetter"/>
      <w:start w:val="2"/>
    </w:lvl>
  </w:abstractNum>
  <w:abstractNum w:abstractNumId="219">
    <w:nsid w:val="1EA21031"/>
    <w:multiLevelType w:val="hybridMultilevel"/>
    <w:lvl w:ilvl="0">
      <w:lvlJc w:val="left"/>
      <w:lvlText w:val="(%1)"/>
      <w:numFmt w:val="lowerRoman"/>
      <w:start w:val="1"/>
    </w:lvl>
  </w:abstractNum>
  <w:abstractNum w:abstractNumId="220">
    <w:nsid w:val="67A5A6B5"/>
    <w:multiLevelType w:val="hybridMultilevel"/>
    <w:lvl w:ilvl="0">
      <w:lvlJc w:val="left"/>
      <w:lvlText w:val="(%1)"/>
      <w:numFmt w:val="lowerRoman"/>
      <w:start w:val="4"/>
    </w:lvl>
  </w:abstractNum>
  <w:abstractNum w:abstractNumId="221">
    <w:nsid w:val="C2A5C5B"/>
    <w:multiLevelType w:val="hybridMultilevel"/>
    <w:lvl w:ilvl="0">
      <w:lvlJc w:val="left"/>
      <w:lvlText w:val="(%1)"/>
      <w:numFmt w:val="lowerLetter"/>
      <w:start w:val="1"/>
    </w:lvl>
  </w:abstractNum>
  <w:abstractNum w:abstractNumId="222">
    <w:nsid w:val="5F94DC03"/>
    <w:multiLevelType w:val="hybridMultilevel"/>
    <w:lvl w:ilvl="0">
      <w:lvlJc w:val="left"/>
      <w:lvlText w:val="(%1)"/>
      <w:numFmt w:val="lowerLetter"/>
      <w:start w:val="2"/>
    </w:lvl>
  </w:abstractNum>
  <w:abstractNum w:abstractNumId="223">
    <w:nsid w:val="237BBCA0"/>
    <w:multiLevelType w:val="hybridMultilevel"/>
    <w:lvl w:ilvl="0">
      <w:lvlJc w:val="left"/>
      <w:lvlText w:val="(%1)"/>
      <w:numFmt w:val="lowerLetter"/>
      <w:start w:val="4"/>
    </w:lvl>
  </w:abstractNum>
  <w:abstractNum w:abstractNumId="224">
    <w:nsid w:val="162EB70D"/>
    <w:multiLevelType w:val="hybridMultilevel"/>
    <w:lvl w:ilvl="0">
      <w:lvlJc w:val="left"/>
      <w:lvlText w:val="(%1)"/>
      <w:numFmt w:val="lowerLetter"/>
      <w:start w:val="10"/>
    </w:lvl>
  </w:abstractNum>
  <w:abstractNum w:abstractNumId="225">
    <w:nsid w:val="78070222"/>
    <w:multiLevelType w:val="hybridMultilevel"/>
    <w:lvl w:ilvl="0">
      <w:lvlJc w:val="left"/>
      <w:lvlText w:val="(%1)"/>
      <w:numFmt w:val="lowerLetter"/>
      <w:start w:val="23"/>
    </w:lvl>
  </w:abstractNum>
  <w:abstractNum w:abstractNumId="226">
    <w:nsid w:val="6163ED0D"/>
    <w:multiLevelType w:val="hybridMultilevel"/>
    <w:lvl w:ilvl="0">
      <w:lvlJc w:val="left"/>
      <w:lvlText w:val="(%1)"/>
      <w:numFmt w:val="lowerLetter"/>
      <w:start w:val="27"/>
    </w:lvl>
  </w:abstractNum>
  <w:abstractNum w:abstractNumId="227">
    <w:nsid w:val="C600E47"/>
    <w:multiLevelType w:val="hybridMultilevel"/>
    <w:lvl w:ilvl="0">
      <w:lvlJc w:val="left"/>
      <w:lvlText w:val="(%1)"/>
      <w:numFmt w:val="lowerLetter"/>
      <w:start w:val="32"/>
    </w:lvl>
  </w:abstractNum>
  <w:abstractNum w:abstractNumId="228">
    <w:nsid w:val="7D94F75D"/>
    <w:multiLevelType w:val="hybridMultilevel"/>
    <w:lvl w:ilvl="0">
      <w:lvlJc w:val="left"/>
      <w:lvlText w:val="."/>
      <w:numFmt w:val="bullet"/>
      <w:start w:val="1"/>
    </w:lvl>
  </w:abstractNum>
  <w:abstractNum w:abstractNumId="229">
    <w:nsid w:val="6C31E7CD"/>
    <w:multiLevelType w:val="hybridMultilevel"/>
    <w:lvl w:ilvl="0">
      <w:lvlJc w:val="left"/>
      <w:lvlText w:val="(%1)"/>
      <w:numFmt w:val="lowerLetter"/>
      <w:start w:val="1"/>
    </w:lvl>
  </w:abstractNum>
  <w:abstractNum w:abstractNumId="230">
    <w:nsid w:val="2BB7929B"/>
    <w:multiLevelType w:val="hybridMultilevel"/>
    <w:lvl w:ilvl="0">
      <w:lvlJc w:val="left"/>
      <w:lvlText w:val="(%1)"/>
      <w:numFmt w:val="lowerLetter"/>
      <w:start w:val="8"/>
    </w:lvl>
  </w:abstractNum>
  <w:abstractNum w:abstractNumId="231">
    <w:nsid w:val="58A2A487"/>
    <w:multiLevelType w:val="hybridMultilevel"/>
    <w:lvl w:ilvl="0">
      <w:lvlJc w:val="left"/>
      <w:lvlText w:val="%1"/>
      <w:numFmt w:val="lowerLetter"/>
      <w:start w:val="1"/>
    </w:lvl>
    <w:lvl w:ilvl="1">
      <w:lvlJc w:val="left"/>
      <w:lvlText w:val="(%2)"/>
      <w:numFmt w:val="lowerLetter"/>
      <w:start w:val="16"/>
    </w:lvl>
  </w:abstractNum>
  <w:abstractNum w:abstractNumId="232">
    <w:nsid w:val="3A6F0E78"/>
    <w:multiLevelType w:val="hybridMultilevel"/>
    <w:lvl w:ilvl="0">
      <w:lvlJc w:val="left"/>
      <w:lvlText w:val="(%1)"/>
      <w:numFmt w:val="lowerLetter"/>
      <w:start w:val="25"/>
    </w:lvl>
    <w:lvl w:ilvl="1">
      <w:lvlJc w:val="left"/>
      <w:lvlText w:val="(%2)"/>
      <w:numFmt w:val="lowerLetter"/>
      <w:start w:val="20"/>
    </w:lvl>
  </w:abstractNum>
  <w:abstractNum w:abstractNumId="233">
    <w:nsid w:val="379A5B56"/>
    <w:multiLevelType w:val="hybridMultilevel"/>
    <w:lvl w:ilvl="0">
      <w:lvlJc w:val="left"/>
      <w:lvlText w:val="(%1)"/>
      <w:numFmt w:val="lowerLetter"/>
      <w:start w:val="28"/>
    </w:lvl>
  </w:abstractNum>
  <w:abstractNum w:abstractNumId="234">
    <w:nsid w:val="53B735D5"/>
    <w:multiLevelType w:val="hybridMultilevel"/>
    <w:lvl w:ilvl="0">
      <w:lvlJc w:val="left"/>
      <w:lvlText w:val="(%1)"/>
      <w:numFmt w:val="lowerLetter"/>
      <w:start w:val="1"/>
    </w:lvl>
  </w:abstractNum>
  <w:abstractNum w:abstractNumId="235">
    <w:nsid w:val="29784870"/>
    <w:multiLevelType w:val="hybridMultilevel"/>
    <w:lvl w:ilvl="0">
      <w:lvlJc w:val="left"/>
      <w:lvlText w:val="(%1)"/>
      <w:numFmt w:val="lowerRoman"/>
      <w:start w:val="1"/>
    </w:lvl>
  </w:abstractNum>
  <w:abstractNum w:abstractNumId="236">
    <w:nsid w:val="4CDCED4C"/>
    <w:multiLevelType w:val="hybridMultilevel"/>
    <w:lvl w:ilvl="0">
      <w:lvlJc w:val="left"/>
      <w:lvlText w:val="(%1)"/>
      <w:numFmt w:val="lowerRoman"/>
      <w:start w:val="6"/>
    </w:lvl>
  </w:abstractNum>
  <w:abstractNum w:abstractNumId="237">
    <w:nsid w:val="10A30D9C"/>
    <w:multiLevelType w:val="hybridMultilevel"/>
    <w:lvl w:ilvl="0">
      <w:lvlJc w:val="left"/>
      <w:lvlText w:val="%1"/>
      <w:numFmt w:val="lowerLetter"/>
      <w:start w:val="1"/>
    </w:lvl>
    <w:lvl w:ilvl="1">
      <w:lvlJc w:val="left"/>
      <w:lvlText w:val="(%2)"/>
      <w:numFmt w:val="lowerRoman"/>
      <w:start w:val="12"/>
    </w:lvl>
  </w:abstractNum>
  <w:abstractNum w:abstractNumId="238">
    <w:nsid w:val="A66E486"/>
    <w:multiLevelType w:val="hybridMultilevel"/>
    <w:lvl w:ilvl="0">
      <w:lvlJc w:val="left"/>
      <w:lvlText w:val="(%1)"/>
      <w:numFmt w:val="lowerLetter"/>
      <w:start w:val="8"/>
    </w:lvl>
    <w:lvl w:ilvl="1">
      <w:lvlJc w:val="left"/>
      <w:lvlText w:val="(%2)"/>
      <w:numFmt w:val="lowerRoman"/>
      <w:start w:val="15"/>
    </w:lvl>
  </w:abstractNum>
  <w:abstractNum w:abstractNumId="239">
    <w:nsid w:val="306235EA"/>
    <w:multiLevelType w:val="hybridMultilevel"/>
    <w:lvl w:ilvl="0">
      <w:lvlJc w:val="left"/>
      <w:lvlText w:val="(%1)"/>
      <w:numFmt w:val="lowerRoman"/>
      <w:start w:val="20"/>
    </w:lvl>
  </w:abstractNum>
  <w:abstractNum w:abstractNumId="240">
    <w:nsid w:val="1187C70F"/>
    <w:multiLevelType w:val="hybridMultilevel"/>
    <w:lvl w:ilvl="0">
      <w:lvlJc w:val="left"/>
      <w:lvlText w:val="(%1)"/>
      <w:numFmt w:val="lowerLetter"/>
      <w:start w:val="2"/>
    </w:lvl>
  </w:abstractNum>
  <w:abstractNum w:abstractNumId="241">
    <w:nsid w:val="5476DE98"/>
    <w:multiLevelType w:val="hybridMultilevel"/>
    <w:lvl w:ilvl="0">
      <w:lvlJc w:val="left"/>
      <w:lvlText w:val="(%1)"/>
      <w:numFmt w:val="lowerRoman"/>
      <w:start w:val="1"/>
    </w:lvl>
  </w:abstractNum>
  <w:abstractNum w:abstractNumId="242">
    <w:nsid w:val="EA697F2"/>
    <w:multiLevelType w:val="hybridMultilevel"/>
    <w:lvl w:ilvl="0">
      <w:lvlJc w:val="left"/>
      <w:lvlText w:val="%1"/>
      <w:numFmt w:val="lowerLetter"/>
      <w:start w:val="1"/>
    </w:lvl>
    <w:lvl w:ilvl="1">
      <w:lvlJc w:val="left"/>
      <w:lvlText w:val="(%2)"/>
      <w:numFmt w:val="lowerRoman"/>
      <w:start w:val="6"/>
    </w:lvl>
  </w:abstractNum>
  <w:abstractNum w:abstractNumId="243">
    <w:nsid w:val="70BA39EB"/>
    <w:multiLevelType w:val="hybridMultilevel"/>
    <w:lvl w:ilvl="0">
      <w:lvlJc w:val="left"/>
      <w:lvlText w:val="(%1)"/>
      <w:numFmt w:val="lowerLetter"/>
      <w:start w:val="25"/>
    </w:lvl>
    <w:lvl w:ilvl="1">
      <w:lvlJc w:val="left"/>
      <w:lvlText w:val="(%2)"/>
      <w:numFmt w:val="lowerRoman"/>
      <w:start w:val="7"/>
    </w:lvl>
  </w:abstractNum>
  <w:abstractNum w:abstractNumId="244">
    <w:nsid w:val="4A8DB59C"/>
    <w:multiLevelType w:val="hybridMultilevel"/>
    <w:lvl w:ilvl="0">
      <w:lvlJc w:val="left"/>
      <w:lvlText w:val="."/>
      <w:numFmt w:val="bullet"/>
      <w:start w:val="1"/>
    </w:lvl>
  </w:abstractNum>
  <w:abstractNum w:abstractNumId="245">
    <w:nsid w:val="1AFD9053"/>
    <w:multiLevelType w:val="hybridMultilevel"/>
    <w:lvl w:ilvl="0">
      <w:lvlJc w:val="left"/>
      <w:lvlText w:val="(%1)"/>
      <w:numFmt w:val="lowerLetter"/>
      <w:start w:val="1"/>
    </w:lvl>
  </w:abstractNum>
  <w:abstractNum w:abstractNumId="246">
    <w:nsid w:val="558BB10D"/>
    <w:multiLevelType w:val="hybridMultilevel"/>
    <w:lvl w:ilvl="0">
      <w:lvlJc w:val="left"/>
      <w:lvlText w:val="(%1)"/>
      <w:numFmt w:val="lowerLetter"/>
      <w:start w:val="3"/>
    </w:lvl>
  </w:abstractNum>
  <w:abstractNum w:abstractNumId="247">
    <w:nsid w:val="43B27FA7"/>
    <w:multiLevelType w:val="hybridMultilevel"/>
    <w:lvl w:ilvl="0">
      <w:lvlJc w:val="left"/>
      <w:lvlText w:val="(%1)"/>
      <w:numFmt w:val="lowerLetter"/>
      <w:start w:val="16"/>
    </w:lvl>
  </w:abstractNum>
  <w:abstractNum w:abstractNumId="248">
    <w:nsid w:val="27FADEFA"/>
    <w:multiLevelType w:val="hybridMultilevel"/>
    <w:lvl w:ilvl="0">
      <w:lvlJc w:val="left"/>
      <w:lvlText w:val="."/>
      <w:numFmt w:val="bullet"/>
      <w:start w:val="1"/>
    </w:lvl>
  </w:abstractNum>
  <w:abstractNum w:abstractNumId="249">
    <w:nsid w:val="78BB805A"/>
    <w:multiLevelType w:val="hybridMultilevel"/>
    <w:lvl w:ilvl="0">
      <w:lvlJc w:val="left"/>
      <w:lvlText w:val="(%1)"/>
      <w:numFmt w:val="lowerRoman"/>
      <w:start w:val="1"/>
    </w:lvl>
  </w:abstractNum>
  <w:abstractNum w:abstractNumId="250">
    <w:nsid w:val="62548FD8"/>
    <w:multiLevelType w:val="hybridMultilevel"/>
    <w:lvl w:ilvl="0">
      <w:lvlJc w:val="left"/>
      <w:lvlText w:val="(%1)"/>
      <w:numFmt w:val="lowerRoman"/>
      <w:start w:val="2"/>
    </w:lvl>
  </w:abstractNum>
  <w:abstractNum w:abstractNumId="251">
    <w:nsid w:val="FA085B0"/>
    <w:multiLevelType w:val="hybridMultilevel"/>
    <w:lvl w:ilvl="0">
      <w:lvlJc w:val="left"/>
      <w:lvlText w:val="(%1)"/>
      <w:numFmt w:val="lowerRoman"/>
      <w:start w:val="12"/>
    </w:lvl>
  </w:abstractNum>
  <w:abstractNum w:abstractNumId="252">
    <w:nsid w:val="4E5DCB5"/>
    <w:multiLevelType w:val="hybridMultilevel"/>
    <w:lvl w:ilvl="0">
      <w:lvlJc w:val="left"/>
      <w:lvlText w:val="."/>
      <w:numFmt w:val="bullet"/>
      <w:start w:val="1"/>
    </w:lvl>
  </w:abstractNum>
  <w:abstractNum w:abstractNumId="253">
    <w:nsid w:val="41E96BDB"/>
    <w:multiLevelType w:val="hybridMultilevel"/>
    <w:lvl w:ilvl="0">
      <w:lvlJc w:val="left"/>
      <w:lvlText w:val="."/>
      <w:numFmt w:val="bullet"/>
      <w:start w:val="1"/>
    </w:lvl>
  </w:abstractNum>
  <w:abstractNum w:abstractNumId="254">
    <w:nsid w:val="331C4250"/>
    <w:multiLevelType w:val="hybridMultilevel"/>
    <w:lvl w:ilvl="0">
      <w:lvlJc w:val="left"/>
      <w:lvlText w:val="(%1)"/>
      <w:numFmt w:val="lowerLetter"/>
      <w:start w:val="1"/>
    </w:lvl>
    <w:lvl w:ilvl="1">
      <w:lvlJc w:val="left"/>
      <w:lvlText w:val="(%2)"/>
      <w:numFmt w:val="lowerRoman"/>
      <w:start w:val="1"/>
    </w:lvl>
  </w:abstractNum>
  <w:abstractNum w:abstractNumId="255">
    <w:nsid w:val="1B1493C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3"/>
    </w:lvl>
  </w:abstractNum>
  <w:abstractNum w:abstractNumId="256">
    <w:nsid w:val="39F06DF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9"/>
    </w:lvl>
    <w:lvl w:ilvl="3">
      <w:lvlJc w:val="left"/>
      <w:lvlText w:val="%4"/>
      <w:numFmt w:val="lowerRoman"/>
      <w:start w:val="1"/>
    </w:lvl>
  </w:abstractNum>
  <w:abstractNum w:abstractNumId="257">
    <w:nsid w:val="14802F5D"/>
    <w:multiLevelType w:val="hybridMultilevel"/>
    <w:lvl w:ilvl="0">
      <w:lvlJc w:val="left"/>
      <w:lvlText w:val="%1"/>
      <w:numFmt w:val="lowerLetter"/>
      <w:start w:val="1"/>
    </w:lvl>
    <w:lvl w:ilvl="1">
      <w:lvlJc w:val="left"/>
      <w:lvlText w:val="(%2)"/>
      <w:numFmt w:val="lowerRoman"/>
      <w:start w:val="10"/>
    </w:lvl>
    <w:lvl w:ilvl="2">
      <w:lvlJc w:val="left"/>
      <w:lvlText w:val="%3"/>
      <w:numFmt w:val="lowerRoman"/>
      <w:start w:val="1"/>
    </w:lvl>
    <w:lvl w:ilvl="3">
      <w:lvlJc w:val="left"/>
      <w:lvlText w:val="(%4)"/>
      <w:numFmt w:val="lowerRoman"/>
      <w:start w:val="11"/>
    </w:lvl>
  </w:abstractNum>
  <w:abstractNum w:abstractNumId="258">
    <w:nsid w:val="2774A20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259">
    <w:nsid w:val="3785655A"/>
    <w:multiLevelType w:val="hybridMultilevel"/>
    <w:lvl w:ilvl="0">
      <w:lvlJc w:val="left"/>
      <w:lvlText w:val="(%1)"/>
      <w:numFmt w:val="lowerRoman"/>
      <w:start w:val="1"/>
    </w:lvl>
  </w:abstractNum>
  <w:abstractNum w:abstractNumId="260">
    <w:nsid w:val="B2172A"/>
    <w:multiLevelType w:val="hybridMultilevel"/>
    <w:lvl w:ilvl="0">
      <w:lvlJc w:val="left"/>
      <w:lvlText w:val="(%1)"/>
      <w:numFmt w:val="lowerLetter"/>
      <w:start w:val="1"/>
    </w:lvl>
  </w:abstractNum>
  <w:abstractNum w:abstractNumId="261">
    <w:nsid w:val="532C34A5"/>
    <w:multiLevelType w:val="hybridMultilevel"/>
    <w:lvl w:ilvl="0">
      <w:lvlJc w:val="left"/>
      <w:lvlText w:val="(%1)"/>
      <w:numFmt w:val="lowerLetter"/>
      <w:start w:val="7"/>
    </w:lvl>
  </w:abstractNum>
  <w:abstractNum w:abstractNumId="262">
    <w:nsid w:val="102809E2"/>
    <w:multiLevelType w:val="hybridMultilevel"/>
    <w:lvl w:ilvl="0">
      <w:lvlJc w:val="left"/>
      <w:lvlText w:val="(%1)"/>
      <w:numFmt w:val="lowerLetter"/>
      <w:start w:val="9"/>
    </w:lvl>
  </w:abstractNum>
  <w:abstractNum w:abstractNumId="263">
    <w:nsid w:val="3B2125A3"/>
    <w:multiLevelType w:val="hybridMultilevel"/>
    <w:lvl w:ilvl="0">
      <w:lvlJc w:val="left"/>
      <w:lvlText w:val="(%1)"/>
      <w:numFmt w:val="lowerLetter"/>
      <w:start w:val="14"/>
    </w:lvl>
  </w:abstractNum>
  <w:abstractNum w:abstractNumId="264">
    <w:nsid w:val="AC68FFB"/>
    <w:multiLevelType w:val="hybridMultilevel"/>
    <w:lvl w:ilvl="0">
      <w:lvlJc w:val="left"/>
      <w:lvlText w:val="(%1)"/>
      <w:numFmt w:val="lowerLetter"/>
      <w:start w:val="1"/>
    </w:lvl>
  </w:abstractNum>
  <w:abstractNum w:abstractNumId="265">
    <w:nsid w:val="63DF3FB7"/>
    <w:multiLevelType w:val="hybridMultilevel"/>
    <w:lvl w:ilvl="0">
      <w:lvlJc w:val="left"/>
      <w:lvlText w:val="(%1)"/>
      <w:numFmt w:val="lowerRoman"/>
      <w:start w:val="1"/>
    </w:lvl>
  </w:abstractNum>
  <w:abstractNum w:abstractNumId="266">
    <w:nsid w:val="64996E13"/>
    <w:multiLevelType w:val="hybridMultilevel"/>
    <w:lvl w:ilvl="0">
      <w:lvlJc w:val="left"/>
      <w:lvlText w:val="(%1)"/>
      <w:numFmt w:val="lowerLetter"/>
      <w:start w:val="1"/>
    </w:lvl>
  </w:abstractNum>
  <w:abstractNum w:abstractNumId="267">
    <w:nsid w:val="57A37D47"/>
    <w:multiLevelType w:val="hybridMultilevel"/>
    <w:lvl w:ilvl="0">
      <w:lvlJc w:val="left"/>
      <w:lvlText w:val="(%1)"/>
      <w:numFmt w:val="lowerRoman"/>
      <w:start w:val="3"/>
    </w:lvl>
  </w:abstractNum>
  <w:abstractNum w:abstractNumId="268">
    <w:nsid w:val="74824D54"/>
    <w:multiLevelType w:val="hybridMultilevel"/>
    <w:lvl w:ilvl="0">
      <w:lvlJc w:val="left"/>
      <w:lvlText w:val="(%1)"/>
      <w:numFmt w:val="lowerLetter"/>
      <w:start w:val="1"/>
    </w:lvl>
  </w:abstractNum>
  <w:abstractNum w:abstractNumId="269">
    <w:nsid w:val="6F00529A"/>
    <w:multiLevelType w:val="hybridMultilevel"/>
    <w:lvl w:ilvl="0">
      <w:lvlJc w:val="left"/>
      <w:lvlText w:val="(%1)"/>
      <w:numFmt w:val="lowerLetter"/>
      <w:start w:val="5"/>
    </w:lvl>
  </w:abstractNum>
  <w:abstractNum w:abstractNumId="270">
    <w:nsid w:val="805B331"/>
    <w:multiLevelType w:val="hybridMultilevel"/>
    <w:lvl w:ilvl="0">
      <w:lvlJc w:val="left"/>
      <w:lvlText w:val="(%1)"/>
      <w:numFmt w:val="lowerLetter"/>
      <w:start w:val="1"/>
    </w:lvl>
  </w:abstractNum>
  <w:abstractNum w:abstractNumId="271">
    <w:nsid w:val="60A1463"/>
    <w:multiLevelType w:val="hybridMultilevel"/>
    <w:lvl w:ilvl="0">
      <w:lvlJc w:val="left"/>
      <w:lvlText w:val="(%1)"/>
      <w:numFmt w:val="lowerLetter"/>
      <w:start w:val="1"/>
    </w:lvl>
  </w:abstractNum>
  <w:abstractNum w:abstractNumId="272">
    <w:nsid w:val="43773132"/>
    <w:multiLevelType w:val="hybridMultilevel"/>
    <w:lvl w:ilvl="0">
      <w:lvlJc w:val="left"/>
      <w:lvlText w:val="(%1)"/>
      <w:numFmt w:val="lowerRoman"/>
      <w:start w:val="1"/>
    </w:lvl>
  </w:abstractNum>
  <w:abstractNum w:abstractNumId="273">
    <w:nsid w:val="16AC4B23"/>
    <w:multiLevelType w:val="hybridMultilevel"/>
    <w:lvl w:ilvl="0">
      <w:lvlJc w:val="left"/>
      <w:lvlText w:val="(%1)"/>
      <w:numFmt w:val="lowerLetter"/>
      <w:start w:val="2"/>
    </w:lvl>
  </w:abstractNum>
  <w:abstractNum w:abstractNumId="274">
    <w:nsid w:val="76C44E4E"/>
    <w:multiLevelType w:val="hybridMultilevel"/>
    <w:lvl w:ilvl="0">
      <w:lvlJc w:val="left"/>
      <w:lvlText w:val="(%1)"/>
      <w:numFmt w:val="lowerLetter"/>
      <w:start w:val="1"/>
    </w:lvl>
  </w:abstractNum>
  <w:abstractNum w:abstractNumId="275">
    <w:nsid w:val="E04E6CE"/>
    <w:multiLevelType w:val="hybridMultilevel"/>
    <w:lvl w:ilvl="0">
      <w:lvlJc w:val="left"/>
      <w:lvlText w:val="(%1)"/>
      <w:numFmt w:val="lowerLetter"/>
      <w:start w:val="3"/>
    </w:lvl>
  </w:abstractNum>
  <w:abstractNum w:abstractNumId="276">
    <w:nsid w:val="31A9DB76"/>
    <w:multiLevelType w:val="hybridMultilevel"/>
    <w:lvl w:ilvl="0">
      <w:lvlJc w:val="left"/>
      <w:lvlText w:val="%1"/>
      <w:numFmt w:val="lowerLetter"/>
      <w:start w:val="1"/>
    </w:lvl>
    <w:lvl w:ilvl="1">
      <w:lvlJc w:val="left"/>
      <w:lvlText w:val="(%2)"/>
      <w:numFmt w:val="lowerLetter"/>
      <w:start w:val="2"/>
    </w:lvl>
  </w:abstractNum>
  <w:abstractNum w:abstractNumId="277">
    <w:nsid w:val="4C4FFF5B"/>
    <w:multiLevelType w:val="hybridMultilevel"/>
    <w:lvl w:ilvl="0">
      <w:lvlJc w:val="left"/>
      <w:lvlText w:val="(%1)"/>
      <w:numFmt w:val="lowerLetter"/>
      <w:start w:val="35"/>
    </w:lvl>
    <w:lvl w:ilvl="1">
      <w:lvlJc w:val="left"/>
      <w:lvlText w:val="%2"/>
      <w:numFmt w:val="lowerLetter"/>
      <w:start w:val="1"/>
    </w:lvl>
  </w:abstractNum>
  <w:abstractNum w:abstractNumId="278">
    <w:nsid w:val="51B76675"/>
    <w:multiLevelType w:val="hybridMultilevel"/>
    <w:lvl w:ilvl="0">
      <w:lvlJc w:val="left"/>
      <w:lvlText w:val="(%1)"/>
      <w:numFmt w:val="lowerLetter"/>
      <w:start w:val="23"/>
    </w:lvl>
  </w:abstractNum>
  <w:abstractNum w:abstractNumId="279">
    <w:nsid w:val="59A4BA71"/>
    <w:multiLevelType w:val="hybridMultilevel"/>
    <w:lvl w:ilvl="0">
      <w:lvlJc w:val="left"/>
      <w:lvlText w:val="(%1)"/>
      <w:numFmt w:val="lowerLetter"/>
      <w:start w:val="3"/>
    </w:lvl>
  </w:abstractNum>
  <w:abstractNum w:abstractNumId="280">
    <w:nsid w:val="450B7FB6"/>
    <w:multiLevelType w:val="hybridMultilevel"/>
    <w:lvl w:ilvl="0">
      <w:lvlJc w:val="left"/>
      <w:lvlText w:val="(%1)"/>
      <w:numFmt w:val="lowerLetter"/>
      <w:start w:val="5"/>
    </w:lvl>
  </w:abstractNum>
  <w:abstractNum w:abstractNumId="281">
    <w:nsid w:val="340BF64D"/>
    <w:multiLevelType w:val="hybridMultilevel"/>
    <w:lvl w:ilvl="0">
      <w:lvlJc w:val="left"/>
      <w:lvlText w:val="%1"/>
      <w:numFmt w:val="lowerLetter"/>
      <w:start w:val="1"/>
    </w:lvl>
    <w:lvl w:ilvl="1">
      <w:lvlJc w:val="left"/>
      <w:lvlText w:val="(%2)"/>
      <w:numFmt w:val="lowerLetter"/>
      <w:start w:val="7"/>
    </w:lvl>
  </w:abstractNum>
  <w:abstractNum w:abstractNumId="282">
    <w:nsid w:val="69454021"/>
    <w:multiLevelType w:val="hybridMultilevel"/>
    <w:lvl w:ilvl="0">
      <w:lvlJc w:val="left"/>
      <w:lvlText w:val="(%1)"/>
      <w:numFmt w:val="lowerLetter"/>
      <w:start w:val="35"/>
    </w:lvl>
    <w:lvl w:ilvl="1">
      <w:lvlJc w:val="left"/>
      <w:lvlText w:val="(%2)"/>
      <w:numFmt w:val="lowerLetter"/>
      <w:start w:val="9"/>
    </w:lvl>
  </w:abstractNum>
  <w:abstractNum w:abstractNumId="283">
    <w:nsid w:val="49F15C6B"/>
    <w:multiLevelType w:val="hybridMultilevel"/>
    <w:lvl w:ilvl="0">
      <w:lvlJc w:val="left"/>
      <w:lvlText w:val="(%1)"/>
      <w:numFmt w:val="lowerLetter"/>
      <w:start w:val="10"/>
    </w:lvl>
  </w:abstractNum>
  <w:abstractNum w:abstractNumId="284">
    <w:nsid w:val="75F56228"/>
    <w:multiLevelType w:val="hybridMultilevel"/>
    <w:lvl w:ilvl="0">
      <w:lvlJc w:val="left"/>
      <w:lvlText w:val="(%1)"/>
      <w:numFmt w:val="lowerLetter"/>
      <w:start w:val="61"/>
    </w:lvl>
    <w:lvl w:ilvl="1">
      <w:lvlJc w:val="left"/>
      <w:lvlText w:val="(%2)"/>
      <w:numFmt w:val="lowerLetter"/>
      <w:start w:val="2"/>
    </w:lvl>
  </w:abstractNum>
  <w:abstractNum w:abstractNumId="285">
    <w:nsid w:val="1C618271"/>
    <w:multiLevelType w:val="hybridMultilevel"/>
    <w:lvl w:ilvl="0">
      <w:lvlJc w:val="left"/>
      <w:lvlText w:val="(%1)"/>
      <w:numFmt w:val="lowerLetter"/>
      <w:start w:val="3"/>
    </w:lvl>
  </w:abstractNum>
  <w:abstractNum w:abstractNumId="286">
    <w:nsid w:val="6505F02E"/>
    <w:multiLevelType w:val="hybridMultilevel"/>
    <w:lvl w:ilvl="0">
      <w:lvlJc w:val="left"/>
      <w:lvlText w:val="(%1)"/>
      <w:numFmt w:val="lowerLetter"/>
      <w:start w:val="4"/>
    </w:lvl>
  </w:abstractNum>
  <w:abstractNum w:abstractNumId="287">
    <w:nsid w:val="2FE5D025"/>
    <w:multiLevelType w:val="hybridMultilevel"/>
    <w:lvl w:ilvl="0">
      <w:lvlJc w:val="left"/>
      <w:lvlText w:val="(%1)"/>
      <w:numFmt w:val="lowerLetter"/>
      <w:start w:val="1"/>
    </w:lvl>
  </w:abstractNum>
  <w:abstractNum w:abstractNumId="288">
    <w:nsid w:val="30E1B1CF"/>
    <w:multiLevelType w:val="hybridMultilevel"/>
    <w:lvl w:ilvl="0">
      <w:lvlJc w:val="left"/>
      <w:lvlText w:val="(%1)"/>
      <w:numFmt w:val="lowerLetter"/>
      <w:start w:val="2"/>
    </w:lvl>
  </w:abstractNum>
  <w:abstractNum w:abstractNumId="289">
    <w:nsid w:val="C7A9237"/>
    <w:multiLevelType w:val="hybridMultilevel"/>
    <w:lvl w:ilvl="0">
      <w:lvlJc w:val="left"/>
      <w:lvlText w:val="(%1)"/>
      <w:numFmt w:val="lowerRoman"/>
      <w:start w:val="2"/>
    </w:lvl>
  </w:abstractNum>
  <w:abstractNum w:abstractNumId="290">
    <w:nsid w:val="676B3580"/>
    <w:multiLevelType w:val="hybridMultilevel"/>
    <w:lvl w:ilvl="0">
      <w:lvlJc w:val="left"/>
      <w:lvlText w:val="(%1)"/>
      <w:numFmt w:val="lowerRoman"/>
      <w:start w:val="3"/>
    </w:lvl>
  </w:abstractNum>
  <w:abstractNum w:abstractNumId="291">
    <w:nsid w:val="3193C8F9"/>
    <w:multiLevelType w:val="hybridMultilevel"/>
    <w:lvl w:ilvl="0">
      <w:lvlJc w:val="left"/>
      <w:lvlText w:val="(%1)"/>
      <w:numFmt w:val="lowerRoman"/>
      <w:start w:val="6"/>
    </w:lvl>
    <w:lvl w:ilvl="1">
      <w:lvlJc w:val="left"/>
      <w:lvlText w:val="(%2)"/>
      <w:numFmt w:val="upperLetter"/>
      <w:start w:val="1"/>
    </w:lvl>
  </w:abstractNum>
  <w:abstractNum w:abstractNumId="292">
    <w:nsid w:val="5FA6C6DC"/>
    <w:multiLevelType w:val="hybridMultilevel"/>
    <w:lvl w:ilvl="0">
      <w:lvlJc w:val="left"/>
      <w:lvlText w:val="%1"/>
      <w:numFmt w:val="lowerRoman"/>
      <w:start w:val="1"/>
    </w:lvl>
    <w:lvl w:ilvl="1">
      <w:lvlJc w:val="left"/>
      <w:lvlText w:val="(%2)"/>
      <w:numFmt w:val="upperLetter"/>
      <w:start w:val="5"/>
    </w:lvl>
  </w:abstractNum>
  <w:abstractNum w:abstractNumId="293">
    <w:nsid w:val="77933F62"/>
    <w:multiLevelType w:val="hybridMultilevel"/>
    <w:lvl w:ilvl="0">
      <w:lvlJc w:val="left"/>
      <w:lvlText w:val="(%1)"/>
      <w:numFmt w:val="lowerRoman"/>
      <w:start w:val="8"/>
    </w:lvl>
    <w:lvl w:ilvl="1">
      <w:lvlJc w:val="left"/>
      <w:lvlText w:val="%2"/>
      <w:numFmt w:val="upperLetter"/>
      <w:start w:val="1"/>
    </w:lvl>
  </w:abstractNum>
  <w:abstractNum w:abstractNumId="294">
    <w:nsid w:val="6CB4EE9C"/>
    <w:multiLevelType w:val="hybridMultilevel"/>
    <w:lvl w:ilvl="0">
      <w:lvlJc w:val="left"/>
      <w:lvlText w:val="(%1)"/>
      <w:numFmt w:val="lowerLetter"/>
      <w:start w:val="3"/>
    </w:lvl>
  </w:abstractNum>
  <w:abstractNum w:abstractNumId="295">
    <w:nsid w:val="6A6D56D7"/>
    <w:multiLevelType w:val="hybridMultilevel"/>
    <w:lvl w:ilvl="0">
      <w:lvlJc w:val="left"/>
      <w:lvlText w:val="(%1)"/>
      <w:numFmt w:val="lowerLetter"/>
      <w:start w:val="4"/>
    </w:lvl>
  </w:abstractNum>
  <w:abstractNum w:abstractNumId="296">
    <w:nsid w:val="5B727F19"/>
    <w:multiLevelType w:val="hybridMultilevel"/>
    <w:lvl w:ilvl="0">
      <w:lvlJc w:val="left"/>
      <w:lvlText w:val="(%1)"/>
      <w:numFmt w:val="lowerLetter"/>
      <w:start w:val="6"/>
    </w:lvl>
  </w:abstractNum>
  <w:abstractNum w:abstractNumId="297">
    <w:nsid w:val="514E5CB0"/>
    <w:multiLevelType w:val="hybridMultilevel"/>
    <w:lvl w:ilvl="0">
      <w:lvlJc w:val="left"/>
      <w:lvlText w:val="(%1)"/>
      <w:numFmt w:val="lowerLetter"/>
      <w:start w:val="1"/>
    </w:lvl>
  </w:abstractNum>
  <w:abstractNum w:abstractNumId="298">
    <w:nsid w:val="4210D41E"/>
    <w:multiLevelType w:val="hybridMultilevel"/>
    <w:lvl w:ilvl="0">
      <w:lvlJc w:val="left"/>
      <w:lvlText w:val="(%1)"/>
      <w:numFmt w:val="lowerLetter"/>
      <w:start w:val="1"/>
    </w:lvl>
  </w:abstractNum>
  <w:abstractNum w:abstractNumId="299">
    <w:nsid w:val="4FF4CC6D"/>
    <w:multiLevelType w:val="hybridMultilevel"/>
    <w:lvl w:ilvl="0">
      <w:lvlJc w:val="left"/>
      <w:lvlText w:val="(%1)"/>
      <w:numFmt w:val="lowerLetter"/>
      <w:start w:val="1"/>
    </w:lvl>
  </w:abstractNum>
  <w:abstractNum w:abstractNumId="300">
    <w:nsid w:val="404EAF4A"/>
    <w:multiLevelType w:val="hybridMultilevel"/>
    <w:lvl w:ilvl="0">
      <w:lvlJc w:val="left"/>
      <w:lvlText w:val="(%1)"/>
      <w:numFmt w:val="lowerLetter"/>
      <w:start w:val="2"/>
    </w:lvl>
  </w:abstractNum>
  <w:abstractNum w:abstractNumId="301">
    <w:nsid w:val="4A16874F"/>
    <w:multiLevelType w:val="hybridMultilevel"/>
    <w:lvl w:ilvl="0">
      <w:lvlJc w:val="left"/>
      <w:lvlText w:val="(%1)"/>
      <w:numFmt w:val="lowerLetter"/>
      <w:start w:val="1"/>
    </w:lvl>
  </w:abstractNum>
  <w:abstractNum w:abstractNumId="302">
    <w:nsid w:val="55FEE0D1"/>
    <w:multiLevelType w:val="hybridMultilevel"/>
    <w:lvl w:ilvl="0">
      <w:lvlJc w:val="left"/>
      <w:lvlText w:val="(%1)"/>
      <w:numFmt w:val="lowerRoman"/>
      <w:start w:val="1"/>
    </w:lvl>
  </w:abstractNum>
  <w:abstractNum w:abstractNumId="303">
    <w:nsid w:val="3C5E07C"/>
    <w:multiLevelType w:val="hybridMultilevel"/>
    <w:lvl w:ilvl="0">
      <w:lvlJc w:val="left"/>
      <w:lvlText w:val="%1."/>
      <w:numFmt w:val="lowerLetter"/>
      <w:start w:val="1"/>
    </w:lvl>
  </w:abstractNum>
  <w:abstractNum w:abstractNumId="304">
    <w:nsid w:val="60C2D273"/>
    <w:multiLevelType w:val="hybridMultilevel"/>
    <w:lvl w:ilvl="0">
      <w:lvlJc w:val="left"/>
      <w:lvlText w:val="%1."/>
      <w:numFmt w:val="lowerLetter"/>
      <w:start w:val="3"/>
    </w:lvl>
  </w:abstractNum>
  <w:abstractNum w:abstractNumId="305">
    <w:nsid w:val="4CC32F1F"/>
    <w:multiLevelType w:val="hybridMultilevel"/>
    <w:lvl w:ilvl="0">
      <w:lvlJc w:val="left"/>
      <w:lvlText w:val="%1."/>
      <w:numFmt w:val="lowerLetter"/>
      <w:start w:val="1"/>
    </w:lvl>
  </w:abstractNum>
  <w:abstractNum w:abstractNumId="306">
    <w:nsid w:val="11CAC74A"/>
    <w:multiLevelType w:val="hybridMultilevel"/>
    <w:lvl w:ilvl="0">
      <w:lvlJc w:val="left"/>
      <w:lvlText w:val="%1."/>
      <w:numFmt w:val="lowerLetter"/>
      <w:start w:val="1"/>
    </w:lvl>
  </w:abstractNum>
  <w:abstractNum w:abstractNumId="307">
    <w:nsid w:val="126CADE9"/>
    <w:multiLevelType w:val="hybridMultilevel"/>
    <w:lvl w:ilvl="0">
      <w:lvlJc w:val="left"/>
      <w:lvlText w:val="%1."/>
      <w:numFmt w:val="lowerLetter"/>
      <w:start w:val="5"/>
    </w:lvl>
  </w:abstractNum>
  <w:abstractNum w:abstractNumId="308">
    <w:nsid w:val="19132E7B"/>
    <w:multiLevelType w:val="hybridMultilevel"/>
    <w:lvl w:ilvl="0">
      <w:lvlJc w:val="left"/>
      <w:lvlText w:val="(%1)"/>
      <w:numFmt w:val="lowerRoman"/>
      <w:start w:val="1"/>
    </w:lvl>
  </w:abstractNum>
  <w:abstractNum w:abstractNumId="309">
    <w:nsid w:val="63822DC0"/>
    <w:multiLevelType w:val="hybridMultilevel"/>
    <w:lvl w:ilvl="0">
      <w:lvlJc w:val="left"/>
      <w:lvlText w:val="(%1)"/>
      <w:numFmt w:val="lowerRoman"/>
      <w:start w:val="2"/>
    </w:lvl>
  </w:abstractNum>
  <w:abstractNum w:abstractNumId="310">
    <w:nsid w:val="6C11685A"/>
    <w:multiLevelType w:val="hybridMultilevel"/>
    <w:lvl w:ilvl="0">
      <w:lvlJc w:val="left"/>
      <w:lvlText w:val="%1"/>
      <w:numFmt w:val="lowerRoman"/>
      <w:start w:val="1"/>
    </w:lvl>
    <w:lvl w:ilvl="1">
      <w:lvlJc w:val="left"/>
      <w:lvlText w:val="(%2)"/>
      <w:numFmt w:val="lowerRoman"/>
      <w:start w:val="3"/>
    </w:lvl>
  </w:abstractNum>
  <w:abstractNum w:abstractNumId="311">
    <w:nsid w:val="5E1EAE31"/>
    <w:multiLevelType w:val="hybridMultilevel"/>
    <w:lvl w:ilvl="0">
      <w:lvlJc w:val="left"/>
      <w:lvlText w:val="(%1)"/>
      <w:numFmt w:val="lowerRoman"/>
      <w:start w:val="4"/>
    </w:lvl>
    <w:lvl w:ilvl="1">
      <w:lvlJc w:val="left"/>
      <w:lvlText w:val="%2"/>
      <w:numFmt w:val="lowerRoman"/>
      <w:start w:val="1"/>
    </w:lvl>
  </w:abstractNum>
  <w:abstractNum w:abstractNumId="312">
    <w:nsid w:val="178E240D"/>
    <w:multiLevelType w:val="hybridMultilevel"/>
    <w:lvl w:ilvl="0">
      <w:lvlJc w:val="left"/>
      <w:lvlText w:val="(%1)"/>
      <w:numFmt w:val="lowerRoman"/>
      <w:start w:val="5"/>
    </w:lvl>
  </w:abstractNum>
  <w:abstractNum w:abstractNumId="313">
    <w:nsid w:val="5556A87B"/>
    <w:multiLevelType w:val="hybridMultilevel"/>
    <w:lvl w:ilvl="0">
      <w:lvlJc w:val="left"/>
      <w:lvlText w:val="(%1)"/>
      <w:numFmt w:val="lowerRoman"/>
      <w:start w:val="6"/>
    </w:lvl>
    <w:lvl w:ilvl="1">
      <w:lvlJc w:val="left"/>
      <w:lvlText w:val="(%2)"/>
      <w:numFmt w:val="lowerRoman"/>
      <w:start w:val="7"/>
    </w:lvl>
    <w:lvl w:ilvl="2">
      <w:lvlJc w:val="left"/>
      <w:lvlText w:val="(%3)"/>
      <w:numFmt w:val="lowerRoman"/>
      <w:start w:val="7"/>
    </w:lvl>
  </w:abstractNum>
  <w:abstractNum w:abstractNumId="314">
    <w:nsid w:val="28100A9C"/>
    <w:multiLevelType w:val="hybridMultilevel"/>
    <w:lvl w:ilvl="0">
      <w:lvlJc w:val="left"/>
      <w:lvlText w:val="(%1)"/>
      <w:numFmt w:val="lowerRoman"/>
      <w:start w:val="9"/>
    </w:lvl>
  </w:abstractNum>
  <w:abstractNum w:abstractNumId="315">
    <w:nsid w:val="D838636"/>
    <w:multiLevelType w:val="hybridMultilevel"/>
    <w:lvl w:ilvl="0">
      <w:lvlJc w:val="left"/>
      <w:lvlText w:val="(%1)"/>
      <w:numFmt w:val="lowerRoman"/>
      <w:start w:val="2"/>
    </w:lvl>
  </w:abstractNum>
  <w:abstractNum w:abstractNumId="316">
    <w:nsid w:val="71B82AED"/>
    <w:multiLevelType w:val="hybridMultilevel"/>
    <w:lvl w:ilvl="0">
      <w:lvlJc w:val="left"/>
      <w:lvlText w:val="(%1)"/>
      <w:numFmt w:val="lowerLetter"/>
      <w:start w:val="1"/>
    </w:lvl>
  </w:abstractNum>
  <w:abstractNum w:abstractNumId="317">
    <w:nsid w:val="D15FACA"/>
    <w:multiLevelType w:val="hybridMultilevel"/>
    <w:lvl w:ilvl="0">
      <w:lvlJc w:val="left"/>
      <w:lvlText w:val="(%1)"/>
      <w:numFmt w:val="lowerLetter"/>
      <w:start w:val="2"/>
    </w:lvl>
  </w:abstractNum>
  <w:abstractNum w:abstractNumId="318">
    <w:nsid w:val="3D69565B"/>
    <w:multiLevelType w:val="hybridMultilevel"/>
    <w:lvl w:ilvl="0">
      <w:lvlJc w:val="left"/>
      <w:lvlText w:val="%1"/>
      <w:numFmt w:val="upperLetter"/>
      <w:start w:val="1"/>
    </w:lvl>
    <w:lvl w:ilvl="1">
      <w:lvlJc w:val="left"/>
      <w:lvlText w:val="(%2)"/>
      <w:numFmt w:val="lowerLetter"/>
      <w:start w:val="1"/>
    </w:lvl>
  </w:abstractNum>
  <w:abstractNum w:abstractNumId="319">
    <w:nsid w:val="2299DCBC"/>
    <w:multiLevelType w:val="hybridMultilevel"/>
    <w:lvl w:ilvl="0">
      <w:lvlJc w:val="left"/>
      <w:lvlText w:val="(%1)"/>
      <w:numFmt w:val="upperLetter"/>
      <w:start w:val="2"/>
    </w:lvl>
    <w:lvl w:ilvl="1">
      <w:lvlJc w:val="left"/>
      <w:lvlText w:val="%2"/>
      <w:numFmt w:val="lowerLetter"/>
      <w:start w:val="1"/>
    </w:lvl>
  </w:abstractNum>
  <w:abstractNum w:abstractNumId="320">
    <w:nsid w:val="19908D02"/>
    <w:multiLevelType w:val="hybridMultilevel"/>
    <w:lvl w:ilvl="0">
      <w:lvlJc w:val="left"/>
      <w:lvlText w:val="(%1)"/>
      <w:numFmt w:val="lowerLetter"/>
      <w:start w:val="7"/>
    </w:lvl>
  </w:abstractNum>
  <w:abstractNum w:abstractNumId="321">
    <w:nsid w:val="24D48BDB"/>
    <w:multiLevelType w:val="hybridMultilevel"/>
    <w:lvl w:ilvl="0">
      <w:lvlJc w:val="left"/>
      <w:lvlText w:val="(%1)"/>
      <w:numFmt w:val="lowerLetter"/>
      <w:start w:val="1"/>
    </w:lvl>
  </w:abstractNum>
  <w:abstractNum w:abstractNumId="322">
    <w:nsid w:val="542DA5B5"/>
    <w:multiLevelType w:val="hybridMultilevel"/>
    <w:lvl w:ilvl="0">
      <w:lvlJc w:val="left"/>
      <w:lvlText w:val="(%1)"/>
      <w:numFmt w:val="lowerLetter"/>
      <w:start w:val="10"/>
    </w:lvl>
  </w:abstractNum>
  <w:abstractNum w:abstractNumId="323">
    <w:nsid w:val="793753DE"/>
    <w:multiLevelType w:val="hybridMultilevel"/>
    <w:lvl w:ilvl="0">
      <w:lvlJc w:val="left"/>
      <w:lvlText w:val="(%1)"/>
      <w:numFmt w:val="lowerRoman"/>
      <w:start w:val="5"/>
    </w:lvl>
  </w:abstractNum>
  <w:abstractNum w:abstractNumId="324">
    <w:nsid w:val="1C67CB3D"/>
    <w:multiLevelType w:val="hybridMultilevel"/>
    <w:lvl w:ilvl="0">
      <w:lvlJc w:val="left"/>
      <w:lvlText w:val="(%1)"/>
      <w:numFmt w:val="decimal"/>
      <w:start w:val="1"/>
    </w:lvl>
    <w:lvl w:ilvl="1">
      <w:lvlJc w:val="left"/>
      <w:lvlText w:val="(%2)"/>
      <w:numFmt w:val="lowerLetter"/>
      <w:start w:val="1"/>
    </w:lvl>
  </w:abstractNum>
  <w:abstractNum w:abstractNumId="325">
    <w:nsid w:val="40E29452"/>
    <w:multiLevelType w:val="hybridMultilevel"/>
    <w:lvl w:ilvl="0">
      <w:lvlJc w:val="left"/>
      <w:lvlText w:val="(%1)"/>
      <w:numFmt w:val="lowerLetter"/>
      <w:start w:val="6"/>
    </w:lvl>
  </w:abstractNum>
  <w:abstractNum w:abstractNumId="326">
    <w:nsid w:val="63A4AAB6"/>
    <w:multiLevelType w:val="hybridMultilevel"/>
    <w:lvl w:ilvl="0">
      <w:lvlJc w:val="left"/>
      <w:lvlText w:val="%1"/>
      <w:numFmt w:val="decimal"/>
      <w:start w:val="1"/>
    </w:lvl>
    <w:lvl w:ilvl="1">
      <w:lvlJc w:val="left"/>
      <w:lvlText w:val="(%2)"/>
      <w:numFmt w:val="lowerLetter"/>
      <w:start w:val="10"/>
    </w:lvl>
  </w:abstractNum>
  <w:abstractNum w:abstractNumId="327">
    <w:nsid w:val="77DA4A57"/>
    <w:multiLevelType w:val="hybridMultilevel"/>
    <w:lvl w:ilvl="0">
      <w:lvlJc w:val="left"/>
      <w:lvlText w:val="(%1)"/>
      <w:numFmt w:val="decimal"/>
      <w:start w:val="2"/>
    </w:lvl>
    <w:lvl w:ilvl="1">
      <w:lvlJc w:val="left"/>
      <w:lvlText w:val="(%2)"/>
      <w:numFmt w:val="lowerLetter"/>
      <w:start w:val="1"/>
    </w:lvl>
  </w:abstractNum>
  <w:abstractNum w:abstractNumId="328">
    <w:nsid w:val="1230F102"/>
    <w:multiLevelType w:val="hybridMultilevel"/>
    <w:lvl w:ilvl="0">
      <w:lvlJc w:val="left"/>
      <w:lvlText w:val="(%1)"/>
      <w:numFmt w:val="decimal"/>
      <w:start w:val="1"/>
    </w:lvl>
  </w:abstractNum>
  <w:abstractNum w:abstractNumId="329">
    <w:nsid w:val="25B57ED4"/>
    <w:multiLevelType w:val="hybridMultilevel"/>
    <w:lvl w:ilvl="0">
      <w:lvlJc w:val="left"/>
      <w:lvlText w:val="(%1)"/>
      <w:numFmt w:val="lowerLetter"/>
      <w:start w:val="1"/>
    </w:lvl>
  </w:abstractNum>
  <w:abstractNum w:abstractNumId="330">
    <w:nsid w:val="47CF16C4"/>
    <w:multiLevelType w:val="hybridMultilevel"/>
    <w:lvl w:ilvl="0">
      <w:lvlJc w:val="left"/>
      <w:lvlText w:val="(%1)"/>
      <w:numFmt w:val="lowerLetter"/>
      <w:start w:val="10"/>
    </w:lvl>
  </w:abstractNum>
  <w:abstractNum w:abstractNumId="331">
    <w:nsid w:val="527FA04C"/>
    <w:multiLevelType w:val="hybridMultilevel"/>
    <w:lvl w:ilvl="0">
      <w:lvlJc w:val="left"/>
      <w:lvlText w:val="(%1)"/>
      <w:numFmt w:val="lowerLetter"/>
      <w:start w:val="19"/>
    </w:lvl>
  </w:abstractNum>
  <w:abstractNum w:abstractNumId="332">
    <w:nsid w:val="6FCC0624"/>
    <w:multiLevelType w:val="hybridMultilevel"/>
    <w:lvl w:ilvl="0">
      <w:lvlJc w:val="left"/>
      <w:lvlText w:val="%1"/>
      <w:numFmt w:val="lowerRoman"/>
      <w:start w:val="1"/>
    </w:lvl>
    <w:lvl w:ilvl="1">
      <w:lvlJc w:val="left"/>
      <w:lvlText w:val="(%2)"/>
      <w:numFmt w:val="upperLetter"/>
      <w:start w:val="1"/>
    </w:lvl>
  </w:abstractNum>
  <w:abstractNum w:abstractNumId="333">
    <w:nsid w:val="1DCDF795"/>
    <w:multiLevelType w:val="hybridMultilevel"/>
    <w:lvl w:ilvl="0">
      <w:lvlJc w:val="left"/>
      <w:lvlText w:val="(%1)"/>
      <w:numFmt w:val="lowerRoman"/>
      <w:start w:val="2"/>
    </w:lvl>
    <w:lvl w:ilvl="1">
      <w:lvlJc w:val="left"/>
      <w:lvlText w:val="(%2)"/>
      <w:numFmt w:val="upperLetter"/>
      <w:start w:val="3"/>
    </w:lvl>
  </w:abstractNum>
  <w:abstractNum w:abstractNumId="334">
    <w:nsid w:val="564580C8"/>
    <w:multiLevelType w:val="hybridMultilevel"/>
    <w:lvl w:ilvl="0">
      <w:lvlJc w:val="left"/>
      <w:lvlText w:val="(%1)"/>
      <w:numFmt w:val="lowerRoman"/>
      <w:start w:val="2"/>
    </w:lvl>
    <w:lvl w:ilvl="1">
      <w:lvlJc w:val="left"/>
      <w:lvlText w:val="(%2)"/>
      <w:numFmt w:val="upperLetter"/>
      <w:start w:val="4"/>
    </w:lvl>
  </w:abstractNum>
  <w:abstractNum w:abstractNumId="335">
    <w:nsid w:val="508ED897"/>
    <w:multiLevelType w:val="hybridMultilevel"/>
    <w:lvl w:ilvl="0">
      <w:lvlJc w:val="left"/>
      <w:lvlText w:val="(%1)"/>
      <w:numFmt w:val="upperLetter"/>
      <w:start w:val="1"/>
    </w:lvl>
  </w:abstractNum>
  <w:abstractNum w:abstractNumId="336">
    <w:nsid w:val="6A9126B5"/>
    <w:multiLevelType w:val="hybridMultilevel"/>
    <w:lvl w:ilvl="0">
      <w:lvlJc w:val="left"/>
      <w:lvlText w:val="(%1)"/>
      <w:numFmt w:val="lowerLetter"/>
      <w:start w:val="1"/>
    </w:lvl>
    <w:lvl w:ilvl="1">
      <w:lvlJc w:val="left"/>
      <w:lvlText w:val="(%2)"/>
      <w:numFmt w:val="lowerRoman"/>
      <w:start w:val="1"/>
    </w:lvl>
  </w:abstractNum>
  <w:abstractNum w:abstractNumId="337">
    <w:nsid w:val="68104812"/>
    <w:multiLevelType w:val="hybridMultilevel"/>
    <w:lvl w:ilvl="0">
      <w:lvlJc w:val="left"/>
      <w:lvlText w:val="(%1)"/>
      <w:numFmt w:val="lowerRoman"/>
      <w:start w:val="1"/>
    </w:lvl>
  </w:abstractNum>
  <w:abstractNum w:abstractNumId="338">
    <w:nsid w:val="62FB8680"/>
    <w:multiLevelType w:val="hybridMultilevel"/>
    <w:lvl w:ilvl="0">
      <w:lvlJc w:val="left"/>
      <w:lvlText w:val="(%1)"/>
      <w:numFmt w:val="lowerRoman"/>
      <w:start w:val="2"/>
    </w:lvl>
  </w:abstractNum>
  <w:abstractNum w:abstractNumId="339">
    <w:nsid w:val="3A45530"/>
    <w:multiLevelType w:val="hybridMultilevel"/>
    <w:lvl w:ilvl="0">
      <w:lvlJc w:val="left"/>
      <w:lvlText w:val="(%1)"/>
      <w:numFmt w:val="lowerRoman"/>
      <w:start w:val="8"/>
    </w:lvl>
  </w:abstractNum>
  <w:abstractNum w:abstractNumId="340">
    <w:nsid w:val="4B9275D2"/>
    <w:multiLevelType w:val="hybridMultilevel"/>
    <w:lvl w:ilvl="0">
      <w:lvlJc w:val="left"/>
      <w:lvlText w:val="(%1)"/>
      <w:numFmt w:val="lowerLetter"/>
      <w:start w:val="15"/>
    </w:lvl>
  </w:abstractNum>
  <w:abstractNum w:abstractNumId="341">
    <w:nsid w:val="4F0CEEDB"/>
    <w:multiLevelType w:val="hybridMultilevel"/>
    <w:lvl w:ilvl="0">
      <w:lvlJc w:val="left"/>
      <w:lvlText w:val="(%1)"/>
      <w:numFmt w:val="lowerLetter"/>
      <w:start w:val="1"/>
    </w:lvl>
  </w:abstractNum>
  <w:abstractNum w:abstractNumId="342">
    <w:nsid w:val="61C30361"/>
    <w:multiLevelType w:val="hybridMultilevel"/>
    <w:lvl w:ilvl="0">
      <w:lvlJc w:val="left"/>
      <w:lvlText w:val="(%1)"/>
      <w:numFmt w:val="lowerLetter"/>
      <w:start w:val="1"/>
    </w:lvl>
  </w:abstractNum>
  <w:abstractNum w:abstractNumId="343">
    <w:nsid w:val="632099E0"/>
    <w:multiLevelType w:val="hybridMultilevel"/>
    <w:lvl w:ilvl="0">
      <w:lvlJc w:val="left"/>
      <w:lvlText w:val="(%1)"/>
      <w:numFmt w:val="lowerLetter"/>
      <w:start w:val="2"/>
    </w:lvl>
  </w:abstractNum>
  <w:abstractNum w:abstractNumId="344">
    <w:nsid w:val="24639756"/>
    <w:multiLevelType w:val="hybridMultilevel"/>
    <w:lvl w:ilvl="0">
      <w:lvlJc w:val="left"/>
      <w:lvlText w:val="(%1)"/>
      <w:numFmt w:val="lowerLetter"/>
      <w:start w:val="6"/>
    </w:lvl>
  </w:abstractNum>
  <w:abstractNum w:abstractNumId="345">
    <w:nsid w:val="9D30DFD"/>
    <w:multiLevelType w:val="hybridMultilevel"/>
    <w:lvl w:ilvl="0">
      <w:lvlJc w:val="left"/>
      <w:lvlText w:val="(%1)"/>
      <w:numFmt w:val="lowerLetter"/>
      <w:start w:val="1"/>
    </w:lvl>
  </w:abstractNum>
  <w:abstractNum w:abstractNumId="346">
    <w:nsid w:val="70A42016"/>
    <w:multiLevelType w:val="hybridMultilevel"/>
    <w:lvl w:ilvl="0">
      <w:lvlJc w:val="left"/>
      <w:lvlText w:val="(%1)"/>
      <w:numFmt w:val="lowerRoman"/>
      <w:start w:val="1"/>
    </w:lvl>
  </w:abstractNum>
  <w:abstractNum w:abstractNumId="347">
    <w:nsid w:val="161BC243"/>
    <w:multiLevelType w:val="hybridMultilevel"/>
    <w:lvl w:ilvl="0">
      <w:lvlJc w:val="left"/>
      <w:lvlText w:val="(%1)"/>
      <w:numFmt w:val="lowerRoman"/>
      <w:start w:val="2"/>
    </w:lvl>
    <w:lvl w:ilvl="1">
      <w:lvlJc w:val="left"/>
      <w:lvlText w:val="(%2)"/>
      <w:numFmt w:val="lowerRoman"/>
      <w:start w:val="3"/>
    </w:lvl>
  </w:abstractNum>
  <w:abstractNum w:abstractNumId="348">
    <w:nsid w:val="16E908C8"/>
    <w:multiLevelType w:val="hybridMultilevel"/>
    <w:lvl w:ilvl="0">
      <w:lvlJc w:val="left"/>
      <w:lvlText w:val="(%1)"/>
      <w:numFmt w:val="lowerLetter"/>
      <w:start w:val="4"/>
    </w:lvl>
  </w:abstractNum>
  <w:abstractNum w:abstractNumId="349">
    <w:nsid w:val="2E0D7671"/>
    <w:multiLevelType w:val="hybridMultilevel"/>
    <w:lvl w:ilvl="0">
      <w:lvlJc w:val="left"/>
      <w:lvlText w:val="(%1)"/>
      <w:numFmt w:val="lowerLetter"/>
      <w:start w:val="1"/>
    </w:lvl>
  </w:abstractNum>
  <w:abstractNum w:abstractNumId="350">
    <w:nsid w:val="38B59EFF"/>
    <w:multiLevelType w:val="hybridMultilevel"/>
    <w:lvl w:ilvl="0">
      <w:lvlJc w:val="left"/>
      <w:lvlText w:val="(%1)"/>
      <w:numFmt w:val="lowerLetter"/>
      <w:start w:val="2"/>
    </w:lvl>
  </w:abstractNum>
  <w:abstractNum w:abstractNumId="351">
    <w:nsid w:val="307995CA"/>
    <w:multiLevelType w:val="hybridMultilevel"/>
    <w:lvl w:ilvl="0">
      <w:lvlJc w:val="left"/>
      <w:lvlText w:val="(%1)"/>
      <w:numFmt w:val="lowerLetter"/>
      <w:start w:val="4"/>
    </w:lvl>
  </w:abstractNum>
  <w:abstractNum w:abstractNumId="352">
    <w:nsid w:val="52E2024D"/>
    <w:multiLevelType w:val="hybridMultilevel"/>
    <w:lvl w:ilvl="0">
      <w:lvlJc w:val="left"/>
      <w:lvlText w:val="(%1)"/>
      <w:numFmt w:val="lowerLetter"/>
      <w:start w:val="21"/>
    </w:lvl>
  </w:abstractNum>
  <w:abstractNum w:abstractNumId="353">
    <w:nsid w:val="CE344B5"/>
    <w:multiLevelType w:val="hybridMultilevel"/>
    <w:lvl w:ilvl="0">
      <w:lvlJc w:val="left"/>
      <w:lvlText w:val="(%1)"/>
      <w:numFmt w:val="lowerLetter"/>
      <w:start w:val="1"/>
    </w:lvl>
  </w:abstractNum>
  <w:abstractNum w:abstractNumId="354">
    <w:nsid w:val="29B0E9A8"/>
    <w:multiLevelType w:val="hybridMultilevel"/>
    <w:lvl w:ilvl="0">
      <w:lvlJc w:val="left"/>
      <w:lvlText w:val="(%1)"/>
      <w:numFmt w:val="lowerLetter"/>
      <w:start w:val="2"/>
    </w:lvl>
  </w:abstractNum>
  <w:abstractNum w:abstractNumId="355">
    <w:nsid w:val="6F49CD8A"/>
    <w:multiLevelType w:val="hybridMultilevel"/>
    <w:lvl w:ilvl="0">
      <w:lvlJc w:val="left"/>
      <w:lvlText w:val="(%1)"/>
      <w:numFmt w:val="lowerLetter"/>
      <w:start w:val="4"/>
    </w:lvl>
  </w:abstractNum>
  <w:abstractNum w:abstractNumId="356">
    <w:nsid w:val="4DC5D907"/>
    <w:multiLevelType w:val="hybridMultilevel"/>
    <w:lvl w:ilvl="0">
      <w:lvlJc w:val="left"/>
      <w:lvlText w:val="(%1)"/>
      <w:numFmt w:val="lowerLetter"/>
      <w:start w:val="1"/>
    </w:lvl>
  </w:abstractNum>
  <w:abstractNum w:abstractNumId="357">
    <w:nsid w:val="D55945E"/>
    <w:multiLevelType w:val="hybridMultilevel"/>
    <w:lvl w:ilvl="0">
      <w:lvlJc w:val="left"/>
      <w:lvlText w:val="(%1)"/>
      <w:numFmt w:val="lowerLetter"/>
      <w:start w:val="2"/>
    </w:lvl>
  </w:abstractNum>
  <w:abstractNum w:abstractNumId="358">
    <w:nsid w:val="672417E1"/>
    <w:multiLevelType w:val="hybridMultilevel"/>
    <w:lvl w:ilvl="0">
      <w:lvlJc w:val="left"/>
      <w:lvlText w:val="(%1)"/>
      <w:numFmt w:val="lowerLetter"/>
      <w:start w:val="1"/>
    </w:lvl>
  </w:abstractNum>
  <w:abstractNum w:abstractNumId="359">
    <w:nsid w:val="5FF6CA09"/>
    <w:multiLevelType w:val="hybridMultilevel"/>
    <w:lvl w:ilvl="0">
      <w:lvlJc w:val="left"/>
      <w:lvlText w:val="(%1)"/>
      <w:numFmt w:val="lowerLetter"/>
      <w:start w:val="1"/>
    </w:lvl>
  </w:abstractNum>
  <w:abstractNum w:abstractNumId="360">
    <w:nsid w:val="330B1333"/>
    <w:multiLevelType w:val="hybridMultilevel"/>
    <w:lvl w:ilvl="0">
      <w:lvlJc w:val="left"/>
      <w:lvlText w:val="(%1)"/>
      <w:numFmt w:val="lowerLetter"/>
      <w:start w:val="8"/>
    </w:lvl>
  </w:abstractNum>
  <w:abstractNum w:abstractNumId="361">
    <w:nsid w:val="2EF32EA6"/>
    <w:multiLevelType w:val="hybridMultilevel"/>
    <w:lvl w:ilvl="0">
      <w:lvlJc w:val="left"/>
      <w:lvlText w:val="(%1)"/>
      <w:numFmt w:val="lowerLetter"/>
      <w:start w:val="1"/>
    </w:lvl>
  </w:abstractNum>
  <w:abstractNum w:abstractNumId="362">
    <w:nsid w:val="32766A55"/>
    <w:multiLevelType w:val="hybridMultilevel"/>
    <w:lvl w:ilvl="0">
      <w:lvlJc w:val="left"/>
      <w:lvlText w:val="(%1)"/>
      <w:numFmt w:val="lowerLetter"/>
      <w:start w:val="3"/>
    </w:lvl>
  </w:abstractNum>
  <w:abstractNum w:abstractNumId="363">
    <w:nsid w:val="22D71957"/>
    <w:multiLevelType w:val="hybridMultilevel"/>
    <w:lvl w:ilvl="0">
      <w:lvlJc w:val="left"/>
      <w:lvlText w:val="(%1)"/>
      <w:numFmt w:val="lowerLetter"/>
      <w:start w:val="1"/>
    </w:lvl>
  </w:abstractNum>
  <w:abstractNum w:abstractNumId="364">
    <w:nsid w:val="4CC1263B"/>
    <w:multiLevelType w:val="hybridMultilevel"/>
    <w:lvl w:ilvl="0">
      <w:lvlJc w:val="left"/>
      <w:lvlText w:val="(%1)"/>
      <w:numFmt w:val="lowerLetter"/>
      <w:start w:val="37"/>
    </w:lvl>
  </w:abstractNum>
  <w:abstractNum w:abstractNumId="365">
    <w:nsid w:val="8BBEB1D"/>
    <w:multiLevelType w:val="hybridMultilevel"/>
    <w:lvl w:ilvl="0">
      <w:lvlJc w:val="left"/>
      <w:lvlText w:val="(%1)"/>
      <w:numFmt w:val="lowerLetter"/>
      <w:start w:val="1"/>
    </w:lvl>
  </w:abstractNum>
  <w:abstractNum w:abstractNumId="366">
    <w:nsid w:val="7365F1EE"/>
    <w:multiLevelType w:val="hybridMultilevel"/>
    <w:lvl w:ilvl="0">
      <w:lvlJc w:val="left"/>
      <w:lvlText w:val="(%1)"/>
      <w:numFmt w:val="lowerLetter"/>
      <w:start w:val="3"/>
    </w:lvl>
  </w:abstractNum>
  <w:abstractNum w:abstractNumId="367">
    <w:nsid w:val="37524CF0"/>
    <w:multiLevelType w:val="hybridMultilevel"/>
    <w:lvl w:ilvl="0">
      <w:lvlJc w:val="left"/>
      <w:lvlText w:val="%1"/>
      <w:numFmt w:val="lowerLetter"/>
      <w:start w:val="1"/>
    </w:lvl>
    <w:lvl w:ilvl="1">
      <w:lvlJc w:val="left"/>
      <w:lvlText w:val="(%2)"/>
      <w:numFmt w:val="lowerRoman"/>
      <w:start w:val="1"/>
    </w:lvl>
  </w:abstractNum>
  <w:abstractNum w:abstractNumId="368">
    <w:nsid w:val="70CC332F"/>
    <w:multiLevelType w:val="hybridMultilevel"/>
    <w:lvl w:ilvl="0">
      <w:lvlJc w:val="left"/>
      <w:lvlText w:val="(%1)"/>
      <w:numFmt w:val="lowerLetter"/>
      <w:start w:val="2"/>
    </w:lvl>
    <w:lvl w:ilvl="1">
      <w:lvlJc w:val="left"/>
      <w:lvlText w:val="%2"/>
      <w:numFmt w:val="lowerRoman"/>
      <w:start w:val="1"/>
    </w:lvl>
  </w:abstractNum>
  <w:abstractNum w:abstractNumId="369">
    <w:nsid w:val="5661786E"/>
    <w:multiLevelType w:val="hybridMultilevel"/>
    <w:lvl w:ilvl="0">
      <w:lvlJc w:val="left"/>
      <w:lvlText w:val="(%1)"/>
      <w:numFmt w:val="lowerLetter"/>
      <w:start w:val="2"/>
    </w:lvl>
  </w:abstractNum>
  <w:abstractNum w:abstractNumId="370">
    <w:nsid w:val="3AF6A220"/>
    <w:multiLevelType w:val="hybridMultilevel"/>
    <w:lvl w:ilvl="0">
      <w:lvlJc w:val="left"/>
      <w:lvlText w:val="(%1)"/>
      <w:numFmt w:val="lowerLetter"/>
      <w:start w:val="1"/>
    </w:lvl>
  </w:abstractNum>
  <w:abstractNum w:abstractNumId="371">
    <w:nsid w:val="3C5EA902"/>
    <w:multiLevelType w:val="hybridMultilevel"/>
    <w:lvl w:ilvl="0">
      <w:lvlJc w:val="left"/>
      <w:lvlText w:val="(%1)"/>
      <w:numFmt w:val="lowerRoman"/>
      <w:start w:val="1"/>
    </w:lvl>
  </w:abstractNum>
  <w:abstractNum w:abstractNumId="372">
    <w:nsid w:val="256E6749"/>
    <w:multiLevelType w:val="hybridMultilevel"/>
    <w:lvl w:ilvl="0">
      <w:lvlJc w:val="left"/>
      <w:lvlText w:val="(%1)"/>
      <w:numFmt w:val="lowerRoman"/>
      <w:start w:val="2"/>
    </w:lvl>
    <w:lvl w:ilvl="1">
      <w:lvlJc w:val="left"/>
      <w:lvlText w:val="(%2)"/>
      <w:numFmt w:val="upperLetter"/>
      <w:start w:val="1"/>
    </w:lvl>
  </w:abstractNum>
  <w:abstractNum w:abstractNumId="373">
    <w:nsid w:val="1CB9A581"/>
    <w:multiLevelType w:val="hybridMultilevel"/>
    <w:lvl w:ilvl="0">
      <w:lvlJc w:val="left"/>
      <w:lvlText w:val="(%1)"/>
      <w:numFmt w:val="lowerRoman"/>
      <w:start w:val="5"/>
    </w:lvl>
  </w:abstractNum>
  <w:abstractNum w:abstractNumId="374">
    <w:nsid w:val="1F7F42E2"/>
    <w:multiLevelType w:val="hybridMultilevel"/>
    <w:lvl w:ilvl="0">
      <w:lvlJc w:val="left"/>
      <w:lvlText w:val="(%1)"/>
      <w:numFmt w:val="lowerLetter"/>
      <w:start w:val="3"/>
    </w:lvl>
  </w:abstractNum>
  <w:abstractNum w:abstractNumId="375">
    <w:nsid w:val="49D1FEA0"/>
    <w:multiLevelType w:val="hybridMultilevel"/>
    <w:lvl w:ilvl="0">
      <w:lvlJc w:val="left"/>
      <w:lvlText w:val="(%1)"/>
      <w:numFmt w:val="lowerLetter"/>
      <w:start w:val="5"/>
    </w:lvl>
  </w:abstractNum>
  <w:abstractNum w:abstractNumId="376">
    <w:nsid w:val="268CB37F"/>
    <w:multiLevelType w:val="hybridMultilevel"/>
    <w:lvl w:ilvl="0">
      <w:lvlJc w:val="left"/>
      <w:lvlText w:val="(%1)"/>
      <w:numFmt w:val="lowerRoman"/>
      <w:start w:val="1"/>
    </w:lvl>
  </w:abstractNum>
  <w:abstractNum w:abstractNumId="377">
    <w:nsid w:val="102362F8"/>
    <w:multiLevelType w:val="hybridMultilevel"/>
    <w:lvl w:ilvl="0">
      <w:lvlJc w:val="left"/>
      <w:lvlText w:val="(%1)"/>
      <w:numFmt w:val="lowerRoman"/>
      <w:start w:val="2"/>
    </w:lvl>
  </w:abstractNum>
  <w:abstractNum w:abstractNumId="378">
    <w:nsid w:val="5FEDC0E3"/>
    <w:multiLevelType w:val="hybridMultilevel"/>
    <w:lvl w:ilvl="0">
      <w:lvlJc w:val="left"/>
      <w:lvlText w:val="%1"/>
      <w:numFmt w:val="lowerLetter"/>
      <w:start w:val="1"/>
    </w:lvl>
    <w:lvl w:ilvl="1">
      <w:lvlJc w:val="left"/>
      <w:lvlText w:val="(%2)"/>
      <w:numFmt w:val="lowerLetter"/>
      <w:start w:val="7"/>
    </w:lvl>
  </w:abstractNum>
  <w:abstractNum w:abstractNumId="379">
    <w:nsid w:val="3D75BC47"/>
    <w:multiLevelType w:val="hybridMultilevel"/>
    <w:lvl w:ilvl="0">
      <w:lvlJc w:val="left"/>
      <w:lvlText w:val="(%1)"/>
      <w:numFmt w:val="lowerLetter"/>
      <w:start w:val="5"/>
    </w:lvl>
    <w:lvl w:ilvl="1">
      <w:lvlJc w:val="left"/>
      <w:lvlText w:val="(%2)"/>
      <w:numFmt w:val="lowerLetter"/>
      <w:start w:val="8"/>
    </w:lvl>
  </w:abstractNum>
  <w:abstractNum w:abstractNumId="380">
    <w:nsid w:val="3E30D969"/>
    <w:multiLevelType w:val="hybridMultilevel"/>
    <w:lvl w:ilvl="0">
      <w:lvlJc w:val="left"/>
      <w:lvlText w:val="(%1)"/>
      <w:numFmt w:val="lowerLetter"/>
      <w:start w:val="9"/>
    </w:lvl>
  </w:abstractNum>
  <w:abstractNum w:abstractNumId="381">
    <w:nsid w:val="18A35FE3"/>
    <w:multiLevelType w:val="hybridMultilevel"/>
    <w:lvl w:ilvl="0">
      <w:lvlJc w:val="left"/>
      <w:lvlText w:val="(%1)"/>
      <w:numFmt w:val="lowerLetter"/>
      <w:start w:val="13"/>
    </w:lvl>
  </w:abstractNum>
  <w:abstractNum w:abstractNumId="382">
    <w:nsid w:val="6DEF5211"/>
    <w:multiLevelType w:val="hybridMultilevel"/>
    <w:lvl w:ilvl="0">
      <w:lvlJc w:val="left"/>
      <w:lvlText w:val="(%1)"/>
      <w:numFmt w:val="lowerLetter"/>
      <w:start w:val="1"/>
    </w:lvl>
  </w:abstractNum>
  <w:abstractNum w:abstractNumId="383">
    <w:nsid w:val="1112DBB6"/>
    <w:multiLevelType w:val="hybridMultilevel"/>
    <w:lvl w:ilvl="0">
      <w:lvlJc w:val="left"/>
      <w:lvlText w:val="(%1)"/>
      <w:numFmt w:val="lowerLetter"/>
      <w:start w:val="2"/>
    </w:lvl>
  </w:abstractNum>
  <w:abstractNum w:abstractNumId="384">
    <w:nsid w:val="2586A498"/>
    <w:multiLevelType w:val="hybridMultilevel"/>
    <w:lvl w:ilvl="0">
      <w:lvlJc w:val="left"/>
      <w:lvlText w:val="(%1)"/>
      <w:numFmt w:val="lowerLetter"/>
      <w:start w:val="1"/>
    </w:lvl>
  </w:abstractNum>
  <w:abstractNum w:abstractNumId="385">
    <w:nsid w:val="17A03BB9"/>
    <w:multiLevelType w:val="hybridMultilevel"/>
    <w:lvl w:ilvl="0">
      <w:lvlJc w:val="left"/>
      <w:lvlText w:val="(%1)"/>
      <w:numFmt w:val="lowerRoman"/>
      <w:start w:val="1"/>
    </w:lvl>
  </w:abstractNum>
  <w:abstractNum w:abstractNumId="386">
    <w:nsid w:val="5CA941"/>
    <w:multiLevelType w:val="hybridMultilevel"/>
    <w:lvl w:ilvl="0">
      <w:lvlJc w:val="left"/>
      <w:lvlText w:val="(%1)"/>
      <w:numFmt w:val="lowerLetter"/>
      <w:start w:val="4"/>
    </w:lvl>
  </w:abstractNum>
  <w:abstractNum w:abstractNumId="387">
    <w:nsid w:val="734C7D9F"/>
    <w:multiLevelType w:val="hybridMultilevel"/>
    <w:lvl w:ilvl="0">
      <w:lvlJc w:val="left"/>
      <w:lvlText w:val="(%1)"/>
      <w:numFmt w:val="lowerLetter"/>
      <w:start w:val="1"/>
    </w:lvl>
  </w:abstractNum>
  <w:abstractNum w:abstractNumId="388">
    <w:nsid w:val="24F5D018"/>
    <w:multiLevelType w:val="hybridMultilevel"/>
    <w:lvl w:ilvl="0">
      <w:lvlJc w:val="left"/>
      <w:lvlText w:val="(%1)"/>
      <w:numFmt w:val="lowerLetter"/>
      <w:start w:val="3"/>
    </w:lvl>
  </w:abstractNum>
  <w:abstractNum w:abstractNumId="389">
    <w:nsid w:val="6780C122"/>
    <w:multiLevelType w:val="hybridMultilevel"/>
    <w:lvl w:ilvl="0">
      <w:lvlJc w:val="left"/>
      <w:lvlText w:val="(%1)"/>
      <w:numFmt w:val="lowerLetter"/>
      <w:start w:val="1"/>
    </w:lvl>
  </w:abstractNum>
  <w:abstractNum w:abstractNumId="390">
    <w:nsid w:val="534347A8"/>
    <w:multiLevelType w:val="hybridMultilevel"/>
    <w:lvl w:ilvl="0">
      <w:lvlJc w:val="left"/>
      <w:lvlText w:val="(%1)"/>
      <w:numFmt w:val="lowerLetter"/>
      <w:start w:val="5"/>
    </w:lvl>
  </w:abstractNum>
  <w:abstractNum w:abstractNumId="391">
    <w:nsid w:val="5800E34B"/>
    <w:multiLevelType w:val="hybridMultilevel"/>
    <w:lvl w:ilvl="0">
      <w:lvlJc w:val="left"/>
      <w:lvlText w:val="(%1)"/>
      <w:numFmt w:val="lowerRoman"/>
      <w:start w:val="1"/>
    </w:lvl>
  </w:abstractNum>
  <w:abstractNum w:abstractNumId="392">
    <w:nsid w:val="1673EFC8"/>
    <w:multiLevelType w:val="hybridMultilevel"/>
    <w:lvl w:ilvl="0">
      <w:lvlJc w:val="left"/>
      <w:lvlText w:val="(%1)"/>
      <w:numFmt w:val="lowerLetter"/>
      <w:start w:val="2"/>
    </w:lvl>
  </w:abstractNum>
  <w:abstractNum w:abstractNumId="393">
    <w:nsid w:val="5B9B1FD"/>
    <w:multiLevelType w:val="hybridMultilevel"/>
    <w:lvl w:ilvl="0">
      <w:lvlJc w:val="left"/>
      <w:lvlText w:val="(%1)"/>
      <w:numFmt w:val="lowerLetter"/>
      <w:start w:val="1"/>
    </w:lvl>
  </w:abstractNum>
  <w:abstractNum w:abstractNumId="394">
    <w:nsid w:val="7AD7FCA2"/>
    <w:multiLevelType w:val="hybridMultilevel"/>
    <w:lvl w:ilvl="0">
      <w:lvlJc w:val="left"/>
      <w:lvlText w:val="%1"/>
      <w:numFmt w:val="lowerRoman"/>
      <w:start w:val="1"/>
    </w:lvl>
    <w:lvl w:ilvl="1">
      <w:lvlJc w:val="left"/>
      <w:lvlText w:val="(%2)"/>
      <w:numFmt w:val="lowerLetter"/>
      <w:start w:val="2"/>
    </w:lvl>
  </w:abstractNum>
  <w:abstractNum w:abstractNumId="395">
    <w:nsid w:val="63351604"/>
    <w:multiLevelType w:val="hybridMultilevel"/>
    <w:lvl w:ilvl="0">
      <w:lvlJc w:val="left"/>
      <w:lvlText w:val="(%1)"/>
      <w:numFmt w:val="lowerRoman"/>
      <w:start w:val="4"/>
    </w:lvl>
    <w:lvl w:ilvl="1">
      <w:lvlJc w:val="left"/>
      <w:lvlText w:val="%2"/>
      <w:numFmt w:val="lowerLetter"/>
      <w:start w:val="1"/>
    </w:lvl>
  </w:abstractNum>
  <w:abstractNum w:abstractNumId="396">
    <w:nsid w:val="E759D1A"/>
    <w:multiLevelType w:val="hybridMultilevel"/>
    <w:lvl w:ilvl="0">
      <w:lvlJc w:val="left"/>
      <w:lvlText w:val="(%1)"/>
      <w:numFmt w:val="lowerLetter"/>
      <w:start w:val="4"/>
    </w:lvl>
  </w:abstractNum>
  <w:abstractNum w:abstractNumId="397">
    <w:nsid w:val="6E3DEE90"/>
    <w:multiLevelType w:val="hybridMultilevel"/>
    <w:lvl w:ilvl="0">
      <w:lvlJc w:val="left"/>
      <w:lvlText w:val="(%1)"/>
      <w:numFmt w:val="lowerLetter"/>
      <w:start w:val="7"/>
    </w:lvl>
  </w:abstractNum>
  <w:abstractNum w:abstractNumId="398">
    <w:nsid w:val="1A8762F4"/>
    <w:multiLevelType w:val="hybridMultilevel"/>
    <w:lvl w:ilvl="0">
      <w:lvlJc w:val="left"/>
      <w:lvlText w:val="(%1)"/>
      <w:numFmt w:val="lowerRoman"/>
      <w:start w:val="1"/>
    </w:lvl>
    <w:lvl w:ilvl="1">
      <w:lvlJc w:val="left"/>
      <w:lvlText w:val="(%2)"/>
      <w:numFmt w:val="upperLetter"/>
      <w:start w:val="1"/>
    </w:lvl>
  </w:abstractNum>
  <w:abstractNum w:abstractNumId="399">
    <w:nsid w:val="7F41D049"/>
    <w:multiLevelType w:val="hybridMultilevel"/>
    <w:lvl w:ilvl="0">
      <w:lvlJc w:val="left"/>
      <w:lvlText w:val="(%1)"/>
      <w:numFmt w:val="lowerRoman"/>
      <w:start w:val="1"/>
    </w:lvl>
    <w:lvl w:ilvl="1">
      <w:lvlJc w:val="left"/>
      <w:lvlText w:val="%2"/>
      <w:numFmt w:val="upperLetter"/>
      <w:start w:val="1"/>
    </w:lvl>
  </w:abstractNum>
  <w:abstractNum w:abstractNumId="400">
    <w:nsid w:val="449F66FE"/>
    <w:multiLevelType w:val="hybridMultilevel"/>
    <w:lvl w:ilvl="0">
      <w:lvlJc w:val="left"/>
      <w:lvlText w:val="(%1)"/>
      <w:numFmt w:val="lowerLetter"/>
      <w:start w:val="10"/>
    </w:lvl>
  </w:abstractNum>
  <w:abstractNum w:abstractNumId="401">
    <w:nsid w:val="557E0515"/>
    <w:multiLevelType w:val="hybridMultilevel"/>
    <w:lvl w:ilvl="0">
      <w:lvlJc w:val="left"/>
      <w:lvlText w:val="(%1)"/>
      <w:numFmt w:val="lowerLetter"/>
      <w:start w:val="1"/>
    </w:lvl>
  </w:abstractNum>
  <w:abstractNum w:abstractNumId="402">
    <w:nsid w:val="3BA0794B"/>
    <w:multiLevelType w:val="hybridMultilevel"/>
    <w:lvl w:ilvl="0">
      <w:lvlJc w:val="left"/>
      <w:lvlText w:val="(%1)"/>
      <w:numFmt w:val="lowerLetter"/>
      <w:start w:val="2"/>
    </w:lvl>
  </w:abstractNum>
  <w:abstractNum w:abstractNumId="403">
    <w:nsid w:val="6A0DCE48"/>
    <w:multiLevelType w:val="hybridMultilevel"/>
    <w:lvl w:ilvl="0">
      <w:lvlJc w:val="left"/>
      <w:lvlText w:val="(%1)"/>
      <w:numFmt w:val="lowerLetter"/>
      <w:start w:val="1"/>
    </w:lvl>
  </w:abstractNum>
  <w:abstractNum w:abstractNumId="404">
    <w:nsid w:val="7237AA96"/>
    <w:multiLevelType w:val="hybridMultilevel"/>
    <w:lvl w:ilvl="0">
      <w:lvlJc w:val="left"/>
      <w:lvlText w:val="(%1)"/>
      <w:numFmt w:val="lowerLetter"/>
      <w:start w:val="3"/>
    </w:lvl>
  </w:abstractNum>
  <w:abstractNum w:abstractNumId="405">
    <w:nsid w:val="5B1FBC2D"/>
    <w:multiLevelType w:val="hybridMultilevel"/>
    <w:lvl w:ilvl="0">
      <w:lvlJc w:val="left"/>
      <w:lvlText w:val="(%1)"/>
      <w:numFmt w:val="lowerLetter"/>
      <w:start w:val="1"/>
    </w:lvl>
  </w:abstractNum>
  <w:abstractNum w:abstractNumId="406">
    <w:nsid w:val="33DFCCE8"/>
    <w:multiLevelType w:val="hybridMultilevel"/>
    <w:lvl w:ilvl="0">
      <w:lvlJc w:val="left"/>
      <w:lvlText w:val="(%1)"/>
      <w:numFmt w:val="lowerRoman"/>
      <w:start w:val="1"/>
    </w:lvl>
  </w:abstractNum>
  <w:abstractNum w:abstractNumId="407">
    <w:nsid w:val="18C45E15"/>
    <w:multiLevelType w:val="hybridMultilevel"/>
    <w:lvl w:ilvl="0">
      <w:lvlJc w:val="left"/>
      <w:lvlText w:val="(%1)"/>
      <w:numFmt w:val="lowerLetter"/>
      <w:start w:val="2"/>
    </w:lvl>
  </w:abstractNum>
  <w:abstractNum w:abstractNumId="408">
    <w:nsid w:val="6B431F25"/>
    <w:multiLevelType w:val="hybridMultilevel"/>
    <w:lvl w:ilvl="0">
      <w:lvlJc w:val="left"/>
      <w:lvlText w:val="(%1)"/>
      <w:numFmt w:val="lowerRoman"/>
      <w:start w:val="1"/>
    </w:lvl>
  </w:abstractNum>
  <w:abstractNum w:abstractNumId="409">
    <w:nsid w:val="13CD8DCB"/>
    <w:multiLevelType w:val="hybridMultilevel"/>
    <w:lvl w:ilvl="0">
      <w:lvlJc w:val="left"/>
      <w:lvlText w:val="(%1)"/>
      <w:numFmt w:val="lowerLetter"/>
      <w:start w:val="2"/>
    </w:lvl>
  </w:abstractNum>
  <w:abstractNum w:abstractNumId="410">
    <w:nsid w:val="563A1A5C"/>
    <w:multiLevelType w:val="hybridMultilevel"/>
    <w:lvl w:ilvl="0">
      <w:lvlJc w:val="left"/>
      <w:lvlText w:val="(%1)"/>
      <w:numFmt w:val="lowerLetter"/>
      <w:start w:val="5"/>
    </w:lvl>
  </w:abstractNum>
  <w:abstractNum w:abstractNumId="411">
    <w:nsid w:val="2973F88F"/>
    <w:multiLevelType w:val="hybridMultilevel"/>
    <w:lvl w:ilvl="0">
      <w:lvlJc w:val="left"/>
      <w:lvlText w:val="(%1)"/>
      <w:numFmt w:val="lowerLetter"/>
      <w:start w:val="1"/>
    </w:lvl>
  </w:abstractNum>
  <w:abstractNum w:abstractNumId="412">
    <w:nsid w:val="2C70EDAE"/>
    <w:multiLevelType w:val="hybridMultilevel"/>
    <w:lvl w:ilvl="0">
      <w:lvlJc w:val="left"/>
      <w:lvlText w:val="(%1)"/>
      <w:numFmt w:val="lowerRoman"/>
      <w:start w:val="2"/>
    </w:lvl>
    <w:lvl w:ilvl="1">
      <w:lvlJc w:val="left"/>
      <w:lvlText w:val="(%2)"/>
      <w:numFmt w:val="upperLetter"/>
      <w:start w:val="1"/>
    </w:lvl>
  </w:abstractNum>
  <w:abstractNum w:abstractNumId="413">
    <w:nsid w:val="44296C6D"/>
    <w:multiLevelType w:val="hybridMultilevel"/>
    <w:lvl w:ilvl="0">
      <w:lvlJc w:val="left"/>
      <w:lvlText w:val="(%1)"/>
      <w:numFmt w:val="lowerRoman"/>
      <w:start w:val="3"/>
    </w:lvl>
  </w:abstractNum>
  <w:abstractNum w:abstractNumId="414">
    <w:nsid w:val="3A86D445"/>
    <w:multiLevelType w:val="hybridMultilevel"/>
    <w:lvl w:ilvl="0">
      <w:lvlJc w:val="left"/>
      <w:lvlText w:val="(%1)"/>
      <w:numFmt w:val="lowerLetter"/>
      <w:start w:val="6"/>
    </w:lvl>
  </w:abstractNum>
  <w:abstractNum w:abstractNumId="415">
    <w:nsid w:val="51F79246"/>
    <w:multiLevelType w:val="hybridMultilevel"/>
    <w:lvl w:ilvl="0">
      <w:lvlJc w:val="left"/>
      <w:lvlText w:val="(%1)"/>
      <w:numFmt w:val="lowerLetter"/>
      <w:start w:val="1"/>
    </w:lvl>
  </w:abstractNum>
  <w:abstractNum w:abstractNumId="416">
    <w:nsid w:val="5BC9A827"/>
    <w:multiLevelType w:val="hybridMultilevel"/>
    <w:lvl w:ilvl="0">
      <w:lvlJc w:val="left"/>
      <w:lvlText w:val="%1"/>
      <w:numFmt w:val="lowerLetter"/>
      <w:start w:val="1"/>
    </w:lvl>
    <w:lvl w:ilvl="1">
      <w:lvlJc w:val="left"/>
      <w:lvlText w:val="(%2)"/>
      <w:numFmt w:val="lowerLetter"/>
      <w:start w:val="2"/>
    </w:lvl>
  </w:abstractNum>
  <w:abstractNum w:abstractNumId="417">
    <w:nsid w:val="3AE37D86"/>
    <w:multiLevelType w:val="hybridMultilevel"/>
    <w:lvl w:ilvl="0">
      <w:lvlJc w:val="left"/>
      <w:lvlText w:val="(%1)"/>
      <w:numFmt w:val="lowerLetter"/>
      <w:start w:val="24"/>
    </w:lvl>
    <w:lvl w:ilvl="1">
      <w:lvlJc w:val="left"/>
      <w:lvlText w:val="%2"/>
      <w:numFmt w:val="lowerLetter"/>
      <w:start w:val="1"/>
    </w:lvl>
  </w:abstractNum>
  <w:abstractNum w:abstractNumId="418">
    <w:nsid w:val="45440FE5"/>
    <w:multiLevelType w:val="hybridMultilevel"/>
    <w:lvl w:ilvl="0">
      <w:lvlJc w:val="left"/>
      <w:lvlText w:val="(%1)"/>
      <w:numFmt w:val="lowerLetter"/>
      <w:start w:val="4"/>
    </w:lvl>
  </w:abstractNum>
  <w:abstractNum w:abstractNumId="419">
    <w:nsid w:val="BF783F"/>
    <w:multiLevelType w:val="hybridMultilevel"/>
    <w:lvl w:ilvl="0">
      <w:lvlJc w:val="left"/>
      <w:lvlText w:val="(%1)"/>
      <w:numFmt w:val="lowerLetter"/>
      <w:start w:val="1"/>
    </w:lvl>
  </w:abstractNum>
  <w:abstractNum w:abstractNumId="420">
    <w:nsid w:val="22643EA9"/>
    <w:multiLevelType w:val="hybridMultilevel"/>
    <w:lvl w:ilvl="0">
      <w:lvlJc w:val="left"/>
      <w:lvlText w:val="(%1)"/>
      <w:numFmt w:val="lowerLetter"/>
      <w:start w:val="3"/>
    </w:lvl>
  </w:abstractNum>
  <w:abstractNum w:abstractNumId="421">
    <w:nsid w:val="1887578D"/>
    <w:multiLevelType w:val="hybridMultilevel"/>
    <w:lvl w:ilvl="0">
      <w:lvlJc w:val="left"/>
      <w:lvlText w:val="(%1)"/>
      <w:numFmt w:val="lowerLetter"/>
      <w:start w:val="1"/>
    </w:lvl>
  </w:abstractNum>
  <w:abstractNum w:abstractNumId="422">
    <w:nsid w:val="58C05B8A"/>
    <w:multiLevelType w:val="hybridMultilevel"/>
    <w:lvl w:ilvl="0">
      <w:lvlJc w:val="left"/>
      <w:lvlText w:val="(%1)"/>
      <w:numFmt w:val="lowerLetter"/>
      <w:start w:val="2"/>
    </w:lvl>
  </w:abstractNum>
  <w:abstractNum w:abstractNumId="423">
    <w:nsid w:val="38D82E71"/>
    <w:multiLevelType w:val="hybridMultilevel"/>
    <w:lvl w:ilvl="0">
      <w:lvlJc w:val="left"/>
      <w:lvlText w:val="(%1)"/>
      <w:numFmt w:val="lowerLetter"/>
      <w:start w:val="3"/>
    </w:lvl>
  </w:abstractNum>
  <w:abstractNum w:abstractNumId="424">
    <w:nsid w:val="1E41098A"/>
    <w:multiLevelType w:val="hybridMultilevel"/>
    <w:lvl w:ilvl="0">
      <w:lvlJc w:val="left"/>
      <w:lvlText w:val="(%1)"/>
      <w:numFmt w:val="lowerLetter"/>
      <w:start w:val="4"/>
    </w:lvl>
  </w:abstractNum>
  <w:abstractNum w:abstractNumId="425">
    <w:nsid w:val="5398582C"/>
    <w:multiLevelType w:val="hybridMultilevel"/>
    <w:lvl w:ilvl="0">
      <w:lvlJc w:val="left"/>
      <w:lvlText w:val="(%1)"/>
      <w:numFmt w:val="lowerLetter"/>
      <w:start w:val="1"/>
    </w:lvl>
  </w:abstractNum>
  <w:abstractNum w:abstractNumId="426">
    <w:nsid w:val="1C0D4475"/>
    <w:multiLevelType w:val="hybridMultilevel"/>
    <w:lvl w:ilvl="0">
      <w:lvlJc w:val="left"/>
      <w:lvlText w:val="(%1)"/>
      <w:numFmt w:val="lowerLetter"/>
      <w:start w:val="61"/>
    </w:lvl>
  </w:abstractNum>
  <w:abstractNum w:abstractNumId="427">
    <w:nsid w:val="2CB6A6A4"/>
    <w:multiLevelType w:val="hybridMultilevel"/>
    <w:lvl w:ilvl="0">
      <w:lvlJc w:val="left"/>
      <w:lvlText w:val="(%1)"/>
      <w:numFmt w:val="lowerLetter"/>
      <w:start w:val="1"/>
    </w:lvl>
  </w:abstractNum>
  <w:abstractNum w:abstractNumId="428">
    <w:nsid w:val="41D646BC"/>
    <w:multiLevelType w:val="hybridMultilevel"/>
    <w:lvl w:ilvl="0">
      <w:lvlJc w:val="left"/>
      <w:lvlText w:val="(%1)"/>
      <w:numFmt w:val="lowerRoman"/>
      <w:start w:val="1"/>
    </w:lvl>
  </w:abstractNum>
  <w:abstractNum w:abstractNumId="429">
    <w:nsid w:val="3694A76A"/>
    <w:multiLevelType w:val="hybridMultilevel"/>
    <w:lvl w:ilvl="0">
      <w:lvlJc w:val="left"/>
      <w:lvlText w:val="(%1)"/>
      <w:numFmt w:val="lowerRoman"/>
      <w:start w:val="3"/>
    </w:lvl>
  </w:abstractNum>
  <w:abstractNum w:abstractNumId="430">
    <w:nsid w:val="2BF876EE"/>
    <w:multiLevelType w:val="hybridMultilevel"/>
    <w:lvl w:ilvl="0">
      <w:lvlJc w:val="left"/>
      <w:lvlText w:val="(%1)"/>
      <w:numFmt w:val="lowerRoman"/>
      <w:start w:val="6"/>
    </w:lvl>
  </w:abstractNum>
  <w:abstractNum w:abstractNumId="431">
    <w:nsid w:val="675ADBA"/>
    <w:multiLevelType w:val="hybridMultilevel"/>
    <w:lvl w:ilvl="0">
      <w:lvlJc w:val="left"/>
      <w:lvlText w:val="(%1)"/>
      <w:numFmt w:val="lowerLetter"/>
      <w:start w:val="2"/>
    </w:lvl>
  </w:abstractNum>
  <w:abstractNum w:abstractNumId="432">
    <w:nsid w:val="C12AC7F"/>
    <w:multiLevelType w:val="hybridMultilevel"/>
    <w:lvl w:ilvl="0">
      <w:lvlJc w:val="left"/>
      <w:lvlText w:val="(%1)"/>
      <w:numFmt w:val="lowerLetter"/>
      <w:start w:val="1"/>
    </w:lvl>
  </w:abstractNum>
  <w:abstractNum w:abstractNumId="433">
    <w:nsid w:val="6798F039"/>
    <w:multiLevelType w:val="hybridMultilevel"/>
    <w:lvl w:ilvl="0">
      <w:lvlJc w:val="left"/>
      <w:lvlText w:val="(%1)"/>
      <w:numFmt w:val="lowerLetter"/>
      <w:start w:val="3"/>
    </w:lvl>
  </w:abstractNum>
  <w:abstractNum w:abstractNumId="434">
    <w:nsid w:val="70837C02"/>
    <w:multiLevelType w:val="hybridMultilevel"/>
    <w:lvl w:ilvl="0">
      <w:lvlJc w:val="left"/>
      <w:lvlText w:val="(%1)"/>
      <w:numFmt w:val="lowerLetter"/>
      <w:start w:val="1"/>
    </w:lvl>
  </w:abstractNum>
  <w:abstractNum w:abstractNumId="435">
    <w:nsid w:val="7E4A5715"/>
    <w:multiLevelType w:val="hybridMultilevel"/>
    <w:lvl w:ilvl="0">
      <w:lvlJc w:val="left"/>
      <w:lvlText w:val="(%1)"/>
      <w:numFmt w:val="lowerRoman"/>
      <w:start w:val="1"/>
    </w:lvl>
  </w:abstractNum>
  <w:abstractNum w:abstractNumId="436">
    <w:nsid w:val="42B8AC67"/>
    <w:multiLevelType w:val="hybridMultilevel"/>
    <w:lvl w:ilvl="0">
      <w:lvlJc w:val="left"/>
      <w:lvlText w:val="(%1)"/>
      <w:numFmt w:val="lowerRoman"/>
      <w:start w:val="4"/>
    </w:lvl>
  </w:abstractNum>
  <w:abstractNum w:abstractNumId="437">
    <w:nsid w:val="246348EA"/>
    <w:multiLevelType w:val="hybridMultilevel"/>
    <w:lvl w:ilvl="0">
      <w:lvlJc w:val="left"/>
      <w:lvlText w:val="(%1)"/>
      <w:numFmt w:val="lowerLetter"/>
      <w:start w:val="2"/>
    </w:lvl>
  </w:abstractNum>
  <w:abstractNum w:abstractNumId="438">
    <w:nsid w:val="170EB52B"/>
    <w:multiLevelType w:val="hybridMultilevel"/>
    <w:lvl w:ilvl="0">
      <w:lvlJc w:val="left"/>
      <w:lvlText w:val="(%1)"/>
      <w:numFmt w:val="lowerLetter"/>
      <w:start w:val="4"/>
    </w:lvl>
  </w:abstractNum>
  <w:abstractNum w:abstractNumId="439">
    <w:nsid w:val="2DFBCB8C"/>
    <w:multiLevelType w:val="hybridMultilevel"/>
    <w:lvl w:ilvl="0">
      <w:lvlJc w:val="left"/>
      <w:lvlText w:val="(%1)"/>
      <w:numFmt w:val="lowerLetter"/>
      <w:start w:val="1"/>
    </w:lvl>
  </w:abstractNum>
  <w:abstractNum w:abstractNumId="440">
    <w:nsid w:val="3830D6B6"/>
    <w:multiLevelType w:val="hybridMultilevel"/>
    <w:lvl w:ilvl="0">
      <w:lvlJc w:val="left"/>
      <w:lvlText w:val="%1"/>
      <w:numFmt w:val="lowerLetter"/>
      <w:start w:val="1"/>
    </w:lvl>
    <w:lvl w:ilvl="1">
      <w:lvlJc w:val="left"/>
      <w:lvlText w:val="(%2)"/>
      <w:numFmt w:val="lowerLetter"/>
      <w:start w:val="2"/>
    </w:lvl>
  </w:abstractNum>
  <w:abstractNum w:abstractNumId="441">
    <w:nsid w:val="6D48CF87"/>
    <w:multiLevelType w:val="hybridMultilevel"/>
    <w:lvl w:ilvl="0">
      <w:lvlJc w:val="left"/>
      <w:lvlText w:val="(%1)"/>
      <w:numFmt w:val="lowerLetter"/>
      <w:start w:val="9"/>
    </w:lvl>
    <w:lvl w:ilvl="1">
      <w:lvlJc w:val="left"/>
      <w:lvlText w:val="%2"/>
      <w:numFmt w:val="lowerLetter"/>
      <w:start w:val="1"/>
    </w:lvl>
  </w:abstractNum>
  <w:abstractNum w:abstractNumId="442">
    <w:nsid w:val="576FC41B"/>
    <w:multiLevelType w:val="hybridMultilevel"/>
    <w:lvl w:ilvl="0">
      <w:lvlJc w:val="left"/>
      <w:lvlText w:val="%1"/>
      <w:numFmt w:val="upperLetter"/>
      <w:start w:val="1"/>
    </w:lvl>
    <w:lvl w:ilvl="1">
      <w:lvlJc w:val="left"/>
      <w:lvlText w:val="(%2)"/>
      <w:numFmt w:val="lowerLetter"/>
      <w:start w:val="3"/>
    </w:lvl>
  </w:abstractNum>
  <w:abstractNum w:abstractNumId="443">
    <w:nsid w:val="64A1C464"/>
    <w:multiLevelType w:val="hybridMultilevel"/>
    <w:lvl w:ilvl="0">
      <w:lvlJc w:val="left"/>
      <w:lvlText w:val="(%1)"/>
      <w:numFmt w:val="upperLetter"/>
      <w:start w:val="2"/>
    </w:lvl>
    <w:lvl w:ilvl="1">
      <w:lvlJc w:val="left"/>
      <w:lvlText w:val="(%2)"/>
      <w:numFmt w:val="lowerLetter"/>
      <w:start w:val="5"/>
    </w:lvl>
  </w:abstractNum>
  <w:abstractNum w:abstractNumId="444">
    <w:nsid w:val="31723BF5"/>
    <w:multiLevelType w:val="hybridMultilevel"/>
    <w:lvl w:ilvl="0">
      <w:lvlJc w:val="left"/>
      <w:lvlText w:val="(%1)"/>
      <w:numFmt w:val="lowerLetter"/>
      <w:start w:val="1"/>
    </w:lvl>
  </w:abstractNum>
  <w:abstractNum w:abstractNumId="445">
    <w:nsid w:val="11F69861"/>
    <w:multiLevelType w:val="hybridMultilevel"/>
    <w:lvl w:ilvl="0">
      <w:lvlJc w:val="left"/>
      <w:lvlText w:val="(%1)"/>
      <w:numFmt w:val="lowerLetter"/>
      <w:start w:val="1"/>
    </w:lvl>
  </w:abstractNum>
  <w:abstractNum w:abstractNumId="446">
    <w:nsid w:val="369956AB"/>
    <w:multiLevelType w:val="hybridMultilevel"/>
    <w:lvl w:ilvl="0">
      <w:lvlJc w:val="left"/>
      <w:lvlText w:val="(%1)"/>
      <w:numFmt w:val="lowerLetter"/>
      <w:start w:val="1"/>
    </w:lvl>
  </w:abstractNum>
  <w:abstractNum w:abstractNumId="447">
    <w:nsid w:val="D3BE41C"/>
    <w:multiLevelType w:val="hybridMultilevel"/>
    <w:lvl w:ilvl="0">
      <w:lvlJc w:val="left"/>
      <w:lvlText w:val="(%1)"/>
      <w:numFmt w:val="lowerLetter"/>
      <w:start w:val="1"/>
    </w:lvl>
  </w:abstractNum>
  <w:abstractNum w:abstractNumId="448">
    <w:nsid w:val="4CDA15E7"/>
    <w:multiLevelType w:val="hybridMultilevel"/>
    <w:lvl w:ilvl="0">
      <w:lvlJc w:val="left"/>
      <w:lvlText w:val="(%1)"/>
      <w:numFmt w:val="lowerLetter"/>
      <w:start w:val="1"/>
    </w:lvl>
  </w:abstractNum>
  <w:abstractNum w:abstractNumId="449">
    <w:nsid w:val="7BDD6690"/>
    <w:multiLevelType w:val="hybridMultilevel"/>
    <w:lvl w:ilvl="0">
      <w:lvlJc w:val="left"/>
      <w:lvlText w:val="(%1)"/>
      <w:numFmt w:val="lowerLetter"/>
      <w:start w:val="3"/>
    </w:lvl>
  </w:abstractNum>
  <w:abstractNum w:abstractNumId="450">
    <w:nsid w:val="DFB5C5B"/>
    <w:multiLevelType w:val="hybridMultilevel"/>
    <w:lvl w:ilvl="0">
      <w:lvlJc w:val="left"/>
      <w:lvlText w:val="(%1)"/>
      <w:numFmt w:val="lowerLetter"/>
      <w:start w:val="9"/>
    </w:lvl>
  </w:abstractNum>
  <w:abstractNum w:abstractNumId="451">
    <w:nsid w:val="6F3E5490"/>
    <w:multiLevelType w:val="hybridMultilevel"/>
    <w:lvl w:ilvl="0">
      <w:lvlJc w:val="left"/>
      <w:lvlText w:val="(%1)"/>
      <w:numFmt w:val="lowerLetter"/>
      <w:start w:val="1"/>
    </w:lvl>
  </w:abstractNum>
  <w:abstractNum w:abstractNumId="452">
    <w:nsid w:val="1464BE1E"/>
    <w:multiLevelType w:val="hybridMultilevel"/>
    <w:lvl w:ilvl="0">
      <w:lvlJc w:val="left"/>
      <w:lvlText w:val="(%1)"/>
      <w:numFmt w:val="lowerLetter"/>
      <w:start w:val="3"/>
    </w:lvl>
  </w:abstractNum>
  <w:abstractNum w:abstractNumId="453">
    <w:nsid w:val="66BBB7E5"/>
    <w:multiLevelType w:val="hybridMultilevel"/>
    <w:lvl w:ilvl="0">
      <w:lvlJc w:val="left"/>
      <w:lvlText w:val="(%1)"/>
      <w:numFmt w:val="lowerLetter"/>
      <w:start w:val="1"/>
    </w:lvl>
  </w:abstractNum>
  <w:abstractNum w:abstractNumId="454">
    <w:nsid w:val="28168302"/>
    <w:multiLevelType w:val="hybridMultilevel"/>
    <w:lvl w:ilvl="0">
      <w:lvlJc w:val="left"/>
      <w:lvlText w:val="%1"/>
      <w:numFmt w:val="lowerLetter"/>
      <w:start w:val="1"/>
    </w:lvl>
    <w:lvl w:ilvl="1">
      <w:lvlJc w:val="left"/>
      <w:lvlText w:val="(%2)"/>
      <w:numFmt w:val="lowerLetter"/>
      <w:start w:val="2"/>
    </w:lvl>
  </w:abstractNum>
  <w:abstractNum w:abstractNumId="455">
    <w:nsid w:val="32A5C7A8"/>
    <w:multiLevelType w:val="hybridMultilevel"/>
    <w:lvl w:ilvl="0">
      <w:lvlJc w:val="left"/>
      <w:lvlText w:val="(%1)"/>
      <w:numFmt w:val="lowerLetter"/>
      <w:start w:val="9"/>
    </w:lvl>
    <w:lvl w:ilvl="1">
      <w:lvlJc w:val="left"/>
      <w:lvlText w:val="(%2)"/>
      <w:numFmt w:val="lowerLetter"/>
      <w:start w:val="4"/>
    </w:lvl>
  </w:abstractNum>
  <w:abstractNum w:abstractNumId="456">
    <w:nsid w:val="3A541011"/>
    <w:multiLevelType w:val="hybridMultilevel"/>
    <w:lvl w:ilvl="0">
      <w:lvlJc w:val="left"/>
      <w:lvlText w:val="(%1)"/>
      <w:numFmt w:val="lowerLetter"/>
      <w:start w:val="8"/>
    </w:lvl>
  </w:abstractNum>
  <w:abstractNum w:abstractNumId="457">
    <w:nsid w:val="4423C777"/>
    <w:multiLevelType w:val="hybridMultilevel"/>
    <w:lvl w:ilvl="0">
      <w:lvlJc w:val="left"/>
      <w:lvlText w:val="(%1)"/>
      <w:numFmt w:val="lowerLetter"/>
      <w:start w:val="1"/>
    </w:lvl>
  </w:abstractNum>
  <w:abstractNum w:abstractNumId="458">
    <w:nsid w:val="5F5C6E4D"/>
    <w:multiLevelType w:val="hybridMultilevel"/>
    <w:lvl w:ilvl="0">
      <w:lvlJc w:val="left"/>
      <w:lvlText w:val="%1"/>
      <w:numFmt w:val="lowerLetter"/>
      <w:start w:val="1"/>
    </w:lvl>
    <w:lvl w:ilvl="1">
      <w:lvlJc w:val="left"/>
      <w:lvlText w:val="(%2)"/>
      <w:numFmt w:val="lowerLetter"/>
      <w:start w:val="1"/>
    </w:lvl>
  </w:abstractNum>
  <w:abstractNum w:abstractNumId="459">
    <w:nsid w:val="7C2A56CD"/>
    <w:multiLevelType w:val="hybridMultilevel"/>
    <w:lvl w:ilvl="0">
      <w:lvlJc w:val="left"/>
      <w:lvlText w:val="(%1)"/>
      <w:numFmt w:val="lowerLetter"/>
      <w:start w:val="35"/>
    </w:lvl>
    <w:lvl w:ilvl="1">
      <w:lvlJc w:val="left"/>
      <w:lvlText w:val="%2"/>
      <w:numFmt w:val="lowerLetter"/>
      <w:start w:val="1"/>
    </w:lvl>
  </w:abstractNum>
  <w:abstractNum w:abstractNumId="460">
    <w:nsid w:val="7AB86EE1"/>
    <w:multiLevelType w:val="hybridMultilevel"/>
    <w:lvl w:ilvl="0">
      <w:lvlJc w:val="left"/>
      <w:lvlText w:val="%1"/>
      <w:numFmt w:val="lowerLetter"/>
      <w:start w:val="1"/>
    </w:lvl>
    <w:lvl w:ilvl="1">
      <w:lvlJc w:val="left"/>
      <w:lvlText w:val="(%2)"/>
      <w:numFmt w:val="lowerLetter"/>
      <w:start w:val="2"/>
    </w:lvl>
  </w:abstractNum>
  <w:abstractNum w:abstractNumId="461">
    <w:nsid w:val="B54E53B"/>
    <w:multiLevelType w:val="hybridMultilevel"/>
    <w:lvl w:ilvl="0">
      <w:lvlJc w:val="left"/>
      <w:lvlText w:val="(%1)"/>
      <w:numFmt w:val="lowerLetter"/>
      <w:start w:val="61"/>
    </w:lvl>
    <w:lvl w:ilvl="1">
      <w:lvlJc w:val="left"/>
      <w:lvlText w:val="(%2)"/>
      <w:numFmt w:val="lowerLetter"/>
      <w:start w:val="4"/>
    </w:lvl>
  </w:abstractNum>
  <w:abstractNum w:abstractNumId="462">
    <w:nsid w:val="2A00487"/>
    <w:multiLevelType w:val="hybridMultilevel"/>
    <w:lvl w:ilvl="0">
      <w:lvlJc w:val="left"/>
      <w:lvlText w:val="(%1)"/>
      <w:numFmt w:val="lowerLetter"/>
      <w:start w:val="7"/>
    </w:lvl>
  </w:abstractNum>
  <w:abstractNum w:abstractNumId="463">
    <w:nsid w:val="6CB1B60"/>
    <w:multiLevelType w:val="hybridMultilevel"/>
    <w:lvl w:ilvl="0">
      <w:lvlJc w:val="left"/>
      <w:lvlText w:val="(%1)"/>
      <w:numFmt w:val="lowerRoman"/>
      <w:start w:val="10"/>
    </w:lvl>
  </w:abstractNum>
  <w:abstractNum w:abstractNumId="464">
    <w:nsid w:val="72EDD574"/>
    <w:multiLevelType w:val="hybridMultilevel"/>
    <w:lvl w:ilvl="0">
      <w:lvlJc w:val="left"/>
      <w:lvlText w:val="(%1)"/>
      <w:numFmt w:val="lowerLetter"/>
      <w:start w:val="1"/>
    </w:lvl>
  </w:abstractNum>
  <w:abstractNum w:abstractNumId="465">
    <w:nsid w:val="7323808A"/>
    <w:multiLevelType w:val="hybridMultilevel"/>
    <w:lvl w:ilvl="0">
      <w:lvlJc w:val="left"/>
      <w:lvlText w:val="(%1)"/>
      <w:numFmt w:val="lowerRoman"/>
      <w:start w:val="2"/>
    </w:lvl>
  </w:abstractNum>
  <w:abstractNum w:abstractNumId="466">
    <w:nsid w:val="5157276"/>
    <w:multiLevelType w:val="hybridMultilevel"/>
    <w:lvl w:ilvl="0">
      <w:lvlJc w:val="left"/>
      <w:lvlText w:val="(%1)"/>
      <w:numFmt w:val="lowerLetter"/>
      <w:start w:val="1"/>
    </w:lvl>
  </w:abstractNum>
  <w:abstractNum w:abstractNumId="467">
    <w:nsid w:val="35A681DB"/>
    <w:multiLevelType w:val="hybridMultilevel"/>
    <w:lvl w:ilvl="0">
      <w:lvlJc w:val="left"/>
      <w:lvlText w:val="(%1)"/>
      <w:numFmt w:val="lowerLetter"/>
      <w:start w:val="1"/>
    </w:lvl>
  </w:abstractNum>
  <w:abstractNum w:abstractNumId="468">
    <w:nsid w:val="1786C974"/>
    <w:multiLevelType w:val="hybridMultilevel"/>
    <w:lvl w:ilvl="0">
      <w:lvlJc w:val="left"/>
      <w:lvlText w:val="(%1)"/>
      <w:numFmt w:val="lowerLetter"/>
      <w:start w:val="2"/>
    </w:lvl>
  </w:abstractNum>
  <w:abstractNum w:abstractNumId="469">
    <w:nsid w:val="1C2427A1"/>
    <w:multiLevelType w:val="hybridMultilevel"/>
    <w:lvl w:ilvl="0">
      <w:lvlJc w:val="left"/>
      <w:lvlText w:val="(%1)"/>
      <w:numFmt w:val="lowerLetter"/>
      <w:start w:val="1"/>
    </w:lvl>
  </w:abstractNum>
  <w:abstractNum w:abstractNumId="470">
    <w:nsid w:val="63A24D68"/>
    <w:multiLevelType w:val="hybridMultilevel"/>
    <w:lvl w:ilvl="0">
      <w:lvlJc w:val="left"/>
      <w:lvlText w:val="(%1)"/>
      <w:numFmt w:val="lowerLetter"/>
      <w:start w:val="3"/>
    </w:lvl>
  </w:abstractNum>
  <w:abstractNum w:abstractNumId="471">
    <w:nsid w:val="4FB7A02A"/>
    <w:multiLevelType w:val="hybridMultilevel"/>
    <w:lvl w:ilvl="0">
      <w:lvlJc w:val="left"/>
      <w:lvlText w:val="(%1)"/>
      <w:numFmt w:val="lowerRoman"/>
      <w:start w:val="1"/>
    </w:lvl>
  </w:abstractNum>
  <w:abstractNum w:abstractNumId="472">
    <w:nsid w:val="96CF728"/>
    <w:multiLevelType w:val="hybridMultilevel"/>
    <w:lvl w:ilvl="0">
      <w:lvlJc w:val="left"/>
      <w:lvlText w:val="(%1)"/>
      <w:numFmt w:val="lowerRoman"/>
      <w:start w:val="4"/>
    </w:lvl>
  </w:abstractNum>
  <w:abstractNum w:abstractNumId="473">
    <w:nsid w:val="3B121183"/>
    <w:multiLevelType w:val="hybridMultilevel"/>
    <w:lvl w:ilvl="0">
      <w:lvlJc w:val="left"/>
      <w:lvlText w:val="%1"/>
      <w:numFmt w:val="upperLetter"/>
      <w:start w:val="1"/>
    </w:lvl>
    <w:lvl w:ilvl="1">
      <w:lvlJc w:val="left"/>
      <w:lvlText w:val="(%2)"/>
      <w:numFmt w:val="lowerLetter"/>
      <w:start w:val="1"/>
    </w:lvl>
  </w:abstractNum>
  <w:abstractNum w:abstractNumId="474">
    <w:nsid w:val="3459648F"/>
    <w:multiLevelType w:val="hybridMultilevel"/>
    <w:lvl w:ilvl="0">
      <w:lvlJc w:val="left"/>
      <w:lvlText w:val="(%1)"/>
      <w:numFmt w:val="upperLetter"/>
      <w:start w:val="2"/>
    </w:lvl>
    <w:lvl w:ilvl="1">
      <w:lvlJc w:val="left"/>
      <w:lvlText w:val="%2"/>
      <w:numFmt w:val="lowerLetter"/>
      <w:start w:val="1"/>
    </w:lvl>
  </w:abstractNum>
  <w:abstractNum w:abstractNumId="475">
    <w:nsid w:val="3ADF331D"/>
    <w:multiLevelType w:val="hybridMultilevel"/>
    <w:lvl w:ilvl="0">
      <w:lvlJc w:val="left"/>
      <w:lvlText w:val="(%1)"/>
      <w:numFmt w:val="lowerLetter"/>
      <w:start w:val="3"/>
    </w:lvl>
  </w:abstractNum>
  <w:abstractNum w:abstractNumId="476">
    <w:nsid w:val="4D08A9E4"/>
    <w:multiLevelType w:val="hybridMultilevel"/>
    <w:lvl w:ilvl="0">
      <w:lvlJc w:val="left"/>
      <w:lvlText w:val="(%1)"/>
      <w:numFmt w:val="lowerLetter"/>
      <w:start w:val="1"/>
    </w:lvl>
  </w:abstractNum>
  <w:abstractNum w:abstractNumId="477">
    <w:nsid w:val="6AF2BB3A"/>
    <w:multiLevelType w:val="hybridMultilevel"/>
    <w:lvl w:ilvl="0">
      <w:lvlJc w:val="left"/>
      <w:lvlText w:val="(%1)"/>
      <w:numFmt w:val="lowerLetter"/>
      <w:start w:val="2"/>
    </w:lvl>
  </w:abstractNum>
  <w:abstractNum w:abstractNumId="478">
    <w:nsid w:val="481B1739"/>
    <w:multiLevelType w:val="hybridMultilevel"/>
    <w:lvl w:ilvl="0">
      <w:lvlJc w:val="left"/>
      <w:lvlText w:val="(%1)"/>
      <w:numFmt w:val="lowerLetter"/>
      <w:start w:val="1"/>
    </w:lvl>
  </w:abstractNum>
  <w:abstractNum w:abstractNumId="479">
    <w:nsid w:val="19E2BFCC"/>
    <w:multiLevelType w:val="hybridMultilevel"/>
    <w:lvl w:ilvl="0">
      <w:lvlJc w:val="left"/>
      <w:lvlText w:val="%1"/>
      <w:numFmt w:val="lowerLetter"/>
      <w:start w:val="1"/>
    </w:lvl>
    <w:lvl w:ilvl="1">
      <w:lvlJc w:val="left"/>
      <w:lvlText w:val="(%2)"/>
      <w:numFmt w:val="lowerLetter"/>
      <w:start w:val="1"/>
    </w:lvl>
  </w:abstractNum>
  <w:abstractNum w:abstractNumId="480">
    <w:nsid w:val="66D021CA"/>
    <w:multiLevelType w:val="hybridMultilevel"/>
    <w:lvl w:ilvl="0">
      <w:lvlJc w:val="left"/>
      <w:lvlText w:val="(%1)"/>
      <w:numFmt w:val="lowerLetter"/>
      <w:start w:val="25"/>
    </w:lvl>
    <w:lvl w:ilvl="1">
      <w:lvlJc w:val="left"/>
      <w:lvlText w:val="(%2)"/>
      <w:numFmt w:val="lowerLetter"/>
      <w:start w:val="5"/>
    </w:lvl>
  </w:abstractNum>
  <w:abstractNum w:abstractNumId="481">
    <w:nsid w:val="56167394"/>
    <w:multiLevelType w:val="hybridMultilevel"/>
    <w:lvl w:ilvl="0">
      <w:lvlJc w:val="left"/>
      <w:lvlText w:val="(%1)"/>
      <w:numFmt w:val="lowerLetter"/>
      <w:start w:val="61"/>
    </w:lvl>
    <w:lvl w:ilvl="1">
      <w:lvlJc w:val="left"/>
      <w:lvlText w:val="(%2)"/>
      <w:numFmt w:val="lowerLetter"/>
      <w:start w:val="6"/>
    </w:lvl>
  </w:abstractNum>
  <w:abstractNum w:abstractNumId="482">
    <w:nsid w:val="921145C"/>
    <w:multiLevelType w:val="hybridMultilevel"/>
    <w:lvl w:ilvl="0">
      <w:lvlJc w:val="left"/>
      <w:lvlText w:val="(%1)"/>
      <w:numFmt w:val="lowerLetter"/>
      <w:start w:val="7"/>
    </w:lvl>
  </w:abstractNum>
  <w:abstractNum w:abstractNumId="483">
    <w:nsid w:val="7B34DFE8"/>
    <w:multiLevelType w:val="hybridMultilevel"/>
    <w:lvl w:ilvl="0">
      <w:lvlJc w:val="left"/>
      <w:lvlText w:val="%1"/>
      <w:numFmt w:val="lowerLetter"/>
      <w:start w:val="1"/>
    </w:lvl>
    <w:lvl w:ilvl="1">
      <w:lvlJc w:val="left"/>
      <w:lvlText w:val="(%2)"/>
      <w:numFmt w:val="lowerLetter"/>
      <w:start w:val="17"/>
    </w:lvl>
  </w:abstractNum>
  <w:abstractNum w:abstractNumId="484">
    <w:nsid w:val="3CD22B79"/>
    <w:multiLevelType w:val="hybridMultilevel"/>
    <w:lvl w:ilvl="0">
      <w:lvlJc w:val="left"/>
      <w:lvlText w:val="(%1)"/>
      <w:numFmt w:val="lowerLetter"/>
      <w:start w:val="22"/>
    </w:lvl>
    <w:lvl w:ilvl="1">
      <w:lvlJc w:val="left"/>
      <w:lvlText w:val="(%2)"/>
      <w:numFmt w:val="lowerLetter"/>
      <w:start w:val="18"/>
    </w:lvl>
  </w:abstractNum>
  <w:abstractNum w:abstractNumId="485">
    <w:nsid w:val="3137975E"/>
    <w:multiLevelType w:val="hybridMultilevel"/>
    <w:lvl w:ilvl="0">
      <w:lvlJc w:val="left"/>
      <w:lvlText w:val="%1"/>
      <w:numFmt w:val="upperLetter"/>
      <w:start w:val="1"/>
    </w:lvl>
    <w:lvl w:ilvl="1">
      <w:lvlJc w:val="left"/>
      <w:lvlText w:val="(%2)"/>
      <w:numFmt w:val="lowerLetter"/>
      <w:start w:val="27"/>
    </w:lvl>
  </w:abstractNum>
  <w:abstractNum w:abstractNumId="486">
    <w:nsid w:val="2DDAA791"/>
    <w:multiLevelType w:val="hybridMultilevel"/>
    <w:lvl w:ilvl="0">
      <w:lvlJc w:val="left"/>
      <w:lvlText w:val="(%1)"/>
      <w:numFmt w:val="upperLetter"/>
      <w:start w:val="2"/>
    </w:lvl>
    <w:lvl w:ilvl="1">
      <w:lvlJc w:val="left"/>
      <w:lvlText w:val="(%2)"/>
      <w:numFmt w:val="lowerLetter"/>
      <w:start w:val="28"/>
    </w:lvl>
  </w:abstractNum>
  <w:abstractNum w:abstractNumId="487">
    <w:nsid w:val="77263B8A"/>
    <w:multiLevelType w:val="hybridMultilevel"/>
    <w:lvl w:ilvl="0">
      <w:lvlJc w:val="left"/>
      <w:lvlText w:val="(%1)"/>
      <w:numFmt w:val="lowerLetter"/>
      <w:start w:val="29"/>
    </w:lvl>
  </w:abstractNum>
  <w:abstractNum w:abstractNumId="488">
    <w:nsid w:val="755B5ED6"/>
    <w:multiLevelType w:val="hybridMultilevel"/>
    <w:lvl w:ilvl="0">
      <w:lvlJc w:val="left"/>
      <w:lvlText w:val="(%1)"/>
      <w:numFmt w:val="lowerLetter"/>
      <w:start w:val="1"/>
    </w:lvl>
  </w:abstractNum>
  <w:abstractNum w:abstractNumId="489">
    <w:nsid w:val="D3715DE"/>
    <w:multiLevelType w:val="hybridMultilevel"/>
    <w:lvl w:ilvl="0">
      <w:lvlJc w:val="left"/>
      <w:lvlText w:val="(%1)"/>
      <w:numFmt w:val="lowerLetter"/>
      <w:start w:val="5"/>
    </w:lvl>
  </w:abstractNum>
  <w:abstractNum w:abstractNumId="490">
    <w:nsid w:val="73509257"/>
    <w:multiLevelType w:val="hybridMultilevel"/>
    <w:lvl w:ilvl="0">
      <w:lvlJc w:val="left"/>
      <w:lvlText w:val="(%1)"/>
      <w:numFmt w:val="lowerLetter"/>
      <w:start w:val="10"/>
    </w:lvl>
  </w:abstractNum>
  <w:abstractNum w:abstractNumId="491">
    <w:nsid w:val="7013CDB7"/>
    <w:multiLevelType w:val="hybridMultilevel"/>
    <w:lvl w:ilvl="0">
      <w:lvlJc w:val="left"/>
      <w:lvlText w:val="(%1)"/>
      <w:numFmt w:val="lowerLetter"/>
      <w:start w:val="25"/>
    </w:lvl>
  </w:abstractNum>
  <w:abstractNum w:abstractNumId="492">
    <w:nsid w:val="188BFB19"/>
    <w:multiLevelType w:val="hybridMultilevel"/>
    <w:lvl w:ilvl="0">
      <w:lvlJc w:val="left"/>
      <w:lvlText w:val="(%1)"/>
      <w:numFmt w:val="lowerLetter"/>
      <w:start w:val="27"/>
    </w:lvl>
  </w:abstractNum>
  <w:abstractNum w:abstractNumId="493">
    <w:nsid w:val="75F096DF"/>
    <w:multiLevelType w:val="hybridMultilevel"/>
    <w:lvl w:ilvl="0">
      <w:lvlJc w:val="left"/>
      <w:lvlText w:val="(%1)"/>
      <w:numFmt w:val="lowerLetter"/>
      <w:start w:val="37"/>
    </w:lvl>
  </w:abstractNum>
  <w:abstractNum w:abstractNumId="494">
    <w:nsid w:val="76DEE918"/>
    <w:multiLevelType w:val="hybridMultilevel"/>
    <w:lvl w:ilvl="0">
      <w:lvlJc w:val="left"/>
      <w:lvlText w:val="(%1)"/>
      <w:numFmt w:val="lowerLetter"/>
      <w:start w:val="1"/>
    </w:lvl>
  </w:abstractNum>
  <w:abstractNum w:abstractNumId="495">
    <w:nsid w:val="B79D08D"/>
    <w:multiLevelType w:val="hybridMultilevel"/>
    <w:lvl w:ilvl="0">
      <w:lvlJc w:val="left"/>
      <w:lvlText w:val="%1"/>
      <w:numFmt w:val="upperLetter"/>
      <w:start w:val="1"/>
    </w:lvl>
    <w:lvl w:ilvl="1">
      <w:lvlJc w:val="left"/>
      <w:lvlText w:val="(%2)"/>
      <w:numFmt w:val="lowerRoman"/>
      <w:start w:val="1"/>
    </w:lvl>
  </w:abstractNum>
  <w:abstractNum w:abstractNumId="496">
    <w:nsid w:val="69141769"/>
    <w:multiLevelType w:val="hybridMultilevel"/>
    <w:lvl w:ilvl="0">
      <w:lvlJc w:val="left"/>
      <w:lvlText w:val="(%1)"/>
      <w:numFmt w:val="upperLetter"/>
      <w:start w:val="3"/>
    </w:lvl>
    <w:lvl w:ilvl="1">
      <w:lvlJc w:val="left"/>
      <w:lvlText w:val="(%2)"/>
      <w:numFmt w:val="lowerRoman"/>
      <w:start w:val="3"/>
    </w:lvl>
  </w:abstractNum>
  <w:abstractNum w:abstractNumId="497">
    <w:nsid w:val="7BF45B8E"/>
    <w:multiLevelType w:val="hybridMultilevel"/>
    <w:lvl w:ilvl="0">
      <w:lvlJc w:val="left"/>
      <w:lvlText w:val="(%1)"/>
      <w:numFmt w:val="lowerRoman"/>
      <w:start w:val="5"/>
    </w:lvl>
  </w:abstractNum>
  <w:abstractNum w:abstractNumId="498">
    <w:nsid w:val="41205269"/>
    <w:multiLevelType w:val="hybridMultilevel"/>
    <w:lvl w:ilvl="0">
      <w:lvlJc w:val="left"/>
      <w:lvlText w:val="(%1)"/>
      <w:numFmt w:val="lowerLetter"/>
      <w:start w:val="2"/>
    </w:lvl>
  </w:abstractNum>
  <w:abstractNum w:abstractNumId="499">
    <w:nsid w:val="9AE0DD"/>
    <w:multiLevelType w:val="hybridMultilevel"/>
    <w:lvl w:ilvl="0">
      <w:lvlJc w:val="left"/>
      <w:lvlText w:val="(%1)"/>
      <w:numFmt w:val="lowerRoman"/>
      <w:start w:val="1"/>
    </w:lvl>
  </w:abstractNum>
  <w:abstractNum w:abstractNumId="500">
    <w:nsid w:val="1818832F"/>
    <w:multiLevelType w:val="hybridMultilevel"/>
    <w:lvl w:ilvl="0">
      <w:lvlJc w:val="left"/>
      <w:lvlText w:val="(%1)"/>
      <w:numFmt w:val="lowerRoman"/>
      <w:start w:val="5"/>
    </w:lvl>
  </w:abstractNum>
  <w:abstractNum w:abstractNumId="501">
    <w:nsid w:val="24C29FD1"/>
    <w:multiLevelType w:val="hybridMultilevel"/>
    <w:lvl w:ilvl="0">
      <w:lvlJc w:val="left"/>
      <w:lvlText w:val="(%1)"/>
      <w:numFmt w:val="lowerLetter"/>
      <w:start w:val="1"/>
    </w:lvl>
  </w:abstractNum>
  <w:abstractNum w:abstractNumId="502">
    <w:nsid w:val="50528108"/>
    <w:multiLevelType w:val="hybridMultilevel"/>
    <w:lvl w:ilvl="0">
      <w:lvlJc w:val="left"/>
      <w:lvlText w:val="(%1)"/>
      <w:numFmt w:val="lowerLetter"/>
      <w:start w:val="2"/>
    </w:lvl>
  </w:abstractNum>
  <w:abstractNum w:abstractNumId="503">
    <w:nsid w:val="21857A57"/>
    <w:multiLevelType w:val="hybridMultilevel"/>
    <w:lvl w:ilvl="0">
      <w:lvlJc w:val="left"/>
      <w:lvlText w:val="(%1)"/>
      <w:numFmt w:val="lowerLetter"/>
      <w:start w:val="5"/>
    </w:lvl>
  </w:abstractNum>
  <w:abstractNum w:abstractNumId="504">
    <w:nsid w:val="5FD4B154"/>
    <w:multiLevelType w:val="hybridMultilevel"/>
    <w:lvl w:ilvl="0">
      <w:lvlJc w:val="left"/>
      <w:lvlText w:val="(%1)"/>
      <w:numFmt w:val="lowerLetter"/>
      <w:start w:val="11"/>
    </w:lvl>
  </w:abstractNum>
  <w:abstractNum w:abstractNumId="505">
    <w:nsid w:val="4ABE597"/>
    <w:multiLevelType w:val="hybridMultilevel"/>
    <w:lvl w:ilvl="0">
      <w:lvlJc w:val="left"/>
      <w:lvlText w:val="(%1)"/>
      <w:numFmt w:val="lowerLetter"/>
      <w:start w:val="24"/>
    </w:lvl>
  </w:abstractNum>
  <w:abstractNum w:abstractNumId="506">
    <w:nsid w:val="5C64AD75"/>
    <w:multiLevelType w:val="hybridMultilevel"/>
    <w:lvl w:ilvl="0">
      <w:lvlJc w:val="left"/>
      <w:lvlText w:val="(%1)"/>
      <w:numFmt w:val="lowerLetter"/>
      <w:start w:val="27"/>
    </w:lvl>
  </w:abstractNum>
  <w:abstractNum w:abstractNumId="507">
    <w:nsid w:val="2CDD5B39"/>
    <w:multiLevelType w:val="hybridMultilevel"/>
    <w:lvl w:ilvl="0">
      <w:lvlJc w:val="left"/>
      <w:lvlText w:val="(%1)"/>
      <w:numFmt w:val="lowerLetter"/>
      <w:start w:val="34"/>
    </w:lvl>
  </w:abstractNum>
  <w:abstractNum w:abstractNumId="508">
    <w:nsid w:val="6F9EA0D1"/>
    <w:multiLevelType w:val="hybridMultilevel"/>
    <w:lvl w:ilvl="0">
      <w:lvlJc w:val="left"/>
      <w:lvlText w:val="(%1)"/>
      <w:numFmt w:val="lowerLetter"/>
      <w:start w:val="1"/>
    </w:lvl>
  </w:abstractNum>
  <w:abstractNum w:abstractNumId="509">
    <w:nsid w:val="247FC4AE"/>
    <w:multiLevelType w:val="hybridMultilevel"/>
    <w:lvl w:ilvl="0">
      <w:lvlJc w:val="left"/>
      <w:lvlText w:val="(%1)"/>
      <w:numFmt w:val="lowerLetter"/>
      <w:start w:val="2"/>
    </w:lvl>
  </w:abstractNum>
  <w:abstractNum w:abstractNumId="510">
    <w:nsid w:val="46C01B05"/>
    <w:multiLevelType w:val="hybridMultilevel"/>
    <w:lvl w:ilvl="0">
      <w:lvlJc w:val="left"/>
      <w:lvlText w:val="%1"/>
      <w:numFmt w:val="lowerLetter"/>
      <w:start w:val="1"/>
    </w:lvl>
    <w:lvl w:ilvl="1">
      <w:lvlJc w:val="left"/>
      <w:lvlText w:val="(%2)"/>
      <w:numFmt w:val="lowerLetter"/>
      <w:start w:val="11"/>
    </w:lvl>
  </w:abstractNum>
  <w:abstractNum w:abstractNumId="511">
    <w:nsid w:val="566EC29B"/>
    <w:multiLevelType w:val="hybridMultilevel"/>
    <w:lvl w:ilvl="0">
      <w:lvlJc w:val="left"/>
      <w:lvlText w:val="(%1)"/>
      <w:numFmt w:val="lowerLetter"/>
      <w:start w:val="25"/>
    </w:lvl>
    <w:lvl w:ilvl="1">
      <w:lvlJc w:val="left"/>
      <w:lvlText w:val="%2"/>
      <w:numFmt w:val="lowerLetter"/>
      <w:start w:val="1"/>
    </w:lvl>
  </w:abstractNum>
  <w:abstractNum w:abstractNumId="512">
    <w:nsid w:val="7A963843"/>
    <w:multiLevelType w:val="hybridMultilevel"/>
    <w:lvl w:ilvl="0">
      <w:lvlJc w:val="left"/>
      <w:lvlText w:val="(%1)"/>
      <w:numFmt w:val="lowerLetter"/>
      <w:start w:val="20"/>
    </w:lvl>
  </w:abstractNum>
  <w:abstractNum w:abstractNumId="513">
    <w:nsid w:val="4FE12F61"/>
    <w:multiLevelType w:val="hybridMultilevel"/>
    <w:lvl w:ilvl="0">
      <w:lvlJc w:val="left"/>
      <w:lvlText w:val="(%1)"/>
      <w:numFmt w:val="lowerLetter"/>
      <w:start w:val="28"/>
    </w:lvl>
  </w:abstractNum>
  <w:abstractNum w:abstractNumId="514">
    <w:nsid w:val="51A3A284"/>
    <w:multiLevelType w:val="hybridMultilevel"/>
    <w:lvl w:ilvl="0">
      <w:lvlJc w:val="left"/>
      <w:lvlText w:val="(%1)"/>
      <w:numFmt w:val="lowerLetter"/>
      <w:start w:val="1"/>
    </w:lvl>
  </w:abstractNum>
  <w:abstractNum w:abstractNumId="515">
    <w:nsid w:val="376863BC"/>
    <w:multiLevelType w:val="hybridMultilevel"/>
    <w:lvl w:ilvl="0">
      <w:lvlJc w:val="left"/>
      <w:lvlText w:val="(%1)"/>
      <w:numFmt w:val="lowerRoman"/>
      <w:start w:val="1"/>
    </w:lvl>
  </w:abstractNum>
  <w:abstractNum w:abstractNumId="516">
    <w:nsid w:val="118C6C0"/>
    <w:multiLevelType w:val="hybridMultilevel"/>
    <w:lvl w:ilvl="0">
      <w:lvlJc w:val="left"/>
      <w:lvlText w:val="(%1)"/>
      <w:numFmt w:val="lowerRoman"/>
      <w:start w:val="6"/>
    </w:lvl>
  </w:abstractNum>
  <w:abstractNum w:abstractNumId="517">
    <w:nsid w:val="7F7E4A15"/>
    <w:multiLevelType w:val="hybridMultilevel"/>
    <w:lvl w:ilvl="0">
      <w:lvlJc w:val="left"/>
      <w:lvlText w:val="%1"/>
      <w:numFmt w:val="lowerLetter"/>
      <w:start w:val="1"/>
    </w:lvl>
    <w:lvl w:ilvl="1">
      <w:lvlJc w:val="left"/>
      <w:lvlText w:val="(%2)"/>
      <w:numFmt w:val="lowerRoman"/>
      <w:start w:val="14"/>
    </w:lvl>
  </w:abstractNum>
  <w:abstractNum w:abstractNumId="518">
    <w:nsid w:val="2E8E9F47"/>
    <w:multiLevelType w:val="hybridMultilevel"/>
    <w:lvl w:ilvl="0">
      <w:lvlJc w:val="left"/>
      <w:lvlText w:val="(%1)"/>
      <w:numFmt w:val="lowerLetter"/>
      <w:start w:val="8"/>
    </w:lvl>
    <w:lvl w:ilvl="1">
      <w:lvlJc w:val="left"/>
      <w:lvlText w:val="(%2)"/>
      <w:numFmt w:val="lowerRoman"/>
      <w:start w:val="15"/>
    </w:lvl>
  </w:abstractNum>
  <w:abstractNum w:abstractNumId="519">
    <w:nsid w:val="76742596"/>
    <w:multiLevelType w:val="hybridMultilevel"/>
    <w:lvl w:ilvl="0">
      <w:lvlJc w:val="left"/>
      <w:lvlText w:val="(%1)"/>
      <w:numFmt w:val="lowerRoman"/>
      <w:start w:val="22"/>
    </w:lvl>
  </w:abstractNum>
  <w:abstractNum w:abstractNumId="520">
    <w:nsid w:val="CB55FF3"/>
    <w:multiLevelType w:val="hybridMultilevel"/>
    <w:lvl w:ilvl="0">
      <w:lvlJc w:val="left"/>
      <w:lvlText w:val="(%1)"/>
      <w:numFmt w:val="lowerLetter"/>
      <w:start w:val="2"/>
    </w:lvl>
  </w:abstractNum>
  <w:abstractNum w:abstractNumId="521">
    <w:nsid w:val="21DF319E"/>
    <w:multiLevelType w:val="hybridMultilevel"/>
    <w:lvl w:ilvl="0">
      <w:lvlJc w:val="left"/>
      <w:lvlText w:val="%1"/>
      <w:numFmt w:val="lowerLetter"/>
      <w:start w:val="1"/>
    </w:lvl>
    <w:lvl w:ilvl="1">
      <w:lvlJc w:val="left"/>
      <w:lvlText w:val="(%2)"/>
      <w:numFmt w:val="lowerRoman"/>
      <w:start w:val="1"/>
    </w:lvl>
  </w:abstractNum>
  <w:abstractNum w:abstractNumId="522">
    <w:nsid w:val="6687F34D"/>
    <w:multiLevelType w:val="hybridMultilevel"/>
    <w:lvl w:ilvl="0">
      <w:lvlJc w:val="left"/>
      <w:lvlText w:val="(%1)"/>
      <w:numFmt w:val="lowerLetter"/>
      <w:start w:val="25"/>
    </w:lvl>
    <w:lvl w:ilvl="1">
      <w:lvlJc w:val="left"/>
      <w:lvlText w:val="(%2)"/>
      <w:numFmt w:val="lowerRoman"/>
      <w:start w:val="7"/>
    </w:lvl>
  </w:abstractNum>
  <w:abstractNum w:abstractNumId="523">
    <w:nsid w:val="25415B0C"/>
    <w:multiLevelType w:val="hybridMultilevel"/>
    <w:lvl w:ilvl="0">
      <w:lvlJc w:val="left"/>
      <w:lvlText w:val="%1"/>
      <w:numFmt w:val="decimal"/>
      <w:start w:val="1"/>
    </w:lvl>
    <w:lvl w:ilvl="1">
      <w:lvlJc w:val="left"/>
      <w:lvlText w:val="(%2)"/>
      <w:numFmt w:val="lowerRoman"/>
      <w:start w:val="8"/>
    </w:lvl>
  </w:abstractNum>
  <w:abstractNum w:abstractNumId="524">
    <w:nsid w:val="17CFC87D"/>
    <w:multiLevelType w:val="hybridMultilevel"/>
    <w:lvl w:ilvl="0">
      <w:lvlJc w:val="left"/>
      <w:lvlText w:val="(%1)"/>
      <w:numFmt w:val="decimal"/>
      <w:start w:val="60"/>
    </w:lvl>
    <w:lvl w:ilvl="1">
      <w:lvlJc w:val="left"/>
      <w:lvlText w:val="(%2)"/>
      <w:numFmt w:val="lowerRoman"/>
      <w:start w:val="9"/>
    </w:lvl>
  </w:abstractNum>
  <w:abstractNum w:abstractNumId="525">
    <w:nsid w:val="5D66DC65"/>
    <w:multiLevelType w:val="hybridMultilevel"/>
    <w:lvl w:ilvl="0">
      <w:lvlJc w:val="left"/>
      <w:lvlText w:val="(%1)"/>
      <w:numFmt w:val="lowerLetter"/>
      <w:start w:val="1"/>
    </w:lvl>
  </w:abstractNum>
  <w:abstractNum w:abstractNumId="526">
    <w:nsid w:val="30BB2B99"/>
    <w:multiLevelType w:val="hybridMultilevel"/>
    <w:lvl w:ilvl="0">
      <w:lvlJc w:val="left"/>
      <w:lvlText w:val="(%1)"/>
      <w:numFmt w:val="lowerLetter"/>
      <w:start w:val="7"/>
    </w:lvl>
  </w:abstractNum>
  <w:abstractNum w:abstractNumId="527">
    <w:nsid w:val="E3DFE6"/>
    <w:multiLevelType w:val="hybridMultilevel"/>
    <w:lvl w:ilvl="0">
      <w:lvlJc w:val="left"/>
      <w:lvlText w:val="(%1)"/>
      <w:numFmt w:val="lowerLetter"/>
      <w:start w:val="20"/>
    </w:lvl>
  </w:abstractNum>
  <w:abstractNum w:abstractNumId="528">
    <w:nsid w:val="595B37F3"/>
    <w:multiLevelType w:val="hybridMultilevel"/>
    <w:lvl w:ilvl="0">
      <w:lvlJc w:val="left"/>
      <w:lvlText w:val="(%1)"/>
      <w:numFmt w:val="lowerRoman"/>
      <w:start w:val="1"/>
    </w:lvl>
  </w:abstractNum>
  <w:abstractNum w:abstractNumId="529">
    <w:nsid w:val="71DB7E02"/>
    <w:multiLevelType w:val="hybridMultilevel"/>
    <w:lvl w:ilvl="0">
      <w:lvlJc w:val="left"/>
      <w:lvlText w:val="(%1)"/>
      <w:numFmt w:val="lowerRoman"/>
      <w:start w:val="4"/>
    </w:lvl>
  </w:abstractNum>
  <w:abstractNum w:abstractNumId="530">
    <w:nsid w:val="17EC0C4"/>
    <w:multiLevelType w:val="hybridMultilevel"/>
    <w:lvl w:ilvl="0">
      <w:lvlJc w:val="left"/>
      <w:lvlText w:val="(%1)"/>
      <w:numFmt w:val="lowerRoman"/>
      <w:start w:val="2"/>
    </w:lvl>
  </w:abstractNum>
  <w:abstractNum w:abstractNumId="531">
    <w:nsid w:val="7173BB22"/>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1"/>
    </w:lvl>
  </w:abstractNum>
  <w:abstractNum w:abstractNumId="532">
    <w:nsid w:val="169E1DD3"/>
    <w:multiLevelType w:val="hybridMultilevel"/>
    <w:lvl w:ilvl="0">
      <w:lvlJc w:val="left"/>
      <w:lvlText w:val="%1"/>
      <w:numFmt w:val="lowerLetter"/>
      <w:start w:val="1"/>
    </w:lvl>
    <w:lvl w:ilvl="1">
      <w:lvlJc w:val="left"/>
      <w:lvlText w:val="(%2)"/>
      <w:numFmt w:val="lowerRoman"/>
      <w:start w:val="10"/>
    </w:lvl>
    <w:lvl w:ilvl="2">
      <w:lvlJc w:val="left"/>
      <w:lvlText w:val="(%3)"/>
      <w:numFmt w:val="lowerRoman"/>
      <w:start w:val="11"/>
    </w:lvl>
  </w:abstractNum>
  <w:abstractNum w:abstractNumId="533">
    <w:nsid w:val="51D141CC"/>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534">
    <w:nsid w:val="12F9357A"/>
    <w:multiLevelType w:val="hybridMultilevel"/>
    <w:lvl w:ilvl="0">
      <w:lvlJc w:val="left"/>
      <w:lvlText w:val="(%1)"/>
      <w:numFmt w:val="lowerRoman"/>
      <w:start w:val="1"/>
    </w:lvl>
  </w:abstractNum>
  <w:abstractNum w:abstractNumId="535">
    <w:nsid w:val="7672CF28"/>
    <w:multiLevelType w:val="hybridMultilevel"/>
    <w:lvl w:ilvl="0">
      <w:lvlJc w:val="left"/>
      <w:lvlText w:val="(%1)"/>
      <w:numFmt w:val="lowerLetter"/>
      <w:start w:val="1"/>
    </w:lvl>
  </w:abstractNum>
  <w:abstractNum w:abstractNumId="536">
    <w:nsid w:val="567D2763"/>
    <w:multiLevelType w:val="hybridMultilevel"/>
    <w:lvl w:ilvl="0">
      <w:lvlJc w:val="left"/>
      <w:lvlText w:val="(%1)"/>
      <w:numFmt w:val="lowerLetter"/>
      <w:start w:val="4"/>
    </w:lvl>
  </w:abstractNum>
  <w:abstractNum w:abstractNumId="537">
    <w:nsid w:val="6F5DE2EF"/>
    <w:multiLevelType w:val="hybridMultilevel"/>
    <w:lvl w:ilvl="0">
      <w:lvlJc w:val="left"/>
      <w:lvlText w:val="(%1)"/>
      <w:numFmt w:val="lowerLetter"/>
      <w:start w:val="8"/>
    </w:lvl>
  </w:abstractNum>
  <w:abstractNum w:abstractNumId="538">
    <w:nsid w:val="23502A61"/>
    <w:multiLevelType w:val="hybridMultilevel"/>
    <w:lvl w:ilvl="0">
      <w:lvlJc w:val="left"/>
      <w:lvlText w:val="(%1)"/>
      <w:numFmt w:val="lowerLetter"/>
      <w:start w:val="12"/>
    </w:lvl>
  </w:abstractNum>
  <w:abstractNum w:abstractNumId="539">
    <w:nsid w:val="461BC834"/>
    <w:multiLevelType w:val="hybridMultilevel"/>
    <w:lvl w:ilvl="0">
      <w:lvlJc w:val="left"/>
      <w:lvlText w:val="(%1)"/>
      <w:numFmt w:val="lowerLetter"/>
      <w:start w:val="1"/>
    </w:lvl>
  </w:abstractNum>
  <w:abstractNum w:abstractNumId="540">
    <w:nsid w:val="13DDA79D"/>
    <w:multiLevelType w:val="hybridMultilevel"/>
    <w:lvl w:ilvl="0">
      <w:lvlJc w:val="left"/>
      <w:lvlText w:val="(%1)"/>
      <w:numFmt w:val="lowerRoman"/>
      <w:start w:val="1"/>
    </w:lvl>
  </w:abstractNum>
  <w:abstractNum w:abstractNumId="541">
    <w:nsid w:val="6A104566"/>
    <w:multiLevelType w:val="hybridMultilevel"/>
    <w:lvl w:ilvl="0">
      <w:lvlJc w:val="left"/>
      <w:lvlText w:val="(%1)"/>
      <w:numFmt w:val="lowerRoman"/>
      <w:start w:val="5"/>
    </w:lvl>
  </w:abstractNum>
  <w:abstractNum w:abstractNumId="542">
    <w:nsid w:val="1C8A8ACF"/>
    <w:multiLevelType w:val="hybridMultilevel"/>
    <w:lvl w:ilvl="0">
      <w:lvlJc w:val="left"/>
      <w:lvlText w:val="(%1)"/>
      <w:numFmt w:val="lowerLetter"/>
      <w:start w:val="1"/>
    </w:lvl>
  </w:abstractNum>
  <w:abstractNum w:abstractNumId="543">
    <w:nsid w:val="E73DFE0"/>
    <w:multiLevelType w:val="hybridMultilevel"/>
    <w:lvl w:ilvl="0">
      <w:lvlJc w:val="left"/>
      <w:lvlText w:val="(%1)"/>
      <w:numFmt w:val="lowerLetter"/>
      <w:start w:val="2"/>
    </w:lvl>
  </w:abstractNum>
  <w:abstractNum w:abstractNumId="544">
    <w:nsid w:val="39F174C7"/>
    <w:multiLevelType w:val="hybridMultilevel"/>
    <w:lvl w:ilvl="0">
      <w:lvlJc w:val="left"/>
      <w:lvlText w:val="(%1)"/>
      <w:numFmt w:val="lowerRoman"/>
      <w:start w:val="3"/>
    </w:lvl>
  </w:abstractNum>
  <w:abstractNum w:abstractNumId="545">
    <w:nsid w:val="6E2E2D53"/>
    <w:multiLevelType w:val="hybridMultilevel"/>
    <w:lvl w:ilvl="0">
      <w:lvlJc w:val="left"/>
      <w:lvlText w:val="(%1)"/>
      <w:numFmt w:val="decimal"/>
      <w:start w:val="30"/>
    </w:lvl>
  </w:abstractNum>
  <w:abstractNum w:abstractNumId="546">
    <w:nsid w:val="45DC439D"/>
    <w:multiLevelType w:val="hybridMultilevel"/>
    <w:lvl w:ilvl="0">
      <w:lvlJc w:val="left"/>
      <w:lvlText w:val="(%1)"/>
      <w:numFmt w:val="lowerLetter"/>
      <w:start w:val="1"/>
    </w:lvl>
  </w:abstractNum>
  <w:abstractNum w:abstractNumId="547">
    <w:nsid w:val="3B0A3B87"/>
    <w:multiLevelType w:val="hybridMultilevel"/>
    <w:lvl w:ilvl="0">
      <w:lvlJc w:val="left"/>
      <w:lvlText w:val="(%1)"/>
      <w:numFmt w:val="lowerLetter"/>
      <w:start w:val="1"/>
    </w:lvl>
  </w:abstractNum>
  <w:abstractNum w:abstractNumId="548">
    <w:nsid w:val="6DAC7768"/>
    <w:multiLevelType w:val="hybridMultilevel"/>
    <w:lvl w:ilvl="0">
      <w:lvlJc w:val="left"/>
      <w:lvlText w:val="(%1)"/>
      <w:numFmt w:val="lowerLetter"/>
      <w:start w:val="2"/>
    </w:lvl>
  </w:abstractNum>
  <w:abstractNum w:abstractNumId="549">
    <w:nsid w:val="746AE2E4"/>
    <w:multiLevelType w:val="hybridMultilevel"/>
    <w:lvl w:ilvl="0">
      <w:lvlJc w:val="left"/>
      <w:lvlText w:val="(%1)"/>
      <w:numFmt w:val="lowerLetter"/>
      <w:start w:val="1"/>
    </w:lvl>
  </w:abstractNum>
  <w:abstractNum w:abstractNumId="550">
    <w:nsid w:val="317E611D"/>
    <w:multiLevelType w:val="hybridMultilevel"/>
    <w:lvl w:ilvl="0">
      <w:lvlJc w:val="left"/>
      <w:lvlText w:val="(%1)"/>
      <w:numFmt w:val="lowerRoman"/>
      <w:start w:val="1"/>
    </w:lvl>
  </w:abstractNum>
  <w:abstractNum w:abstractNumId="551">
    <w:nsid w:val="7A61D75B"/>
    <w:multiLevelType w:val="hybridMultilevel"/>
    <w:lvl w:ilvl="0">
      <w:lvlJc w:val="left"/>
      <w:lvlText w:val="(%1)"/>
      <w:numFmt w:val="lowerRoman"/>
      <w:start w:val="3"/>
    </w:lvl>
  </w:abstractNum>
  <w:abstractNum w:abstractNumId="552">
    <w:nsid w:val="164A1482"/>
    <w:multiLevelType w:val="hybridMultilevel"/>
    <w:lvl w:ilvl="0">
      <w:lvlJc w:val="left"/>
      <w:lvlText w:val="(%1)"/>
      <w:numFmt w:val="lowerLetter"/>
      <w:start w:val="2"/>
    </w:lvl>
  </w:abstractNum>
  <w:abstractNum w:abstractNumId="553">
    <w:nsid w:val="1806546B"/>
    <w:multiLevelType w:val="hybridMultilevel"/>
    <w:lvl w:ilvl="0">
      <w:lvlJc w:val="left"/>
      <w:lvlText w:val="(%1)"/>
      <w:numFmt w:val="lowerLetter"/>
      <w:start w:val="1"/>
    </w:lvl>
  </w:abstractNum>
  <w:abstractNum w:abstractNumId="554">
    <w:nsid w:val="1FA33267"/>
    <w:multiLevelType w:val="hybridMultilevel"/>
    <w:lvl w:ilvl="0">
      <w:lvlJc w:val="left"/>
      <w:lvlText w:val="(%1)"/>
      <w:numFmt w:val="lowerLetter"/>
      <w:start w:val="3"/>
    </w:lvl>
  </w:abstractNum>
  <w:abstractNum w:abstractNumId="555">
    <w:nsid w:val="2E19DD00"/>
    <w:multiLevelType w:val="hybridMultilevel"/>
    <w:lvl w:ilvl="0">
      <w:lvlJc w:val="left"/>
      <w:lvlText w:val="(%1)"/>
      <w:numFmt w:val="lowerLetter"/>
      <w:start w:val="2"/>
    </w:lvl>
  </w:abstractNum>
  <w:abstractNum w:abstractNumId="556">
    <w:nsid w:val="756D30D0"/>
    <w:multiLevelType w:val="hybridMultilevel"/>
    <w:lvl w:ilvl="0">
      <w:lvlJc w:val="left"/>
      <w:lvlText w:val="(%1)"/>
      <w:numFmt w:val="lowerRoman"/>
      <w:start w:val="2"/>
    </w:lvl>
  </w:abstractNum>
  <w:abstractNum w:abstractNumId="557">
    <w:nsid w:val="505E5E01"/>
    <w:multiLevelType w:val="hybridMultilevel"/>
    <w:lvl w:ilvl="0">
      <w:lvlJc w:val="left"/>
      <w:lvlText w:val="(%1)"/>
      <w:numFmt w:val="lowerLetter"/>
      <w:start w:val="3"/>
    </w:lvl>
  </w:abstractNum>
  <w:abstractNum w:abstractNumId="558">
    <w:nsid w:val="2EFDBCE6"/>
    <w:multiLevelType w:val="hybridMultilevel"/>
    <w:lvl w:ilvl="0">
      <w:lvlJc w:val="left"/>
      <w:lvlText w:val="(%1)"/>
      <w:numFmt w:val="lowerRoman"/>
      <w:start w:val="1"/>
    </w:lvl>
    <w:lvl w:ilvl="1">
      <w:lvlJc w:val="left"/>
      <w:lvlText w:val="(%2)"/>
      <w:numFmt w:val="lowerLetter"/>
      <w:start w:val="4"/>
    </w:lvl>
  </w:abstractNum>
  <w:abstractNum w:abstractNumId="559">
    <w:nsid w:val="4EC868C4"/>
    <w:multiLevelType w:val="hybridMultilevel"/>
    <w:lvl w:ilvl="0">
      <w:lvlJc w:val="left"/>
      <w:lvlText w:val="(%1)"/>
      <w:numFmt w:val="lowerLetter"/>
      <w:start w:val="5"/>
    </w:lvl>
  </w:abstractNum>
  <w:abstractNum w:abstractNumId="560">
    <w:nsid w:val="4239DC03"/>
    <w:multiLevelType w:val="hybridMultilevel"/>
    <w:lvl w:ilvl="0">
      <w:lvlJc w:val="left"/>
      <w:lvlText w:val="%1"/>
      <w:numFmt w:val="lowerLetter"/>
      <w:start w:val="1"/>
    </w:lvl>
    <w:lvl w:ilvl="1">
      <w:lvlJc w:val="left"/>
      <w:lvlText w:val="(%2)"/>
      <w:numFmt w:val="lowerLetter"/>
      <w:start w:val="8"/>
    </w:lvl>
  </w:abstractNum>
  <w:abstractNum w:abstractNumId="561">
    <w:nsid w:val="307C7DAA"/>
    <w:multiLevelType w:val="hybridMultilevel"/>
    <w:lvl w:ilvl="0">
      <w:lvlJc w:val="left"/>
      <w:lvlText w:val="(%1)"/>
      <w:numFmt w:val="lowerLetter"/>
      <w:start w:val="35"/>
    </w:lvl>
    <w:lvl w:ilvl="1">
      <w:lvlJc w:val="left"/>
      <w:lvlText w:val="(%2)"/>
      <w:numFmt w:val="lowerLetter"/>
      <w:start w:val="9"/>
    </w:lvl>
  </w:abstractNum>
  <w:abstractNum w:abstractNumId="562">
    <w:nsid w:val="403C23E6"/>
    <w:multiLevelType w:val="hybridMultilevel"/>
    <w:lvl w:ilvl="0">
      <w:lvlJc w:val="left"/>
      <w:lvlText w:val="(%1)"/>
      <w:numFmt w:val="lowerLetter"/>
      <w:start w:val="11"/>
    </w:lvl>
  </w:abstractNum>
  <w:abstractNum w:abstractNumId="563">
    <w:nsid w:val="58D7F9D7"/>
    <w:multiLevelType w:val="hybridMultilevel"/>
    <w:lvl w:ilvl="0">
      <w:lvlJc w:val="left"/>
      <w:lvlText w:val="(%1)"/>
      <w:numFmt w:val="lowerLetter"/>
      <w:start w:val="61"/>
    </w:lvl>
    <w:lvl w:ilvl="1">
      <w:lvlJc w:val="left"/>
      <w:lvlText w:val="(%2)"/>
      <w:numFmt w:val="lowerLetter"/>
      <w:start w:val="2"/>
    </w:lvl>
  </w:abstractNum>
  <w:abstractNum w:abstractNumId="564">
    <w:nsid w:val="24DBF76"/>
    <w:multiLevelType w:val="hybridMultilevel"/>
    <w:lvl w:ilvl="0">
      <w:lvlJc w:val="left"/>
      <w:lvlText w:val="(%1)"/>
      <w:numFmt w:val="lowerLetter"/>
      <w:start w:val="3"/>
    </w:lvl>
  </w:abstractNum>
  <w:abstractNum w:abstractNumId="565">
    <w:nsid w:val="53355960"/>
    <w:multiLevelType w:val="hybridMultilevel"/>
    <w:lvl w:ilvl="0">
      <w:lvlJc w:val="left"/>
      <w:lvlText w:val="(%1)"/>
      <w:numFmt w:val="lowerLetter"/>
      <w:start w:val="5"/>
    </w:lvl>
  </w:abstractNum>
  <w:abstractNum w:abstractNumId="566">
    <w:nsid w:val="4F4AC8FF"/>
    <w:multiLevelType w:val="hybridMultilevel"/>
    <w:lvl w:ilvl="0">
      <w:lvlJc w:val="left"/>
      <w:lvlText w:val="(%1)"/>
      <w:numFmt w:val="lowerLetter"/>
      <w:start w:val="1"/>
    </w:lvl>
  </w:abstractNum>
  <w:abstractNum w:abstractNumId="567">
    <w:nsid w:val="58CAE6D9"/>
    <w:multiLevelType w:val="hybridMultilevel"/>
    <w:lvl w:ilvl="0">
      <w:lvlJc w:val="left"/>
      <w:lvlText w:val="(%1)"/>
      <w:numFmt w:val="lowerRoman"/>
      <w:start w:val="2"/>
    </w:lvl>
  </w:abstractNum>
  <w:abstractNum w:abstractNumId="568">
    <w:nsid w:val="42933C4F"/>
    <w:multiLevelType w:val="hybridMultilevel"/>
    <w:lvl w:ilvl="0">
      <w:lvlJc w:val="left"/>
      <w:lvlText w:val="(%1)"/>
      <w:numFmt w:val="lowerRoman"/>
      <w:start w:val="3"/>
    </w:lvl>
  </w:abstractNum>
  <w:abstractNum w:abstractNumId="569">
    <w:nsid w:val="729AF360"/>
    <w:multiLevelType w:val="hybridMultilevel"/>
    <w:lvl w:ilvl="0">
      <w:lvlJc w:val="left"/>
      <w:lvlText w:val="(%1)"/>
      <w:numFmt w:val="lowerRoman"/>
      <w:start w:val="7"/>
    </w:lvl>
    <w:lvl w:ilvl="1">
      <w:lvlJc w:val="left"/>
      <w:lvlText w:val="(%2)"/>
      <w:numFmt w:val="upperLetter"/>
      <w:start w:val="1"/>
    </w:lvl>
  </w:abstractNum>
  <w:abstractNum w:abstractNumId="570">
    <w:nsid w:val="1EE6AF0D"/>
    <w:multiLevelType w:val="hybridMultilevel"/>
    <w:lvl w:ilvl="0">
      <w:lvlJc w:val="left"/>
      <w:lvlText w:val="%1"/>
      <w:numFmt w:val="lowerRoman"/>
      <w:start w:val="1"/>
    </w:lvl>
    <w:lvl w:ilvl="1">
      <w:lvlJc w:val="left"/>
      <w:lvlText w:val="(%2)"/>
      <w:numFmt w:val="upperLetter"/>
      <w:start w:val="5"/>
    </w:lvl>
  </w:abstractNum>
  <w:abstractNum w:abstractNumId="571">
    <w:nsid w:val="5670E3ED"/>
    <w:multiLevelType w:val="hybridMultilevel"/>
    <w:lvl w:ilvl="0">
      <w:lvlJc w:val="left"/>
      <w:lvlText w:val="(%1)"/>
      <w:numFmt w:val="lowerRoman"/>
      <w:start w:val="8"/>
    </w:lvl>
    <w:lvl w:ilvl="1">
      <w:lvlJc w:val="left"/>
      <w:lvlText w:val="%2"/>
      <w:numFmt w:val="upperLetter"/>
      <w:start w:val="1"/>
    </w:lvl>
  </w:abstractNum>
  <w:abstractNum w:abstractNumId="572">
    <w:nsid w:val="5CAB38C6"/>
    <w:multiLevelType w:val="hybridMultilevel"/>
    <w:lvl w:ilvl="0">
      <w:lvlJc w:val="left"/>
      <w:lvlText w:val="(%1)"/>
      <w:numFmt w:val="lowerLetter"/>
      <w:start w:val="3"/>
    </w:lvl>
  </w:abstractNum>
  <w:abstractNum w:abstractNumId="573">
    <w:nsid w:val="3B7139DD"/>
    <w:multiLevelType w:val="hybridMultilevel"/>
    <w:lvl w:ilvl="0">
      <w:lvlJc w:val="left"/>
      <w:lvlText w:val="(%1)"/>
      <w:numFmt w:val="lowerLetter"/>
      <w:start w:val="4"/>
    </w:lvl>
  </w:abstractNum>
  <w:abstractNum w:abstractNumId="574">
    <w:nsid w:val="64E4C3CD"/>
    <w:multiLevelType w:val="hybridMultilevel"/>
    <w:lvl w:ilvl="0">
      <w:lvlJc w:val="left"/>
      <w:lvlText w:val="(%1)"/>
      <w:numFmt w:val="lowerLetter"/>
      <w:start w:val="5"/>
    </w:lvl>
  </w:abstractNum>
  <w:abstractNum w:abstractNumId="575">
    <w:nsid w:val="169CAD8D"/>
    <w:multiLevelType w:val="hybridMultilevel"/>
    <w:lvl w:ilvl="0">
      <w:lvlJc w:val="left"/>
      <w:lvlText w:val="(%1)"/>
      <w:numFmt w:val="lowerLetter"/>
      <w:start w:val="8"/>
    </w:lvl>
  </w:abstractNum>
  <w:abstractNum w:abstractNumId="576">
    <w:nsid w:val="299F6730"/>
    <w:multiLevelType w:val="hybridMultilevel"/>
    <w:lvl w:ilvl="0">
      <w:lvlJc w:val="left"/>
      <w:lvlText w:val="(%1)"/>
      <w:numFmt w:val="lowerLetter"/>
      <w:start w:val="1"/>
    </w:lvl>
  </w:abstractNum>
  <w:abstractNum w:abstractNumId="577">
    <w:nsid w:val="2AC1076A"/>
    <w:multiLevelType w:val="hybridMultilevel"/>
    <w:lvl w:ilvl="0">
      <w:lvlJc w:val="left"/>
      <w:lvlText w:val="(%1)"/>
      <w:numFmt w:val="lowerLetter"/>
      <w:start w:val="2"/>
    </w:lvl>
  </w:abstractNum>
  <w:abstractNum w:abstractNumId="578">
    <w:nsid w:val="51A6E915"/>
    <w:multiLevelType w:val="hybridMultilevel"/>
    <w:lvl w:ilvl="0">
      <w:lvlJc w:val="left"/>
      <w:lvlText w:val="(%1)"/>
      <w:numFmt w:val="lowerLetter"/>
      <w:start w:val="1"/>
    </w:lvl>
  </w:abstractNum>
  <w:abstractNum w:abstractNumId="579">
    <w:nsid w:val="174BDE99"/>
    <w:multiLevelType w:val="hybridMultilevel"/>
    <w:lvl w:ilvl="0">
      <w:lvlJc w:val="left"/>
      <w:lvlText w:val="(%1)"/>
      <w:numFmt w:val="lowerLetter"/>
      <w:start w:val="1"/>
    </w:lvl>
  </w:abstractNum>
  <w:abstractNum w:abstractNumId="580">
    <w:nsid w:val="1F2BEA4E"/>
    <w:multiLevelType w:val="hybridMultilevel"/>
    <w:lvl w:ilvl="0">
      <w:lvlJc w:val="left"/>
      <w:lvlText w:val="(%1)"/>
      <w:numFmt w:val="lowerLetter"/>
      <w:start w:val="1"/>
    </w:lvl>
  </w:abstractNum>
  <w:abstractNum w:abstractNumId="581">
    <w:nsid w:val="3254A32"/>
    <w:multiLevelType w:val="hybridMultilevel"/>
    <w:lvl w:ilvl="0">
      <w:lvlJc w:val="left"/>
      <w:lvlText w:val="(%1)"/>
      <w:numFmt w:val="lowerRoman"/>
      <w:start w:val="1"/>
    </w:lvl>
  </w:abstractNum>
  <w:abstractNum w:abstractNumId="582">
    <w:nsid w:val="11ADB5F4"/>
    <w:multiLevelType w:val="hybridMultilevel"/>
    <w:lvl w:ilvl="0">
      <w:lvlJc w:val="left"/>
      <w:lvlText w:val="%1."/>
      <w:numFmt w:val="decimal"/>
      <w:start w:val="1"/>
    </w:lvl>
    <w:lvl w:ilvl="1">
      <w:lvlJc w:val="left"/>
      <w:lvlText w:val="(%2)"/>
      <w:numFmt w:val="lowerLetter"/>
      <w:start w:val="1"/>
    </w:lvl>
  </w:abstractNum>
  <w:abstractNum w:abstractNumId="583">
    <w:nsid w:val="3575FED1"/>
    <w:multiLevelType w:val="hybridMultilevel"/>
    <w:lvl w:ilvl="0">
      <w:lvlJc w:val="left"/>
      <w:lvlText w:val="%1."/>
      <w:numFmt w:val="decimal"/>
      <w:start w:val="1"/>
    </w:lvl>
    <w:lvl w:ilvl="1">
      <w:lvlJc w:val="left"/>
      <w:lvlText w:val="(%2)"/>
      <w:numFmt w:val="lowerLetter"/>
      <w:start w:val="1"/>
    </w:lvl>
  </w:abstractNum>
  <w:abstractNum w:abstractNumId="584">
    <w:nsid w:val="1B2B9E9D"/>
    <w:multiLevelType w:val="hybridMultilevel"/>
    <w:lvl w:ilvl="0">
      <w:lvlJc w:val="left"/>
      <w:lvlText w:val="(%1)"/>
      <w:numFmt w:val="decimal"/>
      <w:start w:val="1"/>
    </w:lvl>
  </w:abstractNum>
  <w:abstractNum w:abstractNumId="585">
    <w:nsid w:val="3150E8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48" Type="http://schemas.openxmlformats.org/officeDocument/2006/relationships/hyperlink" Target="https://www.sec.gov/Archives/edgar/data/1809519/000119312520256438/d35545dex31.htm" TargetMode="External"/><Relationship Id="rId49" Type="http://schemas.openxmlformats.org/officeDocument/2006/relationships/hyperlink" Target="https://www.sec.gov/Archives/edgar/data/0001809519/000119312520256438/d35545dex32.htm" TargetMode="External"/><Relationship Id="rId50" Type="http://schemas.openxmlformats.org/officeDocument/2006/relationships/hyperlink" Target="https://www.sec.gov/Archives/edgar/data/1809519/000119312520234662/d949310dex41.htm" TargetMode="External"/><Relationship Id="rId51" Type="http://schemas.openxmlformats.org/officeDocument/2006/relationships/hyperlink" Target="https://www.sec.gov/Archives/edgar/data/1809519/000119312520254694/d62083dex44.htm" TargetMode="External"/><Relationship Id="rId52" Type="http://schemas.openxmlformats.org/officeDocument/2006/relationships/hyperlink" Target="https://www.sec.gov/Archives/edgar/data/1809519/000119312523115360/d436463dex101.htm" TargetMode="External"/><Relationship Id="rId53" Type="http://schemas.openxmlformats.org/officeDocument/2006/relationships/hyperlink" Target="https://www.sec.gov/Archives/edgar/data/1809519/000119312523115360/d436463dex102.htm" TargetMode="External"/><Relationship Id="rId54" Type="http://schemas.openxmlformats.org/officeDocument/2006/relationships/hyperlink" Target="https://www.sec.gov/Archives/edgar/data/1809519/000119312523115360/d436463dex103.htm" TargetMode="External"/><Relationship Id="rId55" Type="http://schemas.openxmlformats.org/officeDocument/2006/relationships/hyperlink" Target="https://www.sec.gov/Archives/edgar/data/1809519/000095017023026067/gdrx-ex10_1.htm" TargetMode="External"/><Relationship Id="rId56" Type="http://schemas.openxmlformats.org/officeDocument/2006/relationships/hyperlink" Target="https://www.sec.gov/Archives/edgar/data/1809519/000162828023025955/ex101-bazadseparation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2023-08-09T13:55:19Z</dcterms:created>
  <dcterms:modified xsi:type="dcterms:W3CDTF">2023-08-09T13:55:19Z</dcterms:modified>
</cp:coreProperties>
</file>